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2BB39">
      <w:pPr>
        <w:pStyle w:val="18"/>
        <w:ind w:firstLine="560"/>
        <w:rPr>
          <w:rFonts w:ascii="Times New Roman"/>
          <w:color w:val="auto"/>
          <w:highlight w:val="none"/>
          <w:shd w:val="clear"/>
        </w:rPr>
      </w:pPr>
    </w:p>
    <w:p w14:paraId="63454096">
      <w:pPr>
        <w:adjustRightInd w:val="0"/>
        <w:snapToGrid w:val="0"/>
        <w:spacing w:line="360" w:lineRule="auto"/>
        <w:jc w:val="center"/>
        <w:rPr>
          <w:rFonts w:ascii="Times New Roman" w:hAnsi="Times New Roman" w:eastAsia="黑体" w:cs="仿宋"/>
          <w:bCs/>
          <w:snapToGrid w:val="0"/>
          <w:color w:val="auto"/>
          <w:kern w:val="2"/>
          <w:sz w:val="28"/>
          <w:szCs w:val="28"/>
          <w:highlight w:val="none"/>
          <w:shd w:val="clear"/>
          <w:lang w:val="en-US" w:eastAsia="zh-CN" w:bidi="ar-SA"/>
        </w:rPr>
      </w:pPr>
      <w:permStart w:id="0" w:edGrp="everyone"/>
      <w:r>
        <w:rPr>
          <w:rFonts w:hint="eastAsia" w:ascii="Times New Roman" w:hAnsi="Times New Roman" w:eastAsia="黑体" w:cs="仿宋"/>
          <w:bCs/>
          <w:snapToGrid w:val="0"/>
          <w:color w:val="auto"/>
          <w:kern w:val="2"/>
          <w:sz w:val="28"/>
          <w:szCs w:val="28"/>
          <w:highlight w:val="none"/>
          <w:shd w:val="clear"/>
          <w:lang w:val="en-US" w:eastAsia="zh-CN" w:bidi="ar-SA"/>
        </w:rPr>
        <w:t>固镇县仲兴镇2025年和美乡村省级中心村建设项目</w:t>
      </w:r>
    </w:p>
    <w:permEnd w:id="0"/>
    <w:p w14:paraId="72CBB43F">
      <w:pPr>
        <w:adjustRightInd w:val="0"/>
        <w:snapToGrid w:val="0"/>
        <w:spacing w:line="360" w:lineRule="auto"/>
        <w:rPr>
          <w:rFonts w:ascii="Times New Roman" w:hAnsi="Times New Roman"/>
          <w:color w:val="auto"/>
          <w:highlight w:val="none"/>
          <w:shd w:val="clear"/>
        </w:rPr>
      </w:pPr>
    </w:p>
    <w:p w14:paraId="0BCEDB76">
      <w:pPr>
        <w:adjustRightInd w:val="0"/>
        <w:snapToGrid w:val="0"/>
        <w:spacing w:line="360" w:lineRule="auto"/>
        <w:jc w:val="center"/>
        <w:rPr>
          <w:rFonts w:ascii="Times New Roman" w:hAnsi="Times New Roman" w:eastAsia="黑体" w:cs="黑体"/>
          <w:b/>
          <w:bCs w:val="0"/>
          <w:color w:val="auto"/>
          <w:sz w:val="44"/>
          <w:szCs w:val="44"/>
          <w:highlight w:val="none"/>
          <w:shd w:val="clear"/>
        </w:rPr>
      </w:pPr>
    </w:p>
    <w:p w14:paraId="19C5FA0A">
      <w:pPr>
        <w:pStyle w:val="19"/>
        <w:rPr>
          <w:rFonts w:hint="default" w:ascii="Times New Roman" w:hAnsi="Times New Roman"/>
          <w:color w:val="auto"/>
          <w:highlight w:val="none"/>
          <w:shd w:val="clear"/>
        </w:rPr>
      </w:pPr>
      <w:r>
        <w:rPr>
          <w:rFonts w:ascii="Times New Roman" w:hAnsi="Times New Roman"/>
          <w:color w:val="auto"/>
          <w:highlight w:val="none"/>
          <w:shd w:val="clear"/>
        </w:rPr>
        <w:t>招标文件</w:t>
      </w:r>
    </w:p>
    <w:p w14:paraId="5B15FFA3">
      <w:pPr>
        <w:pStyle w:val="20"/>
        <w:rPr>
          <w:rFonts w:hint="default" w:ascii="Times New Roman" w:hAnsi="Times New Roman" w:eastAsia="黑体"/>
          <w:color w:val="auto"/>
          <w:highlight w:val="none"/>
          <w:shd w:val="clear"/>
          <w:lang w:val="en-US" w:eastAsia="zh-CN"/>
        </w:rPr>
      </w:pPr>
      <w:r>
        <w:rPr>
          <w:rFonts w:ascii="Times New Roman" w:hAnsi="Times New Roman"/>
          <w:color w:val="auto"/>
          <w:highlight w:val="none"/>
          <w:shd w:val="clear"/>
        </w:rPr>
        <w:t>招标项目编号：</w:t>
      </w:r>
      <w:permStart w:id="1" w:edGrp="everyone"/>
      <w:r>
        <w:rPr>
          <w:rFonts w:hint="eastAsia" w:ascii="Times New Roman" w:hAnsi="Times New Roman"/>
          <w:color w:val="auto"/>
          <w:highlight w:val="none"/>
          <w:shd w:val="clear"/>
          <w:lang w:val="en-US" w:eastAsia="zh-CN"/>
        </w:rPr>
        <w:t>BB2026GZGCZ***</w:t>
      </w:r>
    </w:p>
    <w:permEnd w:id="1"/>
    <w:p w14:paraId="75FCFE48">
      <w:pPr>
        <w:pStyle w:val="20"/>
        <w:rPr>
          <w:rFonts w:ascii="Times New Roman" w:hAnsi="Times New Roman"/>
          <w:color w:val="auto"/>
          <w:highlight w:val="none"/>
          <w:shd w:val="clear"/>
        </w:rPr>
      </w:pPr>
    </w:p>
    <w:p w14:paraId="05B409D8">
      <w:pPr>
        <w:spacing w:line="540" w:lineRule="exact"/>
        <w:ind w:firstLine="437"/>
        <w:rPr>
          <w:rFonts w:ascii="Times New Roman" w:hAnsi="Times New Roman"/>
          <w:color w:val="auto"/>
          <w:highlight w:val="none"/>
          <w:shd w:val="clear"/>
        </w:rPr>
      </w:pPr>
    </w:p>
    <w:p w14:paraId="66EA5658">
      <w:pPr>
        <w:spacing w:line="540" w:lineRule="exact"/>
        <w:ind w:firstLine="437"/>
        <w:rPr>
          <w:rFonts w:ascii="Times New Roman" w:hAnsi="Times New Roman"/>
          <w:color w:val="auto"/>
          <w:highlight w:val="none"/>
          <w:shd w:val="clear"/>
        </w:rPr>
      </w:pPr>
    </w:p>
    <w:p w14:paraId="46FF549F">
      <w:pPr>
        <w:spacing w:line="540" w:lineRule="exact"/>
        <w:ind w:firstLine="437"/>
        <w:rPr>
          <w:rFonts w:ascii="Times New Roman" w:hAnsi="Times New Roman"/>
          <w:color w:val="auto"/>
          <w:sz w:val="28"/>
          <w:szCs w:val="28"/>
          <w:highlight w:val="none"/>
          <w:shd w:val="clear"/>
        </w:rPr>
      </w:pPr>
    </w:p>
    <w:p w14:paraId="4C5E2BC2">
      <w:pPr>
        <w:spacing w:line="540" w:lineRule="exact"/>
        <w:ind w:firstLine="437"/>
        <w:rPr>
          <w:rFonts w:ascii="Times New Roman" w:hAnsi="Times New Roman"/>
          <w:color w:val="auto"/>
          <w:highlight w:val="none"/>
          <w:shd w:val="clear"/>
        </w:rPr>
      </w:pPr>
    </w:p>
    <w:p w14:paraId="53C17CB4">
      <w:pPr>
        <w:spacing w:line="540" w:lineRule="exact"/>
        <w:ind w:firstLine="437"/>
        <w:rPr>
          <w:rFonts w:ascii="Times New Roman" w:hAnsi="Times New Roman"/>
          <w:color w:val="auto"/>
          <w:highlight w:val="none"/>
          <w:shd w:val="clear"/>
        </w:rPr>
      </w:pPr>
    </w:p>
    <w:p w14:paraId="40D9ED51">
      <w:pPr>
        <w:spacing w:line="540" w:lineRule="exact"/>
        <w:ind w:firstLine="437"/>
        <w:rPr>
          <w:rFonts w:ascii="Times New Roman" w:hAnsi="Times New Roman"/>
          <w:color w:val="auto"/>
          <w:highlight w:val="none"/>
          <w:shd w:val="clear"/>
        </w:rPr>
      </w:pPr>
    </w:p>
    <w:p w14:paraId="037213CC">
      <w:pPr>
        <w:spacing w:line="540" w:lineRule="exact"/>
        <w:ind w:firstLine="437"/>
        <w:rPr>
          <w:rFonts w:ascii="Times New Roman" w:hAnsi="Times New Roman"/>
          <w:color w:val="auto"/>
          <w:highlight w:val="none"/>
          <w:shd w:val="clear"/>
        </w:rPr>
      </w:pPr>
    </w:p>
    <w:p w14:paraId="4A6E24A4">
      <w:pPr>
        <w:spacing w:line="540" w:lineRule="exact"/>
        <w:ind w:firstLine="437"/>
        <w:rPr>
          <w:rFonts w:ascii="Times New Roman" w:hAnsi="Times New Roman"/>
          <w:color w:val="auto"/>
          <w:highlight w:val="none"/>
          <w:shd w:val="clear"/>
        </w:rPr>
      </w:pPr>
    </w:p>
    <w:p w14:paraId="7E8095DE">
      <w:pPr>
        <w:spacing w:line="540" w:lineRule="exact"/>
        <w:rPr>
          <w:rFonts w:ascii="Times New Roman" w:hAnsi="Times New Roman"/>
          <w:color w:val="auto"/>
          <w:highlight w:val="none"/>
          <w:shd w:val="clear"/>
        </w:rPr>
      </w:pPr>
    </w:p>
    <w:p w14:paraId="2602743D">
      <w:pPr>
        <w:adjustRightInd w:val="0"/>
        <w:snapToGrid w:val="0"/>
        <w:spacing w:line="480" w:lineRule="auto"/>
        <w:ind w:firstLine="437"/>
        <w:rPr>
          <w:rFonts w:ascii="Times New Roman" w:hAnsi="Times New Roman"/>
          <w:color w:val="auto"/>
          <w:highlight w:val="none"/>
          <w:shd w:val="clear"/>
        </w:rPr>
      </w:pPr>
    </w:p>
    <w:p w14:paraId="4732151D">
      <w:pPr>
        <w:pStyle w:val="21"/>
        <w:rPr>
          <w:rFonts w:ascii="Times New Roman" w:hAnsi="Times New Roman"/>
          <w:color w:val="auto"/>
          <w:highlight w:val="none"/>
          <w:shd w:val="clear"/>
        </w:rPr>
      </w:pPr>
      <w:r>
        <w:rPr>
          <w:rFonts w:ascii="Times New Roman" w:hAnsi="Times New Roman"/>
          <w:color w:val="auto"/>
          <w:highlight w:val="none"/>
          <w:shd w:val="clear"/>
        </w:rPr>
        <w:t>招标人：</w:t>
      </w:r>
      <w:r>
        <w:rPr>
          <w:rFonts w:hint="eastAsia" w:ascii="Times New Roman" w:hAnsi="Times New Roman"/>
          <w:color w:val="auto"/>
          <w:highlight w:val="none"/>
          <w:shd w:val="clear"/>
          <w:lang w:eastAsia="zh-CN"/>
        </w:rPr>
        <w:t>固镇县仲兴镇人民政府</w:t>
      </w:r>
      <w:r>
        <w:rPr>
          <w:rFonts w:hint="eastAsia" w:ascii="Times New Roman" w:hAnsi="Times New Roman"/>
          <w:color w:val="auto"/>
          <w:highlight w:val="none"/>
          <w:shd w:val="clear"/>
          <w:lang w:val="en-US" w:eastAsia="zh-CN"/>
        </w:rPr>
        <w:t>（</w:t>
      </w:r>
      <w:r>
        <w:rPr>
          <w:rFonts w:ascii="Times New Roman" w:hAnsi="Times New Roman"/>
          <w:color w:val="auto"/>
          <w:highlight w:val="none"/>
          <w:shd w:val="clear"/>
        </w:rPr>
        <w:t>盖章）</w:t>
      </w:r>
    </w:p>
    <w:p w14:paraId="6760C1EA">
      <w:pPr>
        <w:pStyle w:val="21"/>
        <w:rPr>
          <w:rFonts w:hint="eastAsia" w:ascii="Times New Roman" w:hAnsi="Times New Roman"/>
          <w:color w:val="auto"/>
          <w:highlight w:val="none"/>
          <w:shd w:val="clear"/>
          <w:lang w:val="en-US" w:eastAsia="zh-CN"/>
        </w:rPr>
      </w:pPr>
      <w:bookmarkStart w:id="0" w:name="_Hlk169617421"/>
      <w:r>
        <w:rPr>
          <w:rFonts w:ascii="Times New Roman" w:hAnsi="Times New Roman"/>
          <w:color w:val="auto"/>
          <w:highlight w:val="none"/>
          <w:shd w:val="clear"/>
        </w:rPr>
        <w:t>招标代理机构</w:t>
      </w:r>
      <w:bookmarkEnd w:id="0"/>
      <w:r>
        <w:rPr>
          <w:rFonts w:hint="eastAsia" w:ascii="Times New Roman" w:hAnsi="Times New Roman"/>
          <w:color w:val="auto"/>
          <w:highlight w:val="none"/>
          <w:shd w:val="clear"/>
          <w:lang w:val="en-US" w:eastAsia="zh-CN"/>
        </w:rPr>
        <w:t>：</w:t>
      </w:r>
      <w:permStart w:id="2" w:edGrp="everyone"/>
      <w:r>
        <w:rPr>
          <w:rFonts w:hint="eastAsia" w:ascii="Times New Roman" w:hAnsi="Times New Roman"/>
          <w:color w:val="auto"/>
          <w:highlight w:val="none"/>
          <w:shd w:val="clear"/>
          <w:lang w:val="en-US" w:eastAsia="zh-CN"/>
        </w:rPr>
        <w:t>安徽汉兆项目管理有限公司</w:t>
      </w:r>
      <w:permEnd w:id="2"/>
      <w:r>
        <w:rPr>
          <w:rFonts w:hint="eastAsia" w:ascii="Times New Roman" w:hAnsi="Times New Roman"/>
          <w:color w:val="auto"/>
          <w:highlight w:val="none"/>
          <w:shd w:val="clear"/>
          <w:lang w:val="en-US" w:eastAsia="zh-CN"/>
        </w:rPr>
        <w:t>（盖章）</w:t>
      </w:r>
    </w:p>
    <w:p w14:paraId="05FC19AF">
      <w:pPr>
        <w:pStyle w:val="21"/>
        <w:rPr>
          <w:rFonts w:hint="eastAsia" w:ascii="Times New Roman" w:hAnsi="Times New Roman"/>
          <w:color w:val="auto"/>
          <w:highlight w:val="none"/>
          <w:shd w:val="clear"/>
          <w:lang w:val="en-US" w:eastAsia="zh-CN"/>
        </w:rPr>
      </w:pPr>
      <w:permStart w:id="3" w:edGrp="everyone"/>
      <w:r>
        <w:rPr>
          <w:rFonts w:hint="eastAsia" w:ascii="Times New Roman" w:hAnsi="Times New Roman"/>
          <w:color w:val="auto"/>
          <w:highlight w:val="none"/>
          <w:shd w:val="clear"/>
          <w:lang w:val="en-US" w:eastAsia="zh-CN"/>
        </w:rPr>
        <w:t>2026年  月  日</w:t>
      </w:r>
    </w:p>
    <w:permEnd w:id="3"/>
    <w:p w14:paraId="0F087B1A">
      <w:pPr>
        <w:pStyle w:val="22"/>
        <w:ind w:firstLine="420"/>
        <w:rPr>
          <w:rFonts w:ascii="Times New Roman" w:hAnsi="Times New Roman"/>
          <w:color w:val="auto"/>
          <w:highlight w:val="none"/>
          <w:shd w:val="clear"/>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F7F0AD">
      <w:pPr>
        <w:pStyle w:val="22"/>
        <w:ind w:firstLine="420"/>
        <w:rPr>
          <w:rFonts w:ascii="Times New Roman" w:hAnsi="Times New Roman"/>
          <w:color w:val="auto"/>
          <w:highlight w:val="none"/>
          <w:shd w:val="clear"/>
        </w:rPr>
      </w:pPr>
    </w:p>
    <w:sdt>
      <w:sdtPr>
        <w:rPr>
          <w:rFonts w:ascii="Times New Roman" w:hAnsi="Times New Roman" w:cs="宋体"/>
          <w:b w:val="0"/>
          <w:bCs/>
          <w:color w:val="auto"/>
          <w:kern w:val="2"/>
          <w:sz w:val="21"/>
          <w:szCs w:val="22"/>
          <w:highlight w:val="none"/>
          <w:shd w:val="clear"/>
        </w:rPr>
        <w:id w:val="2088577491"/>
        <w:docPartObj>
          <w:docPartGallery w:val="Table of Contents"/>
          <w:docPartUnique/>
        </w:docPartObj>
      </w:sdtPr>
      <w:sdtEndPr>
        <w:rPr>
          <w:rFonts w:ascii="Times New Roman" w:hAnsi="Times New Roman" w:cs="宋体"/>
          <w:b w:val="0"/>
          <w:bCs w:val="0"/>
          <w:color w:val="auto"/>
          <w:kern w:val="2"/>
          <w:sz w:val="21"/>
          <w:szCs w:val="22"/>
          <w:highlight w:val="none"/>
          <w:shd w:val="clear"/>
        </w:rPr>
      </w:sdtEndPr>
      <w:sdtContent>
        <w:p w14:paraId="53673FAE">
          <w:pPr>
            <w:pStyle w:val="23"/>
            <w:widowControl/>
            <w:spacing w:before="312" w:beforeLines="100" w:after="312" w:afterLines="100" w:line="276" w:lineRule="auto"/>
            <w:ind w:firstLine="420" w:firstLineChars="200"/>
            <w:jc w:val="center"/>
            <w:rPr>
              <w:rFonts w:ascii="Times New Roman" w:hAnsi="Times New Roman" w:eastAsia="黑体"/>
              <w:bCs/>
              <w:snapToGrid w:val="0"/>
              <w:color w:val="auto"/>
              <w:kern w:val="0"/>
              <w:sz w:val="32"/>
              <w:szCs w:val="32"/>
              <w:highlight w:val="none"/>
              <w:shd w:val="clear"/>
            </w:rPr>
          </w:pPr>
          <w:r>
            <w:rPr>
              <w:rFonts w:ascii="Times New Roman" w:hAnsi="Times New Roman" w:eastAsia="黑体"/>
              <w:bCs/>
              <w:snapToGrid w:val="0"/>
              <w:color w:val="auto"/>
              <w:kern w:val="0"/>
              <w:sz w:val="32"/>
              <w:szCs w:val="32"/>
              <w:highlight w:val="none"/>
              <w:shd w:val="clear"/>
            </w:rPr>
            <w:t>目</w:t>
          </w:r>
          <w:r>
            <w:rPr>
              <w:rFonts w:hint="eastAsia" w:ascii="Times New Roman" w:hAnsi="Times New Roman" w:eastAsia="黑体"/>
              <w:bCs/>
              <w:snapToGrid w:val="0"/>
              <w:color w:val="auto"/>
              <w:kern w:val="0"/>
              <w:sz w:val="32"/>
              <w:szCs w:val="32"/>
              <w:highlight w:val="none"/>
              <w:shd w:val="clear"/>
            </w:rPr>
            <w:t xml:space="preserve">     </w:t>
          </w:r>
          <w:r>
            <w:rPr>
              <w:rFonts w:ascii="Times New Roman" w:hAnsi="Times New Roman" w:eastAsia="黑体"/>
              <w:bCs/>
              <w:snapToGrid w:val="0"/>
              <w:color w:val="auto"/>
              <w:kern w:val="0"/>
              <w:sz w:val="32"/>
              <w:szCs w:val="32"/>
              <w:highlight w:val="none"/>
              <w:shd w:val="clear"/>
            </w:rPr>
            <w:t>录</w:t>
          </w:r>
        </w:p>
        <w:p w14:paraId="3B02C8A2">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rFonts w:ascii="Times New Roman" w:hAnsi="Times New Roman" w:eastAsia="黑体" w:cs="黑体"/>
              <w:b/>
              <w:bCs w:val="0"/>
              <w:color w:val="auto"/>
              <w:sz w:val="21"/>
              <w:szCs w:val="21"/>
              <w:highlight w:val="none"/>
              <w:shd w:val="clear"/>
            </w:rPr>
            <w:fldChar w:fldCharType="begin"/>
          </w:r>
          <w:r>
            <w:rPr>
              <w:rFonts w:ascii="Times New Roman" w:hAnsi="Times New Roman" w:eastAsia="黑体" w:cs="黑体"/>
              <w:b/>
              <w:color w:val="auto"/>
              <w:sz w:val="21"/>
              <w:szCs w:val="21"/>
              <w:highlight w:val="none"/>
              <w:shd w:val="clear"/>
            </w:rPr>
            <w:instrText xml:space="preserve"> TOC \o "1-3" \h \z \u </w:instrText>
          </w:r>
          <w:r>
            <w:rPr>
              <w:rFonts w:ascii="Times New Roman" w:hAnsi="Times New Roman" w:eastAsia="黑体" w:cs="黑体"/>
              <w:b/>
              <w:bCs w:val="0"/>
              <w:color w:val="auto"/>
              <w:sz w:val="21"/>
              <w:szCs w:val="21"/>
              <w:highlight w:val="none"/>
              <w:shd w:val="clear"/>
            </w:rPr>
            <w:fldChar w:fldCharType="separate"/>
          </w:r>
          <w:r>
            <w:rPr>
              <w:color w:val="auto"/>
              <w:highlight w:val="none"/>
              <w:shd w:val="clear"/>
            </w:rPr>
            <w:fldChar w:fldCharType="begin"/>
          </w:r>
          <w:r>
            <w:rPr>
              <w:color w:val="auto"/>
              <w:highlight w:val="none"/>
              <w:shd w:val="clear"/>
            </w:rPr>
            <w:instrText xml:space="preserve"> HYPERLINK \l "_Toc170805474" </w:instrText>
          </w:r>
          <w:r>
            <w:rPr>
              <w:color w:val="auto"/>
              <w:highlight w:val="none"/>
              <w:shd w:val="clear"/>
            </w:rPr>
            <w:fldChar w:fldCharType="separate"/>
          </w:r>
          <w:r>
            <w:rPr>
              <w:rFonts w:ascii="Times New Roman" w:hAnsi="Times New Roman" w:cs="Times New Roman"/>
              <w:bCs w:val="0"/>
              <w:color w:val="auto"/>
              <w:szCs w:val="22"/>
              <w:highlight w:val="none"/>
              <w:shd w:val="clear"/>
            </w:rPr>
            <w:t>第一章 招标公告</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_Toc170805474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1</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74D7C132">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color w:val="auto"/>
              <w:highlight w:val="none"/>
              <w:shd w:val="clear"/>
            </w:rPr>
            <w:fldChar w:fldCharType="begin"/>
          </w:r>
          <w:r>
            <w:rPr>
              <w:color w:val="auto"/>
              <w:highlight w:val="none"/>
              <w:shd w:val="clear"/>
            </w:rPr>
            <w:instrText xml:space="preserve"> HYPERLINK \l "_Toc170805488" </w:instrText>
          </w:r>
          <w:r>
            <w:rPr>
              <w:color w:val="auto"/>
              <w:highlight w:val="none"/>
              <w:shd w:val="clear"/>
            </w:rPr>
            <w:fldChar w:fldCharType="separate"/>
          </w:r>
          <w:r>
            <w:rPr>
              <w:rFonts w:ascii="Times New Roman" w:hAnsi="Times New Roman" w:cs="Times New Roman"/>
              <w:bCs w:val="0"/>
              <w:color w:val="auto"/>
              <w:szCs w:val="22"/>
              <w:highlight w:val="none"/>
              <w:shd w:val="clear"/>
            </w:rPr>
            <w:t>第二章 投标人须知</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_Toc170805488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5</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141B8CE9">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color w:val="auto"/>
              <w:highlight w:val="none"/>
              <w:shd w:val="clear"/>
            </w:rPr>
            <w:fldChar w:fldCharType="begin"/>
          </w:r>
          <w:r>
            <w:rPr>
              <w:color w:val="auto"/>
              <w:highlight w:val="none"/>
              <w:shd w:val="clear"/>
            </w:rPr>
            <w:instrText xml:space="preserve"> HYPERLINK \l "_Toc170805547" </w:instrText>
          </w:r>
          <w:r>
            <w:rPr>
              <w:color w:val="auto"/>
              <w:highlight w:val="none"/>
              <w:shd w:val="clear"/>
            </w:rPr>
            <w:fldChar w:fldCharType="separate"/>
          </w:r>
          <w:r>
            <w:rPr>
              <w:rFonts w:ascii="Times New Roman" w:hAnsi="Times New Roman" w:cs="Times New Roman"/>
              <w:bCs w:val="0"/>
              <w:color w:val="auto"/>
              <w:szCs w:val="22"/>
              <w:highlight w:val="none"/>
              <w:shd w:val="clear"/>
            </w:rPr>
            <w:t>第三章</w:t>
          </w:r>
          <w:r>
            <w:rPr>
              <w:rFonts w:hint="eastAsia" w:ascii="Times New Roman" w:hAnsi="Times New Roman" w:cs="Times New Roman"/>
              <w:bCs w:val="0"/>
              <w:color w:val="auto"/>
              <w:szCs w:val="22"/>
              <w:highlight w:val="none"/>
              <w:shd w:val="clear"/>
            </w:rPr>
            <w:t xml:space="preserve"> 评标及定标办法</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_Toc170805547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47</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7FF96FED">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color w:val="auto"/>
              <w:highlight w:val="none"/>
              <w:shd w:val="clear"/>
            </w:rPr>
            <w:fldChar w:fldCharType="begin"/>
          </w:r>
          <w:r>
            <w:rPr>
              <w:color w:val="auto"/>
              <w:highlight w:val="none"/>
              <w:shd w:val="clear"/>
            </w:rPr>
            <w:instrText xml:space="preserve"> HYPERLINK \l "_Toc170805628" </w:instrText>
          </w:r>
          <w:r>
            <w:rPr>
              <w:color w:val="auto"/>
              <w:highlight w:val="none"/>
              <w:shd w:val="clear"/>
            </w:rPr>
            <w:fldChar w:fldCharType="separate"/>
          </w:r>
          <w:r>
            <w:rPr>
              <w:rFonts w:ascii="Times New Roman" w:hAnsi="Times New Roman" w:cs="Times New Roman"/>
              <w:bCs w:val="0"/>
              <w:color w:val="auto"/>
              <w:szCs w:val="22"/>
              <w:highlight w:val="none"/>
              <w:shd w:val="clear"/>
            </w:rPr>
            <w:t>第四章 合同</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_Toc170805628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73</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1F47DA86">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color w:val="auto"/>
              <w:highlight w:val="none"/>
              <w:shd w:val="clear"/>
            </w:rPr>
            <w:fldChar w:fldCharType="begin"/>
          </w:r>
          <w:r>
            <w:rPr>
              <w:color w:val="auto"/>
              <w:highlight w:val="none"/>
              <w:shd w:val="clear"/>
            </w:rPr>
            <w:instrText xml:space="preserve"> HYPERLINK \l "_Toc170805763" </w:instrText>
          </w:r>
          <w:r>
            <w:rPr>
              <w:color w:val="auto"/>
              <w:highlight w:val="none"/>
              <w:shd w:val="clear"/>
            </w:rPr>
            <w:fldChar w:fldCharType="separate"/>
          </w:r>
          <w:r>
            <w:rPr>
              <w:rFonts w:ascii="Times New Roman" w:hAnsi="Times New Roman" w:cs="Times New Roman"/>
              <w:bCs w:val="0"/>
              <w:color w:val="auto"/>
              <w:szCs w:val="22"/>
              <w:highlight w:val="none"/>
              <w:shd w:val="clear"/>
            </w:rPr>
            <w:t>第五章 工程量清单</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_Toc170805763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170</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2297113C">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color w:val="auto"/>
              <w:highlight w:val="none"/>
              <w:shd w:val="clear"/>
            </w:rPr>
            <w:fldChar w:fldCharType="begin"/>
          </w:r>
          <w:r>
            <w:rPr>
              <w:color w:val="auto"/>
              <w:highlight w:val="none"/>
              <w:shd w:val="clear"/>
            </w:rPr>
            <w:instrText xml:space="preserve"> HYPERLINK \l "_Toc170805769" </w:instrText>
          </w:r>
          <w:r>
            <w:rPr>
              <w:color w:val="auto"/>
              <w:highlight w:val="none"/>
              <w:shd w:val="clear"/>
            </w:rPr>
            <w:fldChar w:fldCharType="separate"/>
          </w:r>
          <w:r>
            <w:rPr>
              <w:rFonts w:ascii="Times New Roman" w:hAnsi="Times New Roman" w:cs="Times New Roman"/>
              <w:bCs w:val="0"/>
              <w:color w:val="auto"/>
              <w:szCs w:val="22"/>
              <w:highlight w:val="none"/>
              <w:shd w:val="clear"/>
            </w:rPr>
            <w:t>第六章 图纸</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_Toc170805769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174</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187CFA60">
          <w:pPr>
            <w:pStyle w:val="10"/>
            <w:tabs>
              <w:tab w:val="right" w:leader="dot" w:pos="8296"/>
            </w:tabs>
            <w:adjustRightInd/>
            <w:spacing w:line="360" w:lineRule="auto"/>
            <w:jc w:val="both"/>
            <w:rPr>
              <w:rFonts w:ascii="Times New Roman" w:hAnsi="Times New Roman" w:cs="Times New Roman"/>
              <w:bCs w:val="0"/>
              <w:color w:val="auto"/>
              <w:szCs w:val="22"/>
              <w:highlight w:val="none"/>
              <w:shd w:val="clear"/>
            </w:rPr>
          </w:pPr>
          <w:r>
            <w:rPr>
              <w:color w:val="auto"/>
              <w:highlight w:val="none"/>
              <w:shd w:val="clear"/>
            </w:rPr>
            <w:fldChar w:fldCharType="begin"/>
          </w:r>
          <w:r>
            <w:rPr>
              <w:color w:val="auto"/>
              <w:highlight w:val="none"/>
              <w:shd w:val="clear"/>
            </w:rPr>
            <w:instrText xml:space="preserve"> HYPERLINK \l "_Toc170805772" </w:instrText>
          </w:r>
          <w:r>
            <w:rPr>
              <w:color w:val="auto"/>
              <w:highlight w:val="none"/>
              <w:shd w:val="clear"/>
            </w:rPr>
            <w:fldChar w:fldCharType="separate"/>
          </w:r>
          <w:r>
            <w:rPr>
              <w:rFonts w:ascii="Times New Roman" w:hAnsi="Times New Roman" w:cs="Times New Roman"/>
              <w:bCs w:val="0"/>
              <w:color w:val="auto"/>
              <w:szCs w:val="22"/>
              <w:highlight w:val="none"/>
              <w:shd w:val="clear"/>
            </w:rPr>
            <w:t>第七章 技术标准和要求</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_Toc170805772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175</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0D9DE49C">
          <w:pPr>
            <w:pStyle w:val="10"/>
            <w:tabs>
              <w:tab w:val="right" w:leader="dot" w:pos="8296"/>
            </w:tabs>
            <w:adjustRightInd/>
            <w:spacing w:line="360" w:lineRule="auto"/>
            <w:jc w:val="both"/>
            <w:rPr>
              <w:rStyle w:val="17"/>
              <w:rFonts w:ascii="Times New Roman" w:hAnsi="Times New Roman" w:eastAsia="黑体" w:cs="黑体"/>
              <w:snapToGrid w:val="0"/>
              <w:color w:val="auto"/>
              <w:kern w:val="44"/>
              <w:sz w:val="21"/>
              <w:szCs w:val="21"/>
              <w:highlight w:val="none"/>
              <w:shd w:val="clear"/>
            </w:rPr>
          </w:pPr>
          <w:r>
            <w:rPr>
              <w:color w:val="auto"/>
              <w:highlight w:val="none"/>
              <w:shd w:val="clear"/>
            </w:rPr>
            <w:fldChar w:fldCharType="begin"/>
          </w:r>
          <w:r>
            <w:rPr>
              <w:color w:val="auto"/>
              <w:highlight w:val="none"/>
              <w:shd w:val="clear"/>
            </w:rPr>
            <w:instrText xml:space="preserve"> HYPERLINK \l "_Toc170805780" </w:instrText>
          </w:r>
          <w:r>
            <w:rPr>
              <w:color w:val="auto"/>
              <w:highlight w:val="none"/>
              <w:shd w:val="clear"/>
            </w:rPr>
            <w:fldChar w:fldCharType="separate"/>
          </w:r>
          <w:r>
            <w:rPr>
              <w:rFonts w:ascii="Times New Roman" w:hAnsi="Times New Roman" w:cs="Times New Roman"/>
              <w:bCs w:val="0"/>
              <w:color w:val="auto"/>
              <w:szCs w:val="22"/>
              <w:highlight w:val="none"/>
              <w:shd w:val="clear"/>
            </w:rPr>
            <w:t>第八章 投标文件格式</w:t>
          </w:r>
          <w:r>
            <w:rPr>
              <w:rFonts w:ascii="Times New Roman" w:hAnsi="Times New Roman" w:cs="Times New Roman"/>
              <w:bCs w:val="0"/>
              <w:color w:val="auto"/>
              <w:szCs w:val="22"/>
              <w:highlight w:val="none"/>
              <w:shd w:val="clear"/>
            </w:rPr>
            <w:tab/>
          </w:r>
          <w:r>
            <w:rPr>
              <w:rFonts w:ascii="Times New Roman" w:hAnsi="Times New Roman" w:cs="Times New Roman"/>
              <w:bCs w:val="0"/>
              <w:color w:val="auto"/>
              <w:szCs w:val="22"/>
              <w:highlight w:val="none"/>
              <w:shd w:val="clear"/>
            </w:rPr>
            <w:fldChar w:fldCharType="begin"/>
          </w:r>
          <w:r>
            <w:rPr>
              <w:rFonts w:ascii="Times New Roman" w:hAnsi="Times New Roman" w:cs="Times New Roman"/>
              <w:bCs w:val="0"/>
              <w:color w:val="auto"/>
              <w:szCs w:val="22"/>
              <w:highlight w:val="none"/>
              <w:shd w:val="clear"/>
            </w:rPr>
            <w:instrText xml:space="preserve"> PAGEREF _Toc170805780 \h </w:instrText>
          </w:r>
          <w:r>
            <w:rPr>
              <w:rFonts w:ascii="Times New Roman" w:hAnsi="Times New Roman" w:cs="Times New Roman"/>
              <w:bCs w:val="0"/>
              <w:color w:val="auto"/>
              <w:szCs w:val="22"/>
              <w:highlight w:val="none"/>
              <w:shd w:val="clear"/>
            </w:rPr>
            <w:fldChar w:fldCharType="separate"/>
          </w:r>
          <w:r>
            <w:rPr>
              <w:rFonts w:ascii="Times New Roman" w:hAnsi="Times New Roman" w:cs="Times New Roman"/>
              <w:bCs w:val="0"/>
              <w:color w:val="auto"/>
              <w:szCs w:val="22"/>
              <w:highlight w:val="none"/>
              <w:shd w:val="clear"/>
            </w:rPr>
            <w:t>176</w:t>
          </w:r>
          <w:r>
            <w:rPr>
              <w:rFonts w:ascii="Times New Roman" w:hAnsi="Times New Roman" w:cs="Times New Roman"/>
              <w:bCs w:val="0"/>
              <w:color w:val="auto"/>
              <w:szCs w:val="22"/>
              <w:highlight w:val="none"/>
              <w:shd w:val="clear"/>
            </w:rPr>
            <w:fldChar w:fldCharType="end"/>
          </w:r>
          <w:r>
            <w:rPr>
              <w:rFonts w:ascii="Times New Roman" w:hAnsi="Times New Roman" w:cs="Times New Roman"/>
              <w:bCs w:val="0"/>
              <w:color w:val="auto"/>
              <w:szCs w:val="22"/>
              <w:highlight w:val="none"/>
              <w:shd w:val="clear"/>
            </w:rPr>
            <w:fldChar w:fldCharType="end"/>
          </w:r>
        </w:p>
        <w:p w14:paraId="7D57DCD4">
          <w:pPr>
            <w:pStyle w:val="22"/>
            <w:ind w:firstLine="0" w:firstLineChars="0"/>
            <w:rPr>
              <w:rFonts w:ascii="Times New Roman" w:hAnsi="Times New Roman"/>
              <w:color w:val="auto"/>
              <w:highlight w:val="none"/>
              <w:shd w:val="clear"/>
            </w:rPr>
          </w:pPr>
          <w:r>
            <w:rPr>
              <w:rFonts w:ascii="Times New Roman" w:hAnsi="Times New Roman" w:eastAsia="黑体"/>
              <w:b/>
              <w:color w:val="auto"/>
              <w:highlight w:val="none"/>
              <w:shd w:val="clear"/>
              <w:lang w:val="zh-CN"/>
            </w:rPr>
            <w:fldChar w:fldCharType="end"/>
          </w:r>
        </w:p>
      </w:sdtContent>
    </w:sdt>
    <w:p w14:paraId="68B751E4">
      <w:pPr>
        <w:pStyle w:val="22"/>
        <w:ind w:firstLine="0" w:firstLineChars="0"/>
        <w:rPr>
          <w:rFonts w:ascii="Times New Roman" w:hAnsi="Times New Roman"/>
          <w:color w:val="auto"/>
          <w:highlight w:val="none"/>
          <w:shd w:val="cle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D0F6B4C">
      <w:pPr>
        <w:pStyle w:val="24"/>
        <w:rPr>
          <w:rFonts w:ascii="Times New Roman" w:hAnsi="Times New Roman"/>
          <w:color w:val="auto"/>
          <w:highlight w:val="none"/>
          <w:shd w:val="clear"/>
        </w:rPr>
      </w:pPr>
      <w:bookmarkStart w:id="1" w:name="_Toc170805474"/>
      <w:r>
        <w:rPr>
          <w:rFonts w:hint="eastAsia" w:ascii="Times New Roman" w:hAnsi="Times New Roman"/>
          <w:color w:val="auto"/>
          <w:highlight w:val="none"/>
          <w:shd w:val="clear"/>
        </w:rPr>
        <w:t>第一章 招标公告</w:t>
      </w:r>
      <w:bookmarkEnd w:id="1"/>
    </w:p>
    <w:p w14:paraId="23940599">
      <w:pPr>
        <w:pStyle w:val="22"/>
        <w:ind w:firstLine="420"/>
        <w:rPr>
          <w:rFonts w:ascii="Times New Roman" w:hAnsi="Times New Roman"/>
          <w:color w:val="auto"/>
          <w:highlight w:val="none"/>
          <w:shd w:val="clear"/>
        </w:rPr>
      </w:pPr>
    </w:p>
    <w:p w14:paraId="00A780E6">
      <w:pPr>
        <w:spacing w:line="440" w:lineRule="exact"/>
        <w:jc w:val="center"/>
        <w:rPr>
          <w:rStyle w:val="25"/>
          <w:rFonts w:hint="default" w:ascii="Times New Roman" w:hAnsi="Times New Roman" w:eastAsia="黑体"/>
          <w:bCs w:val="0"/>
          <w:color w:val="auto"/>
          <w:highlight w:val="none"/>
          <w:shd w:val="clear"/>
          <w:lang w:val="en-US" w:eastAsia="zh-CN"/>
        </w:rPr>
      </w:pPr>
      <w:r>
        <w:rPr>
          <w:rStyle w:val="25"/>
          <w:rFonts w:hint="eastAsia" w:ascii="Times New Roman" w:hAnsi="Times New Roman"/>
          <w:bCs w:val="0"/>
          <w:color w:val="auto"/>
          <w:highlight w:val="none"/>
          <w:shd w:val="clear"/>
          <w:lang w:eastAsia="zh-CN"/>
        </w:rPr>
        <w:t>固镇县仲兴镇2025年和美乡村省级中心村建设项目</w:t>
      </w:r>
      <w:r>
        <w:rPr>
          <w:rStyle w:val="25"/>
          <w:rFonts w:ascii="Times New Roman" w:hAnsi="Times New Roman"/>
          <w:bCs w:val="0"/>
          <w:color w:val="auto"/>
          <w:highlight w:val="none"/>
          <w:shd w:val="clear"/>
        </w:rPr>
        <w:t>招标公</w:t>
      </w:r>
      <w:r>
        <w:rPr>
          <w:rStyle w:val="25"/>
          <w:rFonts w:ascii="Times New Roman" w:hAnsi="Times New Roman"/>
          <w:bCs w:val="0"/>
          <w:color w:val="auto"/>
          <w:highlight w:val="none"/>
          <w:shd w:val="clear"/>
        </w:rPr>
        <w:t>告</w:t>
      </w:r>
      <w:r>
        <w:rPr>
          <w:rStyle w:val="25"/>
          <w:rFonts w:hint="eastAsia" w:ascii="Times New Roman" w:hAnsi="Times New Roman" w:eastAsia="黑体"/>
          <w:bCs w:val="0"/>
          <w:color w:val="auto"/>
          <w:highlight w:val="none"/>
          <w:shd w:val="clear"/>
          <w:lang w:eastAsia="zh-CN"/>
        </w:rPr>
        <w:t>BB202</w:t>
      </w:r>
      <w:r>
        <w:rPr>
          <w:rStyle w:val="25"/>
          <w:rFonts w:hint="eastAsia" w:ascii="Times New Roman" w:hAnsi="Times New Roman" w:eastAsia="黑体"/>
          <w:bCs w:val="0"/>
          <w:color w:val="auto"/>
          <w:highlight w:val="none"/>
          <w:shd w:val="clear"/>
          <w:lang w:val="en-US" w:eastAsia="zh-CN"/>
        </w:rPr>
        <w:t>6</w:t>
      </w:r>
      <w:r>
        <w:rPr>
          <w:rStyle w:val="25"/>
          <w:rFonts w:hint="eastAsia" w:ascii="Times New Roman" w:hAnsi="Times New Roman" w:eastAsia="黑体"/>
          <w:bCs w:val="0"/>
          <w:color w:val="auto"/>
          <w:highlight w:val="none"/>
          <w:shd w:val="clear"/>
          <w:lang w:eastAsia="zh-CN"/>
        </w:rPr>
        <w:t>GZGCZ</w:t>
      </w:r>
      <w:r>
        <w:rPr>
          <w:rStyle w:val="25"/>
          <w:rFonts w:hint="eastAsia" w:ascii="Times New Roman" w:hAnsi="Times New Roman" w:eastAsia="黑体"/>
          <w:bCs w:val="0"/>
          <w:color w:val="auto"/>
          <w:highlight w:val="none"/>
          <w:shd w:val="clear"/>
          <w:lang w:val="en-US" w:eastAsia="zh-CN"/>
        </w:rPr>
        <w:t>***</w:t>
      </w:r>
    </w:p>
    <w:p w14:paraId="3508A184">
      <w:pPr>
        <w:spacing w:line="400" w:lineRule="exact"/>
        <w:rPr>
          <w:rFonts w:ascii="Times New Roman" w:hAnsi="Times New Roman" w:cs="Arial"/>
          <w:b/>
          <w:snapToGrid w:val="0"/>
          <w:color w:val="auto"/>
          <w:kern w:val="0"/>
          <w:highlight w:val="none"/>
          <w:shd w:val="clear"/>
        </w:rPr>
      </w:pPr>
    </w:p>
    <w:p w14:paraId="27291401">
      <w:pPr>
        <w:pStyle w:val="26"/>
        <w:rPr>
          <w:color w:val="auto"/>
          <w:highlight w:val="none"/>
          <w:shd w:val="clear"/>
        </w:rPr>
      </w:pPr>
      <w:bookmarkStart w:id="2" w:name="_Toc170805095"/>
      <w:bookmarkStart w:id="3" w:name="_Toc170805475"/>
      <w:r>
        <w:rPr>
          <w:rFonts w:hint="eastAsia"/>
          <w:color w:val="auto"/>
          <w:highlight w:val="none"/>
          <w:shd w:val="clear"/>
        </w:rPr>
        <w:t>1</w:t>
      </w:r>
      <w:r>
        <w:rPr>
          <w:color w:val="auto"/>
          <w:highlight w:val="none"/>
          <w:shd w:val="clear"/>
        </w:rPr>
        <w:t>.招标条件</w:t>
      </w:r>
      <w:bookmarkEnd w:id="2"/>
      <w:bookmarkEnd w:id="3"/>
    </w:p>
    <w:p w14:paraId="6DF1418A">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1</w:t>
      </w:r>
      <w:r>
        <w:rPr>
          <w:rFonts w:ascii="Times New Roman" w:hAnsi="Times New Roman"/>
          <w:color w:val="auto"/>
          <w:highlight w:val="none"/>
          <w:shd w:val="clear"/>
        </w:rPr>
        <w:t xml:space="preserve">.1 </w:t>
      </w:r>
      <w:r>
        <w:rPr>
          <w:rFonts w:hint="eastAsia" w:ascii="Times New Roman" w:hAnsi="Times New Roman"/>
          <w:color w:val="auto"/>
          <w:highlight w:val="none"/>
          <w:shd w:val="clear"/>
        </w:rPr>
        <w:t>项目名称：</w:t>
      </w:r>
      <w:r>
        <w:rPr>
          <w:rFonts w:hint="eastAsia" w:ascii="Times New Roman" w:hAnsi="Times New Roman"/>
          <w:color w:val="auto"/>
          <w:highlight w:val="none"/>
          <w:shd w:val="clear"/>
          <w:lang w:eastAsia="zh-CN"/>
        </w:rPr>
        <w:t>固镇县仲兴镇2025年和美乡村省级中心村建设项目</w:t>
      </w:r>
    </w:p>
    <w:p w14:paraId="5B6C4527">
      <w:pPr>
        <w:pStyle w:val="22"/>
        <w:ind w:firstLine="420"/>
        <w:rPr>
          <w:rFonts w:hint="default" w:ascii="Times New Roman" w:hAnsi="Times New Roman" w:eastAsia="宋体"/>
          <w:color w:val="auto"/>
          <w:highlight w:val="none"/>
          <w:shd w:val="clear"/>
          <w:lang w:val="en-US" w:eastAsia="zh-CN"/>
        </w:rPr>
      </w:pPr>
      <w:r>
        <w:rPr>
          <w:rFonts w:ascii="Times New Roman" w:hAnsi="Times New Roman"/>
          <w:color w:val="auto"/>
          <w:highlight w:val="none"/>
          <w:shd w:val="clear"/>
        </w:rPr>
        <w:t xml:space="preserve">1.2 </w:t>
      </w:r>
      <w:r>
        <w:rPr>
          <w:rFonts w:hint="eastAsia" w:ascii="Times New Roman" w:hAnsi="Times New Roman"/>
          <w:color w:val="auto"/>
          <w:highlight w:val="none"/>
          <w:shd w:val="clear"/>
        </w:rPr>
        <w:t>项目审批、核准或备案机关名称：</w:t>
      </w:r>
      <w:r>
        <w:rPr>
          <w:rFonts w:hint="eastAsia" w:ascii="Times New Roman" w:hAnsi="Times New Roman"/>
          <w:color w:val="auto"/>
          <w:highlight w:val="none"/>
          <w:shd w:val="clear"/>
          <w:lang w:val="en-US" w:eastAsia="zh-CN"/>
        </w:rPr>
        <w:t>固镇县发展和改革委员会</w:t>
      </w:r>
    </w:p>
    <w:p w14:paraId="337B7F51">
      <w:pPr>
        <w:pStyle w:val="22"/>
        <w:ind w:firstLine="420"/>
        <w:rPr>
          <w:rFonts w:hint="eastAsia" w:ascii="Times New Roman" w:hAnsi="Times New Roman"/>
          <w:color w:val="auto"/>
          <w:highlight w:val="none"/>
          <w:shd w:val="clear"/>
          <w:lang w:val="en-US" w:eastAsia="zh-CN"/>
        </w:rPr>
      </w:pPr>
      <w:r>
        <w:rPr>
          <w:rFonts w:ascii="Times New Roman" w:hAnsi="Times New Roman"/>
          <w:color w:val="auto"/>
          <w:highlight w:val="none"/>
          <w:shd w:val="clear"/>
        </w:rPr>
        <w:t xml:space="preserve">1.3 </w:t>
      </w:r>
      <w:r>
        <w:rPr>
          <w:rFonts w:hint="eastAsia" w:ascii="Times New Roman" w:hAnsi="Times New Roman"/>
          <w:color w:val="auto"/>
          <w:highlight w:val="none"/>
          <w:shd w:val="clear"/>
        </w:rPr>
        <w:t>批文名称及编号：关于仲兴镇2025年和美乡村</w:t>
      </w:r>
      <w:r>
        <w:rPr>
          <w:rFonts w:hint="eastAsia" w:ascii="Times New Roman" w:hAnsi="Times New Roman"/>
          <w:color w:val="auto"/>
          <w:highlight w:val="none"/>
          <w:shd w:val="clear"/>
          <w:lang w:val="en-US" w:eastAsia="zh-CN"/>
        </w:rPr>
        <w:t>项目</w:t>
      </w:r>
      <w:r>
        <w:rPr>
          <w:rFonts w:hint="eastAsia" w:ascii="Times New Roman" w:hAnsi="Times New Roman"/>
          <w:color w:val="auto"/>
          <w:highlight w:val="none"/>
          <w:shd w:val="clear"/>
        </w:rPr>
        <w:t>项目建议书的批复</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固发改项字[2025]517号</w:t>
      </w:r>
    </w:p>
    <w:p w14:paraId="4637365F">
      <w:pPr>
        <w:pStyle w:val="22"/>
        <w:ind w:firstLine="420"/>
        <w:rPr>
          <w:rFonts w:hint="eastAsia" w:ascii="Times New Roman" w:hAnsi="Times New Roman" w:eastAsia="宋体"/>
          <w:color w:val="auto"/>
          <w:highlight w:val="none"/>
          <w:shd w:val="clear"/>
          <w:lang w:eastAsia="zh-CN"/>
        </w:rPr>
      </w:pPr>
      <w:r>
        <w:rPr>
          <w:rFonts w:ascii="Times New Roman" w:hAnsi="Times New Roman"/>
          <w:color w:val="auto"/>
          <w:highlight w:val="none"/>
          <w:shd w:val="clear"/>
        </w:rPr>
        <w:t xml:space="preserve">1.4 </w:t>
      </w:r>
      <w:r>
        <w:rPr>
          <w:rFonts w:hint="eastAsia" w:ascii="Times New Roman" w:hAnsi="Times New Roman"/>
          <w:color w:val="auto"/>
          <w:highlight w:val="none"/>
          <w:shd w:val="clear"/>
        </w:rPr>
        <w:t>招标人：</w:t>
      </w:r>
      <w:r>
        <w:rPr>
          <w:rFonts w:hint="eastAsia" w:ascii="Times New Roman" w:hAnsi="Times New Roman"/>
          <w:color w:val="auto"/>
          <w:highlight w:val="none"/>
          <w:shd w:val="clear"/>
          <w:lang w:eastAsia="zh-CN"/>
        </w:rPr>
        <w:t>固镇县仲兴镇人民政府</w:t>
      </w:r>
    </w:p>
    <w:p w14:paraId="2F59AA64">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1</w:t>
      </w:r>
      <w:r>
        <w:rPr>
          <w:rFonts w:ascii="Times New Roman" w:hAnsi="Times New Roman"/>
          <w:color w:val="auto"/>
          <w:highlight w:val="none"/>
          <w:shd w:val="clear"/>
        </w:rPr>
        <w:t xml:space="preserve">.5 </w:t>
      </w:r>
      <w:r>
        <w:rPr>
          <w:rFonts w:hint="eastAsia" w:ascii="Times New Roman" w:hAnsi="Times New Roman"/>
          <w:color w:val="auto"/>
          <w:highlight w:val="none"/>
          <w:shd w:val="clear"/>
        </w:rPr>
        <w:t>项目业主：</w:t>
      </w:r>
      <w:r>
        <w:rPr>
          <w:rFonts w:hint="eastAsia" w:ascii="Times New Roman" w:hAnsi="Times New Roman"/>
          <w:color w:val="auto"/>
          <w:highlight w:val="none"/>
          <w:shd w:val="clear"/>
          <w:lang w:eastAsia="zh-CN"/>
        </w:rPr>
        <w:t>固镇县仲兴镇人民政府</w:t>
      </w:r>
    </w:p>
    <w:p w14:paraId="1DEA7A59">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1.6</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资金来源</w:t>
      </w:r>
      <w:r>
        <w:rPr>
          <w:rFonts w:hint="eastAsia" w:ascii="Times New Roman" w:hAnsi="Times New Roman"/>
          <w:color w:val="auto"/>
          <w:highlight w:val="none"/>
          <w:shd w:val="clear"/>
          <w:lang w:val="en-US" w:eastAsia="zh-CN"/>
        </w:rPr>
        <w:t>：财政资金</w:t>
      </w:r>
    </w:p>
    <w:p w14:paraId="47646EC4">
      <w:pPr>
        <w:pStyle w:val="22"/>
        <w:ind w:firstLine="420"/>
        <w:rPr>
          <w:rFonts w:hint="default" w:ascii="Times New Roman" w:hAnsi="Times New Roman" w:eastAsia="宋体"/>
          <w:color w:val="auto"/>
          <w:highlight w:val="none"/>
          <w:shd w:val="clear"/>
          <w:lang w:val="en-US" w:eastAsia="zh-CN"/>
        </w:rPr>
      </w:pPr>
      <w:r>
        <w:rPr>
          <w:rFonts w:ascii="Times New Roman" w:hAnsi="Times New Roman"/>
          <w:color w:val="auto"/>
          <w:highlight w:val="none"/>
          <w:shd w:val="clear"/>
        </w:rPr>
        <w:t xml:space="preserve">1.7 </w:t>
      </w:r>
      <w:r>
        <w:rPr>
          <w:rFonts w:hint="eastAsia" w:ascii="Times New Roman" w:hAnsi="Times New Roman"/>
          <w:color w:val="auto"/>
          <w:highlight w:val="none"/>
          <w:shd w:val="clear"/>
        </w:rPr>
        <w:t>项目出资比</w:t>
      </w:r>
      <w:r>
        <w:rPr>
          <w:rFonts w:hint="eastAsia" w:ascii="Times New Roman" w:hAnsi="Times New Roman"/>
          <w:color w:val="auto"/>
          <w:highlight w:val="none"/>
          <w:shd w:val="clear"/>
          <w:lang w:val="en-US" w:eastAsia="zh-CN"/>
        </w:rPr>
        <w:t>例：100%</w:t>
      </w:r>
    </w:p>
    <w:p w14:paraId="72FA2526">
      <w:pPr>
        <w:pStyle w:val="22"/>
        <w:ind w:firstLine="420"/>
        <w:rPr>
          <w:rFonts w:ascii="Times New Roman" w:hAnsi="Times New Roman"/>
          <w:color w:val="auto"/>
          <w:highlight w:val="none"/>
          <w:shd w:val="clear"/>
        </w:rPr>
      </w:pPr>
      <w:r>
        <w:rPr>
          <w:rFonts w:ascii="Times New Roman" w:hAnsi="Times New Roman"/>
          <w:color w:val="auto"/>
          <w:highlight w:val="none"/>
          <w:shd w:val="clear"/>
        </w:rPr>
        <w:t xml:space="preserve">1.8 </w:t>
      </w:r>
      <w:r>
        <w:rPr>
          <w:rFonts w:hint="eastAsia" w:ascii="Times New Roman" w:hAnsi="Times New Roman"/>
          <w:color w:val="auto"/>
          <w:highlight w:val="none"/>
          <w:shd w:val="clear"/>
        </w:rPr>
        <w:t>招标方式：</w:t>
      </w:r>
      <w:bookmarkStart w:id="4" w:name="_Hlk184131731"/>
      <w:bookmarkStart w:id="5" w:name="_Hlk184115859"/>
      <w:r>
        <w:rPr>
          <w:rFonts w:hint="eastAsia" w:ascii="Times New Roman" w:hAnsi="Times New Roman"/>
          <w:color w:val="auto"/>
          <w:highlight w:val="none"/>
          <w:shd w:val="clear"/>
          <w:lang w:val="en-US" w:eastAsia="zh-CN"/>
        </w:rPr>
        <w:t>公开招标</w:t>
      </w:r>
      <w:r>
        <w:rPr>
          <w:rFonts w:hint="eastAsia" w:ascii="Times New Roman" w:hAnsi="Times New Roman"/>
          <w:bCs/>
          <w:color w:val="auto"/>
          <w:highlight w:val="none"/>
          <w:shd w:val="clear"/>
        </w:rPr>
        <w:t>（</w:t>
      </w:r>
      <w:r>
        <w:rPr>
          <w:rFonts w:hint="eastAsia" w:ascii="Times New Roman" w:hAnsi="Times New Roman"/>
          <w:color w:val="auto"/>
          <w:highlight w:val="none"/>
          <w:shd w:val="clear"/>
        </w:rPr>
        <w:t>本项目采用“评定分离”方式组织招标活动。</w:t>
      </w:r>
      <w:r>
        <w:rPr>
          <w:rFonts w:hint="eastAsia" w:ascii="Times New Roman" w:hAnsi="Times New Roman"/>
          <w:bCs/>
          <w:color w:val="auto"/>
          <w:highlight w:val="none"/>
          <w:shd w:val="clear"/>
        </w:rPr>
        <w:t>）</w:t>
      </w:r>
      <w:bookmarkEnd w:id="4"/>
    </w:p>
    <w:bookmarkEnd w:id="5"/>
    <w:p w14:paraId="01701BBE">
      <w:pPr>
        <w:pStyle w:val="22"/>
        <w:ind w:firstLine="420"/>
        <w:rPr>
          <w:rFonts w:hint="eastAsia" w:ascii="Times New Roman" w:hAnsi="Times New Roman"/>
          <w:color w:val="auto"/>
          <w:highlight w:val="none"/>
          <w:shd w:val="clear"/>
          <w:lang w:eastAsia="zh-CN"/>
        </w:rPr>
      </w:pPr>
      <w:r>
        <w:rPr>
          <w:rFonts w:ascii="Times New Roman" w:hAnsi="Times New Roman"/>
          <w:color w:val="auto"/>
          <w:highlight w:val="none"/>
          <w:shd w:val="clear"/>
        </w:rPr>
        <w:t xml:space="preserve">1.9 </w:t>
      </w:r>
      <w:r>
        <w:rPr>
          <w:rFonts w:hint="eastAsia" w:ascii="Times New Roman" w:hAnsi="Times New Roman"/>
          <w:color w:val="auto"/>
          <w:highlight w:val="none"/>
          <w:shd w:val="clear"/>
        </w:rPr>
        <w:t>评标办法</w:t>
      </w:r>
      <w:r>
        <w:rPr>
          <w:rFonts w:hint="eastAsia" w:ascii="Times New Roman" w:hAnsi="Times New Roman"/>
          <w:color w:val="auto"/>
          <w:highlight w:val="none"/>
          <w:shd w:val="clear"/>
          <w:lang w:eastAsia="zh-CN"/>
        </w:rPr>
        <w:t>：</w:t>
      </w:r>
      <w:permStart w:id="4" w:edGrp="everyone"/>
      <w:r>
        <w:rPr>
          <w:rFonts w:hint="eastAsia" w:ascii="Times New Roman" w:hAnsi="Times New Roman"/>
          <w:color w:val="auto"/>
          <w:highlight w:val="none"/>
          <w:shd w:val="clear"/>
          <w:lang w:eastAsia="zh-CN"/>
        </w:rPr>
        <w:t>综合评估法</w:t>
      </w:r>
      <w:permEnd w:id="4"/>
    </w:p>
    <w:p w14:paraId="44E50218">
      <w:pPr>
        <w:pStyle w:val="26"/>
        <w:rPr>
          <w:color w:val="auto"/>
          <w:highlight w:val="none"/>
          <w:shd w:val="clear"/>
        </w:rPr>
      </w:pPr>
      <w:bookmarkStart w:id="6" w:name="_Toc170805096"/>
      <w:bookmarkStart w:id="7" w:name="_Toc170805476"/>
      <w:r>
        <w:rPr>
          <w:rFonts w:hint="eastAsia"/>
          <w:color w:val="auto"/>
          <w:highlight w:val="none"/>
          <w:shd w:val="clear"/>
        </w:rPr>
        <w:t>2.项目概况与招标范围</w:t>
      </w:r>
      <w:bookmarkEnd w:id="6"/>
      <w:bookmarkEnd w:id="7"/>
    </w:p>
    <w:p w14:paraId="208E23CB">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2.1</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招标项目名称：</w:t>
      </w:r>
      <w:r>
        <w:rPr>
          <w:rFonts w:hint="eastAsia" w:ascii="Times New Roman" w:hAnsi="Times New Roman"/>
          <w:color w:val="auto"/>
          <w:highlight w:val="none"/>
          <w:shd w:val="clear"/>
          <w:lang w:eastAsia="zh-CN"/>
        </w:rPr>
        <w:t>固镇县仲兴镇2025年和美乡村省级中心村建设项目</w:t>
      </w:r>
    </w:p>
    <w:p w14:paraId="07FFF638">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2.2</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招标项目编号：</w:t>
      </w:r>
    </w:p>
    <w:p w14:paraId="01958329">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2.3</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标段划分：</w:t>
      </w:r>
      <w:permStart w:id="5" w:edGrp="everyone"/>
      <w:r>
        <w:rPr>
          <w:rFonts w:hint="eastAsia" w:ascii="Times New Roman" w:hAnsi="Times New Roman"/>
          <w:color w:val="auto"/>
          <w:highlight w:val="none"/>
          <w:shd w:val="clear"/>
        </w:rPr>
        <w:t>共1个标段</w:t>
      </w:r>
      <w:permEnd w:id="5"/>
    </w:p>
    <w:p w14:paraId="5FD573F0">
      <w:pPr>
        <w:pStyle w:val="22"/>
        <w:ind w:firstLine="420"/>
        <w:rPr>
          <w:rFonts w:hint="eastAsia"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2.4</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招标项目标段编号：</w:t>
      </w:r>
    </w:p>
    <w:p w14:paraId="1ACDB94C">
      <w:pPr>
        <w:pStyle w:val="22"/>
        <w:ind w:firstLine="420"/>
        <w:rPr>
          <w:rFonts w:hint="default" w:ascii="Times New Roman" w:hAnsi="Times New Roman" w:eastAsia="宋体"/>
          <w:color w:val="auto"/>
          <w:sz w:val="24"/>
          <w:highlight w:val="none"/>
          <w:shd w:val="clear"/>
          <w:lang w:val="en-US" w:eastAsia="zh-CN"/>
        </w:rPr>
      </w:pPr>
      <w:r>
        <w:rPr>
          <w:rStyle w:val="27"/>
          <w:rFonts w:hint="eastAsia" w:ascii="Times New Roman" w:hAnsi="Times New Roman"/>
          <w:bCs/>
          <w:color w:val="auto"/>
          <w:highlight w:val="none"/>
          <w:shd w:val="clear"/>
        </w:rPr>
        <w:t>2.5</w:t>
      </w:r>
      <w:r>
        <w:rPr>
          <w:rStyle w:val="27"/>
          <w:rFonts w:ascii="Times New Roman" w:hAnsi="Times New Roman"/>
          <w:bCs/>
          <w:color w:val="auto"/>
          <w:highlight w:val="none"/>
          <w:shd w:val="clear"/>
        </w:rPr>
        <w:t xml:space="preserve"> </w:t>
      </w:r>
      <w:r>
        <w:rPr>
          <w:rStyle w:val="27"/>
          <w:rFonts w:hint="eastAsia" w:ascii="Times New Roman" w:hAnsi="Times New Roman"/>
          <w:bCs/>
          <w:color w:val="auto"/>
          <w:highlight w:val="none"/>
          <w:shd w:val="clear"/>
        </w:rPr>
        <w:t>建设地点：</w:t>
      </w:r>
      <w:r>
        <w:rPr>
          <w:rFonts w:hint="eastAsia" w:ascii="Times New Roman" w:hAnsi="Times New Roman"/>
          <w:color w:val="auto"/>
          <w:highlight w:val="none"/>
          <w:shd w:val="clear"/>
          <w:lang w:val="en-US" w:eastAsia="zh-CN"/>
        </w:rPr>
        <w:t>固镇县仲兴镇</w:t>
      </w:r>
    </w:p>
    <w:p w14:paraId="7FB671AC">
      <w:pPr>
        <w:pStyle w:val="22"/>
        <w:ind w:firstLine="420"/>
        <w:rPr>
          <w:rStyle w:val="27"/>
          <w:rFonts w:hint="eastAsia" w:ascii="Times New Roman" w:hAnsi="Times New Roman" w:eastAsia="宋体"/>
          <w:b/>
          <w:bCs w:val="0"/>
          <w:color w:val="auto"/>
          <w:highlight w:val="none"/>
          <w:shd w:val="clear"/>
          <w:lang w:eastAsia="zh-CN"/>
        </w:rPr>
      </w:pPr>
      <w:r>
        <w:rPr>
          <w:rStyle w:val="27"/>
          <w:rFonts w:hint="eastAsia" w:ascii="Times New Roman" w:hAnsi="Times New Roman"/>
          <w:bCs/>
          <w:color w:val="auto"/>
          <w:highlight w:val="none"/>
          <w:shd w:val="clear"/>
        </w:rPr>
        <w:t>2.6</w:t>
      </w:r>
      <w:r>
        <w:rPr>
          <w:rStyle w:val="27"/>
          <w:rFonts w:ascii="Times New Roman" w:hAnsi="Times New Roman"/>
          <w:bCs/>
          <w:color w:val="auto"/>
          <w:highlight w:val="none"/>
          <w:shd w:val="clear"/>
        </w:rPr>
        <w:t xml:space="preserve"> </w:t>
      </w:r>
      <w:r>
        <w:rPr>
          <w:rStyle w:val="27"/>
          <w:rFonts w:hint="eastAsia" w:ascii="Times New Roman" w:hAnsi="Times New Roman"/>
          <w:bCs/>
          <w:color w:val="auto"/>
          <w:highlight w:val="none"/>
          <w:shd w:val="clear"/>
        </w:rPr>
        <w:t>建设规模：</w:t>
      </w:r>
      <w:r>
        <w:rPr>
          <w:rStyle w:val="27"/>
          <w:rFonts w:hint="eastAsia" w:ascii="Times New Roman" w:hAnsi="Times New Roman"/>
          <w:bCs/>
          <w:color w:val="auto"/>
          <w:highlight w:val="none"/>
          <w:shd w:val="clear"/>
          <w:lang w:eastAsia="zh-CN"/>
        </w:rPr>
        <w:t>固镇县仲兴镇2025年和美乡村省级中心村建设项目</w:t>
      </w:r>
      <w:r>
        <w:rPr>
          <w:rStyle w:val="27"/>
          <w:rFonts w:hint="eastAsia" w:ascii="Times New Roman" w:hAnsi="Times New Roman"/>
          <w:bCs/>
          <w:color w:val="auto"/>
          <w:highlight w:val="none"/>
          <w:shd w:val="clear"/>
        </w:rPr>
        <w:t>，项目位于固镇县</w:t>
      </w:r>
      <w:r>
        <w:rPr>
          <w:rStyle w:val="27"/>
          <w:rFonts w:hint="eastAsia" w:ascii="Times New Roman" w:hAnsi="Times New Roman"/>
          <w:bCs/>
          <w:color w:val="auto"/>
          <w:highlight w:val="none"/>
          <w:shd w:val="clear"/>
          <w:lang w:val="en-US" w:eastAsia="zh-CN"/>
        </w:rPr>
        <w:t>仲兴镇</w:t>
      </w:r>
      <w:r>
        <w:rPr>
          <w:rStyle w:val="27"/>
          <w:rFonts w:hint="eastAsia" w:ascii="Times New Roman" w:hAnsi="Times New Roman"/>
          <w:bCs/>
          <w:color w:val="auto"/>
          <w:highlight w:val="none"/>
          <w:shd w:val="clear"/>
        </w:rPr>
        <w:t>，分别为</w:t>
      </w:r>
      <w:r>
        <w:rPr>
          <w:rStyle w:val="27"/>
          <w:rFonts w:hint="eastAsia" w:ascii="Times New Roman" w:hAnsi="Times New Roman"/>
          <w:bCs/>
          <w:color w:val="auto"/>
          <w:highlight w:val="none"/>
          <w:shd w:val="clear"/>
          <w:lang w:eastAsia="zh-CN"/>
        </w:rPr>
        <w:t>仲兴镇</w:t>
      </w:r>
      <w:r>
        <w:rPr>
          <w:rStyle w:val="27"/>
          <w:rFonts w:hint="eastAsia" w:ascii="Times New Roman" w:hAnsi="Times New Roman"/>
          <w:bCs/>
          <w:color w:val="auto"/>
          <w:highlight w:val="none"/>
          <w:shd w:val="clear"/>
        </w:rPr>
        <w:t>沱西行政村后赵中心村、</w:t>
      </w:r>
      <w:r>
        <w:rPr>
          <w:rStyle w:val="27"/>
          <w:rFonts w:hint="eastAsia" w:ascii="Times New Roman" w:hAnsi="Times New Roman"/>
          <w:bCs/>
          <w:color w:val="auto"/>
          <w:highlight w:val="none"/>
          <w:shd w:val="clear"/>
          <w:lang w:eastAsia="zh-CN"/>
        </w:rPr>
        <w:t>仲兴镇</w:t>
      </w:r>
      <w:r>
        <w:rPr>
          <w:rStyle w:val="27"/>
          <w:rFonts w:hint="eastAsia" w:ascii="Times New Roman" w:hAnsi="Times New Roman"/>
          <w:bCs/>
          <w:color w:val="auto"/>
          <w:highlight w:val="none"/>
          <w:shd w:val="clear"/>
        </w:rPr>
        <w:t>赵桥行政村前桥中心村、</w:t>
      </w:r>
      <w:r>
        <w:rPr>
          <w:rStyle w:val="27"/>
          <w:rFonts w:hint="eastAsia" w:ascii="Times New Roman" w:hAnsi="Times New Roman"/>
          <w:bCs/>
          <w:color w:val="auto"/>
          <w:highlight w:val="none"/>
          <w:shd w:val="clear"/>
          <w:lang w:eastAsia="zh-CN"/>
        </w:rPr>
        <w:t>仲兴镇</w:t>
      </w:r>
      <w:r>
        <w:rPr>
          <w:rStyle w:val="27"/>
          <w:rFonts w:hint="eastAsia" w:ascii="Times New Roman" w:hAnsi="Times New Roman"/>
          <w:bCs/>
          <w:color w:val="auto"/>
          <w:highlight w:val="none"/>
          <w:shd w:val="clear"/>
        </w:rPr>
        <w:t>余刘行政村后刘中心村、</w:t>
      </w:r>
      <w:r>
        <w:rPr>
          <w:rStyle w:val="27"/>
          <w:rFonts w:hint="eastAsia" w:ascii="Times New Roman" w:hAnsi="Times New Roman"/>
          <w:bCs/>
          <w:color w:val="auto"/>
          <w:highlight w:val="none"/>
          <w:shd w:val="clear"/>
          <w:lang w:eastAsia="zh-CN"/>
        </w:rPr>
        <w:t>仲兴镇</w:t>
      </w:r>
      <w:r>
        <w:rPr>
          <w:rStyle w:val="27"/>
          <w:rFonts w:hint="eastAsia" w:ascii="Times New Roman" w:hAnsi="Times New Roman"/>
          <w:bCs/>
          <w:color w:val="auto"/>
          <w:highlight w:val="none"/>
          <w:shd w:val="clear"/>
        </w:rPr>
        <w:t>刘圩行政村刘圩中心村、</w:t>
      </w:r>
      <w:r>
        <w:rPr>
          <w:rStyle w:val="27"/>
          <w:rFonts w:hint="eastAsia" w:ascii="Times New Roman" w:hAnsi="Times New Roman"/>
          <w:bCs/>
          <w:color w:val="auto"/>
          <w:highlight w:val="none"/>
          <w:shd w:val="clear"/>
          <w:lang w:eastAsia="zh-CN"/>
        </w:rPr>
        <w:t>仲兴镇</w:t>
      </w:r>
      <w:r>
        <w:rPr>
          <w:rStyle w:val="27"/>
          <w:rFonts w:hint="eastAsia" w:ascii="Times New Roman" w:hAnsi="Times New Roman"/>
          <w:bCs/>
          <w:color w:val="auto"/>
          <w:highlight w:val="none"/>
          <w:shd w:val="clear"/>
        </w:rPr>
        <w:t>中陈行政村前陈中心村。</w:t>
      </w:r>
      <w:r>
        <w:rPr>
          <w:rStyle w:val="27"/>
          <w:rFonts w:hint="eastAsia" w:ascii="Times New Roman" w:hAnsi="Times New Roman"/>
          <w:bCs/>
          <w:color w:val="auto"/>
          <w:highlight w:val="none"/>
          <w:shd w:val="clear"/>
        </w:rPr>
        <w:t>建设内容主要包括改厕</w:t>
      </w:r>
      <w:r>
        <w:rPr>
          <w:rStyle w:val="27"/>
          <w:rFonts w:hint="eastAsia" w:ascii="Times New Roman" w:hAnsi="Times New Roman"/>
          <w:bCs/>
          <w:color w:val="auto"/>
          <w:highlight w:val="none"/>
          <w:shd w:val="clear"/>
          <w:lang w:eastAsia="zh-CN"/>
        </w:rPr>
        <w:t>治污</w:t>
      </w:r>
      <w:r>
        <w:rPr>
          <w:rStyle w:val="27"/>
          <w:rFonts w:hint="eastAsia" w:ascii="Times New Roman" w:hAnsi="Times New Roman"/>
          <w:bCs/>
          <w:color w:val="auto"/>
          <w:highlight w:val="none"/>
          <w:shd w:val="clear"/>
        </w:rPr>
        <w:t>、公共区域环境整治、入户道路硬化、公共服务中心及配套服务设施、村庄绿化、亮化工程等，具体建设内容详见工程量清单及图纸。</w:t>
      </w:r>
    </w:p>
    <w:p w14:paraId="7E8E8909">
      <w:pPr>
        <w:pStyle w:val="22"/>
        <w:ind w:firstLine="420"/>
        <w:rPr>
          <w:rFonts w:hint="default" w:ascii="Times New Roman" w:hAnsi="Times New Roman" w:eastAsia="宋体"/>
          <w:color w:val="auto"/>
          <w:sz w:val="24"/>
          <w:highlight w:val="none"/>
          <w:shd w:val="clear"/>
          <w:lang w:val="en-US" w:eastAsia="zh-CN"/>
        </w:rPr>
      </w:pPr>
      <w:r>
        <w:rPr>
          <w:rStyle w:val="27"/>
          <w:rFonts w:hint="eastAsia" w:ascii="Times New Roman" w:hAnsi="Times New Roman"/>
          <w:bCs/>
          <w:color w:val="auto"/>
          <w:highlight w:val="none"/>
          <w:shd w:val="clear"/>
        </w:rPr>
        <w:t>2.7</w:t>
      </w:r>
      <w:r>
        <w:rPr>
          <w:rStyle w:val="27"/>
          <w:rFonts w:ascii="Times New Roman" w:hAnsi="Times New Roman"/>
          <w:bCs/>
          <w:color w:val="auto"/>
          <w:highlight w:val="none"/>
          <w:shd w:val="clear"/>
        </w:rPr>
        <w:t xml:space="preserve"> </w:t>
      </w:r>
      <w:r>
        <w:rPr>
          <w:rStyle w:val="27"/>
          <w:rFonts w:hint="eastAsia" w:ascii="Times New Roman" w:hAnsi="Times New Roman"/>
          <w:bCs/>
          <w:color w:val="auto"/>
          <w:highlight w:val="none"/>
          <w:shd w:val="clear"/>
        </w:rPr>
        <w:t>合同估算价：</w:t>
      </w:r>
      <w:r>
        <w:rPr>
          <w:rStyle w:val="27"/>
          <w:rFonts w:hint="eastAsia" w:ascii="Times New Roman" w:hAnsi="Times New Roman"/>
          <w:bCs/>
          <w:color w:val="auto"/>
          <w:highlight w:val="none"/>
          <w:shd w:val="clear"/>
          <w:lang w:val="en-US" w:eastAsia="zh-CN"/>
        </w:rPr>
        <w:t>约900万元（含暂列金**万元）（暂定）</w:t>
      </w:r>
    </w:p>
    <w:p w14:paraId="3D2C0F0A">
      <w:pPr>
        <w:pStyle w:val="22"/>
        <w:ind w:firstLine="420"/>
        <w:rPr>
          <w:rFonts w:hint="default" w:ascii="Times New Roman" w:hAnsi="Times New Roman" w:eastAsia="宋体"/>
          <w:color w:val="auto"/>
          <w:sz w:val="24"/>
          <w:highlight w:val="none"/>
          <w:shd w:val="clear"/>
          <w:lang w:val="en-US" w:eastAsia="zh-CN"/>
        </w:rPr>
      </w:pPr>
      <w:r>
        <w:rPr>
          <w:rStyle w:val="27"/>
          <w:rFonts w:hint="eastAsia" w:ascii="Times New Roman" w:hAnsi="Times New Roman"/>
          <w:bCs/>
          <w:color w:val="auto"/>
          <w:highlight w:val="none"/>
          <w:shd w:val="clear"/>
        </w:rPr>
        <w:t>2.8</w:t>
      </w:r>
      <w:r>
        <w:rPr>
          <w:rStyle w:val="27"/>
          <w:rFonts w:ascii="Times New Roman" w:hAnsi="Times New Roman"/>
          <w:bCs/>
          <w:color w:val="auto"/>
          <w:highlight w:val="none"/>
          <w:shd w:val="clear"/>
        </w:rPr>
        <w:t xml:space="preserve"> </w:t>
      </w:r>
      <w:r>
        <w:rPr>
          <w:rStyle w:val="27"/>
          <w:rFonts w:hint="eastAsia" w:ascii="Times New Roman" w:hAnsi="Times New Roman"/>
          <w:bCs/>
          <w:color w:val="auto"/>
          <w:highlight w:val="none"/>
          <w:shd w:val="clear"/>
        </w:rPr>
        <w:t>计划工期</w:t>
      </w:r>
      <w:r>
        <w:rPr>
          <w:rFonts w:hint="eastAsia" w:ascii="Times New Roman" w:hAnsi="Times New Roman"/>
          <w:color w:val="auto"/>
          <w:highlight w:val="none"/>
          <w:shd w:val="clear"/>
          <w:lang w:val="en-US" w:eastAsia="zh-CN"/>
        </w:rPr>
        <w:t>：120日历天</w:t>
      </w:r>
    </w:p>
    <w:p w14:paraId="6FD920E8">
      <w:pPr>
        <w:pStyle w:val="22"/>
        <w:ind w:firstLine="420"/>
        <w:rPr>
          <w:rStyle w:val="27"/>
          <w:rFonts w:hint="eastAsia" w:ascii="Times New Roman" w:hAnsi="Times New Roman"/>
          <w:bCs/>
          <w:color w:val="auto"/>
          <w:highlight w:val="none"/>
          <w:shd w:val="clear"/>
        </w:rPr>
      </w:pPr>
      <w:r>
        <w:rPr>
          <w:rStyle w:val="27"/>
          <w:rFonts w:hint="eastAsia" w:ascii="Times New Roman" w:hAnsi="Times New Roman"/>
          <w:bCs/>
          <w:color w:val="auto"/>
          <w:highlight w:val="none"/>
          <w:shd w:val="clear"/>
        </w:rPr>
        <w:t>2.9</w:t>
      </w:r>
      <w:r>
        <w:rPr>
          <w:rStyle w:val="27"/>
          <w:rFonts w:ascii="Times New Roman" w:hAnsi="Times New Roman"/>
          <w:bCs/>
          <w:color w:val="auto"/>
          <w:highlight w:val="none"/>
          <w:shd w:val="clear"/>
        </w:rPr>
        <w:t xml:space="preserve"> </w:t>
      </w:r>
      <w:r>
        <w:rPr>
          <w:rStyle w:val="27"/>
          <w:rFonts w:hint="eastAsia" w:ascii="Times New Roman" w:hAnsi="Times New Roman"/>
          <w:bCs/>
          <w:color w:val="auto"/>
          <w:highlight w:val="none"/>
          <w:shd w:val="clear"/>
        </w:rPr>
        <w:t>招标范围：</w:t>
      </w:r>
      <w:r>
        <w:rPr>
          <w:rStyle w:val="27"/>
          <w:rFonts w:hint="eastAsia" w:ascii="Times New Roman" w:hAnsi="Times New Roman"/>
          <w:bCs/>
          <w:color w:val="auto"/>
          <w:highlight w:val="none"/>
          <w:shd w:val="clear"/>
        </w:rPr>
        <w:t>建设内容主要包括改厕</w:t>
      </w:r>
      <w:r>
        <w:rPr>
          <w:rStyle w:val="27"/>
          <w:rFonts w:hint="eastAsia" w:ascii="Times New Roman" w:hAnsi="Times New Roman"/>
          <w:bCs/>
          <w:color w:val="auto"/>
          <w:highlight w:val="none"/>
          <w:shd w:val="clear"/>
          <w:lang w:eastAsia="zh-CN"/>
        </w:rPr>
        <w:t>治污</w:t>
      </w:r>
      <w:r>
        <w:rPr>
          <w:rStyle w:val="27"/>
          <w:rFonts w:hint="eastAsia" w:ascii="Times New Roman" w:hAnsi="Times New Roman"/>
          <w:bCs/>
          <w:color w:val="auto"/>
          <w:highlight w:val="none"/>
          <w:shd w:val="clear"/>
        </w:rPr>
        <w:t>、公共区域环境整治、入户道路硬化、公共服务中心及配套服务设施、村庄绿化、亮化工程等，具体建设内容详见工程量清单及图纸。</w:t>
      </w:r>
    </w:p>
    <w:p w14:paraId="4C987945">
      <w:pPr>
        <w:pStyle w:val="22"/>
        <w:ind w:firstLine="420"/>
        <w:rPr>
          <w:rStyle w:val="27"/>
          <w:rFonts w:hint="eastAsia" w:ascii="Times New Roman" w:hAnsi="Times New Roman" w:cs="Times New Roman"/>
          <w:bCs/>
          <w:color w:val="auto"/>
          <w:highlight w:val="none"/>
          <w:shd w:val="clear"/>
        </w:rPr>
      </w:pPr>
      <w:r>
        <w:rPr>
          <w:rFonts w:hint="eastAsia" w:ascii="Times New Roman" w:hAnsi="Times New Roman"/>
          <w:color w:val="auto"/>
          <w:highlight w:val="none"/>
          <w:shd w:val="clear"/>
        </w:rPr>
        <w:t>2.10</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项目类</w:t>
      </w:r>
      <w:r>
        <w:rPr>
          <w:rStyle w:val="27"/>
          <w:rFonts w:hint="eastAsia" w:ascii="Times New Roman" w:hAnsi="Times New Roman" w:cs="Times New Roman"/>
          <w:bCs/>
          <w:color w:val="auto"/>
          <w:highlight w:val="none"/>
          <w:shd w:val="clear"/>
        </w:rPr>
        <w:t>别：</w:t>
      </w:r>
      <w:permStart w:id="6" w:edGrp="everyone"/>
      <w:r>
        <w:rPr>
          <w:rStyle w:val="27"/>
          <w:rFonts w:hint="eastAsia" w:ascii="Times New Roman" w:hAnsi="Times New Roman" w:cs="Times New Roman"/>
          <w:bCs/>
          <w:color w:val="auto"/>
          <w:highlight w:val="none"/>
          <w:shd w:val="clear"/>
        </w:rPr>
        <w:t>工程施工</w:t>
      </w:r>
      <w:permEnd w:id="6"/>
    </w:p>
    <w:p w14:paraId="10713C16">
      <w:pPr>
        <w:pStyle w:val="22"/>
        <w:ind w:firstLine="420"/>
        <w:rPr>
          <w:rFonts w:hint="eastAsia"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2.1</w:t>
      </w:r>
      <w:r>
        <w:rPr>
          <w:rFonts w:ascii="Times New Roman" w:hAnsi="Times New Roman"/>
          <w:color w:val="auto"/>
          <w:highlight w:val="none"/>
          <w:shd w:val="clear"/>
        </w:rPr>
        <w:t xml:space="preserve">1 </w:t>
      </w:r>
      <w:r>
        <w:rPr>
          <w:rFonts w:hint="eastAsia" w:ascii="Times New Roman" w:hAnsi="Times New Roman"/>
          <w:color w:val="auto"/>
          <w:highlight w:val="none"/>
          <w:shd w:val="clear"/>
        </w:rPr>
        <w:t>其他：</w:t>
      </w:r>
      <w:r>
        <w:rPr>
          <w:rFonts w:hint="eastAsia" w:ascii="Times New Roman" w:hAnsi="Times New Roman"/>
          <w:color w:val="auto"/>
          <w:highlight w:val="none"/>
          <w:shd w:val="clear"/>
          <w:lang w:val="en-US" w:eastAsia="zh-CN"/>
        </w:rPr>
        <w:t>无</w:t>
      </w:r>
    </w:p>
    <w:p w14:paraId="631AE0AC">
      <w:pPr>
        <w:pStyle w:val="26"/>
        <w:rPr>
          <w:color w:val="auto"/>
          <w:highlight w:val="none"/>
          <w:shd w:val="clear"/>
        </w:rPr>
      </w:pPr>
      <w:bookmarkStart w:id="8" w:name="_Toc170805097"/>
      <w:bookmarkStart w:id="9" w:name="_Toc170805477"/>
      <w:bookmarkStart w:id="10" w:name="_Toc19143"/>
      <w:bookmarkStart w:id="11" w:name="_Toc29404"/>
      <w:bookmarkStart w:id="12" w:name="_Toc130919058"/>
      <w:bookmarkStart w:id="13" w:name="_Toc13105"/>
      <w:bookmarkStart w:id="14" w:name="_Toc7451"/>
      <w:r>
        <w:rPr>
          <w:rFonts w:hint="eastAsia"/>
          <w:color w:val="auto"/>
          <w:highlight w:val="none"/>
          <w:shd w:val="clear"/>
        </w:rPr>
        <w:t>3.投标人资格要求</w:t>
      </w:r>
      <w:bookmarkEnd w:id="8"/>
      <w:bookmarkEnd w:id="9"/>
      <w:bookmarkEnd w:id="10"/>
      <w:bookmarkEnd w:id="11"/>
      <w:bookmarkEnd w:id="12"/>
      <w:bookmarkEnd w:id="13"/>
      <w:bookmarkEnd w:id="14"/>
    </w:p>
    <w:p w14:paraId="192A07AB">
      <w:pPr>
        <w:pStyle w:val="22"/>
        <w:ind w:firstLine="420"/>
        <w:rPr>
          <w:rFonts w:ascii="Times New Roman" w:hAnsi="Times New Roman"/>
          <w:color w:val="auto"/>
          <w:highlight w:val="none"/>
          <w:shd w:val="clear"/>
        </w:rPr>
      </w:pPr>
      <w:bookmarkStart w:id="15" w:name="OLE_LINK1"/>
      <w:r>
        <w:rPr>
          <w:rFonts w:hint="eastAsia" w:ascii="Times New Roman" w:hAnsi="Times New Roman"/>
          <w:color w:val="auto"/>
          <w:highlight w:val="none"/>
          <w:shd w:val="clear"/>
        </w:rPr>
        <w:t>3.1 投标人应依法设立并具备承担本招标项目的如下条件：</w:t>
      </w:r>
    </w:p>
    <w:p w14:paraId="7C74F526">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3.1.1 投标人资质要求：</w:t>
      </w:r>
      <w:permStart w:id="7" w:edGrp="everyone"/>
      <w:r>
        <w:rPr>
          <w:rFonts w:hint="eastAsia" w:ascii="Times New Roman" w:hAnsi="Times New Roman"/>
          <w:color w:val="auto"/>
          <w:highlight w:val="none"/>
          <w:shd w:val="clear"/>
        </w:rPr>
        <w:t>具备有效的营业执照</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具备</w:t>
      </w:r>
      <w:r>
        <w:rPr>
          <w:rFonts w:hint="eastAsia" w:ascii="Times New Roman" w:hAnsi="Times New Roman"/>
          <w:color w:val="auto"/>
          <w:highlight w:val="none"/>
          <w:shd w:val="clear"/>
          <w:lang w:eastAsia="zh-CN"/>
        </w:rPr>
        <w:t>有效的</w:t>
      </w:r>
      <w:r>
        <w:rPr>
          <w:rFonts w:hint="eastAsia" w:ascii="Times New Roman" w:hAnsi="Times New Roman"/>
          <w:color w:val="auto"/>
          <w:highlight w:val="none"/>
          <w:shd w:val="clear"/>
          <w:lang w:val="en-US" w:eastAsia="zh-CN"/>
        </w:rPr>
        <w:t>市政公用工程施工总承包</w:t>
      </w:r>
      <w:r>
        <w:rPr>
          <w:rFonts w:hint="eastAsia" w:ascii="Times New Roman" w:hAnsi="Times New Roman"/>
          <w:color w:val="auto"/>
          <w:highlight w:val="none"/>
          <w:shd w:val="clear"/>
          <w:lang w:eastAsia="zh-CN"/>
        </w:rPr>
        <w:t>三级及以上资质，并具</w:t>
      </w:r>
      <w:r>
        <w:rPr>
          <w:rFonts w:hint="eastAsia" w:ascii="Times New Roman" w:hAnsi="Times New Roman"/>
          <w:color w:val="auto"/>
          <w:highlight w:val="none"/>
          <w:shd w:val="clear"/>
          <w:lang w:val="en-US" w:eastAsia="zh-CN"/>
        </w:rPr>
        <w:t>备</w:t>
      </w:r>
      <w:r>
        <w:rPr>
          <w:rFonts w:hint="eastAsia" w:ascii="Times New Roman" w:hAnsi="Times New Roman"/>
          <w:color w:val="auto"/>
          <w:highlight w:val="none"/>
          <w:shd w:val="clear"/>
          <w:lang w:eastAsia="zh-CN"/>
        </w:rPr>
        <w:t>有效的安全生产许可证。</w:t>
      </w:r>
      <w:permEnd w:id="7"/>
    </w:p>
    <w:p w14:paraId="2DED9E54">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3.1.2 项目经理要求：</w:t>
      </w:r>
    </w:p>
    <w:p w14:paraId="0FDFC92C">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w:t>
      </w:r>
      <w:r>
        <w:rPr>
          <w:rFonts w:ascii="Times New Roman" w:hAnsi="Times New Roman"/>
          <w:color w:val="auto"/>
          <w:highlight w:val="none"/>
          <w:shd w:val="clear"/>
        </w:rPr>
        <w:t>1）具备</w:t>
      </w:r>
      <w:r>
        <w:rPr>
          <w:rFonts w:hint="eastAsia" w:ascii="Times New Roman" w:hAnsi="Times New Roman"/>
          <w:color w:val="auto"/>
          <w:highlight w:val="none"/>
          <w:shd w:val="clear"/>
          <w:lang w:val="en-US" w:eastAsia="zh-CN"/>
        </w:rPr>
        <w:t>市政公用工程专业二级</w:t>
      </w:r>
      <w:r>
        <w:rPr>
          <w:rFonts w:hint="eastAsia" w:ascii="Times New Roman" w:hAnsi="Times New Roman"/>
          <w:color w:val="auto"/>
          <w:highlight w:val="none"/>
          <w:shd w:val="clear"/>
        </w:rPr>
        <w:t>及以上注册建造师。</w:t>
      </w:r>
    </w:p>
    <w:p w14:paraId="1735497F">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（2）具备</w:t>
      </w:r>
      <w:permStart w:id="8" w:edGrp="everyone"/>
      <w:r>
        <w:rPr>
          <w:rFonts w:hint="eastAsia" w:ascii="Times New Roman" w:hAnsi="Times New Roman"/>
          <w:color w:val="auto"/>
          <w:highlight w:val="none"/>
          <w:shd w:val="clear"/>
        </w:rPr>
        <w:t>住房和城乡建设</w:t>
      </w:r>
      <w:permEnd w:id="8"/>
      <w:r>
        <w:rPr>
          <w:rFonts w:hint="eastAsia" w:ascii="Times New Roman" w:hAnsi="Times New Roman"/>
          <w:color w:val="auto"/>
          <w:highlight w:val="none"/>
          <w:shd w:val="clear"/>
        </w:rPr>
        <w:t>行政主管部门颁发的安全生产考核合格证书（B证）。</w:t>
      </w:r>
    </w:p>
    <w:p w14:paraId="72513C9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（3）其他要求：目前未在其他项目上担任项目经理或虽在其他项目上担任项目经理但本项目中标后能够到岗履职。</w:t>
      </w:r>
    </w:p>
    <w:p w14:paraId="318D5FB1">
      <w:pPr>
        <w:pStyle w:val="22"/>
        <w:ind w:firstLine="420"/>
        <w:rPr>
          <w:rFonts w:hint="eastAsia" w:ascii="Times New Roman" w:hAnsi="Times New Roman"/>
          <w:color w:val="auto"/>
          <w:highlight w:val="none"/>
          <w:shd w:val="clear"/>
          <w:lang w:eastAsia="zh-CN"/>
        </w:rPr>
      </w:pPr>
      <w:r>
        <w:rPr>
          <w:rFonts w:hint="eastAsia" w:ascii="Times New Roman" w:hAnsi="Times New Roman"/>
          <w:color w:val="auto"/>
          <w:highlight w:val="none"/>
          <w:shd w:val="clear"/>
        </w:rPr>
        <w:t>3.1.3 投标人业绩要求：</w:t>
      </w:r>
      <w:r>
        <w:rPr>
          <w:rFonts w:hint="eastAsia" w:ascii="Times New Roman" w:hAnsi="Times New Roman"/>
          <w:color w:val="auto"/>
          <w:highlight w:val="none"/>
          <w:shd w:val="clear"/>
          <w:lang w:val="en-US" w:eastAsia="zh-CN"/>
        </w:rPr>
        <w:t>无。</w:t>
      </w:r>
    </w:p>
    <w:p w14:paraId="179CDB0D">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3.1.4 项目经理业绩要求：</w:t>
      </w:r>
      <w:r>
        <w:rPr>
          <w:rFonts w:hint="eastAsia" w:ascii="Times New Roman" w:hAnsi="Times New Roman"/>
          <w:color w:val="auto"/>
          <w:highlight w:val="none"/>
          <w:shd w:val="clear"/>
          <w:lang w:val="en-US" w:eastAsia="zh-CN"/>
        </w:rPr>
        <w:t>无</w:t>
      </w:r>
      <w:r>
        <w:rPr>
          <w:rFonts w:hint="eastAsia" w:ascii="Times New Roman" w:hAnsi="Times New Roman"/>
          <w:color w:val="auto"/>
          <w:highlight w:val="none"/>
          <w:shd w:val="clear"/>
        </w:rPr>
        <w:t>。</w:t>
      </w:r>
    </w:p>
    <w:p w14:paraId="778C3BB7">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3.1.5 技术负责人要求：</w:t>
      </w:r>
      <w:r>
        <w:rPr>
          <w:rFonts w:hint="eastAsia" w:ascii="Times New Roman" w:hAnsi="Times New Roman"/>
          <w:color w:val="auto"/>
          <w:highlight w:val="none"/>
          <w:shd w:val="clear"/>
          <w:lang w:eastAsia="zh-CN"/>
        </w:rPr>
        <w:t>具备市政工程相关专业中级及以上技术职称</w:t>
      </w:r>
      <w:r>
        <w:rPr>
          <w:rFonts w:hint="eastAsia" w:ascii="Times New Roman" w:hAnsi="Times New Roman"/>
          <w:color w:val="auto"/>
          <w:highlight w:val="none"/>
          <w:shd w:val="clear"/>
        </w:rPr>
        <w:t>。</w:t>
      </w:r>
    </w:p>
    <w:p w14:paraId="59DBCBF2">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rPr>
        <w:t>3.1.6 财务要求</w:t>
      </w:r>
      <w:r>
        <w:rPr>
          <w:rFonts w:hint="eastAsia" w:ascii="Times New Roman" w:hAnsi="Times New Roman"/>
          <w:color w:val="auto"/>
          <w:highlight w:val="none"/>
          <w:shd w:val="clear"/>
          <w:lang w:val="en-US" w:eastAsia="zh-CN"/>
        </w:rPr>
        <w:t>：无。</w:t>
      </w:r>
    </w:p>
    <w:p w14:paraId="602BF57A">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3.1.7 信誉要求：无。</w:t>
      </w:r>
    </w:p>
    <w:p w14:paraId="028E5C8A">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3.1.8 </w:t>
      </w:r>
      <w:bookmarkStart w:id="16" w:name="_Hlk86268479"/>
      <w:r>
        <w:rPr>
          <w:rFonts w:hint="eastAsia" w:ascii="Times New Roman" w:hAnsi="Times New Roman"/>
          <w:color w:val="auto"/>
          <w:highlight w:val="none"/>
          <w:shd w:val="clear"/>
        </w:rPr>
        <w:t>本招标项目BB2026GZGCZ***</w:t>
      </w:r>
      <w:r>
        <w:rPr>
          <w:rFonts w:hint="eastAsia" w:ascii="Times New Roman" w:hAnsi="Times New Roman"/>
          <w:color w:val="auto"/>
          <w:highlight w:val="none"/>
          <w:shd w:val="clear"/>
          <w:lang w:val="en-US" w:eastAsia="zh-CN"/>
        </w:rPr>
        <w:t>1</w:t>
      </w:r>
      <w:r>
        <w:rPr>
          <w:rFonts w:hint="eastAsia" w:ascii="Times New Roman" w:hAnsi="Times New Roman"/>
          <w:color w:val="auto"/>
          <w:highlight w:val="none"/>
          <w:shd w:val="clear"/>
        </w:rPr>
        <w:t>标段</w:t>
      </w:r>
      <w:permStart w:id="9" w:edGrp="everyone"/>
      <w:r>
        <w:rPr>
          <w:rFonts w:hint="eastAsia" w:ascii="Times New Roman" w:hAnsi="Times New Roman"/>
          <w:color w:val="auto"/>
          <w:highlight w:val="none"/>
          <w:shd w:val="clear"/>
        </w:rPr>
        <w:t>不接受</w:t>
      </w:r>
      <w:permEnd w:id="9"/>
      <w:bookmarkEnd w:id="16"/>
      <w:r>
        <w:rPr>
          <w:rFonts w:hint="eastAsia" w:ascii="Times New Roman" w:hAnsi="Times New Roman"/>
          <w:color w:val="auto"/>
          <w:highlight w:val="none"/>
          <w:shd w:val="clear"/>
        </w:rPr>
        <w:t>联合体投标。</w:t>
      </w:r>
    </w:p>
    <w:p w14:paraId="5A02DD5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 投标人不得存在招标文件第二章投标人须知第1.4.3项、第1.4.4项规定的情形。</w:t>
      </w:r>
    </w:p>
    <w:p w14:paraId="74F79BE9">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rPr>
        <w:t xml:space="preserve">3.3 </w:t>
      </w:r>
      <w:r>
        <w:rPr>
          <w:rFonts w:ascii="Times New Roman" w:hAnsi="Times New Roman"/>
          <w:color w:val="auto"/>
          <w:highlight w:val="none"/>
          <w:shd w:val="clear"/>
        </w:rPr>
        <w:t>其他要</w:t>
      </w:r>
      <w:r>
        <w:rPr>
          <w:rFonts w:hint="eastAsia" w:ascii="Times New Roman" w:hAnsi="Times New Roman"/>
          <w:color w:val="auto"/>
          <w:highlight w:val="none"/>
          <w:shd w:val="clear"/>
          <w:lang w:val="en-US" w:eastAsia="zh-CN"/>
        </w:rPr>
        <w:t>求：无</w:t>
      </w:r>
    </w:p>
    <w:p w14:paraId="6770FC45">
      <w:pPr>
        <w:pStyle w:val="22"/>
        <w:ind w:firstLine="420"/>
        <w:rPr>
          <w:rFonts w:hint="default" w:ascii="Times New Roman" w:hAnsi="Times New Roman" w:eastAsia="宋体" w:cs="宋体"/>
          <w:color w:val="auto"/>
          <w:highlight w:val="none"/>
          <w:shd w:val="clear"/>
          <w:lang w:val="en-US" w:eastAsia="zh-CN"/>
        </w:rPr>
      </w:pPr>
      <w:r>
        <w:rPr>
          <w:rFonts w:hint="default" w:ascii="Times New Roman" w:hAnsi="Times New Roman"/>
          <w:color w:val="auto"/>
          <w:highlight w:val="none"/>
          <w:shd w:val="clear"/>
          <w:lang w:val="en-US" w:eastAsia="zh-CN"/>
        </w:rPr>
        <w:t>3.</w:t>
      </w:r>
      <w:r>
        <w:rPr>
          <w:rFonts w:hint="eastAsia" w:ascii="Times New Roman" w:hAnsi="Times New Roman"/>
          <w:color w:val="auto"/>
          <w:highlight w:val="none"/>
          <w:shd w:val="clear"/>
          <w:lang w:val="en-US" w:eastAsia="zh-CN"/>
        </w:rPr>
        <w:t>4</w:t>
      </w:r>
      <w:r>
        <w:rPr>
          <w:rFonts w:hint="default" w:ascii="Times New Roman" w:hAnsi="Times New Roman"/>
          <w:color w:val="auto"/>
          <w:highlight w:val="none"/>
          <w:shd w:val="clear"/>
          <w:lang w:val="en-US" w:eastAsia="zh-CN"/>
        </w:rPr>
        <w:t xml:space="preserve"> 【</w:t>
      </w:r>
      <w:r>
        <w:rPr>
          <w:rFonts w:hint="default" w:ascii="Times New Roman" w:hAnsi="Times New Roman" w:eastAsia="宋体" w:cs="宋体"/>
          <w:color w:val="auto"/>
          <w:highlight w:val="none"/>
          <w:shd w:val="clear"/>
          <w:lang w:val="en-US" w:eastAsia="zh-CN"/>
        </w:rPr>
        <w:t>落实政府采购政策需满足的资格要求：按照财政部、工业和信息化部制定的《政府采购促进中小企业发展管理办法》，本项目为专门面向中小企业采购项目，投标文件中须提供《中小企业声明函》。企业划型标准按照《关于印发中小企业划型标准规定的通知》（工信部联企业[2011]300号）规定执行。本项目企业类型为：建筑业。】</w:t>
      </w:r>
    </w:p>
    <w:bookmarkEnd w:id="15"/>
    <w:p w14:paraId="587D1A10">
      <w:pPr>
        <w:pStyle w:val="26"/>
        <w:rPr>
          <w:color w:val="auto"/>
          <w:highlight w:val="none"/>
          <w:shd w:val="clear"/>
        </w:rPr>
      </w:pPr>
      <w:bookmarkStart w:id="17" w:name="_Toc1805"/>
      <w:bookmarkStart w:id="18" w:name="_Toc6851"/>
      <w:bookmarkStart w:id="19" w:name="_Toc30137"/>
      <w:bookmarkStart w:id="20" w:name="_Toc170805098"/>
      <w:bookmarkStart w:id="21" w:name="_Toc170805478"/>
      <w:bookmarkStart w:id="22" w:name="_Toc30498"/>
      <w:r>
        <w:rPr>
          <w:rFonts w:hint="eastAsia"/>
          <w:color w:val="auto"/>
          <w:highlight w:val="none"/>
          <w:shd w:val="clear"/>
        </w:rPr>
        <w:t>4.招标文件的获取</w:t>
      </w:r>
      <w:bookmarkEnd w:id="17"/>
      <w:bookmarkEnd w:id="18"/>
      <w:bookmarkEnd w:id="19"/>
      <w:bookmarkEnd w:id="20"/>
      <w:bookmarkEnd w:id="21"/>
      <w:bookmarkEnd w:id="22"/>
    </w:p>
    <w:p w14:paraId="525DC0F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4.1 获取时间：</w:t>
      </w:r>
      <w:permStart w:id="10" w:edGrp="everyone"/>
      <w:r>
        <w:rPr>
          <w:rFonts w:hint="eastAsia" w:ascii="Times New Roman" w:hAnsi="Times New Roman"/>
          <w:color w:val="auto"/>
          <w:highlight w:val="none"/>
          <w:shd w:val="clear"/>
          <w:lang w:val="en-US" w:eastAsia="zh-CN"/>
        </w:rPr>
        <w:t>2026年  月  日</w:t>
      </w:r>
      <w:permEnd w:id="10"/>
      <w:r>
        <w:rPr>
          <w:rFonts w:hint="eastAsia" w:ascii="Times New Roman" w:hAnsi="Times New Roman"/>
          <w:color w:val="auto"/>
          <w:highlight w:val="none"/>
          <w:shd w:val="clear"/>
        </w:rPr>
        <w:t>至投标截止时间。</w:t>
      </w:r>
    </w:p>
    <w:p w14:paraId="71BF8AF4">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4.2 获取方式：</w:t>
      </w:r>
    </w:p>
    <w:p w14:paraId="5C42B5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（1）本招标项目实行全流程电子化交易。</w:t>
      </w:r>
    </w:p>
    <w:p w14:paraId="0641154E">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（2）投标人应在“安徽省公共资源交易市场主体库”（http://ggzy.ah.gov.cn/ahggfwpt-zhutiku）登记注册，通过验证后，登录</w:t>
      </w:r>
      <w:permStart w:id="11" w:edGrp="everyone"/>
      <w:r>
        <w:rPr>
          <w:rFonts w:hint="eastAsia" w:ascii="Times New Roman" w:hAnsi="Times New Roman"/>
          <w:color w:val="auto"/>
          <w:highlight w:val="none"/>
          <w:shd w:val="clear"/>
        </w:rPr>
        <w:t>蚌埠市公共资源交易电子交易系统</w:t>
      </w:r>
      <w:permEnd w:id="11"/>
      <w:r>
        <w:rPr>
          <w:rFonts w:hint="eastAsia" w:ascii="Times New Roman" w:hAnsi="Times New Roman"/>
          <w:color w:val="auto"/>
          <w:highlight w:val="none"/>
          <w:shd w:val="clear"/>
        </w:rPr>
        <w:t>查阅招标文件。如参加投标，则应在第4.1款规定的招标文件获取时间内通过</w:t>
      </w:r>
      <w:permStart w:id="12" w:edGrp="everyone"/>
      <w:r>
        <w:rPr>
          <w:rFonts w:hint="eastAsia" w:ascii="Times New Roman" w:hAnsi="Times New Roman"/>
          <w:color w:val="auto"/>
          <w:highlight w:val="none"/>
          <w:shd w:val="clear"/>
        </w:rPr>
        <w:t>蚌埠市公共资源电子交易系统</w:t>
      </w:r>
      <w:permEnd w:id="12"/>
      <w:r>
        <w:rPr>
          <w:rFonts w:hint="eastAsia" w:ascii="Times New Roman" w:hAnsi="Times New Roman"/>
          <w:color w:val="auto"/>
          <w:highlight w:val="none"/>
          <w:shd w:val="clear"/>
        </w:rPr>
        <w:t>在线获取招标文件。</w:t>
      </w:r>
    </w:p>
    <w:p w14:paraId="09DB083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招标文件获取过程中有任何疑问，请在工作时间（9：00-17：30，节假日休息）拨打技术支持热线（非项目咨询）：交易系统运营单位公布的电话：如有技术问题请联系0512-58188516。CA数字证书和电子签章有关问题请拨打服务电话：安徽CA（0552-2078835）。安徽省公共资源交易市场主体库使用相关问题请拨打服务电话：010-86483801。项目咨询请拨打电话：</w:t>
      </w:r>
      <w:permStart w:id="13" w:edGrp="everyone"/>
      <w:r>
        <w:rPr>
          <w:rFonts w:hint="eastAsia" w:ascii="Times New Roman" w:hAnsi="Times New Roman"/>
          <w:color w:val="auto"/>
          <w:highlight w:val="none"/>
          <w:shd w:val="clear"/>
          <w:lang w:eastAsia="zh-CN"/>
        </w:rPr>
        <w:t>0552-6058019</w:t>
      </w:r>
      <w:permEnd w:id="13"/>
      <w:r>
        <w:rPr>
          <w:rFonts w:hint="eastAsia" w:ascii="Times New Roman" w:hAnsi="Times New Roman"/>
          <w:color w:val="auto"/>
          <w:highlight w:val="none"/>
          <w:shd w:val="clear"/>
        </w:rPr>
        <w:t>。</w:t>
      </w:r>
    </w:p>
    <w:p w14:paraId="32D5CB6A">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4.3 招标文件价格：0元。</w:t>
      </w:r>
    </w:p>
    <w:p w14:paraId="4EE98144">
      <w:pPr>
        <w:pStyle w:val="26"/>
        <w:rPr>
          <w:rStyle w:val="27"/>
          <w:rFonts w:hint="eastAsia" w:ascii="Times New Roman" w:hAnsi="Times New Roman" w:eastAsia="宋体" w:cs="Times New Roman"/>
          <w:bCs/>
          <w:snapToGrid/>
          <w:color w:val="auto"/>
          <w:kern w:val="2"/>
          <w:sz w:val="21"/>
          <w:szCs w:val="21"/>
          <w:highlight w:val="none"/>
          <w:shd w:val="clear"/>
          <w:lang w:val="en-US" w:eastAsia="zh-CN" w:bidi="ar-SA"/>
        </w:rPr>
      </w:pPr>
      <w:bookmarkStart w:id="23" w:name="_Toc170805099"/>
      <w:bookmarkStart w:id="24" w:name="_Toc9512"/>
      <w:bookmarkStart w:id="25" w:name="_Toc14443"/>
      <w:bookmarkStart w:id="26" w:name="_Toc8629"/>
      <w:bookmarkStart w:id="27" w:name="_Toc7152"/>
      <w:bookmarkStart w:id="28" w:name="_Toc170805479"/>
      <w:r>
        <w:rPr>
          <w:rFonts w:hint="eastAsia"/>
          <w:color w:val="auto"/>
          <w:highlight w:val="none"/>
          <w:shd w:val="clear"/>
        </w:rPr>
        <w:t>5.投标文件的递交</w:t>
      </w:r>
      <w:bookmarkEnd w:id="23"/>
      <w:bookmarkEnd w:id="24"/>
      <w:bookmarkEnd w:id="25"/>
      <w:bookmarkEnd w:id="26"/>
      <w:bookmarkEnd w:id="27"/>
      <w:bookmarkEnd w:id="28"/>
    </w:p>
    <w:p w14:paraId="6F10ECC9">
      <w:pPr>
        <w:pStyle w:val="22"/>
        <w:ind w:firstLine="420"/>
        <w:rPr>
          <w:rStyle w:val="27"/>
          <w:rFonts w:hint="eastAsia" w:ascii="Times New Roman" w:hAnsi="Times New Roman" w:eastAsia="宋体" w:cs="Times New Roman"/>
          <w:bCs/>
          <w:snapToGrid/>
          <w:color w:val="auto"/>
          <w:kern w:val="2"/>
          <w:sz w:val="21"/>
          <w:szCs w:val="21"/>
          <w:highlight w:val="none"/>
          <w:shd w:val="clear"/>
          <w:lang w:val="en-US" w:eastAsia="zh-CN" w:bidi="ar-SA"/>
        </w:rPr>
      </w:pPr>
      <w:r>
        <w:rPr>
          <w:rStyle w:val="27"/>
          <w:rFonts w:hint="eastAsia" w:ascii="Times New Roman" w:hAnsi="Times New Roman" w:eastAsia="宋体" w:cs="Times New Roman"/>
          <w:bCs/>
          <w:snapToGrid/>
          <w:color w:val="auto"/>
          <w:kern w:val="2"/>
          <w:sz w:val="21"/>
          <w:szCs w:val="21"/>
          <w:highlight w:val="none"/>
          <w:shd w:val="clear"/>
          <w:lang w:val="en-US" w:eastAsia="zh-CN" w:bidi="ar-SA"/>
        </w:rPr>
        <w:t>投标文件递交的截止时间（投标截止时间，下同）为</w:t>
      </w:r>
      <w:permStart w:id="14" w:edGrp="everyone"/>
      <w:r>
        <w:rPr>
          <w:rStyle w:val="27"/>
          <w:rFonts w:hint="eastAsia" w:ascii="Times New Roman" w:hAnsi="Times New Roman" w:eastAsia="宋体" w:cs="Times New Roman"/>
          <w:bCs/>
          <w:snapToGrid/>
          <w:color w:val="auto"/>
          <w:kern w:val="2"/>
          <w:sz w:val="21"/>
          <w:szCs w:val="21"/>
          <w:highlight w:val="none"/>
          <w:shd w:val="clear"/>
          <w:lang w:val="en-US" w:eastAsia="zh-CN" w:bidi="ar-SA"/>
        </w:rPr>
        <w:t>202</w:t>
      </w:r>
      <w:r>
        <w:rPr>
          <w:rStyle w:val="27"/>
          <w:rFonts w:hint="eastAsia" w:ascii="Times New Roman" w:hAnsi="Times New Roman" w:cs="Times New Roman"/>
          <w:bCs/>
          <w:snapToGrid/>
          <w:color w:val="auto"/>
          <w:kern w:val="2"/>
          <w:sz w:val="21"/>
          <w:szCs w:val="21"/>
          <w:highlight w:val="none"/>
          <w:shd w:val="clear"/>
          <w:lang w:val="en-US" w:eastAsia="zh-CN" w:bidi="ar-SA"/>
        </w:rPr>
        <w:t>6</w:t>
      </w:r>
      <w:r>
        <w:rPr>
          <w:rStyle w:val="27"/>
          <w:rFonts w:hint="eastAsia" w:ascii="Times New Roman" w:hAnsi="Times New Roman" w:eastAsia="宋体" w:cs="Times New Roman"/>
          <w:bCs/>
          <w:snapToGrid/>
          <w:color w:val="auto"/>
          <w:kern w:val="2"/>
          <w:sz w:val="21"/>
          <w:szCs w:val="21"/>
          <w:highlight w:val="none"/>
          <w:shd w:val="clear"/>
          <w:lang w:val="en-US" w:eastAsia="zh-CN" w:bidi="ar-SA"/>
        </w:rPr>
        <w:t>年</w:t>
      </w:r>
      <w:r>
        <w:rPr>
          <w:rStyle w:val="27"/>
          <w:rFonts w:hint="eastAsia" w:ascii="Times New Roman" w:hAnsi="Times New Roman" w:cs="Times New Roman"/>
          <w:bCs/>
          <w:snapToGrid/>
          <w:color w:val="auto"/>
          <w:kern w:val="2"/>
          <w:sz w:val="21"/>
          <w:szCs w:val="21"/>
          <w:highlight w:val="none"/>
          <w:shd w:val="clear"/>
          <w:lang w:val="en-US" w:eastAsia="zh-CN" w:bidi="ar-SA"/>
        </w:rPr>
        <w:t xml:space="preserve">  </w:t>
      </w:r>
      <w:r>
        <w:rPr>
          <w:rStyle w:val="27"/>
          <w:rFonts w:hint="eastAsia" w:ascii="Times New Roman" w:hAnsi="Times New Roman" w:eastAsia="宋体" w:cs="Times New Roman"/>
          <w:bCs/>
          <w:snapToGrid/>
          <w:color w:val="auto"/>
          <w:kern w:val="2"/>
          <w:sz w:val="21"/>
          <w:szCs w:val="21"/>
          <w:highlight w:val="none"/>
          <w:shd w:val="clear"/>
          <w:lang w:val="en-US" w:eastAsia="zh-CN" w:bidi="ar-SA"/>
        </w:rPr>
        <w:t>月</w:t>
      </w:r>
      <w:r>
        <w:rPr>
          <w:rStyle w:val="27"/>
          <w:rFonts w:hint="eastAsia" w:ascii="Times New Roman" w:hAnsi="Times New Roman" w:cs="Times New Roman"/>
          <w:bCs/>
          <w:snapToGrid/>
          <w:color w:val="auto"/>
          <w:kern w:val="2"/>
          <w:sz w:val="21"/>
          <w:szCs w:val="21"/>
          <w:highlight w:val="none"/>
          <w:shd w:val="clear"/>
          <w:lang w:val="en-US" w:eastAsia="zh-CN" w:bidi="ar-SA"/>
        </w:rPr>
        <w:t xml:space="preserve">  </w:t>
      </w:r>
      <w:r>
        <w:rPr>
          <w:rStyle w:val="27"/>
          <w:rFonts w:hint="eastAsia" w:ascii="Times New Roman" w:hAnsi="Times New Roman" w:eastAsia="宋体" w:cs="Times New Roman"/>
          <w:bCs/>
          <w:snapToGrid/>
          <w:color w:val="auto"/>
          <w:kern w:val="2"/>
          <w:sz w:val="21"/>
          <w:szCs w:val="21"/>
          <w:highlight w:val="none"/>
          <w:shd w:val="clear"/>
          <w:lang w:val="en-US" w:eastAsia="zh-CN" w:bidi="ar-SA"/>
        </w:rPr>
        <w:t>日9时30分</w:t>
      </w:r>
      <w:permEnd w:id="14"/>
      <w:r>
        <w:rPr>
          <w:rStyle w:val="27"/>
          <w:rFonts w:hint="eastAsia" w:ascii="Times New Roman" w:hAnsi="Times New Roman" w:eastAsia="宋体" w:cs="Times New Roman"/>
          <w:bCs/>
          <w:snapToGrid/>
          <w:color w:val="auto"/>
          <w:kern w:val="2"/>
          <w:sz w:val="21"/>
          <w:szCs w:val="21"/>
          <w:highlight w:val="none"/>
          <w:shd w:val="clear"/>
          <w:lang w:val="en-US" w:eastAsia="zh-CN" w:bidi="ar-SA"/>
        </w:rPr>
        <w:t>，投标人应在投标截止时间前通过</w:t>
      </w:r>
      <w:permStart w:id="15" w:edGrp="everyone"/>
      <w:r>
        <w:rPr>
          <w:rStyle w:val="27"/>
          <w:rFonts w:hint="eastAsia" w:ascii="Times New Roman" w:hAnsi="Times New Roman" w:eastAsia="宋体" w:cs="Times New Roman"/>
          <w:bCs/>
          <w:snapToGrid/>
          <w:color w:val="auto"/>
          <w:kern w:val="2"/>
          <w:sz w:val="21"/>
          <w:szCs w:val="21"/>
          <w:highlight w:val="none"/>
          <w:shd w:val="clear"/>
          <w:lang w:val="en-US" w:eastAsia="zh-CN" w:bidi="ar-SA"/>
        </w:rPr>
        <w:t>蚌埠市公共资源电子交易系统</w:t>
      </w:r>
      <w:permEnd w:id="15"/>
      <w:r>
        <w:rPr>
          <w:rStyle w:val="27"/>
          <w:rFonts w:hint="eastAsia" w:ascii="Times New Roman" w:hAnsi="Times New Roman" w:eastAsia="宋体" w:cs="Times New Roman"/>
          <w:bCs/>
          <w:snapToGrid/>
          <w:color w:val="auto"/>
          <w:kern w:val="2"/>
          <w:sz w:val="21"/>
          <w:szCs w:val="21"/>
          <w:highlight w:val="none"/>
          <w:shd w:val="clear"/>
          <w:lang w:val="en-US" w:eastAsia="zh-CN" w:bidi="ar-SA"/>
        </w:rPr>
        <w:t>递交电子投标文件。</w:t>
      </w:r>
    </w:p>
    <w:p w14:paraId="7758C81D">
      <w:pPr>
        <w:pStyle w:val="26"/>
        <w:rPr>
          <w:color w:val="auto"/>
          <w:highlight w:val="none"/>
          <w:shd w:val="clear"/>
        </w:rPr>
      </w:pPr>
      <w:bookmarkStart w:id="29" w:name="_Toc25669"/>
      <w:bookmarkStart w:id="30" w:name="_Toc29133"/>
      <w:bookmarkStart w:id="31" w:name="_Toc170805100"/>
      <w:bookmarkStart w:id="32" w:name="_Toc11973"/>
      <w:bookmarkStart w:id="33" w:name="_Toc170805480"/>
      <w:bookmarkStart w:id="34" w:name="_Toc31317"/>
      <w:r>
        <w:rPr>
          <w:rFonts w:hint="eastAsia"/>
          <w:color w:val="auto"/>
          <w:highlight w:val="none"/>
          <w:shd w:val="clear"/>
        </w:rPr>
        <w:t>6.资格审查方式</w:t>
      </w:r>
      <w:bookmarkEnd w:id="29"/>
      <w:bookmarkEnd w:id="30"/>
      <w:bookmarkEnd w:id="31"/>
      <w:bookmarkEnd w:id="32"/>
      <w:bookmarkEnd w:id="33"/>
      <w:bookmarkEnd w:id="34"/>
    </w:p>
    <w:p w14:paraId="2401EC5C">
      <w:pPr>
        <w:pStyle w:val="22"/>
        <w:ind w:firstLine="420"/>
        <w:rPr>
          <w:rStyle w:val="27"/>
          <w:rFonts w:hint="eastAsia" w:ascii="Times New Roman" w:hAnsi="Times New Roman" w:cs="Times New Roman"/>
          <w:bCs/>
          <w:color w:val="auto"/>
          <w:highlight w:val="none"/>
          <w:shd w:val="clear"/>
        </w:rPr>
      </w:pPr>
      <w:r>
        <w:rPr>
          <w:rStyle w:val="27"/>
          <w:rFonts w:hint="eastAsia" w:ascii="Times New Roman" w:hAnsi="Times New Roman"/>
          <w:bCs/>
          <w:color w:val="auto"/>
          <w:highlight w:val="none"/>
          <w:shd w:val="clear"/>
        </w:rPr>
        <w:t>本招标项目采用</w:t>
      </w:r>
      <w:permStart w:id="16" w:edGrp="everyone"/>
      <w:r>
        <w:rPr>
          <w:rStyle w:val="27"/>
          <w:rFonts w:hint="eastAsia" w:ascii="Times New Roman" w:hAnsi="Times New Roman" w:cs="Times New Roman"/>
          <w:bCs/>
          <w:color w:val="auto"/>
          <w:highlight w:val="none"/>
          <w:shd w:val="clear"/>
        </w:rPr>
        <w:t>资格后审</w:t>
      </w:r>
      <w:permEnd w:id="16"/>
      <w:r>
        <w:rPr>
          <w:rStyle w:val="27"/>
          <w:rFonts w:hint="eastAsia" w:ascii="Times New Roman" w:hAnsi="Times New Roman" w:cs="Times New Roman"/>
          <w:bCs/>
          <w:color w:val="auto"/>
          <w:highlight w:val="none"/>
          <w:shd w:val="clear"/>
        </w:rPr>
        <w:t>方式进行资格审查。</w:t>
      </w:r>
    </w:p>
    <w:p w14:paraId="78D54795">
      <w:pPr>
        <w:pStyle w:val="26"/>
        <w:rPr>
          <w:color w:val="auto"/>
          <w:highlight w:val="none"/>
          <w:shd w:val="clear"/>
        </w:rPr>
      </w:pPr>
      <w:bookmarkStart w:id="35" w:name="_Toc170805101"/>
      <w:bookmarkStart w:id="36" w:name="_Toc3332"/>
      <w:bookmarkStart w:id="37" w:name="_Toc170805481"/>
      <w:r>
        <w:rPr>
          <w:color w:val="auto"/>
          <w:highlight w:val="none"/>
          <w:shd w:val="clear"/>
        </w:rPr>
        <w:t>7</w:t>
      </w:r>
      <w:r>
        <w:rPr>
          <w:rFonts w:hint="eastAsia"/>
          <w:color w:val="auto"/>
          <w:highlight w:val="none"/>
          <w:shd w:val="clear"/>
        </w:rPr>
        <w:t>.开标时间及地点</w:t>
      </w:r>
      <w:bookmarkEnd w:id="35"/>
      <w:bookmarkEnd w:id="36"/>
      <w:bookmarkEnd w:id="37"/>
      <w:r>
        <w:rPr>
          <w:color w:val="auto"/>
          <w:highlight w:val="none"/>
          <w:shd w:val="clear"/>
        </w:rPr>
        <w:tab/>
      </w:r>
    </w:p>
    <w:p w14:paraId="292807E1">
      <w:pPr>
        <w:pStyle w:val="22"/>
        <w:ind w:firstLine="420"/>
        <w:rPr>
          <w:rFonts w:ascii="Times New Roman" w:hAnsi="Times New Roman"/>
          <w:color w:val="auto"/>
          <w:highlight w:val="none"/>
          <w:shd w:val="clear"/>
        </w:rPr>
      </w:pPr>
      <w:r>
        <w:rPr>
          <w:rFonts w:ascii="Times New Roman" w:hAnsi="Times New Roman"/>
          <w:color w:val="auto"/>
          <w:highlight w:val="none"/>
          <w:shd w:val="clear"/>
        </w:rPr>
        <w:t>7</w:t>
      </w:r>
      <w:r>
        <w:rPr>
          <w:rFonts w:hint="eastAsia" w:ascii="Times New Roman" w:hAnsi="Times New Roman"/>
          <w:color w:val="auto"/>
          <w:highlight w:val="none"/>
          <w:shd w:val="clear"/>
        </w:rPr>
        <w:t>.1 开标时间：同投标文件递交的截止时间。</w:t>
      </w:r>
    </w:p>
    <w:p w14:paraId="7FC31A2D">
      <w:pPr>
        <w:pStyle w:val="22"/>
        <w:ind w:firstLine="420"/>
        <w:rPr>
          <w:rStyle w:val="27"/>
          <w:rFonts w:hint="eastAsia" w:ascii="Times New Roman" w:hAnsi="Times New Roman" w:cs="Times New Roman"/>
          <w:bCs/>
          <w:color w:val="auto"/>
          <w:highlight w:val="none"/>
          <w:shd w:val="clear"/>
        </w:rPr>
      </w:pPr>
      <w:r>
        <w:rPr>
          <w:rFonts w:ascii="Times New Roman" w:hAnsi="Times New Roman"/>
          <w:color w:val="auto"/>
          <w:highlight w:val="none"/>
          <w:shd w:val="clear"/>
        </w:rPr>
        <w:t>7</w:t>
      </w:r>
      <w:r>
        <w:rPr>
          <w:rFonts w:hint="eastAsia" w:ascii="Times New Roman" w:hAnsi="Times New Roman"/>
          <w:color w:val="auto"/>
          <w:highlight w:val="none"/>
          <w:shd w:val="clear"/>
        </w:rPr>
        <w:t>.2 开标</w:t>
      </w:r>
      <w:r>
        <w:rPr>
          <w:rStyle w:val="27"/>
          <w:rFonts w:hint="eastAsia" w:ascii="Times New Roman" w:hAnsi="Times New Roman" w:cs="Times New Roman"/>
          <w:bCs/>
          <w:color w:val="auto"/>
          <w:highlight w:val="none"/>
          <w:shd w:val="clear"/>
        </w:rPr>
        <w:t>地点：蚌埠市公共资源交易中心不见面开标大厅</w:t>
      </w:r>
    </w:p>
    <w:p w14:paraId="7AD02F93">
      <w:pPr>
        <w:pStyle w:val="22"/>
        <w:ind w:firstLine="420"/>
        <w:rPr>
          <w:rStyle w:val="27"/>
          <w:rFonts w:hint="eastAsia" w:ascii="Times New Roman" w:hAnsi="Times New Roman" w:cs="Times New Roman"/>
          <w:bCs/>
          <w:color w:val="auto"/>
          <w:highlight w:val="none"/>
          <w:shd w:val="clear"/>
        </w:rPr>
      </w:pPr>
      <w:bookmarkStart w:id="38" w:name="_Toc170805102"/>
      <w:bookmarkStart w:id="39" w:name="_Toc170805482"/>
      <w:r>
        <w:rPr>
          <w:rStyle w:val="27"/>
          <w:rFonts w:hint="eastAsia" w:ascii="Times New Roman" w:hAnsi="Times New Roman" w:cs="Times New Roman"/>
          <w:bCs/>
          <w:color w:val="auto"/>
          <w:highlight w:val="none"/>
          <w:shd w:val="clear"/>
        </w:rPr>
        <w:t>本招标项目采用</w:t>
      </w:r>
      <w:permStart w:id="17" w:edGrp="everyone"/>
      <w:r>
        <w:rPr>
          <w:rStyle w:val="27"/>
          <w:rFonts w:hint="eastAsia" w:ascii="Times New Roman" w:hAnsi="Times New Roman" w:cs="Times New Roman"/>
          <w:bCs/>
          <w:color w:val="auto"/>
          <w:highlight w:val="none"/>
          <w:shd w:val="clear"/>
        </w:rPr>
        <w:t>蚌埠市公共资源交易网上不见面开标大厅</w:t>
      </w:r>
      <w:permEnd w:id="17"/>
      <w:r>
        <w:rPr>
          <w:rStyle w:val="27"/>
          <w:rFonts w:hint="eastAsia" w:ascii="Times New Roman" w:hAnsi="Times New Roman" w:cs="Times New Roman"/>
          <w:bCs/>
          <w:color w:val="auto"/>
          <w:highlight w:val="none"/>
          <w:shd w:val="clear"/>
        </w:rPr>
        <w:t>方式开标，具体操作见《蚌埠市-不见面开标大厅操作手册-投标人》。</w:t>
      </w:r>
      <w:bookmarkEnd w:id="38"/>
      <w:bookmarkEnd w:id="39"/>
    </w:p>
    <w:p w14:paraId="1FBE04BA">
      <w:pPr>
        <w:pStyle w:val="26"/>
        <w:rPr>
          <w:color w:val="auto"/>
          <w:highlight w:val="none"/>
          <w:shd w:val="clear"/>
        </w:rPr>
      </w:pPr>
      <w:bookmarkStart w:id="40" w:name="_Toc11505"/>
      <w:bookmarkStart w:id="41" w:name="_Toc28548"/>
      <w:bookmarkStart w:id="42" w:name="_Toc2999"/>
      <w:bookmarkStart w:id="43" w:name="_Toc5604"/>
      <w:bookmarkStart w:id="44" w:name="_Toc170805483"/>
      <w:bookmarkStart w:id="45" w:name="_Toc170805103"/>
      <w:r>
        <w:rPr>
          <w:color w:val="auto"/>
          <w:highlight w:val="none"/>
          <w:shd w:val="clear"/>
        </w:rPr>
        <w:t>8</w:t>
      </w:r>
      <w:r>
        <w:rPr>
          <w:rFonts w:hint="eastAsia"/>
          <w:color w:val="auto"/>
          <w:highlight w:val="none"/>
          <w:shd w:val="clear"/>
        </w:rPr>
        <w:t>.招标文件的异议</w:t>
      </w:r>
      <w:bookmarkEnd w:id="40"/>
      <w:bookmarkEnd w:id="41"/>
      <w:bookmarkEnd w:id="42"/>
      <w:bookmarkEnd w:id="43"/>
      <w:r>
        <w:rPr>
          <w:rFonts w:hint="eastAsia"/>
          <w:color w:val="auto"/>
          <w:highlight w:val="none"/>
          <w:shd w:val="clear"/>
        </w:rPr>
        <w:t>、投诉</w:t>
      </w:r>
      <w:bookmarkEnd w:id="44"/>
      <w:bookmarkEnd w:id="45"/>
    </w:p>
    <w:p w14:paraId="57C823D1">
      <w:pPr>
        <w:pStyle w:val="22"/>
        <w:ind w:firstLine="420"/>
        <w:rPr>
          <w:rStyle w:val="27"/>
          <w:rFonts w:hint="eastAsia" w:ascii="Times New Roman" w:hAnsi="Times New Roman" w:cs="Times New Roman"/>
          <w:bCs/>
          <w:color w:val="auto"/>
          <w:highlight w:val="none"/>
          <w:shd w:val="clear"/>
        </w:rPr>
      </w:pPr>
      <w:r>
        <w:rPr>
          <w:rFonts w:ascii="Times New Roman" w:hAnsi="Times New Roman"/>
          <w:color w:val="auto"/>
          <w:highlight w:val="none"/>
          <w:shd w:val="clear"/>
        </w:rPr>
        <w:t>8</w:t>
      </w:r>
      <w:r>
        <w:rPr>
          <w:rFonts w:hint="eastAsia" w:ascii="Times New Roman" w:hAnsi="Times New Roman"/>
          <w:color w:val="auto"/>
          <w:highlight w:val="none"/>
          <w:shd w:val="clear"/>
        </w:rPr>
        <w:t>.1</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投标人或者其他利害关系人对招标文件有异议的，应</w:t>
      </w:r>
      <w:r>
        <w:rPr>
          <w:rStyle w:val="27"/>
          <w:rFonts w:hint="eastAsia" w:ascii="Times New Roman" w:hAnsi="Times New Roman" w:cs="Times New Roman"/>
          <w:bCs/>
          <w:color w:val="auto"/>
          <w:highlight w:val="none"/>
          <w:shd w:val="clear"/>
        </w:rPr>
        <w:t>当在规定时间通过</w:t>
      </w:r>
      <w:permStart w:id="18" w:edGrp="everyone"/>
      <w:r>
        <w:rPr>
          <w:rStyle w:val="27"/>
          <w:rFonts w:hint="eastAsia" w:ascii="Times New Roman" w:hAnsi="Times New Roman" w:cs="Times New Roman"/>
          <w:bCs/>
          <w:color w:val="auto"/>
          <w:highlight w:val="none"/>
          <w:shd w:val="clear"/>
        </w:rPr>
        <w:t>蚌埠市公共资源电子交易系统</w:t>
      </w:r>
      <w:permEnd w:id="18"/>
      <w:r>
        <w:rPr>
          <w:rStyle w:val="27"/>
          <w:rFonts w:hint="eastAsia" w:ascii="Times New Roman" w:hAnsi="Times New Roman" w:cs="Times New Roman"/>
          <w:bCs/>
          <w:color w:val="auto"/>
          <w:highlight w:val="none"/>
          <w:shd w:val="clear"/>
        </w:rPr>
        <w:t>在线提出。</w:t>
      </w:r>
    </w:p>
    <w:p w14:paraId="3412F75F">
      <w:pPr>
        <w:pStyle w:val="22"/>
        <w:ind w:firstLine="420"/>
        <w:rPr>
          <w:rStyle w:val="27"/>
          <w:rFonts w:hint="eastAsia" w:ascii="Times New Roman" w:hAnsi="Times New Roman" w:cs="Times New Roman"/>
          <w:bCs/>
          <w:color w:val="auto"/>
          <w:highlight w:val="none"/>
          <w:shd w:val="clear"/>
        </w:rPr>
      </w:pPr>
      <w:r>
        <w:rPr>
          <w:rStyle w:val="27"/>
          <w:rFonts w:hint="eastAsia" w:ascii="Times New Roman" w:hAnsi="Times New Roman" w:cs="Times New Roman"/>
          <w:bCs/>
          <w:color w:val="auto"/>
          <w:highlight w:val="none"/>
          <w:shd w:val="clear"/>
        </w:rPr>
        <w:t>8.2 投标人或者其他利害关系人对招标人、招标代理机构的答复不满意，或者招标人、招标代理机构未在规定时间内作出答复的，可以在规定时间内通过</w:t>
      </w:r>
      <w:permStart w:id="19" w:edGrp="everyone"/>
      <w:r>
        <w:rPr>
          <w:rStyle w:val="27"/>
          <w:rFonts w:hint="eastAsia" w:ascii="Times New Roman" w:hAnsi="Times New Roman" w:cs="Times New Roman"/>
          <w:bCs/>
          <w:color w:val="auto"/>
          <w:highlight w:val="none"/>
          <w:shd w:val="clear"/>
        </w:rPr>
        <w:t>蚌埠市公共资源交易电子交易系统</w:t>
      </w:r>
      <w:permEnd w:id="19"/>
      <w:r>
        <w:rPr>
          <w:rStyle w:val="27"/>
          <w:rFonts w:hint="eastAsia" w:ascii="Times New Roman" w:hAnsi="Times New Roman" w:cs="Times New Roman"/>
          <w:bCs/>
          <w:color w:val="auto"/>
          <w:highlight w:val="none"/>
          <w:shd w:val="clear"/>
        </w:rPr>
        <w:t>提出投诉。</w:t>
      </w:r>
    </w:p>
    <w:p w14:paraId="56A8C74F">
      <w:pPr>
        <w:pStyle w:val="26"/>
        <w:rPr>
          <w:color w:val="auto"/>
          <w:highlight w:val="none"/>
          <w:shd w:val="clear"/>
        </w:rPr>
      </w:pPr>
      <w:bookmarkStart w:id="46" w:name="_Toc1330"/>
      <w:bookmarkStart w:id="47" w:name="_Toc170805484"/>
      <w:bookmarkStart w:id="48" w:name="_Toc23788"/>
      <w:bookmarkStart w:id="49" w:name="_Toc9105"/>
      <w:bookmarkStart w:id="50" w:name="_Toc10280"/>
      <w:bookmarkStart w:id="51" w:name="_Toc170805104"/>
      <w:r>
        <w:rPr>
          <w:color w:val="auto"/>
          <w:highlight w:val="none"/>
          <w:shd w:val="clear"/>
        </w:rPr>
        <w:t>9</w:t>
      </w:r>
      <w:r>
        <w:rPr>
          <w:rFonts w:hint="eastAsia"/>
          <w:color w:val="auto"/>
          <w:highlight w:val="none"/>
          <w:shd w:val="clear"/>
        </w:rPr>
        <w:t>.发布公告的媒介</w:t>
      </w:r>
      <w:bookmarkEnd w:id="46"/>
      <w:bookmarkEnd w:id="47"/>
      <w:bookmarkEnd w:id="48"/>
      <w:bookmarkEnd w:id="49"/>
      <w:bookmarkEnd w:id="50"/>
      <w:bookmarkEnd w:id="51"/>
    </w:p>
    <w:p w14:paraId="23F30C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本次招标公告同时在以下媒体发布：</w:t>
      </w:r>
    </w:p>
    <w:p w14:paraId="497605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全国公共资源交易平台（安徽省 蚌埠市）、蚌埠市公共资源交易中心网站（</w:t>
      </w:r>
      <w:r>
        <w:rPr>
          <w:rFonts w:ascii="Times New Roman" w:hAnsi="Times New Roman"/>
          <w:color w:val="auto"/>
          <w:highlight w:val="none"/>
          <w:shd w:val="clear"/>
        </w:rPr>
        <w:t>http://ggzy.bengbu.gov.cn）</w:t>
      </w:r>
      <w:r>
        <w:rPr>
          <w:rFonts w:hint="eastAsia" w:ascii="Times New Roman" w:hAnsi="Times New Roman"/>
          <w:color w:val="auto"/>
          <w:highlight w:val="none"/>
          <w:shd w:val="clear"/>
        </w:rPr>
        <w:t>；</w:t>
      </w:r>
      <w:r>
        <w:rPr>
          <w:rFonts w:ascii="Times New Roman" w:hAnsi="Times New Roman"/>
          <w:color w:val="auto"/>
          <w:highlight w:val="none"/>
          <w:shd w:val="clear"/>
        </w:rPr>
        <w:t>蚌埠市人民政府网站(https://www.bengbu.gov.cn)</w:t>
      </w:r>
      <w:r>
        <w:rPr>
          <w:rFonts w:hint="eastAsia" w:ascii="Times New Roman" w:hAnsi="Times New Roman"/>
          <w:color w:val="auto"/>
          <w:highlight w:val="none"/>
          <w:shd w:val="clear"/>
        </w:rPr>
        <w:t>；全国公共资源交易平台（安徽省）、</w:t>
      </w:r>
      <w:r>
        <w:rPr>
          <w:rFonts w:ascii="Times New Roman" w:hAnsi="Times New Roman"/>
          <w:color w:val="auto"/>
          <w:highlight w:val="none"/>
          <w:shd w:val="clear"/>
        </w:rPr>
        <w:t>安徽省公共资源交易监管网（http://ggzy.ah.gov.cn）</w:t>
      </w:r>
      <w:r>
        <w:rPr>
          <w:rFonts w:hint="eastAsia" w:ascii="Times New Roman" w:hAnsi="Times New Roman"/>
          <w:color w:val="auto"/>
          <w:highlight w:val="none"/>
          <w:shd w:val="clear"/>
        </w:rPr>
        <w:t>；</w:t>
      </w:r>
      <w:r>
        <w:rPr>
          <w:rFonts w:ascii="Times New Roman" w:hAnsi="Times New Roman"/>
          <w:color w:val="auto"/>
          <w:highlight w:val="none"/>
          <w:shd w:val="clear"/>
        </w:rPr>
        <w:t>安徽省招标投标信息网(http://www.ahtba.org.cn)</w:t>
      </w:r>
      <w:r>
        <w:rPr>
          <w:rFonts w:hint="eastAsia" w:ascii="Times New Roman" w:hAnsi="Times New Roman"/>
          <w:color w:val="auto"/>
          <w:highlight w:val="none"/>
          <w:shd w:val="clear"/>
        </w:rPr>
        <w:t>。</w:t>
      </w:r>
    </w:p>
    <w:p w14:paraId="4FD06552">
      <w:pPr>
        <w:pStyle w:val="26"/>
        <w:rPr>
          <w:color w:val="auto"/>
          <w:highlight w:val="none"/>
          <w:shd w:val="clear"/>
        </w:rPr>
      </w:pPr>
      <w:bookmarkStart w:id="52" w:name="_Toc3970"/>
      <w:bookmarkStart w:id="53" w:name="_Toc170805105"/>
      <w:bookmarkStart w:id="54" w:name="_Toc17699"/>
      <w:bookmarkStart w:id="55" w:name="_Toc170805485"/>
      <w:bookmarkStart w:id="56" w:name="_Toc16920"/>
      <w:bookmarkStart w:id="57" w:name="_Toc29009"/>
      <w:r>
        <w:rPr>
          <w:rFonts w:hint="eastAsia"/>
          <w:color w:val="auto"/>
          <w:highlight w:val="none"/>
          <w:shd w:val="clear"/>
        </w:rPr>
        <w:t>1</w:t>
      </w:r>
      <w:r>
        <w:rPr>
          <w:color w:val="auto"/>
          <w:highlight w:val="none"/>
          <w:shd w:val="clear"/>
        </w:rPr>
        <w:t>0</w:t>
      </w:r>
      <w:r>
        <w:rPr>
          <w:rFonts w:hint="eastAsia"/>
          <w:color w:val="auto"/>
          <w:highlight w:val="none"/>
          <w:shd w:val="clear"/>
        </w:rPr>
        <w:t>.联系方式</w:t>
      </w:r>
      <w:bookmarkEnd w:id="52"/>
      <w:bookmarkEnd w:id="53"/>
      <w:bookmarkEnd w:id="54"/>
      <w:bookmarkEnd w:id="55"/>
      <w:bookmarkEnd w:id="56"/>
      <w:bookmarkEnd w:id="57"/>
    </w:p>
    <w:p w14:paraId="08CBCD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r>
        <w:rPr>
          <w:rFonts w:ascii="Times New Roman" w:hAnsi="Times New Roman"/>
          <w:color w:val="auto"/>
          <w:highlight w:val="none"/>
          <w:shd w:val="clear"/>
        </w:rPr>
        <w:t>0</w:t>
      </w:r>
      <w:r>
        <w:rPr>
          <w:rFonts w:hint="eastAsia" w:ascii="Times New Roman" w:hAnsi="Times New Roman"/>
          <w:color w:val="auto"/>
          <w:highlight w:val="none"/>
          <w:shd w:val="clear"/>
        </w:rPr>
        <w:t>.1 招标人</w:t>
      </w:r>
    </w:p>
    <w:p w14:paraId="0D8F42D6">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招 标 人：</w:t>
      </w:r>
      <w:r>
        <w:rPr>
          <w:rFonts w:hint="eastAsia" w:ascii="Times New Roman" w:hAnsi="Times New Roman"/>
          <w:color w:val="auto"/>
          <w:highlight w:val="none"/>
          <w:shd w:val="clear"/>
          <w:lang w:eastAsia="zh-CN"/>
        </w:rPr>
        <w:t>固镇县仲兴镇人民政府</w:t>
      </w:r>
    </w:p>
    <w:p w14:paraId="4C03D300">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地    址：固镇县仲兴镇街道10号</w:t>
      </w:r>
    </w:p>
    <w:p w14:paraId="49C276E0">
      <w:pPr>
        <w:pStyle w:val="22"/>
        <w:ind w:firstLine="420"/>
        <w:rPr>
          <w:rFonts w:hint="default" w:ascii="Times New Roman" w:hAnsi="Times New Roman"/>
          <w:color w:val="auto"/>
          <w:highlight w:val="none"/>
          <w:shd w:val="clear"/>
          <w:lang w:val="en-US" w:eastAsia="zh-CN"/>
        </w:rPr>
      </w:pPr>
      <w:r>
        <w:rPr>
          <w:rFonts w:hint="eastAsia" w:ascii="Times New Roman" w:hAnsi="Times New Roman"/>
          <w:color w:val="auto"/>
          <w:highlight w:val="none"/>
          <w:shd w:val="clear"/>
        </w:rPr>
        <w:t>邮    编：</w:t>
      </w:r>
      <w:r>
        <w:rPr>
          <w:rFonts w:hint="eastAsia" w:ascii="Times New Roman" w:hAnsi="Times New Roman"/>
          <w:color w:val="auto"/>
          <w:highlight w:val="none"/>
          <w:shd w:val="clear"/>
          <w:lang w:val="en-US" w:eastAsia="zh-CN"/>
        </w:rPr>
        <w:t>233700</w:t>
      </w:r>
    </w:p>
    <w:p w14:paraId="44573AFA">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联系人（暨受理异议的联系人）：</w:t>
      </w:r>
      <w:r>
        <w:rPr>
          <w:rFonts w:hint="eastAsia" w:ascii="Times New Roman" w:hAnsi="Times New Roman"/>
          <w:color w:val="auto"/>
          <w:highlight w:val="none"/>
          <w:shd w:val="clear"/>
          <w:lang w:eastAsia="zh-CN"/>
        </w:rPr>
        <w:t>杨</w:t>
      </w:r>
      <w:r>
        <w:rPr>
          <w:rFonts w:hint="eastAsia" w:ascii="Times New Roman" w:hAnsi="Times New Roman"/>
          <w:color w:val="auto"/>
          <w:highlight w:val="none"/>
          <w:shd w:val="clear"/>
          <w:lang w:val="en-US" w:eastAsia="zh-CN"/>
        </w:rPr>
        <w:t>肇仝</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陶向东</w:t>
      </w:r>
    </w:p>
    <w:p w14:paraId="617E6D39">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电    话：</w:t>
      </w:r>
      <w:r>
        <w:rPr>
          <w:rFonts w:hint="eastAsia" w:ascii="Times New Roman" w:hAnsi="Times New Roman"/>
          <w:color w:val="auto"/>
          <w:highlight w:val="none"/>
          <w:shd w:val="clear"/>
          <w:lang w:val="en-US" w:eastAsia="zh-CN"/>
        </w:rPr>
        <w:t>18055219800、</w:t>
      </w:r>
      <w:r>
        <w:rPr>
          <w:rFonts w:hint="eastAsia" w:ascii="Times New Roman" w:hAnsi="Times New Roman"/>
          <w:color w:val="auto"/>
          <w:highlight w:val="none"/>
          <w:shd w:val="clear"/>
        </w:rPr>
        <w:t>18655207887</w:t>
      </w:r>
    </w:p>
    <w:p w14:paraId="4A310C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r>
        <w:rPr>
          <w:rFonts w:ascii="Times New Roman" w:hAnsi="Times New Roman"/>
          <w:color w:val="auto"/>
          <w:highlight w:val="none"/>
          <w:shd w:val="clear"/>
        </w:rPr>
        <w:t>0</w:t>
      </w:r>
      <w:r>
        <w:rPr>
          <w:rFonts w:hint="eastAsia" w:ascii="Times New Roman" w:hAnsi="Times New Roman"/>
          <w:color w:val="auto"/>
          <w:highlight w:val="none"/>
          <w:shd w:val="clear"/>
        </w:rPr>
        <w:t>.2 招标代理机构</w:t>
      </w:r>
    </w:p>
    <w:p w14:paraId="56C61B26">
      <w:pPr>
        <w:pStyle w:val="22"/>
        <w:ind w:firstLine="420"/>
        <w:rPr>
          <w:rFonts w:hint="default" w:ascii="Times New Roman" w:hAnsi="Times New Roman"/>
          <w:color w:val="auto"/>
          <w:highlight w:val="none"/>
          <w:shd w:val="clear"/>
          <w:lang w:val="en-US" w:eastAsia="zh-CN"/>
        </w:rPr>
      </w:pPr>
      <w:r>
        <w:rPr>
          <w:rFonts w:hint="eastAsia" w:ascii="Times New Roman" w:hAnsi="Times New Roman"/>
          <w:color w:val="auto"/>
          <w:highlight w:val="none"/>
          <w:shd w:val="clear"/>
        </w:rPr>
        <w:t>招标代</w:t>
      </w:r>
      <w:r>
        <w:rPr>
          <w:rFonts w:hint="eastAsia" w:ascii="Times New Roman" w:hAnsi="Times New Roman"/>
          <w:color w:val="auto"/>
          <w:highlight w:val="none"/>
          <w:shd w:val="clear"/>
          <w:lang w:val="en-US" w:eastAsia="zh-CN"/>
        </w:rPr>
        <w:t>理机构：安徽汉兆项目管理有限公司</w:t>
      </w:r>
    </w:p>
    <w:p w14:paraId="090C5D7F">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地    址：固镇县汉兴大道投资大厦5楼</w:t>
      </w:r>
    </w:p>
    <w:p w14:paraId="3A6B78B3">
      <w:pPr>
        <w:pStyle w:val="22"/>
        <w:ind w:firstLine="420"/>
        <w:rPr>
          <w:rFonts w:hint="default"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邮    编：233700</w:t>
      </w:r>
    </w:p>
    <w:p w14:paraId="48024145">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联系人（暨受理异议的联系人）：龚雪峰</w:t>
      </w:r>
    </w:p>
    <w:p w14:paraId="198ED088">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电    话：0552-6058019、</w:t>
      </w:r>
      <w:r>
        <w:rPr>
          <w:rFonts w:hint="eastAsia" w:ascii="Times New Roman" w:hAnsi="Times New Roman"/>
          <w:color w:val="auto"/>
          <w:highlight w:val="none"/>
          <w:shd w:val="clear"/>
          <w:lang w:val="en-US" w:eastAsia="zh-CN"/>
        </w:rPr>
        <w:t>18895678878</w:t>
      </w:r>
    </w:p>
    <w:p w14:paraId="16E2AA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r>
        <w:rPr>
          <w:rFonts w:ascii="Times New Roman" w:hAnsi="Times New Roman"/>
          <w:color w:val="auto"/>
          <w:highlight w:val="none"/>
          <w:shd w:val="clear"/>
        </w:rPr>
        <w:t>0</w:t>
      </w:r>
      <w:r>
        <w:rPr>
          <w:rFonts w:hint="eastAsia" w:ascii="Times New Roman" w:hAnsi="Times New Roman"/>
          <w:color w:val="auto"/>
          <w:highlight w:val="none"/>
          <w:shd w:val="clear"/>
        </w:rPr>
        <w:t>.3 电子交易系统</w:t>
      </w:r>
    </w:p>
    <w:p w14:paraId="10B0FA35">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rPr>
        <w:t>电子交易系统名称</w:t>
      </w:r>
      <w:r>
        <w:rPr>
          <w:rFonts w:hint="eastAsia" w:ascii="Times New Roman" w:hAnsi="Times New Roman"/>
          <w:color w:val="auto"/>
          <w:highlight w:val="none"/>
          <w:shd w:val="clear"/>
          <w:lang w:val="en-US" w:eastAsia="zh-CN"/>
        </w:rPr>
        <w:t>：</w:t>
      </w:r>
      <w:permStart w:id="20" w:edGrp="everyone"/>
      <w:r>
        <w:rPr>
          <w:rFonts w:hint="eastAsia" w:ascii="Times New Roman" w:hAnsi="Times New Roman"/>
          <w:color w:val="auto"/>
          <w:highlight w:val="none"/>
          <w:shd w:val="clear"/>
          <w:lang w:val="en-US" w:eastAsia="zh-CN"/>
        </w:rPr>
        <w:t>蚌埠市公共资源电子交易系统</w:t>
      </w:r>
      <w:permEnd w:id="20"/>
    </w:p>
    <w:p w14:paraId="707B783A">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电子交易系统电话：交易系统运营单位公布的电话：如有技术问题请联系0512-58188516。CA数字证书和电子签章有关问题请拨打服务电话：安徽CA（0552-2078835）。安徽省公共资源交易市场主体库使用相关问题请拨打服务电话：010-86483801</w:t>
      </w:r>
    </w:p>
    <w:p w14:paraId="4BC03305">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10.4 电子服务系统</w:t>
      </w:r>
    </w:p>
    <w:p w14:paraId="27721AAA">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电子服务系统名称：</w:t>
      </w:r>
      <w:permStart w:id="21" w:edGrp="everyone"/>
      <w:r>
        <w:rPr>
          <w:rFonts w:hint="eastAsia" w:ascii="Times New Roman" w:hAnsi="Times New Roman"/>
          <w:color w:val="auto"/>
          <w:highlight w:val="none"/>
          <w:shd w:val="clear"/>
          <w:lang w:val="en-US" w:eastAsia="zh-CN"/>
        </w:rPr>
        <w:t>蚌埠市公共资源交易电子服务系统</w:t>
      </w:r>
      <w:permEnd w:id="21"/>
    </w:p>
    <w:p w14:paraId="5F75A90C">
      <w:pPr>
        <w:pStyle w:val="22"/>
        <w:ind w:firstLine="42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电子服务系统电话：</w:t>
      </w:r>
      <w:permStart w:id="22" w:edGrp="everyone"/>
      <w:r>
        <w:rPr>
          <w:rFonts w:hint="eastAsia" w:ascii="Times New Roman" w:hAnsi="Times New Roman"/>
          <w:color w:val="auto"/>
          <w:highlight w:val="none"/>
          <w:shd w:val="clear"/>
          <w:lang w:val="en-US" w:eastAsia="zh-CN"/>
        </w:rPr>
        <w:t>如有技术问题请联系0512-58188516</w:t>
      </w:r>
      <w:permEnd w:id="22"/>
    </w:p>
    <w:p w14:paraId="3FE321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r>
        <w:rPr>
          <w:rFonts w:ascii="Times New Roman" w:hAnsi="Times New Roman"/>
          <w:color w:val="auto"/>
          <w:highlight w:val="none"/>
          <w:shd w:val="clear"/>
        </w:rPr>
        <w:t>0</w:t>
      </w:r>
      <w:r>
        <w:rPr>
          <w:rFonts w:hint="eastAsia" w:ascii="Times New Roman" w:hAnsi="Times New Roman"/>
          <w:color w:val="auto"/>
          <w:highlight w:val="none"/>
          <w:shd w:val="clear"/>
        </w:rPr>
        <w:t>.5 招标投标行政监督部门</w:t>
      </w:r>
    </w:p>
    <w:p w14:paraId="078A0EAA">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招标投标行政监督部门：固镇县发展和改革委</w:t>
      </w:r>
      <w:r>
        <w:rPr>
          <w:rFonts w:hint="eastAsia" w:ascii="Times New Roman" w:hAnsi="Times New Roman"/>
          <w:color w:val="auto"/>
          <w:highlight w:val="none"/>
          <w:shd w:val="clear"/>
          <w:lang w:val="en-US" w:eastAsia="zh-CN"/>
        </w:rPr>
        <w:t>员会</w:t>
      </w:r>
    </w:p>
    <w:p w14:paraId="566142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地    址：固镇县汉兴大道投资大厦西附一楼</w:t>
      </w:r>
    </w:p>
    <w:p w14:paraId="6C3AA805">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联 系 人：</w:t>
      </w:r>
      <w:r>
        <w:rPr>
          <w:rFonts w:hint="eastAsia" w:ascii="Times New Roman" w:hAnsi="Times New Roman"/>
          <w:color w:val="auto"/>
          <w:highlight w:val="none"/>
          <w:shd w:val="clear"/>
          <w:lang w:val="en-US" w:eastAsia="zh-CN"/>
        </w:rPr>
        <w:t>张泽天</w:t>
      </w:r>
    </w:p>
    <w:p w14:paraId="214CAC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    话：0552-6026036</w:t>
      </w:r>
    </w:p>
    <w:p w14:paraId="157AA96B">
      <w:pPr>
        <w:pStyle w:val="26"/>
        <w:rPr>
          <w:color w:val="auto"/>
          <w:highlight w:val="none"/>
          <w:shd w:val="clear"/>
        </w:rPr>
      </w:pPr>
      <w:bookmarkStart w:id="58" w:name="_Toc7062"/>
      <w:bookmarkStart w:id="59" w:name="_Toc14370"/>
      <w:bookmarkStart w:id="60" w:name="_Toc170805106"/>
      <w:bookmarkStart w:id="61" w:name="_Toc28090"/>
      <w:bookmarkStart w:id="62" w:name="_Toc28119"/>
      <w:bookmarkStart w:id="63" w:name="_Toc170805486"/>
      <w:r>
        <w:rPr>
          <w:rFonts w:hint="eastAsia"/>
          <w:color w:val="auto"/>
          <w:highlight w:val="none"/>
          <w:shd w:val="clear"/>
        </w:rPr>
        <w:t>1</w:t>
      </w:r>
      <w:r>
        <w:rPr>
          <w:color w:val="auto"/>
          <w:highlight w:val="none"/>
          <w:shd w:val="clear"/>
        </w:rPr>
        <w:t>1</w:t>
      </w:r>
      <w:r>
        <w:rPr>
          <w:rFonts w:hint="eastAsia"/>
          <w:color w:val="auto"/>
          <w:highlight w:val="none"/>
          <w:shd w:val="clear"/>
        </w:rPr>
        <w:t>.其他事项说明</w:t>
      </w:r>
      <w:bookmarkEnd w:id="58"/>
      <w:bookmarkEnd w:id="59"/>
      <w:bookmarkEnd w:id="60"/>
      <w:bookmarkEnd w:id="61"/>
      <w:bookmarkEnd w:id="62"/>
      <w:bookmarkEnd w:id="63"/>
    </w:p>
    <w:p w14:paraId="1DC21E2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r>
        <w:rPr>
          <w:rFonts w:ascii="Times New Roman" w:hAnsi="Times New Roman"/>
          <w:color w:val="auto"/>
          <w:highlight w:val="none"/>
          <w:shd w:val="clear"/>
        </w:rPr>
        <w:t>1</w:t>
      </w:r>
      <w:r>
        <w:rPr>
          <w:rFonts w:hint="eastAsia" w:ascii="Times New Roman" w:hAnsi="Times New Roman"/>
          <w:color w:val="auto"/>
          <w:highlight w:val="none"/>
          <w:shd w:val="clear"/>
        </w:rPr>
        <w:t>.1</w:t>
      </w:r>
      <w:r>
        <w:rPr>
          <w:rFonts w:ascii="Times New Roman" w:hAnsi="Times New Roman"/>
          <w:color w:val="auto"/>
          <w:highlight w:val="none"/>
          <w:shd w:val="clear"/>
        </w:rPr>
        <w:t xml:space="preserve"> 投标人</w:t>
      </w:r>
      <w:r>
        <w:rPr>
          <w:rFonts w:hint="eastAsia" w:ascii="Times New Roman" w:hAnsi="Times New Roman"/>
          <w:color w:val="auto"/>
          <w:highlight w:val="none"/>
          <w:shd w:val="clear"/>
        </w:rPr>
        <w:t>应</w:t>
      </w:r>
      <w:r>
        <w:rPr>
          <w:rFonts w:ascii="Times New Roman" w:hAnsi="Times New Roman"/>
          <w:color w:val="auto"/>
          <w:highlight w:val="none"/>
          <w:shd w:val="clear"/>
        </w:rPr>
        <w:t>使用数字证书</w:t>
      </w:r>
      <w:r>
        <w:rPr>
          <w:rFonts w:hint="eastAsia" w:ascii="Times New Roman" w:hAnsi="Times New Roman"/>
          <w:color w:val="auto"/>
          <w:highlight w:val="none"/>
          <w:shd w:val="clear"/>
        </w:rPr>
        <w:t>（主锁或副锁）获取招标文件、</w:t>
      </w:r>
      <w:r>
        <w:rPr>
          <w:rFonts w:ascii="Times New Roman" w:hAnsi="Times New Roman"/>
          <w:color w:val="auto"/>
          <w:highlight w:val="none"/>
          <w:shd w:val="clear"/>
        </w:rPr>
        <w:t>加密投标文件</w:t>
      </w:r>
      <w:r>
        <w:rPr>
          <w:rFonts w:hint="eastAsia" w:ascii="Times New Roman" w:hAnsi="Times New Roman"/>
          <w:color w:val="auto"/>
          <w:highlight w:val="none"/>
          <w:shd w:val="clear"/>
        </w:rPr>
        <w:t>，使用</w:t>
      </w:r>
      <w:r>
        <w:rPr>
          <w:rFonts w:ascii="Times New Roman" w:hAnsi="Times New Roman"/>
          <w:color w:val="auto"/>
          <w:highlight w:val="none"/>
          <w:shd w:val="clear"/>
        </w:rPr>
        <w:t>数字证书</w:t>
      </w:r>
      <w:r>
        <w:rPr>
          <w:rFonts w:hint="eastAsia" w:ascii="Times New Roman" w:hAnsi="Times New Roman"/>
          <w:color w:val="auto"/>
          <w:highlight w:val="none"/>
          <w:shd w:val="clear"/>
        </w:rPr>
        <w:t>（主锁）对投标文件进行</w:t>
      </w:r>
      <w:r>
        <w:rPr>
          <w:rFonts w:ascii="Times New Roman" w:hAnsi="Times New Roman"/>
          <w:color w:val="auto"/>
          <w:highlight w:val="none"/>
          <w:shd w:val="clear"/>
        </w:rPr>
        <w:t>签章</w:t>
      </w:r>
      <w:r>
        <w:rPr>
          <w:rFonts w:hint="eastAsia" w:ascii="Times New Roman" w:hAnsi="Times New Roman"/>
          <w:color w:val="auto"/>
          <w:highlight w:val="none"/>
          <w:shd w:val="clear"/>
        </w:rPr>
        <w:t>。</w:t>
      </w:r>
      <w:r>
        <w:rPr>
          <w:rFonts w:ascii="Times New Roman" w:hAnsi="Times New Roman"/>
          <w:color w:val="auto"/>
          <w:highlight w:val="none"/>
          <w:shd w:val="clear"/>
        </w:rPr>
        <w:t>如未办理数字证书请及时到安徽蚌埠公共资源交易中心CA证书办理窗口</w:t>
      </w:r>
      <w:r>
        <w:rPr>
          <w:rFonts w:hint="eastAsia" w:ascii="Times New Roman" w:hAnsi="Times New Roman"/>
          <w:color w:val="auto"/>
          <w:highlight w:val="none"/>
          <w:shd w:val="clear"/>
        </w:rPr>
        <w:t>，</w:t>
      </w:r>
      <w:r>
        <w:rPr>
          <w:rFonts w:ascii="Times New Roman" w:hAnsi="Times New Roman"/>
          <w:color w:val="auto"/>
          <w:highlight w:val="none"/>
          <w:shd w:val="clear"/>
        </w:rPr>
        <w:t>联系电话：0552-2078835</w:t>
      </w:r>
      <w:r>
        <w:rPr>
          <w:rFonts w:hint="eastAsia" w:ascii="Times New Roman" w:hAnsi="Times New Roman"/>
          <w:color w:val="auto"/>
          <w:highlight w:val="none"/>
          <w:shd w:val="clear"/>
        </w:rPr>
        <w:t>。</w:t>
      </w:r>
    </w:p>
    <w:p w14:paraId="3B0A8A91">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1</w:t>
      </w:r>
      <w:r>
        <w:rPr>
          <w:rFonts w:ascii="Times New Roman" w:hAnsi="Times New Roman"/>
          <w:color w:val="auto"/>
          <w:highlight w:val="none"/>
          <w:shd w:val="clear"/>
        </w:rPr>
        <w:t>1</w:t>
      </w:r>
      <w:r>
        <w:rPr>
          <w:rFonts w:hint="eastAsia" w:ascii="Times New Roman" w:hAnsi="Times New Roman"/>
          <w:color w:val="auto"/>
          <w:highlight w:val="none"/>
          <w:shd w:val="clear"/>
        </w:rPr>
        <w:t>.2</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投标人应合理安排招标文件获取时间，避免因网络速度慢或网络拥堵导致系统关闭前无法获取招标文件。投标人因计算机及网络故障造成无法获取招标文件，责任自负。</w:t>
      </w:r>
    </w:p>
    <w:p w14:paraId="1E72A775">
      <w:pPr>
        <w:pStyle w:val="22"/>
        <w:ind w:firstLine="420"/>
        <w:rPr>
          <w:rFonts w:hint="eastAsia" w:ascii="Times New Roman" w:hAnsi="Times New Roman"/>
          <w:color w:val="auto"/>
          <w:highlight w:val="none"/>
          <w:shd w:val="clear"/>
          <w:lang w:eastAsia="zh-CN"/>
        </w:rPr>
      </w:pPr>
      <w:r>
        <w:rPr>
          <w:rFonts w:hint="eastAsia" w:ascii="Times New Roman" w:hAnsi="Times New Roman"/>
          <w:color w:val="auto"/>
          <w:highlight w:val="none"/>
          <w:shd w:val="clear"/>
        </w:rPr>
        <w:t xml:space="preserve">11.3 </w:t>
      </w:r>
      <w:permStart w:id="23" w:edGrp="everyone"/>
      <w:r>
        <w:rPr>
          <w:rFonts w:hint="eastAsia" w:ascii="Times New Roman" w:hAnsi="Times New Roman"/>
          <w:color w:val="auto"/>
          <w:highlight w:val="none"/>
          <w:shd w:val="clear"/>
        </w:rPr>
        <w:t>其他补充事项说明：</w:t>
      </w:r>
      <w:r>
        <w:rPr>
          <w:rFonts w:hint="eastAsia" w:ascii="Times New Roman" w:hAnsi="Times New Roman"/>
          <w:color w:val="auto"/>
          <w:highlight w:val="none"/>
          <w:shd w:val="clear"/>
          <w:lang w:val="en-US" w:eastAsia="zh-CN"/>
        </w:rPr>
        <w:t>无</w:t>
      </w:r>
      <w:permEnd w:id="23"/>
    </w:p>
    <w:p w14:paraId="2F8EF19F">
      <w:pPr>
        <w:pStyle w:val="26"/>
        <w:rPr>
          <w:color w:val="auto"/>
          <w:highlight w:val="none"/>
          <w:shd w:val="clear"/>
        </w:rPr>
      </w:pPr>
      <w:bookmarkStart w:id="64" w:name="_Toc3874"/>
      <w:bookmarkStart w:id="65" w:name="_Toc170805107"/>
      <w:bookmarkStart w:id="66" w:name="_Toc10307"/>
      <w:bookmarkStart w:id="67" w:name="_Toc170805487"/>
      <w:bookmarkStart w:id="68" w:name="_Toc13104"/>
      <w:bookmarkStart w:id="69" w:name="_Toc5601"/>
      <w:r>
        <w:rPr>
          <w:rFonts w:hint="eastAsia"/>
          <w:color w:val="auto"/>
          <w:highlight w:val="none"/>
          <w:shd w:val="clear"/>
        </w:rPr>
        <w:t>1</w:t>
      </w:r>
      <w:r>
        <w:rPr>
          <w:color w:val="auto"/>
          <w:highlight w:val="none"/>
          <w:shd w:val="clear"/>
        </w:rPr>
        <w:t>2</w:t>
      </w:r>
      <w:r>
        <w:rPr>
          <w:rFonts w:hint="eastAsia"/>
          <w:color w:val="auto"/>
          <w:highlight w:val="none"/>
          <w:shd w:val="clear"/>
        </w:rPr>
        <w:t>.投标保证金账户</w:t>
      </w:r>
      <w:bookmarkEnd w:id="64"/>
      <w:bookmarkEnd w:id="65"/>
      <w:bookmarkEnd w:id="66"/>
      <w:bookmarkEnd w:id="67"/>
      <w:bookmarkEnd w:id="68"/>
      <w:bookmarkEnd w:id="69"/>
    </w:p>
    <w:p w14:paraId="0C36E55E">
      <w:pPr>
        <w:adjustRightInd w:val="0"/>
        <w:spacing w:line="400" w:lineRule="exact"/>
        <w:outlineLvl w:val="1"/>
        <w:rPr>
          <w:rFonts w:ascii="Times New Roman" w:hAnsi="Times New Roman"/>
          <w:b/>
          <w:bCs/>
          <w:color w:val="auto"/>
          <w:sz w:val="32"/>
          <w:highlight w:val="none"/>
          <w:u w:val="single"/>
          <w:shd w:val="clear"/>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26" w:charSpace="0"/>
        </w:sectPr>
      </w:pPr>
      <w:r>
        <w:rPr>
          <w:rFonts w:hint="eastAsia" w:ascii="Times New Roman" w:hAnsi="Times New Roman" w:eastAsia="宋体" w:cs="宋体"/>
          <w:b/>
          <w:bCs/>
          <w:color w:val="auto"/>
          <w:kern w:val="2"/>
          <w:sz w:val="21"/>
          <w:szCs w:val="21"/>
          <w:highlight w:val="none"/>
          <w:u w:val="single"/>
          <w:shd w:val="clear"/>
          <w:lang w:val="en-US" w:eastAsia="zh-CN" w:bidi="ar-SA"/>
        </w:rPr>
        <w:t>本项目不收取投标保证金</w:t>
      </w:r>
    </w:p>
    <w:p w14:paraId="389B3C17">
      <w:pPr>
        <w:pStyle w:val="24"/>
        <w:rPr>
          <w:rFonts w:ascii="Times New Roman" w:hAnsi="Times New Roman"/>
          <w:color w:val="auto"/>
          <w:highlight w:val="none"/>
          <w:shd w:val="clear"/>
        </w:rPr>
      </w:pPr>
      <w:bookmarkStart w:id="70" w:name="_Toc130919069"/>
      <w:bookmarkStart w:id="71" w:name="_Toc170805488"/>
      <w:r>
        <w:rPr>
          <w:rFonts w:ascii="Times New Roman" w:hAnsi="Times New Roman"/>
          <w:color w:val="auto"/>
          <w:highlight w:val="none"/>
          <w:shd w:val="clear"/>
        </w:rPr>
        <w:t>第二章 投标人须知</w:t>
      </w:r>
      <w:bookmarkEnd w:id="70"/>
      <w:bookmarkEnd w:id="71"/>
    </w:p>
    <w:p w14:paraId="365D1CB1">
      <w:pPr>
        <w:pStyle w:val="26"/>
        <w:rPr>
          <w:color w:val="auto"/>
          <w:highlight w:val="none"/>
          <w:shd w:val="clear"/>
        </w:rPr>
      </w:pPr>
      <w:bookmarkStart w:id="72" w:name="_Toc25475"/>
      <w:bookmarkStart w:id="73" w:name="_Toc38879315"/>
      <w:bookmarkStart w:id="74" w:name="_Toc170805489"/>
      <w:bookmarkStart w:id="75" w:name="_Toc130919070"/>
      <w:bookmarkStart w:id="76" w:name="_Toc170803921"/>
      <w:bookmarkStart w:id="77" w:name="_Toc170805109"/>
      <w:r>
        <w:rPr>
          <w:rFonts w:hint="eastAsia"/>
          <w:color w:val="auto"/>
          <w:highlight w:val="none"/>
          <w:shd w:val="clear"/>
        </w:rPr>
        <w:t>投标人须知前附表</w:t>
      </w:r>
      <w:bookmarkEnd w:id="72"/>
      <w:bookmarkEnd w:id="73"/>
      <w:bookmarkEnd w:id="74"/>
      <w:bookmarkEnd w:id="75"/>
      <w:bookmarkEnd w:id="76"/>
      <w:bookmarkEnd w:id="77"/>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851"/>
        <w:gridCol w:w="5606"/>
      </w:tblGrid>
      <w:tr w14:paraId="5403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0" w:type="pct"/>
            <w:vAlign w:val="center"/>
          </w:tcPr>
          <w:p w14:paraId="2D228014">
            <w:pPr>
              <w:pStyle w:val="28"/>
              <w:rPr>
                <w:rFonts w:ascii="Times New Roman" w:hAnsi="Times New Roman"/>
                <w:color w:val="auto"/>
                <w:highlight w:val="none"/>
                <w:shd w:val="clear"/>
              </w:rPr>
            </w:pPr>
            <w:permStart w:id="24" w:edGrp="everyone" w:colFirst="2" w:colLast="2"/>
            <w:r>
              <w:rPr>
                <w:rFonts w:hint="eastAsia" w:ascii="Times New Roman" w:hAnsi="Times New Roman"/>
                <w:color w:val="auto"/>
                <w:highlight w:val="none"/>
                <w:shd w:val="clear"/>
              </w:rPr>
              <w:t>条款号</w:t>
            </w:r>
          </w:p>
        </w:tc>
        <w:tc>
          <w:tcPr>
            <w:tcW w:w="1087" w:type="pct"/>
            <w:vAlign w:val="center"/>
          </w:tcPr>
          <w:p w14:paraId="1F984793">
            <w:pPr>
              <w:pStyle w:val="28"/>
              <w:rPr>
                <w:rFonts w:ascii="Times New Roman" w:hAnsi="Times New Roman"/>
                <w:color w:val="auto"/>
                <w:highlight w:val="none"/>
                <w:shd w:val="clear"/>
              </w:rPr>
            </w:pPr>
            <w:r>
              <w:rPr>
                <w:rFonts w:hint="eastAsia" w:ascii="Times New Roman" w:hAnsi="Times New Roman"/>
                <w:color w:val="auto"/>
                <w:highlight w:val="none"/>
                <w:shd w:val="clear"/>
              </w:rPr>
              <w:t xml:space="preserve">条  款 </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 xml:space="preserve">名 </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称</w:t>
            </w:r>
          </w:p>
        </w:tc>
        <w:tc>
          <w:tcPr>
            <w:tcW w:w="3293" w:type="pct"/>
            <w:vAlign w:val="center"/>
          </w:tcPr>
          <w:p w14:paraId="2FFE90BE">
            <w:pPr>
              <w:pStyle w:val="28"/>
              <w:rPr>
                <w:rFonts w:ascii="Times New Roman" w:hAnsi="Times New Roman"/>
                <w:color w:val="auto"/>
                <w:highlight w:val="none"/>
                <w:shd w:val="clear"/>
              </w:rPr>
            </w:pPr>
            <w:r>
              <w:rPr>
                <w:rFonts w:hint="eastAsia" w:ascii="Times New Roman" w:hAnsi="Times New Roman"/>
                <w:color w:val="auto"/>
                <w:highlight w:val="none"/>
                <w:shd w:val="clear"/>
              </w:rPr>
              <w:t xml:space="preserve">编 </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 xml:space="preserve">列 </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 xml:space="preserve">内 </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容</w:t>
            </w:r>
          </w:p>
        </w:tc>
      </w:tr>
      <w:permEnd w:id="24"/>
      <w:tr w14:paraId="74E9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B43C1AF">
            <w:pPr>
              <w:pStyle w:val="29"/>
              <w:rPr>
                <w:rFonts w:ascii="Times New Roman" w:hAnsi="Times New Roman"/>
                <w:color w:val="auto"/>
                <w:highlight w:val="none"/>
                <w:shd w:val="clear"/>
              </w:rPr>
            </w:pPr>
            <w:permStart w:id="25" w:edGrp="everyone" w:colFirst="2" w:colLast="2"/>
            <w:r>
              <w:rPr>
                <w:rFonts w:hint="eastAsia" w:ascii="Times New Roman" w:hAnsi="Times New Roman"/>
                <w:color w:val="auto"/>
                <w:highlight w:val="none"/>
                <w:shd w:val="clear"/>
              </w:rPr>
              <w:t>1.3.2</w:t>
            </w:r>
          </w:p>
        </w:tc>
        <w:tc>
          <w:tcPr>
            <w:tcW w:w="1087" w:type="pct"/>
            <w:vAlign w:val="center"/>
          </w:tcPr>
          <w:p w14:paraId="616A0E65">
            <w:pPr>
              <w:pStyle w:val="29"/>
              <w:rPr>
                <w:rFonts w:ascii="Times New Roman" w:hAnsi="Times New Roman"/>
                <w:color w:val="auto"/>
                <w:highlight w:val="none"/>
                <w:shd w:val="clear"/>
              </w:rPr>
            </w:pPr>
            <w:r>
              <w:rPr>
                <w:rFonts w:hint="eastAsia" w:ascii="Times New Roman" w:hAnsi="Times New Roman"/>
                <w:color w:val="auto"/>
                <w:highlight w:val="none"/>
                <w:shd w:val="clear"/>
              </w:rPr>
              <w:t>计划工期</w:t>
            </w:r>
          </w:p>
        </w:tc>
        <w:tc>
          <w:tcPr>
            <w:tcW w:w="3293" w:type="pct"/>
            <w:vAlign w:val="center"/>
          </w:tcPr>
          <w:p w14:paraId="3CB71EE5">
            <w:pPr>
              <w:pStyle w:val="30"/>
              <w:rPr>
                <w:rFonts w:ascii="Times New Roman" w:hAnsi="Times New Roman"/>
                <w:color w:val="auto"/>
                <w:highlight w:val="none"/>
                <w:shd w:val="clear"/>
              </w:rPr>
            </w:pPr>
            <w:r>
              <w:rPr>
                <w:rFonts w:hint="eastAsia" w:ascii="Times New Roman" w:hAnsi="Times New Roman"/>
                <w:color w:val="auto"/>
                <w:highlight w:val="none"/>
                <w:shd w:val="clear"/>
              </w:rPr>
              <w:t>计划工期：见招标公告</w:t>
            </w:r>
          </w:p>
          <w:p w14:paraId="528289B6">
            <w:pPr>
              <w:pStyle w:val="30"/>
              <w:rPr>
                <w:rFonts w:ascii="Times New Roman" w:hAnsi="Times New Roman"/>
                <w:color w:val="auto"/>
                <w:highlight w:val="none"/>
                <w:shd w:val="clear"/>
              </w:rPr>
            </w:pPr>
            <w:r>
              <w:rPr>
                <w:rFonts w:hint="eastAsia" w:ascii="Times New Roman" w:hAnsi="Times New Roman"/>
                <w:color w:val="auto"/>
                <w:highlight w:val="none"/>
                <w:shd w:val="clear"/>
              </w:rPr>
              <w:t>计划开工日期：具体开工日期以开工通知为准</w:t>
            </w:r>
          </w:p>
        </w:tc>
      </w:tr>
      <w:permEnd w:id="25"/>
      <w:tr w14:paraId="203E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ECD1C79">
            <w:pPr>
              <w:pStyle w:val="29"/>
              <w:rPr>
                <w:rFonts w:ascii="Times New Roman" w:hAnsi="Times New Roman"/>
                <w:color w:val="auto"/>
                <w:highlight w:val="none"/>
                <w:shd w:val="clear"/>
              </w:rPr>
            </w:pPr>
            <w:permStart w:id="26" w:edGrp="everyone" w:colFirst="2" w:colLast="2"/>
            <w:r>
              <w:rPr>
                <w:rFonts w:hint="eastAsia" w:ascii="Times New Roman" w:hAnsi="Times New Roman"/>
                <w:color w:val="auto"/>
                <w:highlight w:val="none"/>
                <w:shd w:val="clear"/>
              </w:rPr>
              <w:t>1.3.3</w:t>
            </w:r>
          </w:p>
        </w:tc>
        <w:tc>
          <w:tcPr>
            <w:tcW w:w="1087" w:type="pct"/>
            <w:vAlign w:val="center"/>
          </w:tcPr>
          <w:p w14:paraId="2DCA3117">
            <w:pPr>
              <w:pStyle w:val="29"/>
              <w:rPr>
                <w:rFonts w:ascii="Times New Roman" w:hAnsi="Times New Roman"/>
                <w:color w:val="auto"/>
                <w:highlight w:val="none"/>
                <w:shd w:val="clear"/>
              </w:rPr>
            </w:pPr>
            <w:r>
              <w:rPr>
                <w:rFonts w:hint="eastAsia" w:ascii="Times New Roman" w:hAnsi="Times New Roman"/>
                <w:color w:val="auto"/>
                <w:highlight w:val="none"/>
                <w:shd w:val="clear"/>
              </w:rPr>
              <w:t>质量要求</w:t>
            </w:r>
          </w:p>
        </w:tc>
        <w:tc>
          <w:tcPr>
            <w:tcW w:w="3293" w:type="pct"/>
            <w:vAlign w:val="center"/>
          </w:tcPr>
          <w:p w14:paraId="40C9FEBF">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合格</w:t>
            </w:r>
          </w:p>
        </w:tc>
      </w:tr>
      <w:permEnd w:id="26"/>
      <w:tr w14:paraId="2186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0523BBB">
            <w:pPr>
              <w:pStyle w:val="29"/>
              <w:rPr>
                <w:rFonts w:ascii="Times New Roman" w:hAnsi="Times New Roman"/>
                <w:color w:val="auto"/>
                <w:highlight w:val="none"/>
                <w:shd w:val="clear"/>
              </w:rPr>
            </w:pPr>
            <w:permStart w:id="27" w:edGrp="everyone" w:colFirst="2" w:colLast="2"/>
            <w:r>
              <w:rPr>
                <w:rFonts w:hint="eastAsia" w:ascii="Times New Roman" w:hAnsi="Times New Roman"/>
                <w:color w:val="auto"/>
                <w:highlight w:val="none"/>
                <w:shd w:val="clear"/>
              </w:rPr>
              <w:t>1.4.1</w:t>
            </w:r>
          </w:p>
        </w:tc>
        <w:tc>
          <w:tcPr>
            <w:tcW w:w="1087" w:type="pct"/>
            <w:vAlign w:val="center"/>
          </w:tcPr>
          <w:p w14:paraId="0DCA3201">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投标人资质条件、能力和信誉</w:t>
            </w:r>
          </w:p>
        </w:tc>
        <w:tc>
          <w:tcPr>
            <w:tcW w:w="3293" w:type="pct"/>
            <w:vAlign w:val="center"/>
          </w:tcPr>
          <w:p w14:paraId="20ED0544">
            <w:pPr>
              <w:pStyle w:val="30"/>
              <w:rPr>
                <w:rFonts w:ascii="Times New Roman" w:hAnsi="Times New Roman"/>
                <w:color w:val="auto"/>
                <w:highlight w:val="none"/>
                <w:shd w:val="clear"/>
              </w:rPr>
            </w:pPr>
            <w:r>
              <w:rPr>
                <w:rFonts w:hint="eastAsia" w:ascii="Times New Roman" w:hAnsi="Times New Roman"/>
                <w:color w:val="auto"/>
                <w:highlight w:val="none"/>
                <w:shd w:val="clear"/>
              </w:rPr>
              <w:t>（1）资质条件：见附录1</w:t>
            </w:r>
          </w:p>
          <w:p w14:paraId="3FEFBE52">
            <w:pPr>
              <w:pStyle w:val="30"/>
              <w:rPr>
                <w:rFonts w:ascii="Times New Roman" w:hAnsi="Times New Roman"/>
                <w:color w:val="auto"/>
                <w:highlight w:val="none"/>
                <w:shd w:val="clear"/>
              </w:rPr>
            </w:pPr>
            <w:r>
              <w:rPr>
                <w:rFonts w:hint="eastAsia" w:ascii="Times New Roman" w:hAnsi="Times New Roman"/>
                <w:color w:val="auto"/>
                <w:highlight w:val="none"/>
                <w:shd w:val="clear"/>
              </w:rPr>
              <w:t>（2）财务要求：见附录2</w:t>
            </w:r>
          </w:p>
          <w:p w14:paraId="6B65279A">
            <w:pPr>
              <w:pStyle w:val="30"/>
              <w:rPr>
                <w:rFonts w:ascii="Times New Roman" w:hAnsi="Times New Roman"/>
                <w:color w:val="auto"/>
                <w:highlight w:val="none"/>
                <w:shd w:val="clear"/>
              </w:rPr>
            </w:pPr>
            <w:r>
              <w:rPr>
                <w:rFonts w:hint="eastAsia" w:ascii="Times New Roman" w:hAnsi="Times New Roman"/>
                <w:color w:val="auto"/>
                <w:highlight w:val="none"/>
                <w:shd w:val="clear"/>
              </w:rPr>
              <w:t>（3）业绩要求：见附录3</w:t>
            </w:r>
          </w:p>
          <w:p w14:paraId="22AD3AA7">
            <w:pPr>
              <w:pStyle w:val="30"/>
              <w:rPr>
                <w:rFonts w:ascii="Times New Roman" w:hAnsi="Times New Roman"/>
                <w:color w:val="auto"/>
                <w:highlight w:val="none"/>
                <w:shd w:val="clear"/>
              </w:rPr>
            </w:pPr>
            <w:r>
              <w:rPr>
                <w:rFonts w:hint="eastAsia" w:ascii="Times New Roman" w:hAnsi="Times New Roman"/>
                <w:color w:val="auto"/>
                <w:highlight w:val="none"/>
                <w:shd w:val="clear"/>
              </w:rPr>
              <w:t>（4）信誉要求：见附录4</w:t>
            </w:r>
          </w:p>
          <w:p w14:paraId="6AAFEE4F">
            <w:pPr>
              <w:pStyle w:val="30"/>
              <w:rPr>
                <w:rFonts w:ascii="Times New Roman" w:hAnsi="Times New Roman"/>
                <w:color w:val="auto"/>
                <w:highlight w:val="none"/>
                <w:shd w:val="clear"/>
              </w:rPr>
            </w:pPr>
            <w:r>
              <w:rPr>
                <w:rFonts w:hint="eastAsia" w:ascii="Times New Roman" w:hAnsi="Times New Roman"/>
                <w:color w:val="auto"/>
                <w:highlight w:val="none"/>
                <w:shd w:val="clear"/>
              </w:rPr>
              <w:t>（5）项目经理资格：见附录5</w:t>
            </w:r>
          </w:p>
          <w:p w14:paraId="7A563E23">
            <w:pPr>
              <w:pStyle w:val="30"/>
              <w:rPr>
                <w:rFonts w:ascii="Times New Roman" w:hAnsi="Times New Roman"/>
                <w:color w:val="auto"/>
                <w:highlight w:val="none"/>
                <w:shd w:val="clear"/>
              </w:rPr>
            </w:pPr>
            <w:r>
              <w:rPr>
                <w:rFonts w:hint="eastAsia" w:ascii="Times New Roman" w:hAnsi="Times New Roman"/>
                <w:color w:val="auto"/>
                <w:highlight w:val="none"/>
                <w:shd w:val="clear"/>
              </w:rPr>
              <w:t>（6）其他管理人员和技术人员要求：见附录6</w:t>
            </w:r>
          </w:p>
          <w:p w14:paraId="599AC511">
            <w:pPr>
              <w:pStyle w:val="30"/>
              <w:rPr>
                <w:rFonts w:ascii="Times New Roman" w:hAnsi="Times New Roman"/>
                <w:color w:val="auto"/>
                <w:highlight w:val="none"/>
                <w:shd w:val="clear"/>
              </w:rPr>
            </w:pPr>
            <w:r>
              <w:rPr>
                <w:rFonts w:hint="eastAsia" w:ascii="Times New Roman" w:hAnsi="Times New Roman"/>
                <w:color w:val="auto"/>
                <w:highlight w:val="none"/>
                <w:shd w:val="clear"/>
              </w:rPr>
              <w:t>（7）其他要求：见附录7</w:t>
            </w:r>
          </w:p>
        </w:tc>
      </w:tr>
      <w:permEnd w:id="27"/>
      <w:tr w14:paraId="1468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29F5C09">
            <w:pPr>
              <w:pStyle w:val="29"/>
              <w:rPr>
                <w:rFonts w:ascii="Times New Roman" w:hAnsi="Times New Roman"/>
                <w:color w:val="auto"/>
                <w:highlight w:val="none"/>
                <w:shd w:val="clear"/>
              </w:rPr>
            </w:pPr>
            <w:permStart w:id="28" w:edGrp="everyone" w:colFirst="2" w:colLast="2"/>
            <w:r>
              <w:rPr>
                <w:rFonts w:hint="eastAsia" w:ascii="Times New Roman" w:hAnsi="Times New Roman"/>
                <w:color w:val="auto"/>
                <w:highlight w:val="none"/>
                <w:shd w:val="clear"/>
              </w:rPr>
              <w:t>1.4.2</w:t>
            </w:r>
          </w:p>
        </w:tc>
        <w:tc>
          <w:tcPr>
            <w:tcW w:w="1087" w:type="pct"/>
            <w:vAlign w:val="center"/>
          </w:tcPr>
          <w:p w14:paraId="469AB67C">
            <w:pPr>
              <w:pStyle w:val="29"/>
              <w:rPr>
                <w:rFonts w:ascii="Times New Roman" w:hAnsi="Times New Roman"/>
                <w:color w:val="auto"/>
                <w:highlight w:val="none"/>
                <w:shd w:val="clear"/>
              </w:rPr>
            </w:pPr>
            <w:r>
              <w:rPr>
                <w:rFonts w:hint="eastAsia" w:ascii="Times New Roman" w:hAnsi="Times New Roman"/>
                <w:color w:val="auto"/>
                <w:highlight w:val="none"/>
                <w:shd w:val="clear"/>
              </w:rPr>
              <w:t>是否接受联合体投标</w:t>
            </w:r>
          </w:p>
        </w:tc>
        <w:tc>
          <w:tcPr>
            <w:tcW w:w="3293" w:type="pct"/>
            <w:vAlign w:val="center"/>
          </w:tcPr>
          <w:p w14:paraId="38579E7F">
            <w:pPr>
              <w:pStyle w:val="30"/>
              <w:rPr>
                <w:rFonts w:ascii="Times New Roman" w:hAnsi="Times New Roman"/>
                <w:color w:val="auto"/>
                <w:highlight w:val="none"/>
                <w:shd w:val="clear"/>
              </w:rPr>
            </w:pPr>
            <w:r>
              <w:rPr>
                <w:rFonts w:hint="eastAsia" w:ascii="Times New Roman" w:hAnsi="Times New Roman"/>
                <w:color w:val="auto"/>
                <w:highlight w:val="none"/>
                <w:shd w:val="clear"/>
              </w:rPr>
              <w:t>见招标公告</w:t>
            </w:r>
          </w:p>
        </w:tc>
      </w:tr>
      <w:permEnd w:id="28"/>
      <w:tr w14:paraId="7647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C95F668">
            <w:pPr>
              <w:pStyle w:val="29"/>
              <w:rPr>
                <w:rFonts w:ascii="Times New Roman" w:hAnsi="Times New Roman"/>
                <w:color w:val="auto"/>
                <w:highlight w:val="none"/>
                <w:shd w:val="clear"/>
              </w:rPr>
            </w:pPr>
            <w:permStart w:id="29" w:edGrp="everyone" w:colFirst="2" w:colLast="2"/>
            <w:r>
              <w:rPr>
                <w:rFonts w:hint="eastAsia" w:ascii="Times New Roman" w:hAnsi="Times New Roman"/>
                <w:color w:val="auto"/>
                <w:highlight w:val="none"/>
                <w:shd w:val="clear"/>
              </w:rPr>
              <w:t>1.4.3（15）</w:t>
            </w:r>
          </w:p>
        </w:tc>
        <w:tc>
          <w:tcPr>
            <w:tcW w:w="1087" w:type="pct"/>
            <w:vAlign w:val="center"/>
          </w:tcPr>
          <w:p w14:paraId="201AF3B0">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投标人不得存在的其他情形</w:t>
            </w:r>
          </w:p>
        </w:tc>
        <w:tc>
          <w:tcPr>
            <w:tcW w:w="3293" w:type="pct"/>
            <w:vAlign w:val="center"/>
          </w:tcPr>
          <w:p w14:paraId="45035CD0">
            <w:pPr>
              <w:pStyle w:val="30"/>
              <w:rPr>
                <w:rFonts w:ascii="Times New Roman" w:hAnsi="Times New Roman"/>
                <w:color w:val="auto"/>
                <w:highlight w:val="none"/>
                <w:shd w:val="clear"/>
              </w:rPr>
            </w:pPr>
            <w:r>
              <w:rPr>
                <w:rFonts w:hint="eastAsia" w:ascii="Times New Roman" w:hAnsi="Times New Roman"/>
                <w:color w:val="auto"/>
                <w:highlight w:val="none"/>
                <w:shd w:val="clear"/>
              </w:rPr>
              <w:t>1）被本项目行业主管部门给予项目所在区域限制投标行政处理；</w:t>
            </w:r>
          </w:p>
          <w:p w14:paraId="22B0DE25">
            <w:pPr>
              <w:pStyle w:val="30"/>
              <w:rPr>
                <w:rFonts w:ascii="Times New Roman" w:hAnsi="Times New Roman"/>
                <w:color w:val="auto"/>
                <w:highlight w:val="none"/>
                <w:shd w:val="clear"/>
              </w:rPr>
            </w:pPr>
            <w:r>
              <w:rPr>
                <w:rFonts w:hint="eastAsia" w:ascii="Times New Roman" w:hAnsi="Times New Roman"/>
                <w:color w:val="auto"/>
                <w:highlight w:val="none"/>
                <w:shd w:val="clear"/>
              </w:rPr>
              <w:t>2）被行政监督部门给予行政处罚限制投标（以行政处罚决定书为准）；</w:t>
            </w:r>
          </w:p>
        </w:tc>
      </w:tr>
      <w:permEnd w:id="29"/>
      <w:tr w14:paraId="3531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1D12EBA5">
            <w:pPr>
              <w:pStyle w:val="29"/>
              <w:rPr>
                <w:rFonts w:ascii="Times New Roman" w:hAnsi="Times New Roman"/>
                <w:color w:val="auto"/>
                <w:highlight w:val="none"/>
                <w:shd w:val="clear"/>
              </w:rPr>
            </w:pPr>
            <w:permStart w:id="30" w:edGrp="everyone" w:colFirst="2" w:colLast="2"/>
            <w:r>
              <w:rPr>
                <w:rFonts w:hint="eastAsia" w:ascii="Times New Roman" w:hAnsi="Times New Roman"/>
                <w:color w:val="auto"/>
                <w:highlight w:val="none"/>
                <w:shd w:val="clear"/>
              </w:rPr>
              <w:t>1.4.4（6）</w:t>
            </w:r>
          </w:p>
        </w:tc>
        <w:tc>
          <w:tcPr>
            <w:tcW w:w="1087" w:type="pct"/>
            <w:vAlign w:val="center"/>
          </w:tcPr>
          <w:p w14:paraId="79E6CA9E">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投标人不得存在的其他不良状况或不良信用记录</w:t>
            </w:r>
          </w:p>
        </w:tc>
        <w:tc>
          <w:tcPr>
            <w:tcW w:w="3293" w:type="pct"/>
            <w:vAlign w:val="center"/>
          </w:tcPr>
          <w:p w14:paraId="25F7F9A6">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permEnd w:id="30"/>
      <w:tr w14:paraId="0852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38720C91">
            <w:pPr>
              <w:pStyle w:val="29"/>
              <w:rPr>
                <w:rFonts w:ascii="Times New Roman" w:hAnsi="Times New Roman"/>
                <w:color w:val="auto"/>
                <w:highlight w:val="none"/>
                <w:shd w:val="clear"/>
              </w:rPr>
            </w:pPr>
            <w:permStart w:id="31" w:edGrp="everyone" w:colFirst="2" w:colLast="2"/>
            <w:r>
              <w:rPr>
                <w:rFonts w:hint="eastAsia" w:ascii="Times New Roman" w:hAnsi="Times New Roman"/>
                <w:color w:val="auto"/>
                <w:highlight w:val="none"/>
                <w:shd w:val="clear"/>
              </w:rPr>
              <w:t>1.9.1</w:t>
            </w:r>
          </w:p>
        </w:tc>
        <w:tc>
          <w:tcPr>
            <w:tcW w:w="1087" w:type="pct"/>
            <w:vAlign w:val="center"/>
          </w:tcPr>
          <w:p w14:paraId="0A58E1FB">
            <w:pPr>
              <w:pStyle w:val="29"/>
              <w:rPr>
                <w:rFonts w:ascii="Times New Roman" w:hAnsi="Times New Roman"/>
                <w:color w:val="auto"/>
                <w:highlight w:val="none"/>
                <w:shd w:val="clear"/>
              </w:rPr>
            </w:pPr>
            <w:r>
              <w:rPr>
                <w:rFonts w:hint="eastAsia" w:ascii="Times New Roman" w:hAnsi="Times New Roman"/>
                <w:color w:val="auto"/>
                <w:highlight w:val="none"/>
                <w:shd w:val="clear"/>
              </w:rPr>
              <w:t>踏勘现场</w:t>
            </w:r>
          </w:p>
        </w:tc>
        <w:tc>
          <w:tcPr>
            <w:tcW w:w="3293" w:type="pct"/>
            <w:vAlign w:val="center"/>
          </w:tcPr>
          <w:p w14:paraId="72C846D7">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不组织，投标人自行踏勘</w:t>
            </w:r>
          </w:p>
          <w:p w14:paraId="145A99BB">
            <w:pPr>
              <w:pStyle w:val="30"/>
              <w:rPr>
                <w:rFonts w:hint="eastAsia" w:ascii="Times New Roman" w:hAnsi="Times New Roman" w:eastAsia="宋体"/>
                <w:color w:val="auto"/>
                <w:highlight w:val="none"/>
                <w:shd w:val="clear"/>
                <w:lang w:eastAsia="zh-CN"/>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组织，踏勘时间：</w:t>
            </w:r>
            <w:r>
              <w:rPr>
                <w:rFonts w:hint="eastAsia" w:ascii="Times New Roman" w:hAnsi="Times New Roman"/>
                <w:color w:val="auto"/>
                <w:highlight w:val="none"/>
                <w:shd w:val="clear"/>
                <w:lang w:val="en-US" w:eastAsia="zh-CN"/>
              </w:rPr>
              <w:t>/</w:t>
            </w:r>
          </w:p>
          <w:p w14:paraId="21AD5270">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踏勘集中地点：</w:t>
            </w:r>
            <w:r>
              <w:rPr>
                <w:rFonts w:hint="eastAsia" w:ascii="Times New Roman" w:hAnsi="Times New Roman"/>
                <w:color w:val="auto"/>
                <w:highlight w:val="none"/>
                <w:shd w:val="clear"/>
                <w:lang w:val="en-US" w:eastAsia="zh-CN"/>
              </w:rPr>
              <w:t>/</w:t>
            </w:r>
          </w:p>
        </w:tc>
      </w:tr>
      <w:permEnd w:id="31"/>
      <w:tr w14:paraId="4548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628CDB6E">
            <w:pPr>
              <w:pStyle w:val="29"/>
              <w:rPr>
                <w:rFonts w:ascii="Times New Roman" w:hAnsi="Times New Roman"/>
                <w:color w:val="auto"/>
                <w:highlight w:val="none"/>
                <w:shd w:val="clear"/>
              </w:rPr>
            </w:pPr>
            <w:permStart w:id="32" w:edGrp="everyone" w:colFirst="2" w:colLast="2"/>
            <w:r>
              <w:rPr>
                <w:rFonts w:hint="eastAsia" w:ascii="Times New Roman" w:hAnsi="Times New Roman"/>
                <w:color w:val="auto"/>
                <w:highlight w:val="none"/>
                <w:shd w:val="clear"/>
              </w:rPr>
              <w:t>1.10.1</w:t>
            </w:r>
          </w:p>
        </w:tc>
        <w:tc>
          <w:tcPr>
            <w:tcW w:w="1087" w:type="pct"/>
            <w:vAlign w:val="center"/>
          </w:tcPr>
          <w:p w14:paraId="50CB070B">
            <w:pPr>
              <w:pStyle w:val="29"/>
              <w:rPr>
                <w:rFonts w:ascii="Times New Roman" w:hAnsi="Times New Roman"/>
                <w:color w:val="auto"/>
                <w:highlight w:val="none"/>
                <w:shd w:val="clear"/>
              </w:rPr>
            </w:pPr>
            <w:r>
              <w:rPr>
                <w:rFonts w:hint="eastAsia" w:ascii="Times New Roman" w:hAnsi="Times New Roman"/>
                <w:color w:val="auto"/>
                <w:highlight w:val="none"/>
                <w:shd w:val="clear"/>
              </w:rPr>
              <w:t>投标预备会</w:t>
            </w:r>
          </w:p>
        </w:tc>
        <w:tc>
          <w:tcPr>
            <w:tcW w:w="3293" w:type="pct"/>
            <w:vAlign w:val="center"/>
          </w:tcPr>
          <w:p w14:paraId="01160846">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不召开</w:t>
            </w:r>
          </w:p>
          <w:p w14:paraId="21B392DE">
            <w:pPr>
              <w:pStyle w:val="30"/>
              <w:rPr>
                <w:rFonts w:hint="eastAsia" w:ascii="Times New Roman" w:hAnsi="Times New Roman" w:eastAsia="宋体"/>
                <w:color w:val="auto"/>
                <w:highlight w:val="none"/>
                <w:shd w:val="clear"/>
                <w:lang w:eastAsia="zh-CN"/>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召开，召开时间：</w:t>
            </w:r>
            <w:r>
              <w:rPr>
                <w:rFonts w:hint="eastAsia" w:ascii="Times New Roman" w:hAnsi="Times New Roman"/>
                <w:color w:val="auto"/>
                <w:highlight w:val="none"/>
                <w:shd w:val="clear"/>
                <w:lang w:val="en-US" w:eastAsia="zh-CN"/>
              </w:rPr>
              <w:t>/</w:t>
            </w:r>
          </w:p>
          <w:p w14:paraId="6F8980DB">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召开形式：</w:t>
            </w:r>
            <w:r>
              <w:rPr>
                <w:rFonts w:hint="eastAsia" w:ascii="Times New Roman" w:hAnsi="Times New Roman"/>
                <w:color w:val="auto"/>
                <w:highlight w:val="none"/>
                <w:shd w:val="clear"/>
                <w:lang w:val="en-US" w:eastAsia="zh-CN"/>
              </w:rPr>
              <w:t>/</w:t>
            </w:r>
          </w:p>
        </w:tc>
      </w:tr>
      <w:permEnd w:id="32"/>
      <w:tr w14:paraId="16DB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81BC308">
            <w:pPr>
              <w:pStyle w:val="29"/>
              <w:rPr>
                <w:rFonts w:ascii="Times New Roman" w:hAnsi="Times New Roman"/>
                <w:color w:val="auto"/>
                <w:highlight w:val="none"/>
                <w:shd w:val="clear"/>
              </w:rPr>
            </w:pPr>
            <w:permStart w:id="33" w:edGrp="everyone" w:colFirst="2" w:colLast="2"/>
            <w:r>
              <w:rPr>
                <w:rFonts w:hint="eastAsia" w:ascii="Times New Roman" w:hAnsi="Times New Roman"/>
                <w:color w:val="auto"/>
                <w:highlight w:val="none"/>
                <w:shd w:val="clear"/>
              </w:rPr>
              <w:t>1.10.2</w:t>
            </w:r>
          </w:p>
        </w:tc>
        <w:tc>
          <w:tcPr>
            <w:tcW w:w="1087" w:type="pct"/>
            <w:vAlign w:val="center"/>
          </w:tcPr>
          <w:p w14:paraId="5C160251">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投标人在投标预备会前提出问题</w:t>
            </w:r>
          </w:p>
        </w:tc>
        <w:tc>
          <w:tcPr>
            <w:tcW w:w="3293" w:type="pct"/>
            <w:vAlign w:val="center"/>
          </w:tcPr>
          <w:p w14:paraId="32E5041A">
            <w:pPr>
              <w:pStyle w:val="3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lang w:val="en-US" w:eastAsia="zh-CN"/>
              </w:rPr>
              <w:t>/</w:t>
            </w:r>
          </w:p>
        </w:tc>
      </w:tr>
      <w:permEnd w:id="33"/>
      <w:tr w14:paraId="0574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6FD8A562">
            <w:pPr>
              <w:pStyle w:val="29"/>
              <w:rPr>
                <w:rFonts w:ascii="Times New Roman" w:hAnsi="Times New Roman"/>
                <w:color w:val="auto"/>
                <w:highlight w:val="none"/>
                <w:shd w:val="clear"/>
              </w:rPr>
            </w:pPr>
            <w:permStart w:id="34" w:edGrp="everyone" w:colFirst="2" w:colLast="2"/>
            <w:r>
              <w:rPr>
                <w:rFonts w:hint="eastAsia" w:ascii="Times New Roman" w:hAnsi="Times New Roman"/>
                <w:color w:val="auto"/>
                <w:highlight w:val="none"/>
                <w:shd w:val="clear"/>
              </w:rPr>
              <w:t>1.11.1</w:t>
            </w:r>
          </w:p>
        </w:tc>
        <w:tc>
          <w:tcPr>
            <w:tcW w:w="1087" w:type="pct"/>
            <w:vAlign w:val="center"/>
          </w:tcPr>
          <w:p w14:paraId="654D8A06">
            <w:pPr>
              <w:pStyle w:val="29"/>
              <w:rPr>
                <w:rFonts w:ascii="Times New Roman" w:hAnsi="Times New Roman"/>
                <w:b/>
                <w:bCs w:val="0"/>
                <w:color w:val="auto"/>
                <w:highlight w:val="none"/>
                <w:shd w:val="clear"/>
              </w:rPr>
            </w:pPr>
            <w:r>
              <w:rPr>
                <w:rFonts w:hint="eastAsia" w:ascii="Times New Roman" w:hAnsi="Times New Roman"/>
                <w:b/>
                <w:bCs w:val="0"/>
                <w:color w:val="auto"/>
                <w:highlight w:val="none"/>
                <w:shd w:val="clear"/>
              </w:rPr>
              <w:t>分包</w:t>
            </w:r>
          </w:p>
        </w:tc>
        <w:tc>
          <w:tcPr>
            <w:tcW w:w="3293" w:type="pct"/>
            <w:vAlign w:val="center"/>
          </w:tcPr>
          <w:p w14:paraId="2BC37BE0">
            <w:pPr>
              <w:pStyle w:val="30"/>
              <w:rPr>
                <w:rFonts w:hint="eastAsia" w:ascii="Times New Roman" w:hAnsi="Times New Roman"/>
                <w:b/>
                <w:bCs w:val="0"/>
                <w:color w:val="auto"/>
                <w:highlight w:val="none"/>
                <w:shd w:val="clear"/>
              </w:rPr>
            </w:pPr>
            <w:r>
              <w:rPr>
                <w:rFonts w:hint="eastAsia" w:ascii="Times New Roman" w:hAnsi="Times New Roman"/>
                <w:b/>
                <w:bCs w:val="0"/>
                <w:color w:val="auto"/>
                <w:highlight w:val="none"/>
                <w:shd w:val="clear"/>
              </w:rPr>
              <w:sym w:font="Wingdings 2" w:char="00A3"/>
            </w:r>
            <w:r>
              <w:rPr>
                <w:rFonts w:hint="eastAsia" w:ascii="Times New Roman" w:hAnsi="Times New Roman"/>
                <w:b/>
                <w:bCs w:val="0"/>
                <w:color w:val="auto"/>
                <w:highlight w:val="none"/>
                <w:shd w:val="clear"/>
              </w:rPr>
              <w:t>不允许</w:t>
            </w:r>
          </w:p>
          <w:p w14:paraId="43ABAD56">
            <w:pPr>
              <w:pStyle w:val="30"/>
              <w:rPr>
                <w:rFonts w:hint="eastAsia" w:ascii="Times New Roman" w:hAnsi="Times New Roman" w:eastAsia="宋体"/>
                <w:b/>
                <w:bCs w:val="0"/>
                <w:color w:val="auto"/>
                <w:highlight w:val="none"/>
                <w:shd w:val="clear"/>
                <w:lang w:eastAsia="zh-CN"/>
              </w:rPr>
            </w:pPr>
            <w:r>
              <w:rPr>
                <w:rFonts w:hint="eastAsia" w:ascii="Times New Roman" w:hAnsi="Times New Roman"/>
                <w:b/>
                <w:bCs w:val="0"/>
                <w:color w:val="auto"/>
                <w:highlight w:val="none"/>
                <w:shd w:val="clear"/>
              </w:rPr>
              <w:sym w:font="Wingdings 2" w:char="0052"/>
            </w:r>
            <w:r>
              <w:rPr>
                <w:rFonts w:hint="eastAsia" w:ascii="Times New Roman" w:hAnsi="Times New Roman"/>
                <w:b/>
                <w:bCs w:val="0"/>
                <w:color w:val="auto"/>
                <w:highlight w:val="none"/>
                <w:shd w:val="clear"/>
              </w:rPr>
              <w:t>允许，分包内容：投标人不得在中标后将工程转包给其它施工单位。如需专业分包，承担分包内容单位须具备相应资质，且须经招标人同意和认可。</w:t>
            </w:r>
          </w:p>
        </w:tc>
      </w:tr>
      <w:permEnd w:id="34"/>
      <w:tr w14:paraId="59E7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20" w:type="pct"/>
            <w:vAlign w:val="center"/>
          </w:tcPr>
          <w:p w14:paraId="4F867F87">
            <w:pPr>
              <w:pStyle w:val="29"/>
              <w:rPr>
                <w:rFonts w:ascii="Times New Roman" w:hAnsi="Times New Roman"/>
                <w:color w:val="auto"/>
                <w:highlight w:val="none"/>
                <w:shd w:val="clear"/>
              </w:rPr>
            </w:pPr>
            <w:permStart w:id="35" w:edGrp="everyone" w:colFirst="2" w:colLast="2"/>
            <w:r>
              <w:rPr>
                <w:rFonts w:hint="eastAsia" w:ascii="Times New Roman" w:hAnsi="Times New Roman"/>
                <w:color w:val="auto"/>
                <w:highlight w:val="none"/>
                <w:shd w:val="clear"/>
              </w:rPr>
              <w:t>2.1（9）</w:t>
            </w:r>
          </w:p>
        </w:tc>
        <w:tc>
          <w:tcPr>
            <w:tcW w:w="1087" w:type="pct"/>
            <w:vAlign w:val="center"/>
          </w:tcPr>
          <w:p w14:paraId="75D73050">
            <w:pPr>
              <w:pStyle w:val="29"/>
              <w:rPr>
                <w:rFonts w:ascii="Times New Roman" w:hAnsi="Times New Roman"/>
                <w:color w:val="auto"/>
                <w:highlight w:val="none"/>
                <w:shd w:val="clear"/>
              </w:rPr>
            </w:pPr>
            <w:r>
              <w:rPr>
                <w:rFonts w:hint="eastAsia" w:ascii="Times New Roman" w:hAnsi="Times New Roman"/>
                <w:color w:val="auto"/>
                <w:highlight w:val="none"/>
                <w:shd w:val="clear"/>
              </w:rPr>
              <w:t>构成招标文件的其他材料</w:t>
            </w:r>
          </w:p>
        </w:tc>
        <w:tc>
          <w:tcPr>
            <w:tcW w:w="3293" w:type="pct"/>
            <w:vAlign w:val="center"/>
          </w:tcPr>
          <w:p w14:paraId="5B6557D5">
            <w:pPr>
              <w:pStyle w:val="30"/>
              <w:rPr>
                <w:rFonts w:ascii="Times New Roman" w:hAnsi="Times New Roman"/>
                <w:color w:val="auto"/>
                <w:highlight w:val="none"/>
                <w:shd w:val="clear"/>
              </w:rPr>
            </w:pPr>
            <w:r>
              <w:rPr>
                <w:rFonts w:hint="eastAsia" w:ascii="Times New Roman" w:hAnsi="Times New Roman"/>
                <w:color w:val="auto"/>
                <w:highlight w:val="none"/>
                <w:shd w:val="clear"/>
              </w:rPr>
              <w:t>/</w:t>
            </w:r>
          </w:p>
        </w:tc>
      </w:tr>
      <w:permEnd w:id="35"/>
      <w:tr w14:paraId="3D0D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1371E68">
            <w:pPr>
              <w:pStyle w:val="29"/>
              <w:rPr>
                <w:rFonts w:ascii="Times New Roman" w:hAnsi="Times New Roman"/>
                <w:color w:val="auto"/>
                <w:highlight w:val="none"/>
                <w:shd w:val="clear"/>
              </w:rPr>
            </w:pPr>
            <w:permStart w:id="36" w:edGrp="everyone" w:colFirst="2" w:colLast="2"/>
            <w:r>
              <w:rPr>
                <w:rFonts w:hint="eastAsia" w:ascii="Times New Roman" w:hAnsi="Times New Roman"/>
                <w:color w:val="auto"/>
                <w:highlight w:val="none"/>
                <w:shd w:val="clear"/>
              </w:rPr>
              <w:t>2.2.1</w:t>
            </w:r>
          </w:p>
        </w:tc>
        <w:tc>
          <w:tcPr>
            <w:tcW w:w="1087" w:type="pct"/>
            <w:vAlign w:val="center"/>
          </w:tcPr>
          <w:p w14:paraId="5A964DD4">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投标人要求澄清招标文件</w:t>
            </w:r>
          </w:p>
        </w:tc>
        <w:tc>
          <w:tcPr>
            <w:tcW w:w="3293" w:type="pct"/>
            <w:vAlign w:val="center"/>
          </w:tcPr>
          <w:p w14:paraId="533493E2">
            <w:pPr>
              <w:pStyle w:val="30"/>
              <w:rPr>
                <w:rFonts w:ascii="Times New Roman" w:hAnsi="Times New Roman"/>
                <w:color w:val="auto"/>
                <w:highlight w:val="none"/>
                <w:shd w:val="clear"/>
              </w:rPr>
            </w:pPr>
            <w:r>
              <w:rPr>
                <w:rFonts w:hint="eastAsia" w:ascii="Times New Roman" w:hAnsi="Times New Roman"/>
                <w:color w:val="auto"/>
                <w:highlight w:val="none"/>
                <w:shd w:val="clear"/>
              </w:rPr>
              <w:t>时间：</w:t>
            </w:r>
            <w:r>
              <w:rPr>
                <w:rFonts w:hint="eastAsia" w:ascii="Times New Roman" w:hAnsi="Times New Roman"/>
                <w:color w:val="auto"/>
                <w:highlight w:val="none"/>
                <w:shd w:val="clear"/>
                <w:lang w:val="en-US" w:eastAsia="zh-CN"/>
              </w:rPr>
              <w:t>2026</w:t>
            </w:r>
            <w:r>
              <w:rPr>
                <w:rFonts w:hint="eastAsia" w:ascii="Times New Roman" w:hAnsi="Times New Roman"/>
                <w:color w:val="auto"/>
                <w:highlight w:val="none"/>
                <w:shd w:val="clear"/>
              </w:rPr>
              <w:t>年</w:t>
            </w:r>
            <w:r>
              <w:rPr>
                <w:rFonts w:hint="eastAsia" w:ascii="Times New Roman" w:hAnsi="Times New Roman"/>
                <w:color w:val="auto"/>
                <w:highlight w:val="none"/>
                <w:shd w:val="clear"/>
                <w:lang w:val="en-US" w:eastAsia="zh-CN"/>
              </w:rPr>
              <w:t xml:space="preserve">  月  日17时</w:t>
            </w:r>
            <w:r>
              <w:rPr>
                <w:rFonts w:hint="eastAsia" w:ascii="Times New Roman" w:hAnsi="Times New Roman"/>
                <w:color w:val="auto"/>
                <w:highlight w:val="none"/>
                <w:shd w:val="clear"/>
              </w:rPr>
              <w:t>00</w:t>
            </w:r>
            <w:r>
              <w:rPr>
                <w:rFonts w:hint="eastAsia" w:ascii="Times New Roman" w:hAnsi="Times New Roman"/>
                <w:color w:val="auto"/>
                <w:highlight w:val="none"/>
                <w:shd w:val="clear"/>
              </w:rPr>
              <w:t>分前</w:t>
            </w:r>
          </w:p>
          <w:p w14:paraId="231A2516">
            <w:pPr>
              <w:pStyle w:val="30"/>
              <w:rPr>
                <w:rFonts w:ascii="Times New Roman" w:hAnsi="Times New Roman"/>
                <w:color w:val="auto"/>
                <w:highlight w:val="none"/>
                <w:shd w:val="clear"/>
              </w:rPr>
            </w:pPr>
            <w:r>
              <w:rPr>
                <w:rFonts w:hint="eastAsia" w:ascii="Times New Roman" w:hAnsi="Times New Roman"/>
                <w:color w:val="auto"/>
                <w:highlight w:val="none"/>
                <w:shd w:val="clear"/>
              </w:rPr>
              <w:t>形式：通过电子交易系统在线提出</w:t>
            </w:r>
          </w:p>
        </w:tc>
      </w:tr>
      <w:permEnd w:id="36"/>
      <w:tr w14:paraId="74D3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B8BB021">
            <w:pPr>
              <w:pStyle w:val="29"/>
              <w:rPr>
                <w:rFonts w:ascii="Times New Roman" w:hAnsi="Times New Roman"/>
                <w:color w:val="auto"/>
                <w:highlight w:val="none"/>
                <w:shd w:val="clear"/>
              </w:rPr>
            </w:pPr>
            <w:permStart w:id="37" w:edGrp="everyone" w:colFirst="2" w:colLast="2"/>
            <w:r>
              <w:rPr>
                <w:rFonts w:hint="eastAsia" w:ascii="Times New Roman" w:hAnsi="Times New Roman"/>
                <w:color w:val="auto"/>
                <w:highlight w:val="none"/>
                <w:shd w:val="clear"/>
              </w:rPr>
              <w:t>2.2.2</w:t>
            </w:r>
          </w:p>
        </w:tc>
        <w:tc>
          <w:tcPr>
            <w:tcW w:w="1087" w:type="pct"/>
            <w:vAlign w:val="center"/>
          </w:tcPr>
          <w:p w14:paraId="48F0CEEF">
            <w:pPr>
              <w:pStyle w:val="29"/>
              <w:rPr>
                <w:rFonts w:ascii="Times New Roman" w:hAnsi="Times New Roman"/>
                <w:color w:val="auto"/>
                <w:highlight w:val="none"/>
                <w:shd w:val="clear"/>
              </w:rPr>
            </w:pPr>
            <w:r>
              <w:rPr>
                <w:rFonts w:hint="eastAsia" w:ascii="Times New Roman" w:hAnsi="Times New Roman"/>
                <w:color w:val="auto"/>
                <w:highlight w:val="none"/>
                <w:shd w:val="clear"/>
              </w:rPr>
              <w:t>招标文件澄清发出的形式</w:t>
            </w:r>
          </w:p>
        </w:tc>
        <w:tc>
          <w:tcPr>
            <w:tcW w:w="3293" w:type="pct"/>
            <w:vAlign w:val="center"/>
          </w:tcPr>
          <w:p w14:paraId="593F84B5">
            <w:pPr>
              <w:pStyle w:val="30"/>
              <w:rPr>
                <w:rFonts w:ascii="Times New Roman" w:hAnsi="Times New Roman"/>
                <w:color w:val="auto"/>
                <w:highlight w:val="none"/>
                <w:shd w:val="clear"/>
              </w:rPr>
            </w:pPr>
            <w:r>
              <w:rPr>
                <w:rFonts w:hint="eastAsia" w:ascii="Times New Roman" w:hAnsi="Times New Roman"/>
                <w:color w:val="auto"/>
                <w:highlight w:val="none"/>
                <w:shd w:val="clear"/>
              </w:rPr>
              <w:t>在蚌埠市公共资源电子交易系统发布。</w:t>
            </w:r>
          </w:p>
        </w:tc>
      </w:tr>
      <w:permEnd w:id="37"/>
      <w:tr w14:paraId="7107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E5E6A72">
            <w:pPr>
              <w:pStyle w:val="29"/>
              <w:rPr>
                <w:rFonts w:ascii="Times New Roman" w:hAnsi="Times New Roman"/>
                <w:color w:val="auto"/>
                <w:highlight w:val="none"/>
                <w:shd w:val="clear"/>
              </w:rPr>
            </w:pPr>
            <w:permStart w:id="38" w:edGrp="everyone" w:colFirst="2" w:colLast="2"/>
            <w:r>
              <w:rPr>
                <w:rFonts w:hint="eastAsia" w:ascii="Times New Roman" w:hAnsi="Times New Roman"/>
                <w:color w:val="auto"/>
                <w:highlight w:val="none"/>
                <w:shd w:val="clear"/>
              </w:rPr>
              <w:t>2.3.1</w:t>
            </w:r>
          </w:p>
        </w:tc>
        <w:tc>
          <w:tcPr>
            <w:tcW w:w="1087" w:type="pct"/>
            <w:vAlign w:val="center"/>
          </w:tcPr>
          <w:p w14:paraId="672679F1">
            <w:pPr>
              <w:pStyle w:val="29"/>
              <w:rPr>
                <w:rFonts w:ascii="Times New Roman" w:hAnsi="Times New Roman"/>
                <w:color w:val="auto"/>
                <w:highlight w:val="none"/>
                <w:shd w:val="clear"/>
              </w:rPr>
            </w:pPr>
            <w:r>
              <w:rPr>
                <w:rFonts w:hint="eastAsia" w:ascii="Times New Roman" w:hAnsi="Times New Roman"/>
                <w:color w:val="auto"/>
                <w:highlight w:val="none"/>
                <w:shd w:val="clear"/>
              </w:rPr>
              <w:t>招标文件修改发出的形式</w:t>
            </w:r>
          </w:p>
        </w:tc>
        <w:tc>
          <w:tcPr>
            <w:tcW w:w="3293" w:type="pct"/>
            <w:vAlign w:val="center"/>
          </w:tcPr>
          <w:p w14:paraId="4A210D48">
            <w:pPr>
              <w:pStyle w:val="30"/>
              <w:rPr>
                <w:rFonts w:ascii="Times New Roman" w:hAnsi="Times New Roman"/>
                <w:color w:val="auto"/>
                <w:highlight w:val="none"/>
                <w:shd w:val="clear"/>
              </w:rPr>
            </w:pPr>
            <w:r>
              <w:rPr>
                <w:rFonts w:hint="eastAsia" w:ascii="Times New Roman" w:hAnsi="Times New Roman"/>
                <w:color w:val="auto"/>
                <w:highlight w:val="none"/>
                <w:shd w:val="clear"/>
              </w:rPr>
              <w:t>在蚌埠市公共资源电子交易系统发布。</w:t>
            </w:r>
          </w:p>
        </w:tc>
      </w:tr>
      <w:permEnd w:id="38"/>
      <w:tr w14:paraId="6645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58F9164">
            <w:pPr>
              <w:pStyle w:val="29"/>
              <w:rPr>
                <w:rFonts w:ascii="Times New Roman" w:hAnsi="Times New Roman"/>
                <w:color w:val="auto"/>
                <w:highlight w:val="none"/>
                <w:shd w:val="clear"/>
              </w:rPr>
            </w:pPr>
            <w:permStart w:id="39" w:edGrp="everyone" w:colFirst="2" w:colLast="2"/>
            <w:r>
              <w:rPr>
                <w:rFonts w:hint="eastAsia" w:ascii="Times New Roman" w:hAnsi="Times New Roman"/>
                <w:color w:val="auto"/>
                <w:highlight w:val="none"/>
                <w:shd w:val="clear"/>
              </w:rPr>
              <w:t>3.2.1</w:t>
            </w:r>
          </w:p>
        </w:tc>
        <w:tc>
          <w:tcPr>
            <w:tcW w:w="1087" w:type="pct"/>
            <w:vAlign w:val="center"/>
          </w:tcPr>
          <w:p w14:paraId="2FC98292">
            <w:pPr>
              <w:pStyle w:val="29"/>
              <w:rPr>
                <w:rFonts w:ascii="Times New Roman" w:hAnsi="Times New Roman"/>
                <w:color w:val="auto"/>
                <w:highlight w:val="none"/>
                <w:shd w:val="clear"/>
              </w:rPr>
            </w:pPr>
            <w:r>
              <w:rPr>
                <w:rFonts w:hint="eastAsia" w:ascii="Times New Roman" w:hAnsi="Times New Roman"/>
                <w:color w:val="auto"/>
                <w:highlight w:val="none"/>
                <w:shd w:val="clear"/>
              </w:rPr>
              <w:t>增值税税金相关要求</w:t>
            </w:r>
          </w:p>
        </w:tc>
        <w:tc>
          <w:tcPr>
            <w:tcW w:w="3293" w:type="pct"/>
            <w:vAlign w:val="center"/>
          </w:tcPr>
          <w:p w14:paraId="60A2DB53">
            <w:pPr>
              <w:pStyle w:val="30"/>
              <w:rPr>
                <w:rFonts w:ascii="Times New Roman" w:hAnsi="Times New Roman"/>
                <w:color w:val="auto"/>
                <w:highlight w:val="none"/>
                <w:shd w:val="clear"/>
              </w:rPr>
            </w:pPr>
            <w:r>
              <w:rPr>
                <w:rFonts w:hint="eastAsia" w:ascii="Times New Roman" w:hAnsi="Times New Roman"/>
                <w:color w:val="auto"/>
                <w:highlight w:val="none"/>
                <w:shd w:val="clear"/>
              </w:rPr>
              <w:t>（1）计税方法：</w:t>
            </w:r>
          </w:p>
          <w:p w14:paraId="62C4F982">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一般计税方法</w:t>
            </w:r>
          </w:p>
          <w:p w14:paraId="39A4E1D2">
            <w:pPr>
              <w:pStyle w:val="30"/>
              <w:rPr>
                <w:rFonts w:ascii="Times New Roman" w:hAnsi="Times New Roman"/>
                <w:color w:val="auto"/>
                <w:highlight w:val="none"/>
                <w:shd w:val="clear"/>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简易计算方法</w:t>
            </w:r>
          </w:p>
          <w:p w14:paraId="0577F6DB">
            <w:pPr>
              <w:pStyle w:val="30"/>
              <w:rPr>
                <w:rFonts w:ascii="Times New Roman" w:hAnsi="Times New Roman"/>
                <w:color w:val="auto"/>
                <w:highlight w:val="none"/>
                <w:shd w:val="clear"/>
              </w:rPr>
            </w:pPr>
            <w:r>
              <w:rPr>
                <w:rFonts w:hint="eastAsia" w:ascii="Times New Roman" w:hAnsi="Times New Roman"/>
                <w:color w:val="auto"/>
                <w:highlight w:val="none"/>
                <w:shd w:val="clear"/>
              </w:rPr>
              <w:t>（</w:t>
            </w:r>
            <w:r>
              <w:rPr>
                <w:rFonts w:ascii="Times New Roman" w:hAnsi="Times New Roman"/>
                <w:color w:val="auto"/>
                <w:highlight w:val="none"/>
                <w:shd w:val="clear"/>
              </w:rPr>
              <w:t>2</w:t>
            </w:r>
            <w:r>
              <w:rPr>
                <w:rFonts w:hint="eastAsia" w:ascii="Times New Roman" w:hAnsi="Times New Roman"/>
                <w:color w:val="auto"/>
                <w:highlight w:val="none"/>
                <w:shd w:val="clear"/>
              </w:rPr>
              <w:t>）增值税税率及预缴增值税要求按照国家有关规定执行。</w:t>
            </w:r>
          </w:p>
        </w:tc>
      </w:tr>
      <w:permEnd w:id="39"/>
      <w:tr w14:paraId="22B9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1C4C636">
            <w:pPr>
              <w:pStyle w:val="29"/>
              <w:rPr>
                <w:rFonts w:ascii="Times New Roman" w:hAnsi="Times New Roman"/>
                <w:color w:val="auto"/>
                <w:highlight w:val="none"/>
                <w:shd w:val="clear"/>
              </w:rPr>
            </w:pPr>
            <w:permStart w:id="40" w:edGrp="everyone" w:colFirst="2" w:colLast="2"/>
            <w:r>
              <w:rPr>
                <w:rFonts w:hint="eastAsia" w:ascii="Times New Roman" w:hAnsi="Times New Roman"/>
                <w:color w:val="auto"/>
                <w:highlight w:val="none"/>
                <w:shd w:val="clear"/>
              </w:rPr>
              <w:t>3.2.4</w:t>
            </w:r>
          </w:p>
        </w:tc>
        <w:tc>
          <w:tcPr>
            <w:tcW w:w="1087" w:type="pct"/>
            <w:vAlign w:val="center"/>
          </w:tcPr>
          <w:p w14:paraId="14F4CD8D">
            <w:pPr>
              <w:pStyle w:val="29"/>
              <w:rPr>
                <w:rFonts w:ascii="Times New Roman" w:hAnsi="Times New Roman"/>
                <w:color w:val="auto"/>
                <w:highlight w:val="none"/>
                <w:shd w:val="clear"/>
              </w:rPr>
            </w:pPr>
            <w:r>
              <w:rPr>
                <w:rFonts w:hint="eastAsia" w:ascii="Times New Roman" w:hAnsi="Times New Roman"/>
                <w:color w:val="auto"/>
                <w:highlight w:val="none"/>
                <w:shd w:val="clear"/>
              </w:rPr>
              <w:t>最高投标限价</w:t>
            </w:r>
          </w:p>
        </w:tc>
        <w:tc>
          <w:tcPr>
            <w:tcW w:w="3293" w:type="pct"/>
            <w:vAlign w:val="center"/>
          </w:tcPr>
          <w:p w14:paraId="0E7E5C17">
            <w:pPr>
              <w:pStyle w:val="30"/>
              <w:rPr>
                <w:rFonts w:ascii="Times New Roman" w:hAnsi="Times New Roman"/>
                <w:color w:val="auto"/>
                <w:highlight w:val="none"/>
                <w:shd w:val="clear"/>
              </w:rPr>
            </w:pPr>
            <w:r>
              <w:rPr>
                <w:rFonts w:hint="eastAsia" w:ascii="Times New Roman" w:hAnsi="Times New Roman" w:eastAsia="MS Gothic"/>
                <w:color w:val="auto"/>
                <w:highlight w:val="none"/>
                <w:shd w:val="clear"/>
              </w:rPr>
              <w:t>☐</w:t>
            </w:r>
            <w:r>
              <w:rPr>
                <w:rFonts w:hint="eastAsia" w:ascii="Times New Roman" w:hAnsi="Times New Roman"/>
                <w:color w:val="auto"/>
                <w:highlight w:val="none"/>
                <w:shd w:val="clear"/>
              </w:rPr>
              <w:t>无</w:t>
            </w:r>
          </w:p>
          <w:p w14:paraId="209F84DF">
            <w:pPr>
              <w:pStyle w:val="3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有，最高投标限价</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约900万元（暂定），</w:t>
            </w:r>
            <w:r>
              <w:rPr>
                <w:rFonts w:hint="eastAsia" w:ascii="Times New Roman" w:hAnsi="Times New Roman"/>
                <w:color w:val="auto"/>
                <w:highlight w:val="none"/>
                <w:shd w:val="clear"/>
              </w:rPr>
              <w:t>其中</w:t>
            </w:r>
            <w:r>
              <w:rPr>
                <w:rFonts w:hint="eastAsia" w:ascii="Times New Roman" w:hAnsi="Times New Roman"/>
                <w:color w:val="auto"/>
                <w:highlight w:val="none"/>
                <w:shd w:val="clear"/>
              </w:rPr>
              <w:t>暂列金：</w:t>
            </w:r>
            <w:r>
              <w:rPr>
                <w:rFonts w:hint="eastAsia" w:ascii="Times New Roman" w:hAnsi="Times New Roman"/>
                <w:color w:val="auto"/>
                <w:highlight w:val="none"/>
                <w:shd w:val="clear"/>
                <w:lang w:val="en-US" w:eastAsia="zh-CN"/>
              </w:rPr>
              <w:t>**万</w:t>
            </w:r>
            <w:r>
              <w:rPr>
                <w:rFonts w:hint="eastAsia" w:ascii="Times New Roman" w:hAnsi="Times New Roman"/>
                <w:color w:val="auto"/>
                <w:highlight w:val="none"/>
                <w:shd w:val="clear"/>
              </w:rPr>
              <w:t>元</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投标人报价不得超过最高投标限价，否则其投标文件将被否决。</w:t>
            </w:r>
          </w:p>
        </w:tc>
      </w:tr>
      <w:permEnd w:id="40"/>
      <w:tr w14:paraId="06D9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331DBF07">
            <w:pPr>
              <w:pStyle w:val="29"/>
              <w:rPr>
                <w:rFonts w:ascii="Times New Roman" w:hAnsi="Times New Roman"/>
                <w:color w:val="auto"/>
                <w:highlight w:val="none"/>
                <w:shd w:val="clear"/>
              </w:rPr>
            </w:pPr>
            <w:permStart w:id="41" w:edGrp="everyone" w:colFirst="2" w:colLast="2"/>
            <w:r>
              <w:rPr>
                <w:rFonts w:hint="eastAsia" w:ascii="Times New Roman" w:hAnsi="Times New Roman"/>
                <w:color w:val="auto"/>
                <w:highlight w:val="none"/>
                <w:shd w:val="clear"/>
              </w:rPr>
              <w:t>3.2.5</w:t>
            </w:r>
          </w:p>
        </w:tc>
        <w:tc>
          <w:tcPr>
            <w:tcW w:w="1087" w:type="pct"/>
            <w:vAlign w:val="center"/>
          </w:tcPr>
          <w:p w14:paraId="173649AF">
            <w:pPr>
              <w:pStyle w:val="29"/>
              <w:rPr>
                <w:rFonts w:ascii="Times New Roman" w:hAnsi="Times New Roman"/>
                <w:color w:val="auto"/>
                <w:highlight w:val="none"/>
                <w:shd w:val="clear"/>
              </w:rPr>
            </w:pPr>
            <w:r>
              <w:rPr>
                <w:rFonts w:hint="eastAsia" w:ascii="Times New Roman" w:hAnsi="Times New Roman"/>
                <w:color w:val="auto"/>
                <w:highlight w:val="none"/>
                <w:shd w:val="clear"/>
              </w:rPr>
              <w:t>投标报价的其他要求</w:t>
            </w:r>
          </w:p>
        </w:tc>
        <w:tc>
          <w:tcPr>
            <w:tcW w:w="3293" w:type="pct"/>
            <w:vAlign w:val="center"/>
          </w:tcPr>
          <w:p w14:paraId="18B585C2">
            <w:pPr>
              <w:pStyle w:val="30"/>
              <w:rPr>
                <w:rFonts w:ascii="Times New Roman" w:hAnsi="Times New Roman"/>
                <w:color w:val="auto"/>
                <w:highlight w:val="none"/>
                <w:shd w:val="clear"/>
              </w:rPr>
            </w:pPr>
            <w:r>
              <w:rPr>
                <w:rFonts w:hint="eastAsia" w:ascii="Times New Roman" w:hAnsi="Times New Roman"/>
                <w:color w:val="auto"/>
                <w:highlight w:val="none"/>
                <w:shd w:val="clear"/>
              </w:rPr>
              <w:t>/</w:t>
            </w:r>
          </w:p>
        </w:tc>
      </w:tr>
      <w:permEnd w:id="41"/>
      <w:tr w14:paraId="2FF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4887B53">
            <w:pPr>
              <w:pStyle w:val="29"/>
              <w:rPr>
                <w:rFonts w:ascii="Times New Roman" w:hAnsi="Times New Roman"/>
                <w:color w:val="auto"/>
                <w:highlight w:val="none"/>
                <w:shd w:val="clear"/>
              </w:rPr>
            </w:pPr>
            <w:permStart w:id="42" w:edGrp="everyone" w:colFirst="2" w:colLast="2"/>
            <w:r>
              <w:rPr>
                <w:rFonts w:hint="eastAsia" w:ascii="Times New Roman" w:hAnsi="Times New Roman"/>
                <w:color w:val="auto"/>
                <w:highlight w:val="none"/>
                <w:shd w:val="clear"/>
              </w:rPr>
              <w:t>3.3.1</w:t>
            </w:r>
          </w:p>
        </w:tc>
        <w:tc>
          <w:tcPr>
            <w:tcW w:w="1087" w:type="pct"/>
            <w:tcBorders>
              <w:bottom w:val="single" w:color="auto" w:sz="4" w:space="0"/>
            </w:tcBorders>
            <w:vAlign w:val="center"/>
          </w:tcPr>
          <w:p w14:paraId="12F0032F">
            <w:pPr>
              <w:pStyle w:val="29"/>
              <w:rPr>
                <w:rFonts w:ascii="Times New Roman" w:hAnsi="Times New Roman"/>
                <w:color w:val="auto"/>
                <w:highlight w:val="none"/>
                <w:shd w:val="clear"/>
              </w:rPr>
            </w:pPr>
            <w:r>
              <w:rPr>
                <w:rFonts w:hint="eastAsia" w:ascii="Times New Roman" w:hAnsi="Times New Roman"/>
                <w:color w:val="auto"/>
                <w:highlight w:val="none"/>
                <w:shd w:val="clear"/>
              </w:rPr>
              <w:t>投标有效期</w:t>
            </w:r>
          </w:p>
        </w:tc>
        <w:tc>
          <w:tcPr>
            <w:tcW w:w="3293" w:type="pct"/>
            <w:tcBorders>
              <w:bottom w:val="single" w:color="auto" w:sz="4" w:space="0"/>
            </w:tcBorders>
            <w:vAlign w:val="center"/>
          </w:tcPr>
          <w:p w14:paraId="1CB6E85C">
            <w:pPr>
              <w:pStyle w:val="30"/>
              <w:rPr>
                <w:rFonts w:ascii="Times New Roman" w:hAnsi="Times New Roman"/>
                <w:color w:val="auto"/>
                <w:highlight w:val="none"/>
                <w:shd w:val="clear"/>
              </w:rPr>
            </w:pPr>
            <w:r>
              <w:rPr>
                <w:rFonts w:hint="eastAsia" w:ascii="Times New Roman" w:hAnsi="Times New Roman"/>
                <w:color w:val="auto"/>
                <w:highlight w:val="none"/>
                <w:shd w:val="clear"/>
              </w:rPr>
              <w:t>自投标人递交投标文件截止之日起计算</w:t>
            </w:r>
            <w:r>
              <w:rPr>
                <w:rFonts w:hint="eastAsia" w:ascii="Times New Roman" w:hAnsi="Times New Roman"/>
                <w:color w:val="auto"/>
                <w:highlight w:val="none"/>
                <w:shd w:val="clear"/>
              </w:rPr>
              <w:t>90</w:t>
            </w:r>
            <w:r>
              <w:rPr>
                <w:rFonts w:hint="eastAsia" w:ascii="Times New Roman" w:hAnsi="Times New Roman"/>
                <w:color w:val="auto"/>
                <w:highlight w:val="none"/>
                <w:shd w:val="clear"/>
              </w:rPr>
              <w:t>日</w:t>
            </w:r>
          </w:p>
        </w:tc>
      </w:tr>
      <w:permEnd w:id="42"/>
      <w:tr w14:paraId="1996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11482424">
            <w:pPr>
              <w:pStyle w:val="29"/>
              <w:rPr>
                <w:rFonts w:ascii="Times New Roman" w:hAnsi="Times New Roman"/>
                <w:color w:val="auto"/>
                <w:highlight w:val="none"/>
                <w:shd w:val="clear"/>
              </w:rPr>
            </w:pPr>
            <w:permStart w:id="43" w:edGrp="everyone" w:colFirst="2" w:colLast="2"/>
            <w:r>
              <w:rPr>
                <w:rFonts w:hint="eastAsia" w:ascii="Times New Roman" w:hAnsi="Times New Roman"/>
                <w:color w:val="auto"/>
                <w:highlight w:val="none"/>
                <w:shd w:val="clear"/>
              </w:rPr>
              <w:t>3.4.1</w:t>
            </w:r>
          </w:p>
        </w:tc>
        <w:tc>
          <w:tcPr>
            <w:tcW w:w="1087" w:type="pct"/>
            <w:shd w:val="clear" w:color="auto" w:fill="FFFFFF" w:themeFill="background1"/>
            <w:vAlign w:val="center"/>
          </w:tcPr>
          <w:p w14:paraId="179F3240">
            <w:pPr>
              <w:pStyle w:val="29"/>
              <w:rPr>
                <w:rFonts w:ascii="Times New Roman" w:hAnsi="Times New Roman"/>
                <w:color w:val="auto"/>
                <w:highlight w:val="none"/>
                <w:shd w:val="clear"/>
              </w:rPr>
            </w:pPr>
            <w:r>
              <w:rPr>
                <w:rFonts w:hint="eastAsia" w:ascii="Times New Roman" w:hAnsi="Times New Roman"/>
                <w:color w:val="auto"/>
                <w:highlight w:val="none"/>
                <w:shd w:val="clear"/>
              </w:rPr>
              <w:t>投标保证金</w:t>
            </w:r>
          </w:p>
        </w:tc>
        <w:tc>
          <w:tcPr>
            <w:tcW w:w="3293" w:type="pct"/>
            <w:shd w:val="clear" w:color="auto" w:fill="FFFFFF" w:themeFill="background1"/>
            <w:vAlign w:val="center"/>
          </w:tcPr>
          <w:p w14:paraId="51578B6E">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是否要求投标人提交投标保证金：</w:t>
            </w:r>
          </w:p>
          <w:p w14:paraId="268CCE0F">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sym w:font="Wingdings 2" w:char="F052"/>
            </w:r>
            <w:r>
              <w:rPr>
                <w:rFonts w:hint="eastAsia" w:ascii="Times New Roman" w:hAnsi="Times New Roman"/>
                <w:b/>
                <w:bCs w:val="0"/>
                <w:color w:val="auto"/>
                <w:highlight w:val="none"/>
                <w:shd w:val="clear"/>
              </w:rPr>
              <w:t>不要求</w:t>
            </w:r>
          </w:p>
          <w:p w14:paraId="02C9D9CA">
            <w:pPr>
              <w:pStyle w:val="30"/>
              <w:rPr>
                <w:rFonts w:ascii="Times New Roman" w:hAnsi="Times New Roman"/>
                <w:b/>
                <w:bCs w:val="0"/>
                <w:color w:val="auto"/>
                <w:highlight w:val="none"/>
                <w:shd w:val="clear"/>
              </w:rPr>
            </w:pPr>
            <w:r>
              <w:rPr>
                <w:rFonts w:ascii="Segoe UI Symbol" w:hAnsi="Segoe UI Symbol" w:cs="Segoe UI Symbol"/>
                <w:b/>
                <w:bCs w:val="0"/>
                <w:color w:val="auto"/>
                <w:highlight w:val="none"/>
                <w:shd w:val="clear"/>
              </w:rPr>
              <w:t>☐</w:t>
            </w:r>
            <w:r>
              <w:rPr>
                <w:rFonts w:hint="eastAsia" w:ascii="Times New Roman" w:hAnsi="Times New Roman"/>
                <w:b/>
                <w:bCs w:val="0"/>
                <w:color w:val="auto"/>
                <w:highlight w:val="none"/>
                <w:shd w:val="clear"/>
              </w:rPr>
              <w:t>要求</w:t>
            </w:r>
          </w:p>
          <w:p w14:paraId="14B4C0AD">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1.投标保证金的形式和金额：</w:t>
            </w:r>
          </w:p>
          <w:p w14:paraId="7550595B">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（1）投标保证金的金额：</w:t>
            </w:r>
            <w:r>
              <w:rPr>
                <w:rFonts w:hint="eastAsia" w:ascii="Times New Roman" w:hAnsi="Times New Roman"/>
                <w:b/>
                <w:bCs w:val="0"/>
                <w:color w:val="auto"/>
                <w:highlight w:val="none"/>
                <w:shd w:val="clear"/>
                <w:lang w:val="en-US" w:eastAsia="zh-CN"/>
              </w:rPr>
              <w:t>0</w:t>
            </w:r>
            <w:r>
              <w:rPr>
                <w:rFonts w:hint="eastAsia" w:ascii="Times New Roman" w:hAnsi="Times New Roman"/>
                <w:b/>
                <w:bCs w:val="0"/>
                <w:color w:val="auto"/>
                <w:highlight w:val="none"/>
                <w:shd w:val="clear"/>
              </w:rPr>
              <w:t>元</w:t>
            </w:r>
          </w:p>
          <w:p w14:paraId="2680E4DB">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 xml:space="preserve">（2）投标保证金的形式： </w:t>
            </w:r>
          </w:p>
          <w:p w14:paraId="39D87582">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sym w:font="Wingdings 2" w:char="F052"/>
            </w:r>
            <w:r>
              <w:rPr>
                <w:rFonts w:hint="eastAsia" w:ascii="Times New Roman" w:hAnsi="Times New Roman"/>
                <w:b/>
                <w:bCs w:val="0"/>
                <w:color w:val="auto"/>
                <w:highlight w:val="none"/>
                <w:shd w:val="clear"/>
              </w:rPr>
              <w:t>银行转账；</w:t>
            </w:r>
            <w:r>
              <w:rPr>
                <w:rFonts w:hint="eastAsia" w:ascii="Times New Roman" w:hAnsi="Times New Roman"/>
                <w:b/>
                <w:bCs w:val="0"/>
                <w:color w:val="auto"/>
                <w:highlight w:val="none"/>
                <w:shd w:val="clear"/>
              </w:rPr>
              <w:sym w:font="Wingdings 2" w:char="F052"/>
            </w:r>
            <w:r>
              <w:rPr>
                <w:rFonts w:hint="eastAsia" w:ascii="Times New Roman" w:hAnsi="Times New Roman"/>
                <w:b/>
                <w:bCs w:val="0"/>
                <w:color w:val="auto"/>
                <w:highlight w:val="none"/>
                <w:shd w:val="clear"/>
              </w:rPr>
              <w:t>电子保函；</w:t>
            </w:r>
            <w:r>
              <w:rPr>
                <w:rFonts w:hint="eastAsia" w:ascii="Times New Roman" w:hAnsi="Times New Roman"/>
                <w:b/>
                <w:bCs w:val="0"/>
                <w:color w:val="auto"/>
                <w:highlight w:val="none"/>
                <w:shd w:val="clear"/>
              </w:rPr>
              <w:sym w:font="Wingdings 2" w:char="0052"/>
            </w:r>
            <w:r>
              <w:rPr>
                <w:rFonts w:hint="eastAsia" w:ascii="Times New Roman" w:hAnsi="Times New Roman"/>
                <w:b/>
                <w:bCs w:val="0"/>
                <w:color w:val="auto"/>
                <w:highlight w:val="none"/>
                <w:shd w:val="clear"/>
              </w:rPr>
              <w:t>纸质保函（纸质银行保函、纸质担保机构担保、纸质保证保险等）；</w:t>
            </w:r>
            <w:r>
              <w:rPr>
                <w:rFonts w:hint="eastAsia" w:ascii="Times New Roman" w:hAnsi="Times New Roman" w:eastAsia="MS Gothic"/>
                <w:b/>
                <w:bCs w:val="0"/>
                <w:color w:val="auto"/>
                <w:highlight w:val="none"/>
                <w:shd w:val="clear"/>
              </w:rPr>
              <w:t>☐</w:t>
            </w:r>
            <w:r>
              <w:rPr>
                <w:rFonts w:hint="eastAsia" w:ascii="Times New Roman" w:hAnsi="Times New Roman"/>
                <w:b/>
                <w:bCs w:val="0"/>
                <w:color w:val="auto"/>
                <w:highlight w:val="none"/>
                <w:shd w:val="clear"/>
              </w:rPr>
              <w:t xml:space="preserve">其他形式： </w:t>
            </w:r>
            <w:r>
              <w:rPr>
                <w:rFonts w:hint="eastAsia" w:ascii="Times New Roman" w:hAnsi="Times New Roman"/>
                <w:b/>
                <w:bCs w:val="0"/>
                <w:color w:val="auto"/>
                <w:highlight w:val="none"/>
                <w:shd w:val="clear"/>
                <w:lang w:val="en-US" w:eastAsia="zh-CN"/>
              </w:rPr>
              <w:t>/</w:t>
            </w:r>
          </w:p>
          <w:p w14:paraId="4020CECC">
            <w:pPr>
              <w:pStyle w:val="30"/>
              <w:rPr>
                <w:rFonts w:ascii="Times New Roman" w:hAnsi="Times New Roman"/>
                <w:b/>
                <w:bCs w:val="0"/>
                <w:color w:val="auto"/>
                <w:highlight w:val="none"/>
                <w:shd w:val="clear"/>
              </w:rPr>
            </w:pPr>
            <w:r>
              <w:rPr>
                <w:rFonts w:ascii="Segoe UI Symbol" w:hAnsi="Segoe UI Symbol" w:cs="Segoe UI Symbol"/>
                <w:b/>
                <w:bCs w:val="0"/>
                <w:color w:val="auto"/>
                <w:highlight w:val="none"/>
                <w:shd w:val="clear"/>
              </w:rPr>
              <w:t>☐</w:t>
            </w:r>
            <w:r>
              <w:rPr>
                <w:rFonts w:hint="eastAsia" w:ascii="Times New Roman" w:hAnsi="Times New Roman"/>
                <w:b/>
                <w:bCs w:val="0"/>
                <w:color w:val="auto"/>
                <w:highlight w:val="none"/>
                <w:shd w:val="clear"/>
              </w:rPr>
              <w:t>适用免缴投标保证金政策：</w:t>
            </w:r>
            <w:r>
              <w:rPr>
                <w:rFonts w:hint="eastAsia" w:ascii="Times New Roman" w:hAnsi="Times New Roman"/>
                <w:b/>
                <w:bCs w:val="0"/>
                <w:color w:val="auto"/>
                <w:highlight w:val="none"/>
                <w:shd w:val="clear"/>
              </w:rPr>
              <w:t>符合免缴投标保证金的投标人须满足以下条件：</w:t>
            </w:r>
            <w:r>
              <w:rPr>
                <w:rFonts w:hint="eastAsia" w:cs="宋体"/>
                <w:b/>
                <w:bCs w:val="0"/>
                <w:color w:val="auto"/>
                <w:highlight w:val="none"/>
                <w:shd w:val="clear"/>
              </w:rPr>
              <w:t>①</w:t>
            </w:r>
            <w:r>
              <w:rPr>
                <w:rFonts w:hint="eastAsia" w:ascii="Times New Roman" w:hAnsi="Times New Roman"/>
                <w:b/>
                <w:bCs w:val="0"/>
                <w:color w:val="auto"/>
                <w:highlight w:val="none"/>
                <w:shd w:val="clear"/>
              </w:rPr>
              <w:t>在“信用中国”网站未被列入严重失信主体名单和经营异常名录信息；</w:t>
            </w:r>
            <w:r>
              <w:rPr>
                <w:rFonts w:hint="eastAsia" w:cs="宋体"/>
                <w:b/>
                <w:bCs w:val="0"/>
                <w:color w:val="auto"/>
                <w:highlight w:val="none"/>
                <w:shd w:val="clear"/>
              </w:rPr>
              <w:t>②</w:t>
            </w:r>
            <w:r>
              <w:rPr>
                <w:rFonts w:hint="eastAsia" w:ascii="Times New Roman" w:hAnsi="Times New Roman"/>
                <w:b/>
                <w:bCs w:val="0"/>
                <w:color w:val="auto"/>
                <w:highlight w:val="none"/>
                <w:shd w:val="clear"/>
              </w:rPr>
              <w:t>投标截止时间前，无蚌埠市及其所辖县公共资源交易监督管理部门披露的不良行为记录（披露期内）。</w:t>
            </w:r>
          </w:p>
          <w:p w14:paraId="45AA4864">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①及②需提供《投标人免缴投标保证金信用承诺书》或《公共信用信息报告（无违法违规证明版或核查版）》</w:t>
            </w:r>
          </w:p>
          <w:p w14:paraId="30A80DD4">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2.具体要求：</w:t>
            </w:r>
          </w:p>
          <w:p w14:paraId="3A274E44">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1)采用银行转账形式</w:t>
            </w:r>
          </w:p>
          <w:p w14:paraId="10F24ECA">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①</w:t>
            </w:r>
            <w:r>
              <w:rPr>
                <w:rFonts w:ascii="Times New Roman" w:hAnsi="Times New Roman"/>
                <w:b/>
                <w:bCs w:val="0"/>
                <w:color w:val="auto"/>
                <w:highlight w:val="none"/>
                <w:shd w:val="clear"/>
              </w:rPr>
              <w:t xml:space="preserve">投标保证金的到账截止时间：投标截止时间； </w:t>
            </w:r>
          </w:p>
          <w:p w14:paraId="3AC544D2">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②</w:t>
            </w:r>
            <w:r>
              <w:rPr>
                <w:rFonts w:ascii="Times New Roman" w:hAnsi="Times New Roman"/>
                <w:b/>
                <w:bCs w:val="0"/>
                <w:color w:val="auto"/>
                <w:highlight w:val="none"/>
                <w:shd w:val="clear"/>
              </w:rPr>
              <w:t>投标保证金应当从投标人基本账户转出，投标文件中须提供基本账户开户许可证(或基本账户开户银行出具的该投标人基本存款账户信息证明材料)的扫描件；</w:t>
            </w:r>
          </w:p>
          <w:p w14:paraId="3CEDF0ED">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③</w:t>
            </w:r>
            <w:r>
              <w:rPr>
                <w:rFonts w:ascii="Times New Roman" w:hAnsi="Times New Roman"/>
                <w:b/>
                <w:bCs w:val="0"/>
                <w:color w:val="auto"/>
                <w:highlight w:val="none"/>
                <w:shd w:val="clear"/>
              </w:rPr>
              <w:t>投标保证金缴纳账号见招标公告；</w:t>
            </w:r>
          </w:p>
          <w:p w14:paraId="0F407643">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④</w:t>
            </w:r>
            <w:r>
              <w:rPr>
                <w:rFonts w:ascii="Times New Roman" w:hAnsi="Times New Roman"/>
                <w:b/>
                <w:bCs w:val="0"/>
                <w:color w:val="auto"/>
                <w:highlight w:val="none"/>
                <w:shd w:val="clear"/>
              </w:rPr>
              <w:t>转账方式缴纳保证金时须在交易附言中注明：项目编号项目投标保证金。</w:t>
            </w:r>
          </w:p>
          <w:p w14:paraId="3705AABA">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2)采用电子保函形式 ：</w:t>
            </w:r>
          </w:p>
          <w:p w14:paraId="6F7378DC">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①</w:t>
            </w:r>
            <w:r>
              <w:rPr>
                <w:rFonts w:ascii="Times New Roman" w:hAnsi="Times New Roman"/>
                <w:b/>
                <w:bCs w:val="0"/>
                <w:color w:val="auto"/>
                <w:highlight w:val="none"/>
                <w:shd w:val="clear"/>
              </w:rPr>
              <w:t>采用电子保函方式的必须使用投标人基本账户办理</w:t>
            </w:r>
            <w:r>
              <w:rPr>
                <w:rFonts w:hint="eastAsia" w:ascii="Times New Roman" w:hAnsi="Times New Roman"/>
                <w:b/>
                <w:bCs w:val="0"/>
                <w:color w:val="auto"/>
                <w:highlight w:val="none"/>
                <w:shd w:val="clear"/>
              </w:rPr>
              <w:t>；</w:t>
            </w:r>
          </w:p>
          <w:p w14:paraId="3BF08137">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②</w:t>
            </w:r>
            <w:r>
              <w:rPr>
                <w:rFonts w:ascii="Times New Roman" w:hAnsi="Times New Roman"/>
                <w:b/>
                <w:bCs w:val="0"/>
                <w:color w:val="auto"/>
                <w:highlight w:val="none"/>
                <w:shd w:val="clear"/>
              </w:rPr>
              <w:t xml:space="preserve">保函应为与蚌埠市公共资源交易中心对接的电子保函； </w:t>
            </w:r>
          </w:p>
          <w:p w14:paraId="1499E709">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③</w:t>
            </w:r>
            <w:r>
              <w:rPr>
                <w:rFonts w:ascii="Times New Roman" w:hAnsi="Times New Roman"/>
                <w:b/>
                <w:bCs w:val="0"/>
                <w:color w:val="auto"/>
                <w:highlight w:val="none"/>
                <w:shd w:val="clear"/>
              </w:rPr>
              <w:t>保函的有效期限应涵盖投标有效期，受益人应为招标人。</w:t>
            </w:r>
          </w:p>
          <w:p w14:paraId="6F4105C1">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3）</w:t>
            </w:r>
            <w:r>
              <w:rPr>
                <w:rFonts w:ascii="Times New Roman" w:hAnsi="Times New Roman"/>
                <w:b/>
                <w:bCs w:val="0"/>
                <w:color w:val="auto"/>
                <w:highlight w:val="none"/>
                <w:shd w:val="clear"/>
              </w:rPr>
              <w:t>采用纸质保函形式</w:t>
            </w:r>
          </w:p>
          <w:p w14:paraId="2C86B3E0">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①</w:t>
            </w:r>
            <w:r>
              <w:rPr>
                <w:rFonts w:ascii="Times New Roman" w:hAnsi="Times New Roman"/>
                <w:b/>
                <w:bCs w:val="0"/>
                <w:color w:val="auto"/>
                <w:highlight w:val="none"/>
                <w:shd w:val="clear"/>
              </w:rPr>
              <w:t>保函应为无条件见索即付独立保函，包括银行保函、保证保险、担保保函，保函的有效期限应涵盖投标有效期，受益人应为招标人；投标文件中须提供纸质保函扫描件；</w:t>
            </w:r>
          </w:p>
          <w:p w14:paraId="46AF6E78">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②</w:t>
            </w:r>
            <w:r>
              <w:rPr>
                <w:rFonts w:ascii="Times New Roman" w:hAnsi="Times New Roman"/>
                <w:b/>
                <w:bCs w:val="0"/>
                <w:color w:val="auto"/>
                <w:highlight w:val="none"/>
                <w:shd w:val="clear"/>
              </w:rPr>
              <w:t>保函办理所需费用应从投标人的银行基本账户汇(支)出，投标文件中须提供该项费用的原始凭证扫描件(属于基本账户银行出具保函的除外)、基本账户开户许可证(或基本账户开户银行出具的该投标人基本存款账户信息证明材料)的扫描件；</w:t>
            </w:r>
          </w:p>
          <w:p w14:paraId="532DC01E">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③</w:t>
            </w:r>
            <w:r>
              <w:rPr>
                <w:rFonts w:ascii="Times New Roman" w:hAnsi="Times New Roman"/>
                <w:b/>
                <w:bCs w:val="0"/>
                <w:color w:val="auto"/>
                <w:highlight w:val="none"/>
                <w:shd w:val="clear"/>
              </w:rPr>
              <w:t>投标人提交的纸质保函，必须明确载明有效的查询途径(包括电话、网址链接及查询方式)。　</w:t>
            </w:r>
          </w:p>
          <w:p w14:paraId="1D302687">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④</w:t>
            </w:r>
            <w:r>
              <w:rPr>
                <w:rFonts w:ascii="Times New Roman" w:hAnsi="Times New Roman"/>
                <w:b/>
                <w:bCs w:val="0"/>
                <w:color w:val="auto"/>
                <w:highlight w:val="none"/>
                <w:shd w:val="clear"/>
              </w:rPr>
              <w:t>中标候选人须在中标候选人公示期间将其开具至本招标项目的纸质保函原件提交招标人（或招标代理机构），且原件须与投标文件中提供的扫描件一致，如存在未按照规定提交或提交内容不一致，或发现弄虚作假的，招标人（或招标代理机构）应报招标投标行政监督部门。</w:t>
            </w:r>
          </w:p>
          <w:p w14:paraId="5B42C489">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4）免缴投标保证金政策：</w:t>
            </w:r>
          </w:p>
          <w:p w14:paraId="2B7A9E27">
            <w:pPr>
              <w:pStyle w:val="30"/>
              <w:rPr>
                <w:rFonts w:ascii="Times New Roman" w:hAnsi="Times New Roman"/>
                <w:b/>
                <w:bCs w:val="0"/>
                <w:color w:val="auto"/>
                <w:highlight w:val="none"/>
                <w:shd w:val="clear"/>
              </w:rPr>
            </w:pPr>
            <w:r>
              <w:rPr>
                <w:rFonts w:hint="eastAsia" w:cs="宋体"/>
                <w:b/>
                <w:bCs w:val="0"/>
                <w:color w:val="auto"/>
                <w:highlight w:val="none"/>
                <w:shd w:val="clear"/>
              </w:rPr>
              <w:t>①</w:t>
            </w:r>
            <w:r>
              <w:rPr>
                <w:rFonts w:hint="eastAsia" w:ascii="Times New Roman" w:hAnsi="Times New Roman"/>
                <w:b/>
                <w:bCs w:val="0"/>
                <w:color w:val="auto"/>
                <w:highlight w:val="none"/>
                <w:shd w:val="clear"/>
              </w:rPr>
              <w:t>采用联合体投标的，联合体成员单位均需满足上述条件。</w:t>
            </w:r>
          </w:p>
          <w:p w14:paraId="1A12049A">
            <w:pPr>
              <w:pStyle w:val="30"/>
              <w:rPr>
                <w:rFonts w:ascii="Times New Roman" w:hAnsi="Times New Roman"/>
                <w:b/>
                <w:bCs w:val="0"/>
                <w:color w:val="auto"/>
                <w:highlight w:val="none"/>
                <w:shd w:val="clear"/>
              </w:rPr>
            </w:pPr>
            <w:r>
              <w:rPr>
                <w:rFonts w:hint="eastAsia" w:cs="宋体"/>
                <w:b/>
                <w:bCs w:val="0"/>
                <w:color w:val="auto"/>
                <w:highlight w:val="none"/>
                <w:shd w:val="clear"/>
              </w:rPr>
              <w:t>②</w:t>
            </w:r>
            <w:r>
              <w:rPr>
                <w:rFonts w:ascii="Times New Roman" w:hAnsi="Times New Roman"/>
                <w:b/>
                <w:bCs w:val="0"/>
                <w:color w:val="auto"/>
                <w:highlight w:val="none"/>
                <w:shd w:val="clear"/>
              </w:rPr>
              <w:t>安徽省公共信用信息服务中心出具的</w:t>
            </w:r>
            <w:r>
              <w:rPr>
                <w:rFonts w:hint="eastAsia" w:ascii="Times New Roman" w:hAnsi="Times New Roman"/>
                <w:b/>
                <w:bCs w:val="0"/>
                <w:color w:val="auto"/>
                <w:highlight w:val="none"/>
                <w:shd w:val="clear"/>
              </w:rPr>
              <w:t>《</w:t>
            </w:r>
            <w:r>
              <w:rPr>
                <w:rFonts w:ascii="Times New Roman" w:hAnsi="Times New Roman"/>
                <w:b/>
                <w:bCs w:val="0"/>
                <w:color w:val="auto"/>
                <w:highlight w:val="none"/>
                <w:shd w:val="clear"/>
              </w:rPr>
              <w:t>公共信用信息报告（无违法违规证明版或核查版）》可通过安徽政务服务网开具</w:t>
            </w:r>
            <w:r>
              <w:rPr>
                <w:rFonts w:hint="eastAsia" w:ascii="Times New Roman" w:hAnsi="Times New Roman"/>
                <w:b/>
                <w:bCs w:val="0"/>
                <w:color w:val="auto"/>
                <w:highlight w:val="none"/>
                <w:shd w:val="clear"/>
              </w:rPr>
              <w:t>。投标人提供《</w:t>
            </w:r>
            <w:r>
              <w:rPr>
                <w:rFonts w:ascii="Times New Roman" w:hAnsi="Times New Roman"/>
                <w:b/>
                <w:bCs w:val="0"/>
                <w:color w:val="auto"/>
                <w:highlight w:val="none"/>
                <w:shd w:val="clear"/>
              </w:rPr>
              <w:t>公共信用信息报告（无违法违规证明版或核查版）》</w:t>
            </w:r>
            <w:r>
              <w:rPr>
                <w:rFonts w:hint="eastAsia" w:ascii="Times New Roman" w:hAnsi="Times New Roman"/>
                <w:b/>
                <w:bCs w:val="0"/>
                <w:color w:val="auto"/>
                <w:highlight w:val="none"/>
                <w:shd w:val="clear"/>
              </w:rPr>
              <w:t>，视为符合免缴投标保证金的条件①和②</w:t>
            </w:r>
            <w:r>
              <w:rPr>
                <w:rFonts w:ascii="Times New Roman" w:hAnsi="Times New Roman"/>
                <w:b/>
                <w:bCs w:val="0"/>
                <w:color w:val="auto"/>
                <w:highlight w:val="none"/>
                <w:shd w:val="clear"/>
              </w:rPr>
              <w:t>。联合体投标</w:t>
            </w:r>
            <w:r>
              <w:rPr>
                <w:rFonts w:hint="eastAsia" w:ascii="Times New Roman" w:hAnsi="Times New Roman"/>
                <w:b/>
                <w:bCs w:val="0"/>
                <w:color w:val="auto"/>
                <w:highlight w:val="none"/>
                <w:shd w:val="clear"/>
              </w:rPr>
              <w:t>的</w:t>
            </w:r>
            <w:r>
              <w:rPr>
                <w:rFonts w:ascii="Times New Roman" w:hAnsi="Times New Roman"/>
                <w:b/>
                <w:bCs w:val="0"/>
                <w:color w:val="auto"/>
                <w:highlight w:val="none"/>
                <w:shd w:val="clear"/>
              </w:rPr>
              <w:t>，须提供</w:t>
            </w:r>
            <w:r>
              <w:rPr>
                <w:rFonts w:hint="eastAsia" w:ascii="Times New Roman" w:hAnsi="Times New Roman"/>
                <w:b/>
                <w:bCs w:val="0"/>
                <w:color w:val="auto"/>
                <w:highlight w:val="none"/>
                <w:shd w:val="clear"/>
              </w:rPr>
              <w:t>各方的</w:t>
            </w:r>
            <w:r>
              <w:rPr>
                <w:rFonts w:ascii="Times New Roman" w:hAnsi="Times New Roman"/>
                <w:b/>
                <w:bCs w:val="0"/>
                <w:color w:val="auto"/>
                <w:highlight w:val="none"/>
                <w:shd w:val="clear"/>
              </w:rPr>
              <w:t>《公共信用信息报告（无违法违规证明版或核查版）》</w:t>
            </w:r>
            <w:r>
              <w:rPr>
                <w:rFonts w:hint="eastAsia" w:ascii="Times New Roman" w:hAnsi="Times New Roman"/>
                <w:b/>
                <w:bCs w:val="0"/>
                <w:color w:val="auto"/>
                <w:highlight w:val="none"/>
                <w:shd w:val="clear"/>
              </w:rPr>
              <w:t>。</w:t>
            </w:r>
          </w:p>
          <w:p w14:paraId="404757E5">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③如评标委员会在评审过程中发现投标人承诺与事实不符，视其投标保证金评审不通过，并报</w:t>
            </w:r>
            <w:r>
              <w:rPr>
                <w:rFonts w:ascii="Times New Roman" w:hAnsi="Times New Roman"/>
                <w:b/>
                <w:bCs w:val="0"/>
                <w:color w:val="auto"/>
                <w:highlight w:val="none"/>
                <w:shd w:val="clear"/>
              </w:rPr>
              <w:t>招标投标行政监督部门</w:t>
            </w:r>
            <w:r>
              <w:rPr>
                <w:rFonts w:hint="eastAsia" w:ascii="Times New Roman" w:hAnsi="Times New Roman"/>
                <w:b/>
                <w:bCs w:val="0"/>
                <w:color w:val="auto"/>
                <w:highlight w:val="none"/>
                <w:shd w:val="clear"/>
              </w:rPr>
              <w:t>处理；如中标后发现投标人免缴投标保证金存在弄虚作假情形，</w:t>
            </w:r>
            <w:r>
              <w:rPr>
                <w:rFonts w:ascii="Times New Roman" w:hAnsi="Times New Roman"/>
                <w:b/>
                <w:bCs w:val="0"/>
                <w:color w:val="auto"/>
                <w:highlight w:val="none"/>
                <w:shd w:val="clear"/>
              </w:rPr>
              <w:t>招标投标行政监督部门</w:t>
            </w:r>
            <w:r>
              <w:rPr>
                <w:rFonts w:hint="eastAsia" w:ascii="Times New Roman" w:hAnsi="Times New Roman"/>
                <w:b/>
                <w:bCs w:val="0"/>
                <w:color w:val="auto"/>
                <w:highlight w:val="none"/>
                <w:shd w:val="clear"/>
              </w:rPr>
              <w:t>将依法依规处理。</w:t>
            </w:r>
          </w:p>
          <w:p w14:paraId="0C03BEC4">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④招标人保留追缴投标保证金的权利；当发生本章第3.4.4项规定的不予退还投标保证金的情形时，投标人应限时足额缴纳招标文件所列全部投标保证金；投标人在招标人发出追缴通知后的规定缴纳时间内不能足额支付投标保证金的，招标人将依法提起诉讼追缴，招标人因此发生的诉讼费、律师代理费等费用均由投标人承担，并报</w:t>
            </w:r>
            <w:r>
              <w:rPr>
                <w:rFonts w:ascii="Times New Roman" w:hAnsi="Times New Roman"/>
                <w:b/>
                <w:bCs w:val="0"/>
                <w:color w:val="auto"/>
                <w:highlight w:val="none"/>
                <w:shd w:val="clear"/>
              </w:rPr>
              <w:t>招标投标行政监督部门</w:t>
            </w:r>
            <w:r>
              <w:rPr>
                <w:rFonts w:hint="eastAsia" w:ascii="Times New Roman" w:hAnsi="Times New Roman"/>
                <w:b/>
                <w:bCs w:val="0"/>
                <w:color w:val="auto"/>
                <w:highlight w:val="none"/>
                <w:shd w:val="clear"/>
              </w:rPr>
              <w:t>处理。</w:t>
            </w:r>
          </w:p>
          <w:p w14:paraId="06BA1F20">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3.</w:t>
            </w:r>
            <w:r>
              <w:rPr>
                <w:rFonts w:ascii="Times New Roman" w:hAnsi="Times New Roman"/>
                <w:b/>
                <w:bCs w:val="0"/>
                <w:color w:val="auto"/>
                <w:highlight w:val="none"/>
                <w:shd w:val="clear"/>
              </w:rPr>
              <w:t>注意事项</w:t>
            </w:r>
          </w:p>
          <w:p w14:paraId="2D48D1C3">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w:t>
            </w:r>
            <w:r>
              <w:rPr>
                <w:rFonts w:ascii="Times New Roman" w:hAnsi="Times New Roman"/>
                <w:b/>
                <w:bCs w:val="0"/>
                <w:color w:val="auto"/>
                <w:highlight w:val="none"/>
                <w:shd w:val="clear"/>
              </w:rPr>
              <w:t>）本次招标失败，再次进行招标的，投标人须按照新的账户重新缴纳投标保证金。</w:t>
            </w:r>
          </w:p>
          <w:p w14:paraId="5DA3F616">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2</w:t>
            </w:r>
            <w:r>
              <w:rPr>
                <w:rFonts w:ascii="Times New Roman" w:hAnsi="Times New Roman"/>
                <w:b/>
                <w:bCs w:val="0"/>
                <w:color w:val="auto"/>
                <w:highlight w:val="none"/>
                <w:shd w:val="clear"/>
              </w:rPr>
              <w:t>）投标人参与本项目多个标段投标的（如分多标段的），应该按标段分别递交投标保证金。</w:t>
            </w:r>
          </w:p>
          <w:p w14:paraId="7624986F">
            <w:pPr>
              <w:pStyle w:val="3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4</w:t>
            </w:r>
            <w:r>
              <w:rPr>
                <w:rFonts w:ascii="Times New Roman" w:hAnsi="Times New Roman"/>
                <w:b/>
                <w:bCs w:val="0"/>
                <w:color w:val="auto"/>
                <w:highlight w:val="none"/>
                <w:shd w:val="clear"/>
              </w:rPr>
              <w:t>.保证金电子保函业务应急处置措施</w:t>
            </w:r>
          </w:p>
          <w:p w14:paraId="74F8D07C">
            <w:pPr>
              <w:pStyle w:val="30"/>
              <w:rPr>
                <w:rFonts w:ascii="Times New Roman" w:hAnsi="Times New Roman"/>
                <w:b/>
                <w:bCs w:val="0"/>
                <w:color w:val="auto"/>
                <w:highlight w:val="none"/>
                <w:shd w:val="clear"/>
              </w:rPr>
            </w:pPr>
            <w:r>
              <w:rPr>
                <w:rFonts w:ascii="Times New Roman" w:hAnsi="Times New Roman"/>
                <w:b/>
                <w:bCs w:val="0"/>
                <w:color w:val="auto"/>
                <w:highlight w:val="none"/>
                <w:shd w:val="clear"/>
              </w:rPr>
              <w:t>由于自然灾害、事故灾难、突发公共网络安全事件或者系统原因等导致下列情形的，招标代理机构应及时报告公共资源交易</w:t>
            </w:r>
            <w:r>
              <w:rPr>
                <w:rFonts w:hint="eastAsia" w:ascii="Times New Roman" w:hAnsi="Times New Roman"/>
                <w:b/>
                <w:bCs w:val="0"/>
                <w:color w:val="auto"/>
                <w:highlight w:val="none"/>
                <w:shd w:val="clear"/>
              </w:rPr>
              <w:t>中心</w:t>
            </w:r>
            <w:r>
              <w:rPr>
                <w:rFonts w:ascii="Times New Roman" w:hAnsi="Times New Roman"/>
                <w:b/>
                <w:bCs w:val="0"/>
                <w:color w:val="auto"/>
                <w:highlight w:val="none"/>
                <w:shd w:val="clear"/>
              </w:rPr>
              <w:t>核实问题原因：</w:t>
            </w:r>
          </w:p>
          <w:p w14:paraId="08631020">
            <w:pPr>
              <w:pStyle w:val="30"/>
              <w:rPr>
                <w:rFonts w:ascii="Times New Roman" w:hAnsi="Times New Roman"/>
                <w:b/>
                <w:bCs w:val="0"/>
                <w:color w:val="auto"/>
                <w:highlight w:val="none"/>
                <w:shd w:val="clear"/>
              </w:rPr>
            </w:pPr>
            <w:r>
              <w:rPr>
                <w:rFonts w:ascii="Times New Roman" w:hAnsi="Times New Roman"/>
                <w:b/>
                <w:bCs w:val="0"/>
                <w:color w:val="auto"/>
                <w:highlight w:val="none"/>
                <w:shd w:val="clear"/>
              </w:rPr>
              <w:t>1）开标时，系统获取明文保函文件异常，无法正常获取保函文件；</w:t>
            </w:r>
          </w:p>
          <w:p w14:paraId="5B6E3E77">
            <w:pPr>
              <w:pStyle w:val="30"/>
              <w:rPr>
                <w:rFonts w:ascii="Times New Roman" w:hAnsi="Times New Roman"/>
                <w:b/>
                <w:bCs w:val="0"/>
                <w:color w:val="auto"/>
                <w:highlight w:val="none"/>
                <w:shd w:val="clear"/>
              </w:rPr>
            </w:pPr>
            <w:r>
              <w:rPr>
                <w:rFonts w:ascii="Times New Roman" w:hAnsi="Times New Roman"/>
                <w:b/>
                <w:bCs w:val="0"/>
                <w:color w:val="auto"/>
                <w:highlight w:val="none"/>
                <w:shd w:val="clear"/>
              </w:rPr>
              <w:t>2）保证金电子保函系统的软件或数据库出现错误，不能进行正常操作；</w:t>
            </w:r>
          </w:p>
          <w:p w14:paraId="2F5F46D4">
            <w:pPr>
              <w:pStyle w:val="30"/>
              <w:rPr>
                <w:rFonts w:ascii="Times New Roman" w:hAnsi="Times New Roman"/>
                <w:b/>
                <w:bCs w:val="0"/>
                <w:color w:val="auto"/>
                <w:highlight w:val="none"/>
                <w:shd w:val="clear"/>
              </w:rPr>
            </w:pPr>
            <w:r>
              <w:rPr>
                <w:rFonts w:ascii="Times New Roman" w:hAnsi="Times New Roman"/>
                <w:b/>
                <w:bCs w:val="0"/>
                <w:color w:val="auto"/>
                <w:highlight w:val="none"/>
                <w:shd w:val="clear"/>
              </w:rPr>
              <w:t>3）保证金电子保函系统服务器发生故障等情况，无法访问或无法使用电子保函；</w:t>
            </w:r>
          </w:p>
          <w:p w14:paraId="752D068F">
            <w:pPr>
              <w:pStyle w:val="30"/>
              <w:rPr>
                <w:rFonts w:ascii="Times New Roman" w:hAnsi="Times New Roman"/>
                <w:b/>
                <w:bCs w:val="0"/>
                <w:color w:val="auto"/>
                <w:highlight w:val="none"/>
                <w:shd w:val="clear"/>
              </w:rPr>
            </w:pPr>
            <w:r>
              <w:rPr>
                <w:rFonts w:ascii="Times New Roman" w:hAnsi="Times New Roman"/>
                <w:b/>
                <w:bCs w:val="0"/>
                <w:color w:val="auto"/>
                <w:highlight w:val="none"/>
                <w:shd w:val="clear"/>
              </w:rPr>
              <w:t>4）保证金电子保函系统服务器受到病毒或其他外来的攻击；</w:t>
            </w:r>
          </w:p>
          <w:p w14:paraId="5B618A18">
            <w:pPr>
              <w:pStyle w:val="30"/>
              <w:rPr>
                <w:rFonts w:ascii="Times New Roman" w:hAnsi="Times New Roman"/>
                <w:b/>
                <w:bCs w:val="0"/>
                <w:color w:val="auto"/>
                <w:highlight w:val="none"/>
                <w:shd w:val="clear"/>
              </w:rPr>
            </w:pPr>
            <w:r>
              <w:rPr>
                <w:rFonts w:ascii="Times New Roman" w:hAnsi="Times New Roman"/>
                <w:b/>
                <w:bCs w:val="0"/>
                <w:color w:val="auto"/>
                <w:highlight w:val="none"/>
                <w:shd w:val="clear"/>
              </w:rPr>
              <w:t>5）其他影响电子保函出具的异常情形。</w:t>
            </w:r>
          </w:p>
          <w:p w14:paraId="47FB9528">
            <w:pPr>
              <w:pStyle w:val="30"/>
              <w:rPr>
                <w:rFonts w:ascii="Times New Roman" w:hAnsi="Times New Roman"/>
                <w:color w:val="auto"/>
                <w:highlight w:val="none"/>
                <w:shd w:val="clear"/>
              </w:rPr>
            </w:pPr>
            <w:r>
              <w:rPr>
                <w:rFonts w:ascii="Times New Roman" w:hAnsi="Times New Roman"/>
                <w:b/>
                <w:bCs w:val="0"/>
                <w:color w:val="auto"/>
                <w:highlight w:val="none"/>
                <w:shd w:val="clear"/>
              </w:rPr>
              <w:t>投标人确实已购买电子保函，经招标投标行政监督部门同意后，将投标人购买的电子保函情况提交评标委员会评审，并在评标报告中载明相关情况。</w:t>
            </w:r>
          </w:p>
        </w:tc>
      </w:tr>
      <w:permEnd w:id="43"/>
      <w:tr w14:paraId="4DC1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AEE1347">
            <w:pPr>
              <w:pStyle w:val="29"/>
              <w:rPr>
                <w:rFonts w:ascii="Times New Roman" w:hAnsi="Times New Roman"/>
                <w:color w:val="auto"/>
                <w:highlight w:val="none"/>
                <w:shd w:val="clear"/>
              </w:rPr>
            </w:pPr>
            <w:permStart w:id="44" w:edGrp="everyone" w:colFirst="2" w:colLast="2"/>
            <w:r>
              <w:rPr>
                <w:rFonts w:hint="eastAsia" w:ascii="Times New Roman" w:hAnsi="Times New Roman"/>
                <w:color w:val="auto"/>
                <w:highlight w:val="none"/>
                <w:shd w:val="clear"/>
              </w:rPr>
              <w:t>3.4.4（3）</w:t>
            </w:r>
          </w:p>
        </w:tc>
        <w:tc>
          <w:tcPr>
            <w:tcW w:w="1087" w:type="pct"/>
            <w:vAlign w:val="center"/>
          </w:tcPr>
          <w:p w14:paraId="0A665C05">
            <w:pPr>
              <w:pStyle w:val="29"/>
              <w:rPr>
                <w:rFonts w:ascii="Times New Roman" w:hAnsi="Times New Roman"/>
                <w:color w:val="auto"/>
                <w:highlight w:val="none"/>
                <w:shd w:val="clear"/>
              </w:rPr>
            </w:pPr>
            <w:r>
              <w:rPr>
                <w:rFonts w:hint="eastAsia" w:ascii="Times New Roman" w:hAnsi="Times New Roman"/>
                <w:color w:val="auto"/>
                <w:highlight w:val="none"/>
                <w:shd w:val="clear"/>
              </w:rPr>
              <w:t>其他不予退还投标保证金的情形</w:t>
            </w:r>
          </w:p>
        </w:tc>
        <w:tc>
          <w:tcPr>
            <w:tcW w:w="3293" w:type="pct"/>
            <w:vAlign w:val="center"/>
          </w:tcPr>
          <w:p w14:paraId="13E4DB66">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permEnd w:id="44"/>
      <w:tr w14:paraId="585C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1709BB73">
            <w:pPr>
              <w:pStyle w:val="29"/>
              <w:rPr>
                <w:rFonts w:ascii="Times New Roman" w:hAnsi="Times New Roman"/>
                <w:color w:val="auto"/>
                <w:highlight w:val="none"/>
                <w:shd w:val="clear"/>
              </w:rPr>
            </w:pPr>
            <w:permStart w:id="45" w:edGrp="everyone" w:colFirst="2" w:colLast="2"/>
            <w:r>
              <w:rPr>
                <w:rFonts w:hint="eastAsia" w:ascii="Times New Roman" w:hAnsi="Times New Roman"/>
                <w:color w:val="auto"/>
                <w:highlight w:val="none"/>
                <w:shd w:val="clear"/>
              </w:rPr>
              <w:t>3.6.1</w:t>
            </w:r>
          </w:p>
        </w:tc>
        <w:tc>
          <w:tcPr>
            <w:tcW w:w="1087" w:type="pct"/>
            <w:vAlign w:val="center"/>
          </w:tcPr>
          <w:p w14:paraId="6B68E585">
            <w:pPr>
              <w:pStyle w:val="29"/>
              <w:rPr>
                <w:rFonts w:ascii="Times New Roman" w:hAnsi="Times New Roman"/>
                <w:color w:val="auto"/>
                <w:highlight w:val="none"/>
                <w:shd w:val="clear"/>
              </w:rPr>
            </w:pPr>
            <w:r>
              <w:rPr>
                <w:rFonts w:hint="eastAsia" w:ascii="Times New Roman" w:hAnsi="Times New Roman"/>
                <w:color w:val="auto"/>
                <w:highlight w:val="none"/>
                <w:shd w:val="clear"/>
              </w:rPr>
              <w:t>是否允许递交备选投标方案</w:t>
            </w:r>
          </w:p>
        </w:tc>
        <w:tc>
          <w:tcPr>
            <w:tcW w:w="3293" w:type="pct"/>
            <w:vAlign w:val="center"/>
          </w:tcPr>
          <w:p w14:paraId="776E2A60">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不允许。</w:t>
            </w:r>
          </w:p>
          <w:p w14:paraId="56B1ACA0">
            <w:pPr>
              <w:pStyle w:val="30"/>
              <w:rPr>
                <w:rFonts w:hint="eastAsia" w:ascii="Times New Roman" w:hAnsi="Times New Roman" w:eastAsia="宋体"/>
                <w:color w:val="auto"/>
                <w:highlight w:val="none"/>
                <w:shd w:val="clear"/>
                <w:lang w:val="en-US" w:eastAsia="zh-CN"/>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允许，具体要求：</w:t>
            </w:r>
            <w:r>
              <w:rPr>
                <w:rFonts w:hint="eastAsia" w:ascii="Times New Roman" w:hAnsi="Times New Roman"/>
                <w:color w:val="auto"/>
                <w:highlight w:val="none"/>
                <w:shd w:val="clear"/>
                <w:lang w:val="en-US" w:eastAsia="zh-CN"/>
              </w:rPr>
              <w:t>/</w:t>
            </w:r>
          </w:p>
        </w:tc>
      </w:tr>
      <w:permEnd w:id="45"/>
      <w:tr w14:paraId="4F95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435ED98">
            <w:pPr>
              <w:pStyle w:val="29"/>
              <w:rPr>
                <w:rFonts w:ascii="Times New Roman" w:hAnsi="Times New Roman"/>
                <w:color w:val="auto"/>
                <w:highlight w:val="none"/>
                <w:shd w:val="clear"/>
              </w:rPr>
            </w:pPr>
            <w:permStart w:id="46" w:edGrp="everyone" w:colFirst="2" w:colLast="2"/>
            <w:r>
              <w:rPr>
                <w:rFonts w:hint="eastAsia" w:ascii="Times New Roman" w:hAnsi="Times New Roman"/>
                <w:color w:val="auto"/>
                <w:highlight w:val="none"/>
                <w:shd w:val="clear"/>
              </w:rPr>
              <w:t>3.7.4</w:t>
            </w:r>
          </w:p>
        </w:tc>
        <w:tc>
          <w:tcPr>
            <w:tcW w:w="1087" w:type="pct"/>
            <w:vAlign w:val="center"/>
          </w:tcPr>
          <w:p w14:paraId="53E8DD0C">
            <w:pPr>
              <w:pStyle w:val="29"/>
              <w:rPr>
                <w:rFonts w:ascii="Times New Roman" w:hAnsi="Times New Roman"/>
                <w:color w:val="auto"/>
                <w:highlight w:val="none"/>
                <w:shd w:val="clear"/>
              </w:rPr>
            </w:pPr>
            <w:r>
              <w:rPr>
                <w:rFonts w:hint="eastAsia" w:ascii="Times New Roman" w:hAnsi="Times New Roman"/>
                <w:color w:val="auto"/>
                <w:highlight w:val="none"/>
                <w:shd w:val="clear"/>
              </w:rPr>
              <w:t>非加密投标文件递交</w:t>
            </w:r>
          </w:p>
        </w:tc>
        <w:tc>
          <w:tcPr>
            <w:tcW w:w="3293" w:type="pct"/>
            <w:vAlign w:val="center"/>
          </w:tcPr>
          <w:p w14:paraId="277506E1">
            <w:pPr>
              <w:pStyle w:val="30"/>
              <w:rPr>
                <w:rFonts w:ascii="Times New Roman" w:hAnsi="Times New Roman"/>
                <w:color w:val="auto"/>
                <w:highlight w:val="none"/>
                <w:shd w:val="clear"/>
              </w:rPr>
            </w:pPr>
            <w:r>
              <w:rPr>
                <w:rFonts w:hint="eastAsia" w:ascii="Times New Roman" w:hAnsi="Times New Roman"/>
                <w:color w:val="auto"/>
                <w:highlight w:val="none"/>
                <w:shd w:val="clear"/>
              </w:rPr>
              <w:t>不要求</w:t>
            </w:r>
          </w:p>
        </w:tc>
      </w:tr>
      <w:permEnd w:id="46"/>
      <w:tr w14:paraId="5FB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3A34B85E">
            <w:pPr>
              <w:pStyle w:val="29"/>
              <w:rPr>
                <w:rFonts w:ascii="Times New Roman" w:hAnsi="Times New Roman"/>
                <w:color w:val="auto"/>
                <w:highlight w:val="none"/>
                <w:shd w:val="clear"/>
              </w:rPr>
            </w:pPr>
            <w:permStart w:id="47" w:edGrp="everyone" w:colFirst="2" w:colLast="2"/>
            <w:r>
              <w:rPr>
                <w:rFonts w:hint="eastAsia" w:ascii="Times New Roman" w:hAnsi="Times New Roman"/>
                <w:color w:val="auto"/>
                <w:highlight w:val="none"/>
                <w:shd w:val="clear"/>
              </w:rPr>
              <w:t>3.7.6</w:t>
            </w:r>
          </w:p>
        </w:tc>
        <w:tc>
          <w:tcPr>
            <w:tcW w:w="1087" w:type="pct"/>
            <w:tcBorders>
              <w:bottom w:val="single" w:color="auto" w:sz="4" w:space="0"/>
            </w:tcBorders>
            <w:vAlign w:val="center"/>
          </w:tcPr>
          <w:p w14:paraId="1391BFAC">
            <w:pPr>
              <w:pStyle w:val="29"/>
              <w:rPr>
                <w:rFonts w:ascii="Times New Roman" w:hAnsi="Times New Roman"/>
                <w:color w:val="auto"/>
                <w:highlight w:val="none"/>
                <w:shd w:val="clear"/>
              </w:rPr>
            </w:pPr>
            <w:r>
              <w:rPr>
                <w:rFonts w:hint="eastAsia" w:ascii="Times New Roman" w:hAnsi="Times New Roman"/>
                <w:color w:val="auto"/>
                <w:highlight w:val="none"/>
                <w:shd w:val="clear"/>
              </w:rPr>
              <w:t>技术文件是否横向暗标</w:t>
            </w:r>
          </w:p>
        </w:tc>
        <w:tc>
          <w:tcPr>
            <w:tcW w:w="3293" w:type="pct"/>
            <w:tcBorders>
              <w:bottom w:val="single" w:color="auto" w:sz="4" w:space="0"/>
            </w:tcBorders>
            <w:vAlign w:val="center"/>
          </w:tcPr>
          <w:p w14:paraId="2A2B71A8">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是</w:t>
            </w:r>
          </w:p>
          <w:p w14:paraId="51B2C806">
            <w:pPr>
              <w:pStyle w:val="30"/>
              <w:rPr>
                <w:rFonts w:hint="eastAsia" w:ascii="Times New Roman" w:hAnsi="Times New Roman"/>
                <w:color w:val="auto"/>
                <w:highlight w:val="none"/>
                <w:shd w:val="clear"/>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否</w:t>
            </w:r>
          </w:p>
        </w:tc>
      </w:tr>
      <w:permEnd w:id="47"/>
      <w:tr w14:paraId="486C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1831FD4B">
            <w:pPr>
              <w:pStyle w:val="29"/>
              <w:rPr>
                <w:rFonts w:ascii="Times New Roman" w:hAnsi="Times New Roman"/>
                <w:color w:val="auto"/>
                <w:highlight w:val="none"/>
                <w:shd w:val="clear"/>
              </w:rPr>
            </w:pPr>
            <w:permStart w:id="48" w:edGrp="everyone" w:colFirst="2" w:colLast="2"/>
            <w:r>
              <w:rPr>
                <w:rFonts w:hint="eastAsia" w:ascii="Times New Roman" w:hAnsi="Times New Roman"/>
                <w:color w:val="auto"/>
                <w:highlight w:val="none"/>
                <w:shd w:val="clear"/>
              </w:rPr>
              <w:t>3.7.6（2）</w:t>
            </w:r>
          </w:p>
        </w:tc>
        <w:tc>
          <w:tcPr>
            <w:tcW w:w="1087" w:type="pct"/>
            <w:shd w:val="clear" w:color="auto" w:fill="FFFFFF" w:themeFill="background1"/>
            <w:vAlign w:val="center"/>
          </w:tcPr>
          <w:p w14:paraId="50CEE39D">
            <w:pPr>
              <w:pStyle w:val="29"/>
              <w:rPr>
                <w:rFonts w:ascii="Times New Roman" w:hAnsi="Times New Roman"/>
                <w:color w:val="auto"/>
                <w:highlight w:val="none"/>
                <w:shd w:val="clear"/>
              </w:rPr>
            </w:pPr>
            <w:r>
              <w:rPr>
                <w:rFonts w:hint="eastAsia" w:ascii="Times New Roman" w:hAnsi="Times New Roman"/>
                <w:color w:val="auto"/>
                <w:highlight w:val="none"/>
                <w:shd w:val="clear"/>
              </w:rPr>
              <w:t>横向暗标补充要求</w:t>
            </w:r>
          </w:p>
        </w:tc>
        <w:tc>
          <w:tcPr>
            <w:tcW w:w="3293" w:type="pct"/>
            <w:shd w:val="clear" w:color="auto" w:fill="FFFFFF" w:themeFill="background1"/>
            <w:vAlign w:val="center"/>
          </w:tcPr>
          <w:p w14:paraId="2BFECECF">
            <w:pPr>
              <w:pStyle w:val="30"/>
              <w:rPr>
                <w:rFonts w:ascii="Times New Roman" w:hAnsi="Times New Roman"/>
                <w:color w:val="auto"/>
                <w:highlight w:val="none"/>
                <w:shd w:val="clear"/>
              </w:rPr>
            </w:pPr>
            <w:r>
              <w:rPr>
                <w:rFonts w:hint="eastAsia" w:ascii="Times New Roman" w:hAnsi="Times New Roman"/>
                <w:color w:val="auto"/>
                <w:highlight w:val="none"/>
                <w:shd w:val="clear"/>
              </w:rPr>
              <w:t>（1）格式要求：</w:t>
            </w:r>
          </w:p>
          <w:p w14:paraId="6950ADB1">
            <w:pPr>
              <w:pStyle w:val="30"/>
              <w:rPr>
                <w:rFonts w:ascii="Times New Roman" w:hAnsi="Times New Roman"/>
                <w:color w:val="auto"/>
                <w:highlight w:val="none"/>
                <w:shd w:val="clear"/>
              </w:rPr>
            </w:pPr>
            <w:r>
              <w:rPr>
                <w:rFonts w:hint="eastAsia" w:ascii="Times New Roman" w:hAnsi="Times New Roman"/>
                <w:color w:val="auto"/>
                <w:highlight w:val="none"/>
                <w:shd w:val="clear"/>
              </w:rPr>
              <w:t xml:space="preserve">1）技术文件格式统一按要求进行编制；不得出现本单位名称、地址、人员姓名、清晰人像、单位图标、签字盖章等能够明示或暗示单位身份的信息。技术文件不得出现重复页情况。不得出现页码。 </w:t>
            </w:r>
          </w:p>
          <w:p w14:paraId="57245EFA">
            <w:pPr>
              <w:pStyle w:val="30"/>
              <w:rPr>
                <w:rFonts w:ascii="Times New Roman" w:hAnsi="Times New Roman"/>
                <w:color w:val="auto"/>
                <w:highlight w:val="none"/>
                <w:shd w:val="clear"/>
              </w:rPr>
            </w:pPr>
            <w:r>
              <w:rPr>
                <w:rFonts w:hint="eastAsia" w:ascii="Times New Roman" w:hAnsi="Times New Roman"/>
                <w:color w:val="auto"/>
                <w:highlight w:val="none"/>
                <w:shd w:val="clear"/>
              </w:rPr>
              <w:t>2）A4幅面，全篇无色底纹、黑色文字(图表、图纸除外)，无下划线；图表纸张小于A4的用A4，大于A4的一律使用A3；</w:t>
            </w:r>
          </w:p>
          <w:p w14:paraId="295C8A71">
            <w:pPr>
              <w:pStyle w:val="30"/>
              <w:rPr>
                <w:rFonts w:ascii="Times New Roman" w:hAnsi="Times New Roman"/>
                <w:color w:val="auto"/>
                <w:highlight w:val="none"/>
                <w:shd w:val="clear"/>
              </w:rPr>
            </w:pPr>
            <w:r>
              <w:rPr>
                <w:rFonts w:hint="eastAsia" w:ascii="Times New Roman" w:hAnsi="Times New Roman"/>
                <w:color w:val="auto"/>
                <w:highlight w:val="none"/>
                <w:shd w:val="clear"/>
              </w:rPr>
              <w:t>3）一级标题四号黑体，其他级标题四号宋体，正文小四号宋体；1.5倍行距，页边距上、下、左、右均为2.5cm；所有文字无斜体、无加粗、无着重号。（幅面大小、行距及页边距只是 word或 wps 格式文本制作设置要求，评标委员会成员认为电子投标文件最终实际展示情况明显异常的，须经评标委员会讨论确定。）</w:t>
            </w:r>
          </w:p>
          <w:p w14:paraId="5E37E0EC">
            <w:pPr>
              <w:pStyle w:val="30"/>
              <w:rPr>
                <w:rFonts w:ascii="Times New Roman" w:hAnsi="Times New Roman"/>
                <w:color w:val="auto"/>
                <w:highlight w:val="none"/>
                <w:shd w:val="clear"/>
              </w:rPr>
            </w:pPr>
            <w:r>
              <w:rPr>
                <w:rFonts w:hint="eastAsia" w:ascii="Times New Roman" w:hAnsi="Times New Roman"/>
                <w:color w:val="auto"/>
                <w:highlight w:val="none"/>
                <w:shd w:val="clear"/>
              </w:rPr>
              <w:t>（2）技术文件各评审因素对应的章节页面数量均不超过</w:t>
            </w:r>
            <w:r>
              <w:rPr>
                <w:rFonts w:hint="eastAsia" w:ascii="Times New Roman" w:hAnsi="Times New Roman"/>
                <w:color w:val="auto"/>
                <w:highlight w:val="none"/>
                <w:shd w:val="clear"/>
                <w:lang w:val="en-US" w:eastAsia="zh-CN"/>
              </w:rPr>
              <w:t>10</w:t>
            </w:r>
            <w:r>
              <w:rPr>
                <w:rFonts w:hint="eastAsia" w:ascii="Times New Roman" w:hAnsi="Times New Roman"/>
                <w:color w:val="auto"/>
                <w:highlight w:val="none"/>
                <w:shd w:val="clear"/>
              </w:rPr>
              <w:t>页。</w:t>
            </w:r>
          </w:p>
          <w:p w14:paraId="20BCAFB4">
            <w:pPr>
              <w:pStyle w:val="30"/>
              <w:rPr>
                <w:rFonts w:ascii="Times New Roman" w:hAnsi="Times New Roman"/>
                <w:color w:val="auto"/>
                <w:highlight w:val="none"/>
                <w:shd w:val="clear"/>
              </w:rPr>
            </w:pPr>
            <w:r>
              <w:rPr>
                <w:rFonts w:hint="eastAsia" w:ascii="Times New Roman" w:hAnsi="Times New Roman"/>
                <w:color w:val="auto"/>
                <w:highlight w:val="none"/>
                <w:shd w:val="clear"/>
              </w:rPr>
              <w:t xml:space="preserve">（3）技术文件的格式、制作、页面数量不符合招标文件要求的，按照 </w:t>
            </w: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 xml:space="preserve">扣分处理， </w:t>
            </w:r>
            <w:r>
              <w:rPr>
                <w:rFonts w:ascii="Segoe UI Symbol" w:hAnsi="Segoe UI Symbol" w:cs="Segoe UI Symbol"/>
                <w:color w:val="auto"/>
                <w:highlight w:val="none"/>
                <w:shd w:val="clear"/>
              </w:rPr>
              <w:t>☐</w:t>
            </w:r>
            <w:r>
              <w:rPr>
                <w:rFonts w:hint="eastAsia" w:ascii="Times New Roman" w:hAnsi="Times New Roman"/>
                <w:color w:val="auto"/>
                <w:highlight w:val="none"/>
                <w:shd w:val="clear"/>
              </w:rPr>
              <w:t>否决投标处理。</w:t>
            </w:r>
          </w:p>
          <w:p w14:paraId="01AD4A6F">
            <w:pPr>
              <w:pStyle w:val="30"/>
              <w:rPr>
                <w:rFonts w:ascii="Times New Roman" w:hAnsi="Times New Roman"/>
                <w:color w:val="auto"/>
                <w:highlight w:val="none"/>
                <w:shd w:val="clear"/>
              </w:rPr>
            </w:pPr>
            <w:r>
              <w:rPr>
                <w:rFonts w:hint="eastAsia" w:ascii="Times New Roman" w:hAnsi="Times New Roman"/>
                <w:color w:val="auto"/>
                <w:highlight w:val="none"/>
                <w:shd w:val="clear"/>
              </w:rPr>
              <w:t xml:space="preserve">（4）投标人制作的技术文件部分出现泄露投标人及个人信息的，按照 </w:t>
            </w: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 xml:space="preserve">扣分处理， </w:t>
            </w:r>
            <w:r>
              <w:rPr>
                <w:rFonts w:ascii="Segoe UI Symbol" w:hAnsi="Segoe UI Symbol" w:cs="Segoe UI Symbol"/>
                <w:color w:val="auto"/>
                <w:highlight w:val="none"/>
                <w:shd w:val="clear"/>
              </w:rPr>
              <w:t>☐</w:t>
            </w:r>
            <w:r>
              <w:rPr>
                <w:rFonts w:hint="eastAsia" w:ascii="Times New Roman" w:hAnsi="Times New Roman"/>
                <w:color w:val="auto"/>
                <w:highlight w:val="none"/>
                <w:shd w:val="clear"/>
              </w:rPr>
              <w:t>否决投标处理。</w:t>
            </w:r>
          </w:p>
          <w:p w14:paraId="700D4715">
            <w:pPr>
              <w:pStyle w:val="30"/>
              <w:rPr>
                <w:rFonts w:ascii="Times New Roman" w:hAnsi="Times New Roman"/>
                <w:color w:val="auto"/>
                <w:highlight w:val="none"/>
                <w:shd w:val="clear"/>
              </w:rPr>
            </w:pPr>
            <w:r>
              <w:rPr>
                <w:rFonts w:hint="eastAsia" w:ascii="Times New Roman" w:hAnsi="Times New Roman"/>
                <w:color w:val="auto"/>
                <w:highlight w:val="none"/>
                <w:shd w:val="clear"/>
              </w:rPr>
              <w:t>（5）如（3）（4）按照扣分处理，具体扣分情况按照第三章“评标及定标办法”执行。</w:t>
            </w:r>
          </w:p>
        </w:tc>
      </w:tr>
      <w:permEnd w:id="48"/>
      <w:tr w14:paraId="7236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15772E9B">
            <w:pPr>
              <w:pStyle w:val="29"/>
              <w:rPr>
                <w:rFonts w:ascii="Times New Roman" w:hAnsi="Times New Roman"/>
                <w:color w:val="auto"/>
                <w:highlight w:val="none"/>
                <w:shd w:val="clear"/>
              </w:rPr>
            </w:pPr>
            <w:permStart w:id="49" w:edGrp="everyone" w:colFirst="2" w:colLast="2"/>
            <w:r>
              <w:rPr>
                <w:rFonts w:hint="eastAsia" w:ascii="Times New Roman" w:hAnsi="Times New Roman"/>
                <w:color w:val="auto"/>
                <w:highlight w:val="none"/>
                <w:shd w:val="clear"/>
              </w:rPr>
              <w:t>4.1.2</w:t>
            </w:r>
          </w:p>
        </w:tc>
        <w:tc>
          <w:tcPr>
            <w:tcW w:w="1087" w:type="pct"/>
            <w:vAlign w:val="center"/>
          </w:tcPr>
          <w:p w14:paraId="1843BC24">
            <w:pPr>
              <w:pStyle w:val="29"/>
              <w:rPr>
                <w:rFonts w:ascii="Times New Roman" w:hAnsi="Times New Roman"/>
                <w:color w:val="auto"/>
                <w:highlight w:val="none"/>
                <w:shd w:val="clear"/>
              </w:rPr>
            </w:pPr>
            <w:r>
              <w:rPr>
                <w:rFonts w:hint="eastAsia" w:ascii="Times New Roman" w:hAnsi="Times New Roman"/>
                <w:color w:val="auto"/>
                <w:highlight w:val="none"/>
                <w:shd w:val="clear"/>
              </w:rPr>
              <w:t>非加密投标文件密封和标记要求</w:t>
            </w:r>
          </w:p>
        </w:tc>
        <w:tc>
          <w:tcPr>
            <w:tcW w:w="3293" w:type="pct"/>
            <w:vAlign w:val="center"/>
          </w:tcPr>
          <w:p w14:paraId="79955DA8">
            <w:pPr>
              <w:pStyle w:val="30"/>
              <w:framePr w:hSpace="0" w:wrap="auto" w:vAnchor="margin" w:hAnchor="text" w:xAlign="left" w:yAlign="inline"/>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permEnd w:id="49"/>
      <w:tr w14:paraId="7925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2014893">
            <w:pPr>
              <w:pStyle w:val="29"/>
              <w:rPr>
                <w:rFonts w:ascii="Times New Roman" w:hAnsi="Times New Roman"/>
                <w:color w:val="auto"/>
                <w:highlight w:val="none"/>
                <w:shd w:val="clear"/>
              </w:rPr>
            </w:pPr>
            <w:permStart w:id="50" w:edGrp="everyone" w:colFirst="2" w:colLast="2"/>
            <w:r>
              <w:rPr>
                <w:rFonts w:hint="eastAsia" w:ascii="Times New Roman" w:hAnsi="Times New Roman"/>
                <w:color w:val="auto"/>
                <w:highlight w:val="none"/>
                <w:shd w:val="clear"/>
              </w:rPr>
              <w:t>4.2.2</w:t>
            </w:r>
          </w:p>
        </w:tc>
        <w:tc>
          <w:tcPr>
            <w:tcW w:w="1087" w:type="pct"/>
            <w:vAlign w:val="center"/>
          </w:tcPr>
          <w:p w14:paraId="464A0F89">
            <w:pPr>
              <w:pStyle w:val="29"/>
              <w:rPr>
                <w:rFonts w:ascii="Times New Roman" w:hAnsi="Times New Roman"/>
                <w:color w:val="auto"/>
                <w:highlight w:val="none"/>
                <w:shd w:val="clear"/>
              </w:rPr>
            </w:pPr>
            <w:r>
              <w:rPr>
                <w:rFonts w:hint="eastAsia" w:ascii="Times New Roman" w:hAnsi="Times New Roman"/>
                <w:color w:val="auto"/>
                <w:highlight w:val="none"/>
                <w:shd w:val="clear"/>
              </w:rPr>
              <w:t>递交非加密投标文件地点</w:t>
            </w:r>
          </w:p>
        </w:tc>
        <w:tc>
          <w:tcPr>
            <w:tcW w:w="3293" w:type="pct"/>
            <w:vAlign w:val="center"/>
          </w:tcPr>
          <w:p w14:paraId="2242D656">
            <w:pPr>
              <w:pStyle w:val="30"/>
              <w:framePr w:hSpace="0" w:wrap="auto" w:vAnchor="margin" w:hAnchor="text" w:xAlign="left" w:yAlign="inline"/>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permEnd w:id="50"/>
      <w:tr w14:paraId="2501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7FC2AD8">
            <w:pPr>
              <w:pStyle w:val="29"/>
              <w:rPr>
                <w:rFonts w:ascii="Times New Roman" w:hAnsi="Times New Roman"/>
                <w:color w:val="auto"/>
                <w:highlight w:val="none"/>
                <w:shd w:val="clear"/>
              </w:rPr>
            </w:pPr>
            <w:permStart w:id="51" w:edGrp="everyone" w:colFirst="2" w:colLast="2"/>
            <w:r>
              <w:rPr>
                <w:rFonts w:hint="eastAsia" w:ascii="Times New Roman" w:hAnsi="Times New Roman"/>
                <w:color w:val="auto"/>
                <w:highlight w:val="none"/>
                <w:shd w:val="clear"/>
              </w:rPr>
              <w:t>4.2.3</w:t>
            </w:r>
          </w:p>
        </w:tc>
        <w:tc>
          <w:tcPr>
            <w:tcW w:w="1087" w:type="pct"/>
            <w:vAlign w:val="center"/>
          </w:tcPr>
          <w:p w14:paraId="10047750">
            <w:pPr>
              <w:pStyle w:val="29"/>
              <w:rPr>
                <w:rFonts w:ascii="Times New Roman" w:hAnsi="Times New Roman"/>
                <w:color w:val="auto"/>
                <w:highlight w:val="none"/>
                <w:shd w:val="clear"/>
              </w:rPr>
            </w:pPr>
            <w:r>
              <w:rPr>
                <w:rFonts w:hint="eastAsia" w:ascii="Times New Roman" w:hAnsi="Times New Roman"/>
                <w:color w:val="auto"/>
                <w:highlight w:val="none"/>
                <w:shd w:val="clear"/>
              </w:rPr>
              <w:t>是否退还投标文件</w:t>
            </w:r>
          </w:p>
        </w:tc>
        <w:tc>
          <w:tcPr>
            <w:tcW w:w="3293" w:type="pct"/>
            <w:vAlign w:val="center"/>
          </w:tcPr>
          <w:p w14:paraId="48955C46">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否</w:t>
            </w:r>
          </w:p>
          <w:p w14:paraId="749BE2BD">
            <w:pPr>
              <w:pStyle w:val="30"/>
              <w:rPr>
                <w:rFonts w:hint="eastAsia" w:ascii="Times New Roman" w:hAnsi="Times New Roman" w:eastAsia="宋体"/>
                <w:color w:val="auto"/>
                <w:highlight w:val="none"/>
                <w:shd w:val="clear"/>
                <w:lang w:val="en-US" w:eastAsia="zh-CN"/>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是，退还安排：</w:t>
            </w:r>
            <w:r>
              <w:rPr>
                <w:rFonts w:hint="eastAsia" w:ascii="Times New Roman" w:hAnsi="Times New Roman"/>
                <w:color w:val="auto"/>
                <w:highlight w:val="none"/>
                <w:shd w:val="clear"/>
                <w:lang w:val="en-US" w:eastAsia="zh-CN"/>
              </w:rPr>
              <w:t>/</w:t>
            </w:r>
          </w:p>
        </w:tc>
      </w:tr>
      <w:permEnd w:id="51"/>
      <w:tr w14:paraId="100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1704B6F">
            <w:pPr>
              <w:pStyle w:val="29"/>
              <w:rPr>
                <w:rFonts w:ascii="Times New Roman" w:hAnsi="Times New Roman"/>
                <w:color w:val="auto"/>
                <w:highlight w:val="none"/>
                <w:shd w:val="clear"/>
              </w:rPr>
            </w:pPr>
            <w:permStart w:id="52" w:edGrp="everyone" w:colFirst="2" w:colLast="2"/>
            <w:r>
              <w:rPr>
                <w:rFonts w:hint="eastAsia" w:ascii="Times New Roman" w:hAnsi="Times New Roman"/>
                <w:color w:val="auto"/>
                <w:highlight w:val="none"/>
                <w:shd w:val="clear"/>
              </w:rPr>
              <w:t>5.1.1</w:t>
            </w:r>
          </w:p>
        </w:tc>
        <w:tc>
          <w:tcPr>
            <w:tcW w:w="1087" w:type="pct"/>
            <w:vAlign w:val="center"/>
          </w:tcPr>
          <w:p w14:paraId="5C0ABFE2">
            <w:pPr>
              <w:pStyle w:val="29"/>
              <w:rPr>
                <w:rFonts w:ascii="Times New Roman" w:hAnsi="Times New Roman"/>
                <w:color w:val="auto"/>
                <w:highlight w:val="none"/>
                <w:shd w:val="clear"/>
              </w:rPr>
            </w:pPr>
            <w:r>
              <w:rPr>
                <w:rFonts w:hint="eastAsia" w:ascii="Times New Roman" w:hAnsi="Times New Roman"/>
                <w:color w:val="auto"/>
                <w:highlight w:val="none"/>
                <w:shd w:val="clear"/>
              </w:rPr>
              <w:t>开标时间和地点</w:t>
            </w:r>
          </w:p>
        </w:tc>
        <w:tc>
          <w:tcPr>
            <w:tcW w:w="3293" w:type="pct"/>
            <w:vAlign w:val="center"/>
          </w:tcPr>
          <w:p w14:paraId="237023C9">
            <w:pPr>
              <w:pStyle w:val="30"/>
              <w:rPr>
                <w:rFonts w:ascii="Times New Roman" w:hAnsi="Times New Roman"/>
                <w:color w:val="auto"/>
                <w:highlight w:val="none"/>
                <w:shd w:val="clear"/>
              </w:rPr>
            </w:pPr>
            <w:r>
              <w:rPr>
                <w:rFonts w:hint="eastAsia" w:ascii="Times New Roman" w:hAnsi="Times New Roman"/>
                <w:color w:val="auto"/>
                <w:highlight w:val="none"/>
                <w:shd w:val="clear"/>
              </w:rPr>
              <w:t>开标时间：同投标截止时间</w:t>
            </w:r>
          </w:p>
          <w:p w14:paraId="201991F7">
            <w:pPr>
              <w:pStyle w:val="30"/>
              <w:rPr>
                <w:rFonts w:ascii="Times New Roman" w:hAnsi="Times New Roman"/>
                <w:color w:val="auto"/>
                <w:highlight w:val="none"/>
                <w:shd w:val="clear"/>
              </w:rPr>
            </w:pPr>
            <w:r>
              <w:rPr>
                <w:rFonts w:hint="eastAsia" w:ascii="Times New Roman" w:hAnsi="Times New Roman"/>
                <w:color w:val="auto"/>
                <w:highlight w:val="none"/>
                <w:shd w:val="clear"/>
              </w:rPr>
              <w:t>开标地点：见招标公告</w:t>
            </w:r>
          </w:p>
        </w:tc>
      </w:tr>
      <w:permEnd w:id="52"/>
      <w:tr w14:paraId="7E6F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23A023C">
            <w:pPr>
              <w:pStyle w:val="29"/>
              <w:rPr>
                <w:rFonts w:ascii="Times New Roman" w:hAnsi="Times New Roman"/>
                <w:color w:val="auto"/>
                <w:highlight w:val="none"/>
                <w:shd w:val="clear"/>
              </w:rPr>
            </w:pPr>
            <w:permStart w:id="53" w:edGrp="everyone" w:colFirst="2" w:colLast="2"/>
            <w:r>
              <w:rPr>
                <w:rFonts w:hint="eastAsia" w:ascii="Times New Roman" w:hAnsi="Times New Roman"/>
                <w:color w:val="auto"/>
                <w:highlight w:val="none"/>
                <w:shd w:val="clear"/>
              </w:rPr>
              <w:t>5.2</w:t>
            </w:r>
          </w:p>
        </w:tc>
        <w:tc>
          <w:tcPr>
            <w:tcW w:w="1087" w:type="pct"/>
            <w:vAlign w:val="center"/>
          </w:tcPr>
          <w:p w14:paraId="267489FF">
            <w:pPr>
              <w:pStyle w:val="29"/>
              <w:rPr>
                <w:rFonts w:ascii="Times New Roman" w:hAnsi="Times New Roman"/>
                <w:color w:val="auto"/>
                <w:highlight w:val="none"/>
                <w:shd w:val="clear"/>
              </w:rPr>
            </w:pPr>
            <w:r>
              <w:rPr>
                <w:rFonts w:hint="eastAsia" w:ascii="Times New Roman" w:hAnsi="Times New Roman"/>
                <w:color w:val="auto"/>
                <w:highlight w:val="none"/>
                <w:shd w:val="clear"/>
              </w:rPr>
              <w:t>开标程序</w:t>
            </w:r>
          </w:p>
        </w:tc>
        <w:tc>
          <w:tcPr>
            <w:tcW w:w="3293" w:type="pct"/>
            <w:vAlign w:val="center"/>
          </w:tcPr>
          <w:p w14:paraId="5FDEB914">
            <w:pPr>
              <w:pStyle w:val="30"/>
              <w:rPr>
                <w:rFonts w:hint="eastAsia"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多标段开标顺序：</w:t>
            </w:r>
            <w:r>
              <w:rPr>
                <w:rFonts w:hint="eastAsia" w:ascii="Times New Roman" w:hAnsi="Times New Roman"/>
                <w:color w:val="auto"/>
                <w:highlight w:val="none"/>
                <w:shd w:val="clear"/>
                <w:lang w:val="en-US" w:eastAsia="zh-CN"/>
              </w:rPr>
              <w:t>/</w:t>
            </w:r>
          </w:p>
        </w:tc>
      </w:tr>
      <w:permEnd w:id="53"/>
      <w:tr w14:paraId="6BD4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052C771B">
            <w:pPr>
              <w:pStyle w:val="29"/>
              <w:rPr>
                <w:rFonts w:ascii="Times New Roman" w:hAnsi="Times New Roman"/>
                <w:color w:val="auto"/>
                <w:highlight w:val="none"/>
                <w:shd w:val="clear"/>
              </w:rPr>
            </w:pPr>
            <w:permStart w:id="54" w:edGrp="everyone" w:colFirst="2" w:colLast="2"/>
            <w:r>
              <w:rPr>
                <w:rFonts w:hint="eastAsia" w:ascii="Times New Roman" w:hAnsi="Times New Roman"/>
                <w:color w:val="auto"/>
                <w:highlight w:val="none"/>
                <w:shd w:val="clear"/>
              </w:rPr>
              <w:t>5.2（3）</w:t>
            </w:r>
          </w:p>
        </w:tc>
        <w:tc>
          <w:tcPr>
            <w:tcW w:w="1087" w:type="pct"/>
            <w:vAlign w:val="center"/>
          </w:tcPr>
          <w:p w14:paraId="15E1FA4A">
            <w:pPr>
              <w:pStyle w:val="29"/>
              <w:rPr>
                <w:rFonts w:ascii="Times New Roman" w:hAnsi="Times New Roman"/>
                <w:color w:val="auto"/>
                <w:highlight w:val="none"/>
                <w:shd w:val="clear"/>
              </w:rPr>
            </w:pPr>
            <w:r>
              <w:rPr>
                <w:rFonts w:hint="eastAsia" w:ascii="Times New Roman" w:hAnsi="Times New Roman"/>
                <w:color w:val="auto"/>
                <w:highlight w:val="none"/>
                <w:shd w:val="clear"/>
              </w:rPr>
              <w:t>解密规定</w:t>
            </w:r>
          </w:p>
        </w:tc>
        <w:tc>
          <w:tcPr>
            <w:tcW w:w="3293" w:type="pct"/>
            <w:vAlign w:val="center"/>
          </w:tcPr>
          <w:p w14:paraId="194B9432">
            <w:pPr>
              <w:pStyle w:val="30"/>
              <w:rPr>
                <w:rFonts w:ascii="Times New Roman" w:hAnsi="Times New Roman"/>
                <w:color w:val="auto"/>
                <w:highlight w:val="none"/>
                <w:shd w:val="clear"/>
              </w:rPr>
            </w:pPr>
            <w:r>
              <w:rPr>
                <w:rFonts w:hint="eastAsia" w:ascii="Times New Roman" w:hAnsi="Times New Roman"/>
                <w:color w:val="auto"/>
                <w:highlight w:val="none"/>
                <w:shd w:val="clear"/>
              </w:rPr>
              <w:t>解密时间：15分钟（以电子交易系统解密倒计时为准）；</w:t>
            </w:r>
          </w:p>
          <w:p w14:paraId="0380F532">
            <w:pPr>
              <w:pStyle w:val="30"/>
              <w:rPr>
                <w:rFonts w:ascii="Times New Roman" w:hAnsi="Times New Roman"/>
                <w:color w:val="auto"/>
                <w:highlight w:val="none"/>
                <w:shd w:val="clear"/>
              </w:rPr>
            </w:pPr>
            <w:r>
              <w:rPr>
                <w:rFonts w:hint="eastAsia" w:ascii="Times New Roman" w:hAnsi="Times New Roman"/>
                <w:color w:val="auto"/>
                <w:highlight w:val="none"/>
                <w:shd w:val="clear"/>
              </w:rPr>
              <w:t>解密要求：</w:t>
            </w:r>
          </w:p>
          <w:p w14:paraId="054B2708">
            <w:pPr>
              <w:pStyle w:val="30"/>
              <w:rPr>
                <w:rFonts w:ascii="Times New Roman" w:hAnsi="Times New Roman"/>
                <w:color w:val="auto"/>
                <w:highlight w:val="none"/>
                <w:shd w:val="clear"/>
              </w:rPr>
            </w:pPr>
            <w:r>
              <w:rPr>
                <w:rFonts w:hint="eastAsia" w:ascii="Times New Roman" w:hAnsi="Times New Roman"/>
                <w:color w:val="auto"/>
                <w:highlight w:val="none"/>
                <w:shd w:val="clear"/>
              </w:rPr>
              <w:t>1）人脸识别：</w:t>
            </w:r>
            <w:r>
              <w:rPr>
                <w:rFonts w:ascii="Segoe UI Symbol" w:hAnsi="Segoe UI Symbol" w:cs="Segoe UI Symbol"/>
                <w:color w:val="auto"/>
                <w:highlight w:val="none"/>
                <w:shd w:val="clear"/>
              </w:rPr>
              <w:t>☐</w:t>
            </w:r>
            <w:r>
              <w:rPr>
                <w:rFonts w:hint="eastAsia" w:ascii="Times New Roman" w:hAnsi="Times New Roman"/>
                <w:color w:val="auto"/>
                <w:highlight w:val="none"/>
                <w:shd w:val="clear"/>
              </w:rPr>
              <w:t xml:space="preserve">否    </w:t>
            </w:r>
            <w:r>
              <w:rPr>
                <w:rFonts w:ascii="Segoe UI Symbol" w:hAnsi="Segoe UI Symbol" w:cs="Segoe UI Symbol"/>
                <w:color w:val="auto"/>
                <w:highlight w:val="none"/>
                <w:shd w:val="clear"/>
              </w:rPr>
              <w:t>☑</w:t>
            </w:r>
            <w:r>
              <w:rPr>
                <w:rFonts w:hint="eastAsia" w:ascii="Times New Roman" w:hAnsi="Times New Roman"/>
                <w:color w:val="auto"/>
                <w:highlight w:val="none"/>
                <w:shd w:val="clear"/>
              </w:rPr>
              <w:t>是</w:t>
            </w:r>
          </w:p>
          <w:p w14:paraId="2F25034C">
            <w:pPr>
              <w:pStyle w:val="30"/>
              <w:rPr>
                <w:rFonts w:ascii="Times New Roman" w:hAnsi="Times New Roman"/>
                <w:color w:val="auto"/>
                <w:highlight w:val="none"/>
                <w:shd w:val="clear"/>
              </w:rPr>
            </w:pPr>
            <w:r>
              <w:rPr>
                <w:rFonts w:ascii="Times New Roman" w:hAnsi="Times New Roman"/>
                <w:color w:val="auto"/>
                <w:highlight w:val="none"/>
                <w:shd w:val="clear"/>
              </w:rPr>
              <w:t>注：</w:t>
            </w:r>
            <w:r>
              <w:rPr>
                <w:rFonts w:hint="eastAsia" w:cs="宋体"/>
                <w:color w:val="auto"/>
                <w:highlight w:val="none"/>
                <w:shd w:val="clear"/>
              </w:rPr>
              <w:t>①</w:t>
            </w:r>
            <w:r>
              <w:rPr>
                <w:rFonts w:ascii="Times New Roman" w:hAnsi="Times New Roman"/>
                <w:color w:val="auto"/>
                <w:highlight w:val="none"/>
                <w:shd w:val="clear"/>
              </w:rPr>
              <w:t>本项目利用互联网远程开标，投标人应自行验证互联网环境，在投标截止时间以前登录电子交易系统并保持在线，直到项目评审结束；无须委派被授权人（委托代理人）参加现场开标；</w:t>
            </w:r>
          </w:p>
          <w:p w14:paraId="39FC4696">
            <w:pPr>
              <w:pStyle w:val="30"/>
              <w:rPr>
                <w:rFonts w:ascii="Times New Roman" w:hAnsi="Times New Roman"/>
                <w:color w:val="auto"/>
                <w:highlight w:val="none"/>
                <w:shd w:val="clear"/>
              </w:rPr>
            </w:pPr>
            <w:r>
              <w:rPr>
                <w:rFonts w:hint="eastAsia" w:cs="宋体"/>
                <w:color w:val="auto"/>
                <w:highlight w:val="none"/>
                <w:shd w:val="clear"/>
              </w:rPr>
              <w:t>②</w:t>
            </w:r>
            <w:r>
              <w:rPr>
                <w:rFonts w:ascii="Times New Roman" w:hAnsi="Times New Roman"/>
                <w:color w:val="auto"/>
                <w:highlight w:val="none"/>
                <w:shd w:val="clear"/>
              </w:rPr>
              <w:t>对本项目拟任项目负责人（委托代理人）采用“人脸识别”技术，进行身份验证，项目负责人（委托代理人）应自备智能手机，提前下载、安装、调试好“标证通”APP（详见蚌埠市公共资源交易中心网站—&gt; 服务指南—&gt;下载中心—&gt;投标人操作手册），并在投标截止时间前60分钟内完成“人脸识别”身份认证。“人脸识别”身份认证出现异常情况的，按以下相关情形进行处理：未参与“人脸识别”身份认证或“人脸识别”身份认证失败的，取消该投标人投标文件解密资格，不接受该投标人参与开评标活动；非本项目拟任项目负责人（委托代理人）进行“人脸识别”身份认证的，作无效标处理，不进入下一评审环节。</w:t>
            </w:r>
          </w:p>
          <w:p w14:paraId="1E2CC960">
            <w:pPr>
              <w:pStyle w:val="30"/>
              <w:rPr>
                <w:rFonts w:ascii="Times New Roman" w:hAnsi="Times New Roman"/>
                <w:color w:val="auto"/>
                <w:highlight w:val="none"/>
                <w:shd w:val="clear"/>
              </w:rPr>
            </w:pPr>
            <w:r>
              <w:rPr>
                <w:rFonts w:hint="eastAsia" w:ascii="Times New Roman" w:hAnsi="Times New Roman"/>
                <w:color w:val="auto"/>
                <w:highlight w:val="none"/>
                <w:shd w:val="clear"/>
              </w:rPr>
              <w:t>本项目的项目负责人（即项目经理）与委托代理人必须为同一人。参</w:t>
            </w:r>
            <w:r>
              <w:rPr>
                <w:rFonts w:ascii="Times New Roman" w:hAnsi="Times New Roman"/>
                <w:color w:val="auto"/>
                <w:highlight w:val="none"/>
                <w:shd w:val="clear"/>
              </w:rPr>
              <w:t>与“人脸识别”的项目负责人信息，必须从安徽省公共资源交易市场主体库“人员信息”栏目的注册信息中，链接挑选验证通过的相关人员。投标人应提前在安徽省公共资源交易市场主体库对应栏目的</w:t>
            </w:r>
            <w:r>
              <w:rPr>
                <w:rFonts w:hint="eastAsia" w:ascii="Times New Roman" w:hAnsi="Times New Roman"/>
                <w:color w:val="auto"/>
                <w:highlight w:val="none"/>
                <w:shd w:val="clear"/>
              </w:rPr>
              <w:t>注</w:t>
            </w:r>
            <w:r>
              <w:rPr>
                <w:rFonts w:ascii="Times New Roman" w:hAnsi="Times New Roman"/>
                <w:color w:val="auto"/>
                <w:highlight w:val="none"/>
                <w:shd w:val="clear"/>
              </w:rPr>
              <w:t>册信息中上传对应材料。</w:t>
            </w:r>
          </w:p>
          <w:p w14:paraId="37363C65">
            <w:pPr>
              <w:pStyle w:val="30"/>
              <w:rPr>
                <w:rFonts w:ascii="Times New Roman" w:hAnsi="Times New Roman"/>
                <w:color w:val="auto"/>
                <w:highlight w:val="none"/>
                <w:shd w:val="clear"/>
              </w:rPr>
            </w:pPr>
            <w:r>
              <w:rPr>
                <w:rFonts w:hint="eastAsia" w:cs="宋体"/>
                <w:color w:val="auto"/>
                <w:highlight w:val="none"/>
                <w:shd w:val="clear"/>
              </w:rPr>
              <w:t>③</w:t>
            </w:r>
            <w:r>
              <w:rPr>
                <w:rFonts w:ascii="Times New Roman" w:hAnsi="Times New Roman"/>
                <w:color w:val="auto"/>
                <w:highlight w:val="none"/>
                <w:shd w:val="clear"/>
              </w:rPr>
              <w:t>投标人须通过蚌埠市公共资源交易中心网站（http://ggzy.bengbu.gov.cn），“系统登录”栏点击 “投标人”，登录进入电子交易系统，进行远程解密；投标人可以通过系统中的“模拟解密”功能，自行验证其解密环境，如有技术问题请联系0512-58188516；加密和解密须用同一数字证书；解密不成功的，后果自负。</w:t>
            </w:r>
          </w:p>
          <w:p w14:paraId="36B7C456">
            <w:pPr>
              <w:pStyle w:val="30"/>
              <w:rPr>
                <w:rFonts w:ascii="Times New Roman" w:hAnsi="Times New Roman"/>
                <w:color w:val="auto"/>
                <w:highlight w:val="none"/>
                <w:shd w:val="clear"/>
              </w:rPr>
            </w:pPr>
            <w:r>
              <w:rPr>
                <w:rFonts w:hint="eastAsia" w:cs="宋体"/>
                <w:color w:val="auto"/>
                <w:highlight w:val="none"/>
                <w:shd w:val="clear"/>
              </w:rPr>
              <w:t>④</w:t>
            </w:r>
            <w:r>
              <w:rPr>
                <w:rFonts w:ascii="Times New Roman" w:hAnsi="Times New Roman"/>
                <w:color w:val="auto"/>
                <w:highlight w:val="none"/>
                <w:shd w:val="clear"/>
              </w:rPr>
              <w:t>招标文件中有关系统随机抽取事宜，如系统出现意外情况影响抽取时，由招标人代表随机抽取，并通过网上开标大厅进行视频直播或招标投标行政监督部门进行现场监督；投标人参与投标，即视同接受上述规定。</w:t>
            </w:r>
          </w:p>
          <w:p w14:paraId="42F3E252">
            <w:pPr>
              <w:pStyle w:val="30"/>
              <w:rPr>
                <w:rFonts w:ascii="Times New Roman" w:hAnsi="Times New Roman"/>
                <w:color w:val="auto"/>
                <w:highlight w:val="none"/>
                <w:shd w:val="clear"/>
              </w:rPr>
            </w:pPr>
            <w:r>
              <w:rPr>
                <w:rFonts w:hint="eastAsia" w:cs="宋体"/>
                <w:color w:val="auto"/>
                <w:highlight w:val="none"/>
                <w:shd w:val="clear"/>
              </w:rPr>
              <w:t>⑤</w:t>
            </w:r>
            <w:r>
              <w:rPr>
                <w:rFonts w:ascii="Times New Roman" w:hAnsi="Times New Roman"/>
                <w:color w:val="auto"/>
                <w:highlight w:val="none"/>
                <w:shd w:val="clear"/>
              </w:rPr>
              <w:t>投标文件未在规定的时间内完成解密的，视为其放弃投标。</w:t>
            </w:r>
          </w:p>
          <w:p w14:paraId="213E3DC8">
            <w:pPr>
              <w:pStyle w:val="30"/>
              <w:rPr>
                <w:rFonts w:hint="eastAsia"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2）其他要求：</w:t>
            </w:r>
            <w:r>
              <w:rPr>
                <w:rFonts w:hint="eastAsia" w:ascii="Times New Roman" w:hAnsi="Times New Roman"/>
                <w:color w:val="auto"/>
                <w:highlight w:val="none"/>
                <w:shd w:val="clear"/>
                <w:lang w:val="en-US" w:eastAsia="zh-CN"/>
              </w:rPr>
              <w:t>/</w:t>
            </w:r>
          </w:p>
        </w:tc>
      </w:tr>
      <w:permEnd w:id="54"/>
      <w:tr w14:paraId="1CBE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FDEA110">
            <w:pPr>
              <w:pStyle w:val="29"/>
              <w:rPr>
                <w:rFonts w:ascii="Times New Roman" w:hAnsi="Times New Roman"/>
                <w:color w:val="auto"/>
                <w:highlight w:val="none"/>
                <w:shd w:val="clear"/>
              </w:rPr>
            </w:pPr>
            <w:permStart w:id="55" w:edGrp="everyone" w:colFirst="2" w:colLast="2"/>
            <w:r>
              <w:rPr>
                <w:rFonts w:hint="eastAsia" w:ascii="Times New Roman" w:hAnsi="Times New Roman"/>
                <w:color w:val="auto"/>
                <w:highlight w:val="none"/>
                <w:shd w:val="clear"/>
              </w:rPr>
              <w:t>6.3.2</w:t>
            </w:r>
          </w:p>
        </w:tc>
        <w:tc>
          <w:tcPr>
            <w:tcW w:w="1087" w:type="pct"/>
            <w:vAlign w:val="center"/>
          </w:tcPr>
          <w:p w14:paraId="7AD5D839">
            <w:pPr>
              <w:pStyle w:val="29"/>
              <w:rPr>
                <w:rFonts w:ascii="Times New Roman" w:hAnsi="Times New Roman"/>
                <w:color w:val="auto"/>
                <w:highlight w:val="none"/>
                <w:shd w:val="clear"/>
              </w:rPr>
            </w:pPr>
            <w:r>
              <w:rPr>
                <w:rFonts w:hint="eastAsia" w:ascii="Times New Roman" w:hAnsi="Times New Roman"/>
                <w:color w:val="auto"/>
                <w:highlight w:val="none"/>
                <w:shd w:val="clear"/>
              </w:rPr>
              <w:t>评标委员会推荐不标明排序中标候选人的数量</w:t>
            </w:r>
          </w:p>
        </w:tc>
        <w:tc>
          <w:tcPr>
            <w:tcW w:w="3293" w:type="pct"/>
            <w:vAlign w:val="center"/>
          </w:tcPr>
          <w:p w14:paraId="78D4F4BF">
            <w:pPr>
              <w:pStyle w:val="3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lang w:val="en-US" w:eastAsia="zh-CN"/>
              </w:rPr>
              <w:t>3家</w:t>
            </w:r>
          </w:p>
        </w:tc>
      </w:tr>
      <w:permEnd w:id="55"/>
      <w:tr w14:paraId="18CC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71A6D4C">
            <w:pPr>
              <w:pStyle w:val="29"/>
              <w:rPr>
                <w:rFonts w:ascii="Times New Roman" w:hAnsi="Times New Roman"/>
                <w:color w:val="auto"/>
                <w:highlight w:val="none"/>
                <w:shd w:val="clear"/>
              </w:rPr>
            </w:pPr>
            <w:permStart w:id="56" w:edGrp="everyone" w:colFirst="2" w:colLast="2"/>
            <w:r>
              <w:rPr>
                <w:rFonts w:hint="eastAsia" w:ascii="Times New Roman" w:hAnsi="Times New Roman"/>
                <w:color w:val="auto"/>
                <w:highlight w:val="none"/>
                <w:shd w:val="clear"/>
              </w:rPr>
              <w:t>6.4</w:t>
            </w:r>
          </w:p>
        </w:tc>
        <w:tc>
          <w:tcPr>
            <w:tcW w:w="1087" w:type="pct"/>
            <w:vAlign w:val="center"/>
          </w:tcPr>
          <w:p w14:paraId="5BDFCF7B">
            <w:pPr>
              <w:pStyle w:val="29"/>
              <w:rPr>
                <w:rFonts w:ascii="Times New Roman" w:hAnsi="Times New Roman"/>
                <w:color w:val="auto"/>
                <w:highlight w:val="none"/>
                <w:shd w:val="clear"/>
              </w:rPr>
            </w:pPr>
            <w:r>
              <w:rPr>
                <w:rFonts w:hint="eastAsia" w:ascii="Times New Roman" w:hAnsi="Times New Roman"/>
                <w:color w:val="auto"/>
                <w:highlight w:val="none"/>
                <w:shd w:val="clear"/>
              </w:rPr>
              <w:t>中标候选人公示媒介、期限及其他要求</w:t>
            </w:r>
          </w:p>
        </w:tc>
        <w:tc>
          <w:tcPr>
            <w:tcW w:w="3293" w:type="pct"/>
            <w:vAlign w:val="center"/>
          </w:tcPr>
          <w:p w14:paraId="3427777A">
            <w:pPr>
              <w:pStyle w:val="30"/>
              <w:rPr>
                <w:rFonts w:ascii="Times New Roman" w:hAnsi="Times New Roman"/>
                <w:color w:val="auto"/>
                <w:highlight w:val="none"/>
                <w:shd w:val="clear"/>
              </w:rPr>
            </w:pPr>
            <w:r>
              <w:rPr>
                <w:rFonts w:hint="eastAsia" w:ascii="Times New Roman" w:hAnsi="Times New Roman"/>
                <w:color w:val="auto"/>
                <w:highlight w:val="none"/>
                <w:shd w:val="clear"/>
              </w:rPr>
              <w:t>（1）公示媒介：同招标公告发布媒介</w:t>
            </w:r>
          </w:p>
          <w:p w14:paraId="691F5C55">
            <w:pPr>
              <w:pStyle w:val="30"/>
              <w:rPr>
                <w:rFonts w:ascii="Times New Roman" w:hAnsi="Times New Roman"/>
                <w:color w:val="auto"/>
                <w:highlight w:val="none"/>
                <w:shd w:val="clear"/>
              </w:rPr>
            </w:pPr>
            <w:r>
              <w:rPr>
                <w:rFonts w:hint="eastAsia" w:ascii="Times New Roman" w:hAnsi="Times New Roman"/>
                <w:color w:val="auto"/>
                <w:highlight w:val="none"/>
                <w:shd w:val="clear"/>
              </w:rPr>
              <w:t>（2）公示期限：不少于3日（公示期截止时间在法定休息日的应顺延至首个工作日）</w:t>
            </w:r>
          </w:p>
          <w:p w14:paraId="732620FC">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（3）其他要求：</w:t>
            </w:r>
            <w:r>
              <w:rPr>
                <w:rFonts w:hint="eastAsia" w:ascii="Times New Roman" w:hAnsi="Times New Roman"/>
                <w:color w:val="auto"/>
                <w:highlight w:val="none"/>
                <w:shd w:val="clear"/>
                <w:lang w:val="en-US" w:eastAsia="zh-CN"/>
              </w:rPr>
              <w:t>/</w:t>
            </w:r>
          </w:p>
        </w:tc>
      </w:tr>
      <w:permEnd w:id="56"/>
      <w:tr w14:paraId="3A9B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515A351">
            <w:pPr>
              <w:pStyle w:val="29"/>
              <w:rPr>
                <w:rFonts w:ascii="Times New Roman" w:hAnsi="Times New Roman"/>
                <w:color w:val="auto"/>
                <w:highlight w:val="none"/>
                <w:shd w:val="clear"/>
              </w:rPr>
            </w:pPr>
            <w:permStart w:id="57" w:edGrp="everyone" w:colFirst="2" w:colLast="2"/>
            <w:r>
              <w:rPr>
                <w:rFonts w:hint="eastAsia" w:ascii="Times New Roman" w:hAnsi="Times New Roman"/>
                <w:color w:val="auto"/>
                <w:highlight w:val="none"/>
                <w:shd w:val="clear"/>
              </w:rPr>
              <w:t>7.1</w:t>
            </w:r>
          </w:p>
        </w:tc>
        <w:tc>
          <w:tcPr>
            <w:tcW w:w="1087" w:type="pct"/>
            <w:vAlign w:val="center"/>
          </w:tcPr>
          <w:p w14:paraId="5A275ADA">
            <w:pPr>
              <w:pStyle w:val="29"/>
              <w:rPr>
                <w:rFonts w:ascii="Times New Roman" w:hAnsi="Times New Roman"/>
                <w:color w:val="auto"/>
                <w:highlight w:val="none"/>
                <w:shd w:val="clear"/>
              </w:rPr>
            </w:pPr>
            <w:r>
              <w:rPr>
                <w:rFonts w:hint="eastAsia" w:ascii="Times New Roman" w:hAnsi="Times New Roman"/>
                <w:color w:val="auto"/>
                <w:highlight w:val="none"/>
                <w:shd w:val="clear"/>
              </w:rPr>
              <w:t>确定中标人方式</w:t>
            </w:r>
          </w:p>
        </w:tc>
        <w:tc>
          <w:tcPr>
            <w:tcW w:w="3293" w:type="pct"/>
            <w:vAlign w:val="center"/>
          </w:tcPr>
          <w:p w14:paraId="32D543EC">
            <w:pPr>
              <w:pStyle w:val="30"/>
              <w:rPr>
                <w:rFonts w:ascii="Times New Roman" w:hAnsi="Times New Roman"/>
                <w:color w:val="auto"/>
                <w:highlight w:val="none"/>
                <w:shd w:val="clear"/>
              </w:rPr>
            </w:pPr>
            <w:r>
              <w:rPr>
                <w:rFonts w:hint="eastAsia" w:ascii="Times New Roman" w:hAnsi="Times New Roman"/>
                <w:color w:val="auto"/>
                <w:highlight w:val="none"/>
                <w:shd w:val="clear"/>
              </w:rPr>
              <w:t>评定分离</w:t>
            </w:r>
          </w:p>
        </w:tc>
      </w:tr>
      <w:permEnd w:id="57"/>
      <w:tr w14:paraId="56FD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CE48D22">
            <w:pPr>
              <w:pStyle w:val="29"/>
              <w:rPr>
                <w:rFonts w:ascii="Times New Roman" w:hAnsi="Times New Roman"/>
                <w:color w:val="auto"/>
                <w:highlight w:val="none"/>
                <w:shd w:val="clear"/>
              </w:rPr>
            </w:pPr>
            <w:permStart w:id="58" w:edGrp="everyone" w:colFirst="2" w:colLast="2"/>
            <w:r>
              <w:rPr>
                <w:rFonts w:hint="eastAsia" w:ascii="Times New Roman" w:hAnsi="Times New Roman"/>
                <w:color w:val="auto"/>
                <w:highlight w:val="none"/>
                <w:shd w:val="clear"/>
              </w:rPr>
              <w:t>7.2</w:t>
            </w:r>
          </w:p>
        </w:tc>
        <w:tc>
          <w:tcPr>
            <w:tcW w:w="1087" w:type="pct"/>
            <w:vAlign w:val="center"/>
          </w:tcPr>
          <w:p w14:paraId="670739A6">
            <w:pPr>
              <w:snapToGrid w:val="0"/>
              <w:spacing w:line="360" w:lineRule="auto"/>
              <w:jc w:val="center"/>
              <w:rPr>
                <w:rFonts w:ascii="Times New Roman" w:hAnsi="Times New Roman"/>
                <w:color w:val="auto"/>
                <w:highlight w:val="none"/>
                <w:shd w:val="clear"/>
              </w:rPr>
            </w:pPr>
            <w:r>
              <w:rPr>
                <w:rFonts w:hint="eastAsia" w:ascii="Times New Roman" w:hAnsi="Times New Roman"/>
                <w:bCs w:val="0"/>
                <w:color w:val="auto"/>
                <w:szCs w:val="24"/>
                <w:highlight w:val="none"/>
                <w:shd w:val="clear"/>
              </w:rPr>
              <w:t>定标委员会组建</w:t>
            </w:r>
          </w:p>
        </w:tc>
        <w:tc>
          <w:tcPr>
            <w:tcW w:w="3293" w:type="pct"/>
            <w:vAlign w:val="center"/>
          </w:tcPr>
          <w:p w14:paraId="1B3B8F84">
            <w:pPr>
              <w:pStyle w:val="30"/>
              <w:rPr>
                <w:rFonts w:ascii="Times New Roman" w:hAnsi="Times New Roman"/>
                <w:color w:val="auto"/>
                <w:highlight w:val="none"/>
                <w:shd w:val="clear"/>
              </w:rPr>
            </w:pPr>
            <w:r>
              <w:rPr>
                <w:rFonts w:hint="eastAsia" w:ascii="Times New Roman" w:hAnsi="Times New Roman"/>
                <w:color w:val="auto"/>
                <w:highlight w:val="none"/>
                <w:shd w:val="clear"/>
              </w:rPr>
              <w:t>由招标人按规定组建</w:t>
            </w:r>
          </w:p>
        </w:tc>
      </w:tr>
      <w:permEnd w:id="58"/>
      <w:tr w14:paraId="55B7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4FAD2B1">
            <w:pPr>
              <w:pStyle w:val="29"/>
              <w:rPr>
                <w:rFonts w:ascii="Times New Roman" w:hAnsi="Times New Roman"/>
                <w:color w:val="auto"/>
                <w:highlight w:val="none"/>
                <w:shd w:val="clear"/>
              </w:rPr>
            </w:pPr>
            <w:permStart w:id="59" w:edGrp="everyone" w:colFirst="2" w:colLast="2"/>
            <w:r>
              <w:rPr>
                <w:rFonts w:hint="eastAsia" w:ascii="Times New Roman" w:hAnsi="Times New Roman"/>
                <w:color w:val="auto"/>
                <w:highlight w:val="none"/>
                <w:shd w:val="clear"/>
              </w:rPr>
              <w:t>7.3</w:t>
            </w:r>
          </w:p>
        </w:tc>
        <w:tc>
          <w:tcPr>
            <w:tcW w:w="1087" w:type="pct"/>
            <w:vAlign w:val="center"/>
          </w:tcPr>
          <w:p w14:paraId="3571A6EB">
            <w:pPr>
              <w:snapToGrid w:val="0"/>
              <w:spacing w:line="360" w:lineRule="auto"/>
              <w:jc w:val="center"/>
              <w:rPr>
                <w:rFonts w:ascii="Times New Roman" w:hAnsi="Times New Roman"/>
                <w:color w:val="auto"/>
                <w:highlight w:val="none"/>
                <w:shd w:val="clear"/>
              </w:rPr>
            </w:pPr>
            <w:r>
              <w:rPr>
                <w:rFonts w:hint="eastAsia" w:ascii="Times New Roman" w:hAnsi="Times New Roman"/>
                <w:bCs w:val="0"/>
                <w:color w:val="auto"/>
                <w:szCs w:val="24"/>
                <w:highlight w:val="none"/>
                <w:shd w:val="clear"/>
              </w:rPr>
              <w:t>考察中标候选人情况</w:t>
            </w:r>
          </w:p>
        </w:tc>
        <w:tc>
          <w:tcPr>
            <w:tcW w:w="3293" w:type="pct"/>
            <w:vAlign w:val="center"/>
          </w:tcPr>
          <w:p w14:paraId="641D5E4F">
            <w:pPr>
              <w:pStyle w:val="30"/>
              <w:rPr>
                <w:rFonts w:ascii="Times New Roman" w:hAnsi="Times New Roman"/>
                <w:color w:val="auto"/>
                <w:highlight w:val="none"/>
                <w:shd w:val="clear"/>
              </w:rPr>
            </w:pPr>
            <w:r>
              <w:rPr>
                <w:rFonts w:hint="eastAsia" w:ascii="Times New Roman" w:hAnsi="Times New Roman"/>
                <w:color w:val="auto"/>
                <w:highlight w:val="none"/>
                <w:shd w:val="clear"/>
              </w:rPr>
              <w:t>由招标人确定</w:t>
            </w:r>
          </w:p>
        </w:tc>
      </w:tr>
      <w:permEnd w:id="59"/>
      <w:tr w14:paraId="0A22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0C2C3596">
            <w:pPr>
              <w:pStyle w:val="29"/>
              <w:rPr>
                <w:rFonts w:ascii="Times New Roman" w:hAnsi="Times New Roman"/>
                <w:color w:val="auto"/>
                <w:highlight w:val="none"/>
                <w:shd w:val="clear"/>
              </w:rPr>
            </w:pPr>
            <w:permStart w:id="60" w:edGrp="everyone" w:colFirst="2" w:colLast="2"/>
            <w:r>
              <w:rPr>
                <w:rFonts w:hint="eastAsia" w:ascii="Times New Roman" w:hAnsi="Times New Roman"/>
                <w:color w:val="auto"/>
                <w:highlight w:val="none"/>
                <w:shd w:val="clear"/>
              </w:rPr>
              <w:t>7.4.2</w:t>
            </w:r>
          </w:p>
        </w:tc>
        <w:tc>
          <w:tcPr>
            <w:tcW w:w="1087" w:type="pct"/>
            <w:vAlign w:val="center"/>
          </w:tcPr>
          <w:p w14:paraId="17108539">
            <w:pPr>
              <w:pStyle w:val="29"/>
              <w:rPr>
                <w:rFonts w:ascii="Times New Roman" w:hAnsi="Times New Roman"/>
                <w:color w:val="auto"/>
                <w:highlight w:val="none"/>
                <w:shd w:val="clear"/>
              </w:rPr>
            </w:pPr>
            <w:r>
              <w:rPr>
                <w:rFonts w:hint="eastAsia" w:ascii="Times New Roman" w:hAnsi="Times New Roman"/>
                <w:color w:val="auto"/>
                <w:highlight w:val="none"/>
                <w:shd w:val="clear"/>
              </w:rPr>
              <w:t>定标方法</w:t>
            </w:r>
          </w:p>
        </w:tc>
        <w:tc>
          <w:tcPr>
            <w:tcW w:w="3293" w:type="pct"/>
            <w:vAlign w:val="center"/>
          </w:tcPr>
          <w:p w14:paraId="6FD3AB5A">
            <w:pPr>
              <w:snapToGrid w:val="0"/>
              <w:spacing w:line="360" w:lineRule="auto"/>
              <w:rPr>
                <w:rFonts w:ascii="Times New Roman" w:hAnsi="Times New Roman"/>
                <w:snapToGrid w:val="0"/>
                <w:color w:val="auto"/>
                <w:kern w:val="0"/>
                <w:sz w:val="24"/>
                <w:szCs w:val="24"/>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s="仿宋"/>
                <w:color w:val="auto"/>
                <w:szCs w:val="24"/>
                <w:highlight w:val="none"/>
                <w:shd w:val="clear"/>
              </w:rPr>
              <w:t>票决定标法</w:t>
            </w:r>
          </w:p>
          <w:p w14:paraId="26619F1F">
            <w:pPr>
              <w:pStyle w:val="30"/>
              <w:rPr>
                <w:rFonts w:hint="eastAsia" w:ascii="Times New Roman" w:hAnsi="Times New Roman" w:eastAsia="宋体"/>
                <w:color w:val="auto"/>
                <w:highlight w:val="none"/>
                <w:shd w:val="clear"/>
                <w:lang w:val="en-US" w:eastAsia="zh-CN"/>
              </w:rPr>
            </w:pPr>
            <w:r>
              <w:rPr>
                <w:rFonts w:ascii="Segoe UI Symbol" w:hAnsi="Segoe UI Symbol" w:cs="Segoe UI Symbol"/>
                <w:snapToGrid w:val="0"/>
                <w:color w:val="auto"/>
                <w:kern w:val="0"/>
                <w:sz w:val="24"/>
                <w:highlight w:val="none"/>
                <w:shd w:val="clear"/>
              </w:rPr>
              <w:t>☐</w:t>
            </w:r>
            <w:r>
              <w:rPr>
                <w:rFonts w:hint="eastAsia" w:ascii="Times New Roman" w:hAnsi="Times New Roman"/>
                <w:color w:val="auto"/>
                <w:highlight w:val="none"/>
                <w:shd w:val="clear"/>
              </w:rPr>
              <w:t>其他：</w:t>
            </w:r>
            <w:r>
              <w:rPr>
                <w:rFonts w:hint="eastAsia" w:ascii="Times New Roman" w:hAnsi="Times New Roman"/>
                <w:color w:val="auto"/>
                <w:highlight w:val="none"/>
                <w:shd w:val="clear"/>
                <w:lang w:val="en-US" w:eastAsia="zh-CN"/>
              </w:rPr>
              <w:t>/</w:t>
            </w:r>
          </w:p>
        </w:tc>
      </w:tr>
      <w:permEnd w:id="60"/>
      <w:tr w14:paraId="3DCC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D044B80">
            <w:pPr>
              <w:pStyle w:val="29"/>
              <w:rPr>
                <w:rFonts w:ascii="Times New Roman" w:hAnsi="Times New Roman"/>
                <w:color w:val="auto"/>
                <w:highlight w:val="none"/>
                <w:shd w:val="clear"/>
              </w:rPr>
            </w:pPr>
            <w:permStart w:id="61" w:edGrp="everyone" w:colFirst="2" w:colLast="2"/>
            <w:r>
              <w:rPr>
                <w:rFonts w:hint="eastAsia" w:ascii="Times New Roman" w:hAnsi="Times New Roman"/>
                <w:color w:val="auto"/>
                <w:highlight w:val="none"/>
                <w:shd w:val="clear"/>
              </w:rPr>
              <w:t>7.5</w:t>
            </w:r>
          </w:p>
        </w:tc>
        <w:tc>
          <w:tcPr>
            <w:tcW w:w="1087" w:type="pct"/>
            <w:vAlign w:val="center"/>
          </w:tcPr>
          <w:p w14:paraId="08D14399">
            <w:pPr>
              <w:pStyle w:val="29"/>
              <w:rPr>
                <w:rFonts w:ascii="Times New Roman" w:hAnsi="Times New Roman"/>
                <w:color w:val="auto"/>
                <w:highlight w:val="none"/>
                <w:shd w:val="clear"/>
              </w:rPr>
            </w:pPr>
            <w:r>
              <w:rPr>
                <w:rFonts w:hint="eastAsia" w:ascii="Times New Roman" w:hAnsi="Times New Roman"/>
                <w:color w:val="auto"/>
                <w:highlight w:val="none"/>
                <w:shd w:val="clear"/>
              </w:rPr>
              <w:t>定标的其他情形</w:t>
            </w:r>
          </w:p>
        </w:tc>
        <w:tc>
          <w:tcPr>
            <w:tcW w:w="3293" w:type="pct"/>
            <w:vAlign w:val="center"/>
          </w:tcPr>
          <w:p w14:paraId="5F1AECBE">
            <w:pPr>
              <w:widowControl/>
              <w:spacing w:line="360" w:lineRule="auto"/>
              <w:jc w:val="left"/>
              <w:rPr>
                <w:rFonts w:ascii="Times New Roman" w:hAnsi="Times New Roman"/>
                <w:bCs w:val="0"/>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bCs w:val="0"/>
                <w:color w:val="auto"/>
                <w:highlight w:val="none"/>
                <w:shd w:val="clear"/>
              </w:rPr>
              <w:t>继续定标</w:t>
            </w:r>
          </w:p>
          <w:p w14:paraId="26F91CA7">
            <w:pPr>
              <w:snapToGrid w:val="0"/>
              <w:spacing w:line="360" w:lineRule="auto"/>
              <w:rPr>
                <w:rFonts w:ascii="Times New Roman" w:hAnsi="Times New Roman"/>
                <w:color w:val="auto"/>
                <w:highlight w:val="none"/>
                <w:shd w:val="clear"/>
              </w:rPr>
            </w:pPr>
            <w:r>
              <w:rPr>
                <w:rFonts w:ascii="Segoe UI Symbol" w:hAnsi="Segoe UI Symbol" w:cs="Segoe UI Symbol"/>
                <w:color w:val="auto"/>
                <w:highlight w:val="none"/>
                <w:shd w:val="clear"/>
              </w:rPr>
              <w:t>☐</w:t>
            </w:r>
            <w:r>
              <w:rPr>
                <w:rFonts w:hint="eastAsia" w:ascii="Times New Roman" w:hAnsi="Times New Roman"/>
                <w:bCs w:val="0"/>
                <w:color w:val="auto"/>
                <w:highlight w:val="none"/>
                <w:shd w:val="clear"/>
              </w:rPr>
              <w:t>重新招标</w:t>
            </w:r>
          </w:p>
        </w:tc>
      </w:tr>
      <w:permEnd w:id="61"/>
      <w:tr w14:paraId="198F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9D97D46">
            <w:pPr>
              <w:pStyle w:val="29"/>
              <w:rPr>
                <w:rFonts w:ascii="Times New Roman" w:hAnsi="Times New Roman"/>
                <w:color w:val="auto"/>
                <w:highlight w:val="none"/>
                <w:shd w:val="clear"/>
              </w:rPr>
            </w:pPr>
            <w:permStart w:id="62" w:edGrp="everyone" w:colFirst="2" w:colLast="2"/>
            <w:r>
              <w:rPr>
                <w:rFonts w:hint="eastAsia" w:ascii="Times New Roman" w:hAnsi="Times New Roman"/>
                <w:color w:val="auto"/>
                <w:highlight w:val="none"/>
                <w:shd w:val="clear"/>
              </w:rPr>
              <w:t>7.6</w:t>
            </w:r>
          </w:p>
        </w:tc>
        <w:tc>
          <w:tcPr>
            <w:tcW w:w="1087" w:type="pct"/>
            <w:vAlign w:val="center"/>
          </w:tcPr>
          <w:p w14:paraId="27A7D33A">
            <w:pPr>
              <w:pStyle w:val="29"/>
              <w:rPr>
                <w:rFonts w:ascii="Times New Roman" w:hAnsi="Times New Roman"/>
                <w:color w:val="auto"/>
                <w:highlight w:val="none"/>
                <w:shd w:val="clear"/>
              </w:rPr>
            </w:pPr>
            <w:r>
              <w:rPr>
                <w:rFonts w:hint="eastAsia" w:ascii="Times New Roman" w:hAnsi="Times New Roman"/>
                <w:color w:val="auto"/>
                <w:highlight w:val="none"/>
                <w:shd w:val="clear"/>
              </w:rPr>
              <w:t>中标结果公示媒介</w:t>
            </w:r>
          </w:p>
        </w:tc>
        <w:tc>
          <w:tcPr>
            <w:tcW w:w="3293" w:type="pct"/>
            <w:vAlign w:val="center"/>
          </w:tcPr>
          <w:p w14:paraId="6C5F2804">
            <w:pPr>
              <w:pStyle w:val="30"/>
              <w:rPr>
                <w:rFonts w:ascii="Times New Roman" w:hAnsi="Times New Roman"/>
                <w:color w:val="auto"/>
                <w:highlight w:val="none"/>
                <w:shd w:val="clear"/>
              </w:rPr>
            </w:pPr>
            <w:r>
              <w:rPr>
                <w:rFonts w:hint="eastAsia" w:ascii="Times New Roman" w:hAnsi="Times New Roman"/>
                <w:color w:val="auto"/>
                <w:highlight w:val="none"/>
                <w:shd w:val="clear"/>
              </w:rPr>
              <w:t>同招标公告发布媒介</w:t>
            </w:r>
          </w:p>
        </w:tc>
      </w:tr>
      <w:permEnd w:id="62"/>
      <w:tr w14:paraId="405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1F42866">
            <w:pPr>
              <w:pStyle w:val="29"/>
              <w:rPr>
                <w:rFonts w:ascii="Times New Roman" w:hAnsi="Times New Roman"/>
                <w:color w:val="auto"/>
                <w:highlight w:val="none"/>
                <w:shd w:val="clear"/>
              </w:rPr>
            </w:pPr>
            <w:permStart w:id="63" w:edGrp="everyone" w:colFirst="2" w:colLast="2"/>
            <w:r>
              <w:rPr>
                <w:rFonts w:hint="eastAsia" w:ascii="Times New Roman" w:hAnsi="Times New Roman"/>
                <w:color w:val="auto"/>
                <w:highlight w:val="none"/>
                <w:shd w:val="clear"/>
              </w:rPr>
              <w:t>7.7</w:t>
            </w:r>
          </w:p>
        </w:tc>
        <w:tc>
          <w:tcPr>
            <w:tcW w:w="1087" w:type="pct"/>
            <w:vAlign w:val="center"/>
          </w:tcPr>
          <w:p w14:paraId="2EBEA221">
            <w:pPr>
              <w:pStyle w:val="29"/>
              <w:rPr>
                <w:rFonts w:ascii="Times New Roman" w:hAnsi="Times New Roman"/>
                <w:color w:val="auto"/>
                <w:highlight w:val="none"/>
                <w:shd w:val="clear"/>
              </w:rPr>
            </w:pPr>
            <w:r>
              <w:rPr>
                <w:rFonts w:hint="eastAsia" w:ascii="Times New Roman" w:hAnsi="Times New Roman"/>
                <w:color w:val="auto"/>
                <w:highlight w:val="none"/>
                <w:shd w:val="clear"/>
              </w:rPr>
              <w:t>中标通知书和中标结果通知发出的形式</w:t>
            </w:r>
          </w:p>
        </w:tc>
        <w:tc>
          <w:tcPr>
            <w:tcW w:w="3293" w:type="pct"/>
            <w:vAlign w:val="center"/>
          </w:tcPr>
          <w:p w14:paraId="625E93FE">
            <w:pPr>
              <w:pStyle w:val="30"/>
              <w:rPr>
                <w:rFonts w:ascii="Times New Roman" w:hAnsi="Times New Roman"/>
                <w:color w:val="auto"/>
                <w:highlight w:val="none"/>
                <w:shd w:val="clear"/>
              </w:rPr>
            </w:pPr>
            <w:r>
              <w:rPr>
                <w:rFonts w:hint="eastAsia" w:ascii="Times New Roman" w:hAnsi="Times New Roman"/>
                <w:color w:val="auto"/>
                <w:highlight w:val="none"/>
                <w:shd w:val="clear"/>
              </w:rPr>
              <w:t>（1）中标通知书发出的形式：</w:t>
            </w: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 xml:space="preserve">数据电文  </w:t>
            </w:r>
            <w:r>
              <w:rPr>
                <w:rFonts w:hint="eastAsia" w:ascii="Times New Roman" w:hAnsi="Times New Roman" w:eastAsia="MS Gothic"/>
                <w:color w:val="auto"/>
                <w:highlight w:val="none"/>
                <w:shd w:val="clear"/>
              </w:rPr>
              <w:t>☐</w:t>
            </w:r>
            <w:r>
              <w:rPr>
                <w:rFonts w:hint="eastAsia" w:ascii="Times New Roman" w:hAnsi="Times New Roman"/>
                <w:color w:val="auto"/>
                <w:highlight w:val="none"/>
                <w:shd w:val="clear"/>
              </w:rPr>
              <w:t>纸质</w:t>
            </w:r>
          </w:p>
          <w:p w14:paraId="61606677">
            <w:pPr>
              <w:pStyle w:val="30"/>
              <w:rPr>
                <w:rFonts w:ascii="Times New Roman" w:hAnsi="Times New Roman"/>
                <w:color w:val="auto"/>
                <w:highlight w:val="none"/>
                <w:shd w:val="clear"/>
              </w:rPr>
            </w:pPr>
            <w:r>
              <w:rPr>
                <w:rFonts w:hint="eastAsia" w:ascii="Times New Roman" w:hAnsi="Times New Roman"/>
                <w:color w:val="auto"/>
                <w:highlight w:val="none"/>
                <w:shd w:val="clear"/>
              </w:rPr>
              <w:t>（2）中标结果通知发出的形式：</w:t>
            </w: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 xml:space="preserve">数据电文  </w:t>
            </w:r>
            <w:r>
              <w:rPr>
                <w:rFonts w:ascii="Segoe UI Symbol" w:hAnsi="Segoe UI Symbol" w:cs="Segoe UI Symbol"/>
                <w:color w:val="auto"/>
                <w:highlight w:val="none"/>
                <w:shd w:val="clear"/>
              </w:rPr>
              <w:t>☐</w:t>
            </w:r>
            <w:r>
              <w:rPr>
                <w:rFonts w:hint="eastAsia" w:ascii="Times New Roman" w:hAnsi="Times New Roman"/>
                <w:color w:val="auto"/>
                <w:highlight w:val="none"/>
                <w:shd w:val="clear"/>
              </w:rPr>
              <w:t>纸质</w:t>
            </w:r>
          </w:p>
          <w:p w14:paraId="4A47D259">
            <w:pPr>
              <w:pStyle w:val="30"/>
              <w:rPr>
                <w:rFonts w:ascii="Times New Roman" w:hAnsi="Times New Roman"/>
                <w:color w:val="auto"/>
                <w:highlight w:val="none"/>
                <w:shd w:val="clear"/>
              </w:rPr>
            </w:pPr>
            <w:r>
              <w:rPr>
                <w:rFonts w:hint="eastAsia" w:ascii="Times New Roman" w:hAnsi="Times New Roman"/>
                <w:color w:val="auto"/>
                <w:highlight w:val="none"/>
                <w:shd w:val="clear"/>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permEnd w:id="63"/>
      <w:tr w14:paraId="45D9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F49C2F4">
            <w:pPr>
              <w:pStyle w:val="29"/>
              <w:rPr>
                <w:rFonts w:ascii="Times New Roman" w:hAnsi="Times New Roman"/>
                <w:color w:val="auto"/>
                <w:highlight w:val="none"/>
                <w:shd w:val="clear"/>
              </w:rPr>
            </w:pPr>
            <w:permStart w:id="64" w:edGrp="everyone" w:colFirst="2" w:colLast="2"/>
            <w:r>
              <w:rPr>
                <w:rFonts w:hint="eastAsia" w:ascii="Times New Roman" w:hAnsi="Times New Roman"/>
                <w:color w:val="auto"/>
                <w:highlight w:val="none"/>
                <w:shd w:val="clear"/>
              </w:rPr>
              <w:t>8.1.1</w:t>
            </w:r>
          </w:p>
        </w:tc>
        <w:tc>
          <w:tcPr>
            <w:tcW w:w="1087" w:type="pct"/>
            <w:vAlign w:val="center"/>
          </w:tcPr>
          <w:p w14:paraId="2BC8F68A">
            <w:pPr>
              <w:pStyle w:val="29"/>
              <w:rPr>
                <w:rFonts w:ascii="Times New Roman" w:hAnsi="Times New Roman"/>
                <w:color w:val="auto"/>
                <w:highlight w:val="none"/>
                <w:shd w:val="clear"/>
              </w:rPr>
            </w:pPr>
            <w:r>
              <w:rPr>
                <w:rFonts w:hint="eastAsia" w:ascii="Times New Roman" w:hAnsi="Times New Roman"/>
                <w:color w:val="auto"/>
                <w:highlight w:val="none"/>
                <w:shd w:val="clear"/>
              </w:rPr>
              <w:t>履约保证金</w:t>
            </w:r>
          </w:p>
        </w:tc>
        <w:tc>
          <w:tcPr>
            <w:tcW w:w="3293" w:type="pct"/>
            <w:vAlign w:val="center"/>
          </w:tcPr>
          <w:p w14:paraId="57A6D530">
            <w:pPr>
              <w:pStyle w:val="30"/>
              <w:rPr>
                <w:rFonts w:ascii="Times New Roman" w:hAnsi="Times New Roman"/>
                <w:color w:val="auto"/>
                <w:highlight w:val="none"/>
                <w:shd w:val="clear"/>
              </w:rPr>
            </w:pPr>
            <w:r>
              <w:rPr>
                <w:rFonts w:hint="eastAsia" w:ascii="Times New Roman" w:hAnsi="Times New Roman"/>
                <w:color w:val="auto"/>
                <w:highlight w:val="none"/>
                <w:shd w:val="clear"/>
              </w:rPr>
              <w:t>是否要求投标人提交履约保证金：</w:t>
            </w:r>
          </w:p>
          <w:p w14:paraId="364D7019">
            <w:pPr>
              <w:pStyle w:val="30"/>
              <w:rPr>
                <w:rFonts w:ascii="Times New Roman" w:hAnsi="Times New Roman"/>
                <w:color w:val="auto"/>
                <w:highlight w:val="none"/>
                <w:shd w:val="clear"/>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不要求</w:t>
            </w:r>
          </w:p>
          <w:p w14:paraId="53D24ADE">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要求，具体如下：</w:t>
            </w:r>
          </w:p>
          <w:p w14:paraId="458F140B">
            <w:pPr>
              <w:pStyle w:val="30"/>
              <w:rPr>
                <w:rFonts w:ascii="Times New Roman" w:hAnsi="Times New Roman"/>
                <w:color w:val="auto"/>
                <w:highlight w:val="none"/>
                <w:shd w:val="clear"/>
              </w:rPr>
            </w:pPr>
            <w:r>
              <w:rPr>
                <w:rFonts w:hint="eastAsia" w:ascii="Times New Roman" w:hAnsi="Times New Roman"/>
                <w:color w:val="auto"/>
                <w:highlight w:val="none"/>
                <w:shd w:val="clear"/>
              </w:rPr>
              <w:t xml:space="preserve">（1）履约保证金金额：中标价*2% </w:t>
            </w:r>
          </w:p>
          <w:p w14:paraId="1D00CB55">
            <w:pPr>
              <w:pStyle w:val="30"/>
              <w:rPr>
                <w:rFonts w:ascii="Times New Roman" w:hAnsi="Times New Roman"/>
                <w:color w:val="auto"/>
                <w:highlight w:val="none"/>
                <w:shd w:val="clear"/>
              </w:rPr>
            </w:pPr>
            <w:r>
              <w:rPr>
                <w:rFonts w:hint="eastAsia" w:ascii="Times New Roman" w:hAnsi="Times New Roman"/>
                <w:color w:val="auto"/>
                <w:highlight w:val="none"/>
                <w:shd w:val="clear"/>
              </w:rPr>
              <w:t>（2）履约保证金形式：</w:t>
            </w:r>
            <w:bookmarkStart w:id="78" w:name="_Hlk169621780"/>
          </w:p>
          <w:p w14:paraId="42852D7B">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现金</w:t>
            </w:r>
          </w:p>
          <w:p w14:paraId="0A2EAAF8">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非现金形式</w:t>
            </w:r>
          </w:p>
          <w:p w14:paraId="3B61930F">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0052"/>
            </w:r>
            <w:r>
              <w:rPr>
                <w:rFonts w:hint="eastAsia" w:ascii="Times New Roman" w:hAnsi="Times New Roman"/>
                <w:color w:val="auto"/>
                <w:highlight w:val="none"/>
                <w:shd w:val="clear"/>
              </w:rPr>
              <w:t>纸质保函（纸质银行保函、纸质担保机构担保、纸质保证保险等）</w:t>
            </w:r>
          </w:p>
          <w:p w14:paraId="29536B4F">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电子保函</w:t>
            </w:r>
          </w:p>
          <w:bookmarkEnd w:id="78"/>
          <w:p w14:paraId="00488CC5">
            <w:pPr>
              <w:pStyle w:val="30"/>
              <w:rPr>
                <w:rFonts w:ascii="Times New Roman" w:hAnsi="Times New Roman"/>
                <w:color w:val="auto"/>
                <w:highlight w:val="none"/>
                <w:shd w:val="clear"/>
              </w:rPr>
            </w:pPr>
            <w:r>
              <w:rPr>
                <w:rFonts w:hint="eastAsia" w:ascii="Times New Roman" w:hAnsi="Times New Roman"/>
                <w:color w:val="auto"/>
                <w:highlight w:val="none"/>
                <w:shd w:val="clear"/>
              </w:rPr>
              <w:t>（3）具体要求：</w:t>
            </w:r>
          </w:p>
          <w:p w14:paraId="7A4D1796">
            <w:pPr>
              <w:pStyle w:val="30"/>
              <w:rPr>
                <w:rFonts w:ascii="Times New Roman" w:hAnsi="Times New Roman"/>
                <w:color w:val="auto"/>
                <w:highlight w:val="none"/>
                <w:shd w:val="clear"/>
              </w:rPr>
            </w:pPr>
            <w:r>
              <w:rPr>
                <w:rFonts w:hint="eastAsia" w:ascii="Times New Roman" w:hAnsi="Times New Roman"/>
                <w:color w:val="auto"/>
                <w:highlight w:val="none"/>
                <w:shd w:val="clear"/>
              </w:rPr>
              <w:t>（1）银行转账履约保证金账户：（任选其一）</w:t>
            </w:r>
          </w:p>
          <w:p w14:paraId="365A31E5">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户名：蚌埠市公共资源交易中心固镇分中心 </w:t>
            </w:r>
          </w:p>
          <w:p w14:paraId="655E07A2">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账 号：12295001040028039 </w:t>
            </w:r>
          </w:p>
          <w:p w14:paraId="7C58FFFC">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开户行：农业银行固镇县支行 </w:t>
            </w:r>
          </w:p>
          <w:p w14:paraId="1BA1E937">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或</w:t>
            </w:r>
          </w:p>
          <w:p w14:paraId="443C2325">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户名：蚌埠市公共资源交易中心固镇分中心 </w:t>
            </w:r>
          </w:p>
          <w:p w14:paraId="1B2C719D">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账 号：20010110208666600000013 </w:t>
            </w:r>
          </w:p>
          <w:p w14:paraId="0A809843">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开户行：安徽省农村信用社（农村商业银行农村合作银行） </w:t>
            </w:r>
          </w:p>
          <w:p w14:paraId="78738A56">
            <w:pPr>
              <w:pStyle w:val="30"/>
              <w:numPr>
                <w:ilvl w:val="0"/>
                <w:numId w:val="1"/>
              </w:numPr>
              <w:rPr>
                <w:rFonts w:hint="eastAsia" w:ascii="Times New Roman" w:hAnsi="Times New Roman"/>
                <w:color w:val="auto"/>
                <w:highlight w:val="none"/>
                <w:shd w:val="clear"/>
              </w:rPr>
            </w:pPr>
            <w:bookmarkStart w:id="2523" w:name="_GoBack"/>
            <w:bookmarkEnd w:id="2523"/>
            <w:r>
              <w:rPr>
                <w:rFonts w:hint="eastAsia" w:ascii="Times New Roman" w:hAnsi="Times New Roman"/>
                <w:color w:val="auto"/>
                <w:highlight w:val="none"/>
                <w:shd w:val="clear"/>
              </w:rPr>
              <w:t>缴纳时间：中标人在中标通知书发出后，合同签订前，必须缴纳履约担保（银行转账、见索即付银行保函、投保保险公司建设工程施工合同履约保证保险）；否则，可以取消其中标资格，其投标保证金不予退还。</w:t>
            </w:r>
          </w:p>
          <w:p w14:paraId="4FBDF7D4">
            <w:pPr>
              <w:pStyle w:val="30"/>
              <w:numPr>
                <w:ilvl w:val="0"/>
                <w:numId w:val="0"/>
              </w:numPr>
              <w:rPr>
                <w:rFonts w:ascii="Times New Roman" w:hAnsi="Times New Roman"/>
                <w:color w:val="auto"/>
                <w:highlight w:val="none"/>
                <w:shd w:val="clear"/>
              </w:rPr>
            </w:pPr>
            <w:r>
              <w:rPr>
                <w:rFonts w:hint="eastAsia" w:ascii="Times New Roman" w:hAnsi="Times New Roman"/>
                <w:color w:val="auto"/>
                <w:highlight w:val="none"/>
                <w:shd w:val="clear"/>
              </w:rPr>
              <w:t>（3）其他要求：</w:t>
            </w:r>
            <w:r>
              <w:rPr>
                <w:rFonts w:hint="eastAsia" w:ascii="宋体" w:hAnsi="宋体" w:eastAsia="宋体" w:cs="宋体"/>
                <w:bCs/>
                <w:color w:val="auto"/>
                <w:kern w:val="0"/>
                <w:sz w:val="21"/>
                <w:szCs w:val="21"/>
                <w:highlight w:val="none"/>
                <w:shd w:val="clear"/>
                <w:lang w:val="en-US" w:eastAsia="zh-CN" w:bidi="ar"/>
              </w:rPr>
              <w:t>退还方式及</w:t>
            </w:r>
            <w:r>
              <w:rPr>
                <w:rFonts w:hint="eastAsia" w:ascii="宋体" w:hAnsi="宋体" w:eastAsia="宋体" w:cs="宋体"/>
                <w:bCs/>
                <w:color w:val="auto"/>
                <w:kern w:val="0"/>
                <w:sz w:val="21"/>
                <w:szCs w:val="21"/>
                <w:highlight w:val="none"/>
                <w:shd w:val="clear"/>
                <w:lang w:val="en-US" w:eastAsia="zh-CN" w:bidi="ar"/>
              </w:rPr>
              <w:t>时间</w:t>
            </w:r>
            <w:r>
              <w:rPr>
                <w:rFonts w:hint="eastAsia" w:cs="宋体"/>
                <w:bCs/>
                <w:color w:val="auto"/>
                <w:kern w:val="0"/>
                <w:sz w:val="21"/>
                <w:szCs w:val="21"/>
                <w:highlight w:val="none"/>
                <w:shd w:val="clear"/>
                <w:lang w:val="en-US" w:eastAsia="zh-CN" w:bidi="ar"/>
              </w:rPr>
              <w:t>：</w:t>
            </w:r>
            <w:r>
              <w:rPr>
                <w:rFonts w:hint="eastAsia" w:ascii="Times New Roman" w:hAnsi="Times New Roman"/>
                <w:color w:val="auto"/>
                <w:highlight w:val="none"/>
                <w:shd w:val="clear"/>
              </w:rPr>
              <w:t>履约担保返还时限由招标人和中标人自行协商，但最迟返还时限不得超过项目竣工验收合格后28天。</w:t>
            </w:r>
          </w:p>
        </w:tc>
      </w:tr>
      <w:permEnd w:id="64"/>
      <w:tr w14:paraId="5C66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14:paraId="3FA9491A">
            <w:pPr>
              <w:pStyle w:val="29"/>
              <w:rPr>
                <w:rFonts w:ascii="Times New Roman" w:hAnsi="Times New Roman"/>
                <w:color w:val="auto"/>
                <w:highlight w:val="none"/>
                <w:shd w:val="clear"/>
              </w:rPr>
            </w:pPr>
            <w:permStart w:id="65" w:edGrp="everyone" w:colFirst="0" w:colLast="0"/>
            <w:r>
              <w:rPr>
                <w:rFonts w:hint="eastAsia" w:ascii="Times New Roman" w:hAnsi="Times New Roman"/>
                <w:color w:val="auto"/>
                <w:highlight w:val="none"/>
                <w:shd w:val="clear"/>
              </w:rPr>
              <w:t>10.需要补充的其他内容</w:t>
            </w:r>
          </w:p>
        </w:tc>
      </w:tr>
      <w:permEnd w:id="65"/>
      <w:tr w14:paraId="0A51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700BC9A">
            <w:pPr>
              <w:pStyle w:val="29"/>
              <w:rPr>
                <w:rFonts w:ascii="Times New Roman" w:hAnsi="Times New Roman"/>
                <w:color w:val="auto"/>
                <w:highlight w:val="none"/>
                <w:shd w:val="clear"/>
              </w:rPr>
            </w:pPr>
            <w:permStart w:id="66" w:edGrp="everyone" w:colFirst="2" w:colLast="2"/>
            <w:r>
              <w:rPr>
                <w:rFonts w:hint="eastAsia" w:ascii="Times New Roman" w:hAnsi="Times New Roman"/>
                <w:color w:val="auto"/>
                <w:highlight w:val="none"/>
                <w:shd w:val="clear"/>
              </w:rPr>
              <w:t>10.1</w:t>
            </w:r>
          </w:p>
        </w:tc>
        <w:tc>
          <w:tcPr>
            <w:tcW w:w="1087" w:type="pct"/>
            <w:vAlign w:val="center"/>
          </w:tcPr>
          <w:p w14:paraId="525035AA">
            <w:pPr>
              <w:pStyle w:val="29"/>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获取与查看通知</w:t>
            </w:r>
          </w:p>
        </w:tc>
        <w:tc>
          <w:tcPr>
            <w:tcW w:w="3293" w:type="pct"/>
            <w:vAlign w:val="center"/>
          </w:tcPr>
          <w:p w14:paraId="6A278CCD">
            <w:pPr>
              <w:pStyle w:val="30"/>
              <w:rPr>
                <w:rFonts w:ascii="Times New Roman" w:hAnsi="Times New Roman"/>
                <w:color w:val="auto"/>
                <w:highlight w:val="none"/>
                <w:shd w:val="clear"/>
              </w:rPr>
            </w:pPr>
            <w:r>
              <w:rPr>
                <w:rFonts w:hint="eastAsia" w:ascii="Times New Roman" w:hAnsi="Times New Roman"/>
                <w:color w:val="auto"/>
                <w:highlight w:val="none"/>
                <w:shd w:val="clear"/>
              </w:rPr>
              <w:t>本招标项目的招标文件、图纸、工程量清单、最高投标限价、澄清及修改等相关资料均通过电子交易系统发布；投标人应当及时登录电子交易系统自行查看并下载。</w:t>
            </w:r>
          </w:p>
        </w:tc>
      </w:tr>
      <w:permEnd w:id="66"/>
      <w:tr w14:paraId="60C3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629295F">
            <w:pPr>
              <w:pStyle w:val="29"/>
              <w:rPr>
                <w:rFonts w:ascii="Times New Roman" w:hAnsi="Times New Roman"/>
                <w:color w:val="auto"/>
                <w:highlight w:val="none"/>
                <w:shd w:val="clear"/>
              </w:rPr>
            </w:pPr>
            <w:permStart w:id="67" w:edGrp="everyone" w:colFirst="2" w:colLast="2"/>
            <w:r>
              <w:rPr>
                <w:rFonts w:hint="eastAsia" w:ascii="Times New Roman" w:hAnsi="Times New Roman"/>
                <w:color w:val="auto"/>
                <w:highlight w:val="none"/>
                <w:shd w:val="clear"/>
              </w:rPr>
              <w:t>10.2</w:t>
            </w:r>
          </w:p>
        </w:tc>
        <w:tc>
          <w:tcPr>
            <w:tcW w:w="1087" w:type="pct"/>
            <w:vAlign w:val="center"/>
          </w:tcPr>
          <w:p w14:paraId="24251581">
            <w:pPr>
              <w:pStyle w:val="29"/>
              <w:rPr>
                <w:rFonts w:ascii="Times New Roman" w:hAnsi="Times New Roman"/>
                <w:color w:val="auto"/>
                <w:highlight w:val="none"/>
                <w:shd w:val="clear"/>
              </w:rPr>
            </w:pPr>
            <w:r>
              <w:rPr>
                <w:rFonts w:hint="eastAsia" w:ascii="Times New Roman" w:hAnsi="Times New Roman"/>
                <w:color w:val="auto"/>
                <w:highlight w:val="none"/>
                <w:shd w:val="clear"/>
              </w:rPr>
              <w:t>电子招标</w:t>
            </w:r>
          </w:p>
        </w:tc>
        <w:tc>
          <w:tcPr>
            <w:tcW w:w="3293" w:type="pct"/>
            <w:vAlign w:val="center"/>
          </w:tcPr>
          <w:p w14:paraId="3DB6B03C">
            <w:pPr>
              <w:pStyle w:val="30"/>
              <w:rPr>
                <w:rFonts w:ascii="Times New Roman" w:hAnsi="Times New Roman"/>
                <w:color w:val="auto"/>
                <w:highlight w:val="none"/>
                <w:shd w:val="clear"/>
              </w:rPr>
            </w:pPr>
            <w:r>
              <w:rPr>
                <w:rFonts w:hint="eastAsia" w:ascii="Times New Roman" w:hAnsi="Times New Roman"/>
                <w:color w:val="auto"/>
                <w:highlight w:val="none"/>
                <w:shd w:val="clear"/>
              </w:rPr>
              <w:t>本招标项目实行全流程电子化交易。除招标文件另有规定外，电子招标投标操作要求见本章附件《蚌埠市公共资源交易电子招标投标操作规程（暂行）》。</w:t>
            </w:r>
          </w:p>
          <w:p w14:paraId="2493B462">
            <w:pPr>
              <w:pStyle w:val="30"/>
              <w:rPr>
                <w:rFonts w:ascii="Times New Roman" w:hAnsi="Times New Roman"/>
                <w:color w:val="auto"/>
                <w:highlight w:val="none"/>
                <w:shd w:val="clear"/>
              </w:rPr>
            </w:pPr>
            <w:r>
              <w:rPr>
                <w:rFonts w:hint="eastAsia" w:ascii="Times New Roman" w:hAnsi="Times New Roman"/>
                <w:color w:val="auto"/>
                <w:highlight w:val="none"/>
                <w:shd w:val="clear"/>
              </w:rPr>
              <w:t>相关注意事项：</w:t>
            </w:r>
          </w:p>
          <w:p w14:paraId="517BCB1F">
            <w:pPr>
              <w:pStyle w:val="30"/>
              <w:rPr>
                <w:rFonts w:ascii="Times New Roman" w:hAnsi="Times New Roman"/>
                <w:color w:val="auto"/>
                <w:highlight w:val="none"/>
                <w:shd w:val="clear"/>
              </w:rPr>
            </w:pPr>
            <w:r>
              <w:rPr>
                <w:rFonts w:hint="eastAsia" w:ascii="Times New Roman" w:hAnsi="Times New Roman"/>
                <w:color w:val="auto"/>
                <w:highlight w:val="none"/>
                <w:shd w:val="clear"/>
              </w:rPr>
              <w:t>（1）投标人须通过蚌埠市公共资源交易中心网站（http://ggzy.bengbu.gov.cn），点击“投标人登录”，进入蚌埠公共资源交易系统，进行远程解密；投标人可以通过系统中的“模拟解密”功能，自行验证其解密环境，如有技术问题请联系0512-58188516。解密不成功的，后果自负，投标人不得通过非加密电子投标文件直接将电子投标文件导入评标系统。</w:t>
            </w:r>
          </w:p>
          <w:p w14:paraId="152C54F5">
            <w:pPr>
              <w:pStyle w:val="30"/>
              <w:rPr>
                <w:rFonts w:ascii="Times New Roman" w:hAnsi="Times New Roman"/>
                <w:color w:val="auto"/>
                <w:highlight w:val="none"/>
                <w:shd w:val="clear"/>
              </w:rPr>
            </w:pPr>
            <w:r>
              <w:rPr>
                <w:rFonts w:hint="eastAsia" w:ascii="Times New Roman" w:hAnsi="Times New Roman"/>
                <w:color w:val="auto"/>
                <w:highlight w:val="none"/>
                <w:shd w:val="clear"/>
              </w:rPr>
              <w:t>（2）投标人可通过蚌埠市公共资源交易中心网站，查看评审结果。</w:t>
            </w:r>
          </w:p>
        </w:tc>
      </w:tr>
      <w:permEnd w:id="67"/>
      <w:tr w14:paraId="6E34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58B4A9F0">
            <w:pPr>
              <w:pStyle w:val="29"/>
              <w:rPr>
                <w:rFonts w:ascii="Times New Roman" w:hAnsi="Times New Roman"/>
                <w:color w:val="auto"/>
                <w:highlight w:val="none"/>
                <w:shd w:val="clear"/>
              </w:rPr>
            </w:pPr>
            <w:permStart w:id="68" w:edGrp="everyone" w:colFirst="2" w:colLast="2"/>
            <w:r>
              <w:rPr>
                <w:rFonts w:hint="eastAsia" w:ascii="Times New Roman" w:hAnsi="Times New Roman"/>
                <w:color w:val="auto"/>
                <w:highlight w:val="none"/>
                <w:shd w:val="clear"/>
              </w:rPr>
              <w:t>10.3</w:t>
            </w:r>
          </w:p>
        </w:tc>
        <w:tc>
          <w:tcPr>
            <w:tcW w:w="1087" w:type="pct"/>
            <w:vAlign w:val="center"/>
          </w:tcPr>
          <w:p w14:paraId="25E84FF4">
            <w:pPr>
              <w:pStyle w:val="29"/>
              <w:rPr>
                <w:rFonts w:ascii="Times New Roman" w:hAnsi="Times New Roman"/>
                <w:color w:val="auto"/>
                <w:highlight w:val="none"/>
                <w:shd w:val="clear"/>
              </w:rPr>
            </w:pPr>
            <w:r>
              <w:rPr>
                <w:rFonts w:hint="eastAsia" w:ascii="Times New Roman" w:hAnsi="Times New Roman"/>
                <w:color w:val="auto"/>
                <w:highlight w:val="none"/>
                <w:shd w:val="clear"/>
              </w:rPr>
              <w:t>相关政策要求</w:t>
            </w:r>
          </w:p>
        </w:tc>
        <w:tc>
          <w:tcPr>
            <w:tcW w:w="3293" w:type="pct"/>
            <w:vAlign w:val="center"/>
          </w:tcPr>
          <w:p w14:paraId="5C500F77">
            <w:pPr>
              <w:pStyle w:val="30"/>
              <w:rPr>
                <w:rFonts w:ascii="Times New Roman" w:hAnsi="Times New Roman"/>
                <w:color w:val="auto"/>
                <w:highlight w:val="none"/>
                <w:shd w:val="clear"/>
              </w:rPr>
            </w:pPr>
            <w:r>
              <w:rPr>
                <w:rFonts w:hint="eastAsia" w:ascii="Times New Roman" w:hAnsi="Times New Roman"/>
                <w:color w:val="auto"/>
                <w:highlight w:val="none"/>
                <w:shd w:val="clear"/>
              </w:rPr>
              <w:t>（1）承包人在工程实施过程中的用工行为，必须严格按照《保障农民工工资支付条例》（国务院令第724号）、《安徽省建设领域农民工工资支付保障暂行办法》（劳社字〔2004〕68号）、《安徽省人民政府办公厅关于全面治理拖欠农民工工资问题的实施意见》（皖政办〔2016〕22号）、《贯彻落实&lt;工程建设领域农民工工资专用账户管理暂行办法&gt;的通知》（皖人社发〔2022〕5号）、《安徽省工程建设领域农民工工资保证金实施办法》（皖人社发〔2022〕8号）、《关于建立长效机制切实保障建筑行业农民工工资支付工作的通知》、《关于加快培育和壮大我省建筑产业工人队伍的意见》以及《关于印发〈安徽省房屋建筑和市政基础设施工程施工过程结算管理办法〉的通知》、《</w:t>
            </w:r>
            <w:r>
              <w:rPr>
                <w:color w:val="auto"/>
                <w:highlight w:val="none"/>
                <w:shd w:val="clear"/>
              </w:rPr>
              <w:fldChar w:fldCharType="begin"/>
            </w:r>
            <w:r>
              <w:rPr>
                <w:color w:val="auto"/>
                <w:highlight w:val="none"/>
                <w:shd w:val="clear"/>
              </w:rPr>
              <w:instrText xml:space="preserve"> HYPERLINK "https://rsj.bengbu.gov.cn/zfxxgk/public/22111/51226177.html" \t "_blank" \o "蚌埠市人力资源和社会保障局关于进一步完善工程建设领域农民工工资保证金制度的通知" </w:instrText>
            </w:r>
            <w:r>
              <w:rPr>
                <w:color w:val="auto"/>
                <w:highlight w:val="none"/>
                <w:shd w:val="clear"/>
              </w:rPr>
              <w:fldChar w:fldCharType="separate"/>
            </w:r>
            <w:r>
              <w:rPr>
                <w:rFonts w:hint="eastAsia" w:ascii="Times New Roman" w:hAnsi="Times New Roman"/>
                <w:color w:val="auto"/>
                <w:highlight w:val="none"/>
                <w:shd w:val="clear"/>
              </w:rPr>
              <w:t>蚌埠市人力资源和社会保障局关于进一步完善工程建设领域农民工工资保证金制度的通知</w:t>
            </w:r>
            <w:r>
              <w:rPr>
                <w:rFonts w:hint="eastAsia" w:ascii="Times New Roman" w:hAnsi="Times New Roman"/>
                <w:color w:val="auto"/>
                <w:highlight w:val="none"/>
                <w:shd w:val="clear"/>
              </w:rPr>
              <w:fldChar w:fldCharType="end"/>
            </w:r>
            <w:r>
              <w:rPr>
                <w:rFonts w:hint="eastAsia" w:ascii="Times New Roman" w:hAnsi="Times New Roman"/>
                <w:color w:val="auto"/>
                <w:highlight w:val="none"/>
                <w:shd w:val="clear"/>
              </w:rPr>
              <w:t>》等要求，规范农民工工资支付行为，保障农民工按时足额获得工资。蚌埠市行政区域内的各类工程建设项目，支持施工企业以银行保函或者保险机构保单保函方式缴存农民工工资保证金。</w:t>
            </w:r>
          </w:p>
          <w:p w14:paraId="066E418B">
            <w:pPr>
              <w:pStyle w:val="30"/>
              <w:rPr>
                <w:rFonts w:ascii="Times New Roman" w:hAnsi="Times New Roman"/>
                <w:color w:val="auto"/>
                <w:highlight w:val="none"/>
                <w:shd w:val="clear"/>
              </w:rPr>
            </w:pPr>
            <w:r>
              <w:rPr>
                <w:rFonts w:hint="eastAsia" w:ascii="Times New Roman" w:hAnsi="Times New Roman"/>
                <w:color w:val="auto"/>
                <w:highlight w:val="none"/>
                <w:shd w:val="clear"/>
              </w:rPr>
              <w:t>（2）本工程最高投标限价(招标控制价)已按关于发布《安徽省建设工程计价依据动态调整(第1期)》(安徽省住房和城乡建设厅公告第51号)的公告附表规定的措施项目、费率和单价列出招标工程施工扬尘污染防治费用和建筑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4ED527E5">
            <w:pPr>
              <w:pStyle w:val="30"/>
              <w:rPr>
                <w:rFonts w:ascii="Times New Roman" w:hAnsi="Times New Roman"/>
                <w:color w:val="auto"/>
                <w:highlight w:val="none"/>
                <w:shd w:val="clear"/>
              </w:rPr>
            </w:pPr>
            <w:r>
              <w:rPr>
                <w:rFonts w:hint="eastAsia" w:ascii="Times New Roman" w:hAnsi="Times New Roman"/>
                <w:color w:val="auto"/>
                <w:highlight w:val="none"/>
                <w:shd w:val="clear"/>
              </w:rPr>
              <w:t>（3）关于投标保证金、履约保证金、工程质量保证金执行《关于加快推进房屋建筑和市政基础设施工程实行工程担保制度的通知》（建市〔2020〕84 号）。</w:t>
            </w:r>
          </w:p>
          <w:p w14:paraId="62685115">
            <w:pPr>
              <w:pStyle w:val="30"/>
              <w:rPr>
                <w:rFonts w:ascii="Times New Roman" w:hAnsi="Times New Roman"/>
                <w:color w:val="auto"/>
                <w:highlight w:val="none"/>
                <w:shd w:val="clear"/>
              </w:rPr>
            </w:pPr>
            <w:r>
              <w:rPr>
                <w:rFonts w:hint="eastAsia" w:ascii="Times New Roman" w:hAnsi="Times New Roman"/>
                <w:color w:val="auto"/>
                <w:highlight w:val="none"/>
                <w:shd w:val="clear"/>
              </w:rPr>
              <w:t>（4）关于发包人工程款支付担保执行《关于加强房屋建筑和市政基础设施工程建设领域工程款支付担保管理工作的通知》（建市〔2022〕54号）。</w:t>
            </w:r>
          </w:p>
          <w:p w14:paraId="56FB8B1D">
            <w:pPr>
              <w:pStyle w:val="30"/>
              <w:rPr>
                <w:rFonts w:ascii="Times New Roman" w:hAnsi="Times New Roman"/>
                <w:color w:val="auto"/>
                <w:highlight w:val="none"/>
                <w:shd w:val="clear"/>
              </w:rPr>
            </w:pPr>
            <w:r>
              <w:rPr>
                <w:rFonts w:hint="eastAsia" w:ascii="Times New Roman" w:hAnsi="Times New Roman"/>
                <w:color w:val="auto"/>
                <w:highlight w:val="none"/>
                <w:shd w:val="clear"/>
              </w:rPr>
              <w:t>（5）保证保险产品应按《中国银保监会办公厅关于进一步加强和改进财产保险公司产品监管有关问题的通知》执行。</w:t>
            </w:r>
          </w:p>
          <w:p w14:paraId="0B14B460">
            <w:pPr>
              <w:pStyle w:val="30"/>
              <w:rPr>
                <w:rFonts w:ascii="Times New Roman" w:hAnsi="Times New Roman"/>
                <w:color w:val="auto"/>
                <w:highlight w:val="none"/>
                <w:shd w:val="clear"/>
              </w:rPr>
            </w:pPr>
            <w:r>
              <w:rPr>
                <w:rFonts w:hint="eastAsia" w:ascii="Times New Roman" w:hAnsi="Times New Roman"/>
                <w:color w:val="auto"/>
                <w:highlight w:val="none"/>
                <w:shd w:val="clear"/>
              </w:rPr>
              <w:t>（6）加大绿色建材产品在政府采购工程中使用。按照《财政部住房和城乡建设部关于政府采购支持绿色建材促进建筑品质提升试点工作的通知》(财库[2020]31号)要求，鼓励工程中优先采购可循环可利用建材、高强度高耐久建材、绿色部品部件、绿色装饰装修材料、节水节能建材等绿色建材产品。</w:t>
            </w:r>
          </w:p>
          <w:p w14:paraId="34587C60">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（7）建造师电子注册证书相关要求：采用一级建造师投标的：《住房和城乡建设部办公厅关于全面实行一级建造师电子注册证书的通知》（建办市〔2021〕40号）执行。</w:t>
            </w:r>
          </w:p>
          <w:p w14:paraId="41A83CE0">
            <w:pPr>
              <w:pStyle w:val="30"/>
              <w:rPr>
                <w:rFonts w:ascii="Times New Roman" w:hAnsi="Times New Roman"/>
                <w:color w:val="auto"/>
                <w:highlight w:val="none"/>
                <w:shd w:val="clear"/>
              </w:rPr>
            </w:pPr>
            <w:r>
              <w:rPr>
                <w:rFonts w:hint="eastAsia" w:ascii="Times New Roman" w:hAnsi="Times New Roman"/>
                <w:color w:val="auto"/>
                <w:highlight w:val="none"/>
                <w:shd w:val="clear"/>
              </w:rPr>
              <w:t>注：未列明的按照国家、省、市相关政策执行。</w:t>
            </w:r>
          </w:p>
        </w:tc>
      </w:tr>
      <w:permEnd w:id="68"/>
      <w:tr w14:paraId="5E18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64B864D5">
            <w:pPr>
              <w:pStyle w:val="29"/>
              <w:rPr>
                <w:rFonts w:ascii="Times New Roman" w:hAnsi="Times New Roman"/>
                <w:color w:val="auto"/>
                <w:highlight w:val="none"/>
                <w:shd w:val="clear"/>
              </w:rPr>
            </w:pPr>
            <w:permStart w:id="69" w:edGrp="everyone" w:colFirst="2" w:colLast="2"/>
            <w:r>
              <w:rPr>
                <w:rFonts w:hint="eastAsia" w:ascii="Times New Roman" w:hAnsi="Times New Roman"/>
                <w:color w:val="auto"/>
                <w:highlight w:val="none"/>
                <w:shd w:val="clear"/>
              </w:rPr>
              <w:t>10.4</w:t>
            </w:r>
          </w:p>
        </w:tc>
        <w:tc>
          <w:tcPr>
            <w:tcW w:w="1087" w:type="pct"/>
            <w:vAlign w:val="center"/>
          </w:tcPr>
          <w:p w14:paraId="11011F37">
            <w:pPr>
              <w:pStyle w:val="29"/>
              <w:rPr>
                <w:rFonts w:ascii="Times New Roman" w:hAnsi="Times New Roman"/>
                <w:color w:val="auto"/>
                <w:highlight w:val="none"/>
                <w:shd w:val="clear"/>
              </w:rPr>
            </w:pPr>
            <w:r>
              <w:rPr>
                <w:rFonts w:hint="eastAsia" w:ascii="Times New Roman" w:hAnsi="Times New Roman"/>
                <w:color w:val="auto"/>
                <w:highlight w:val="none"/>
                <w:shd w:val="clear"/>
              </w:rPr>
              <w:t>评标过程中的澄清、说明或补正</w:t>
            </w:r>
          </w:p>
        </w:tc>
        <w:tc>
          <w:tcPr>
            <w:tcW w:w="3293" w:type="pct"/>
            <w:vAlign w:val="center"/>
          </w:tcPr>
          <w:p w14:paraId="731740AB">
            <w:pPr>
              <w:pStyle w:val="30"/>
              <w:rPr>
                <w:rFonts w:ascii="Times New Roman" w:hAnsi="Times New Roman"/>
                <w:color w:val="auto"/>
                <w:highlight w:val="none"/>
                <w:shd w:val="clear"/>
              </w:rPr>
            </w:pPr>
            <w:r>
              <w:rPr>
                <w:rFonts w:hint="eastAsia" w:ascii="Times New Roman" w:hAnsi="Times New Roman"/>
                <w:color w:val="auto"/>
                <w:highlight w:val="none"/>
                <w:shd w:val="clear"/>
              </w:rPr>
              <w:t>因投标人未登录电子交易系统导致无法及时接收询标函（远程网上询标）或未在规定时间</w:t>
            </w:r>
            <w:r>
              <w:rPr>
                <w:rFonts w:hint="eastAsia" w:ascii="Times New Roman" w:hAnsi="Times New Roman"/>
                <w:color w:val="auto"/>
                <w:highlight w:val="none"/>
                <w:shd w:val="clear"/>
              </w:rPr>
              <w:t>（不少于25分钟）</w:t>
            </w:r>
            <w:r>
              <w:rPr>
                <w:rFonts w:hint="eastAsia" w:ascii="Times New Roman" w:hAnsi="Times New Roman"/>
                <w:color w:val="auto"/>
                <w:highlight w:val="none"/>
                <w:shd w:val="clear"/>
              </w:rPr>
              <w:t>内按照评标委员会要求进行澄清、说明或补正内容的，视同投标人放弃澄清、说明或补正内容的权利。</w:t>
            </w:r>
          </w:p>
        </w:tc>
      </w:tr>
      <w:permEnd w:id="69"/>
      <w:tr w14:paraId="2556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7E789FD">
            <w:pPr>
              <w:pStyle w:val="29"/>
              <w:rPr>
                <w:rFonts w:ascii="Times New Roman" w:hAnsi="Times New Roman"/>
                <w:color w:val="auto"/>
                <w:highlight w:val="none"/>
                <w:shd w:val="clear"/>
              </w:rPr>
            </w:pPr>
            <w:permStart w:id="70" w:edGrp="everyone" w:colFirst="2" w:colLast="2"/>
            <w:r>
              <w:rPr>
                <w:rFonts w:hint="eastAsia" w:ascii="Times New Roman" w:hAnsi="Times New Roman"/>
                <w:color w:val="auto"/>
                <w:highlight w:val="none"/>
                <w:shd w:val="clear"/>
              </w:rPr>
              <w:t>10.5</w:t>
            </w:r>
          </w:p>
        </w:tc>
        <w:tc>
          <w:tcPr>
            <w:tcW w:w="1087" w:type="pct"/>
            <w:vAlign w:val="center"/>
          </w:tcPr>
          <w:p w14:paraId="08A59AD0">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投标人对所提供材料应承担的责任</w:t>
            </w:r>
          </w:p>
        </w:tc>
        <w:tc>
          <w:tcPr>
            <w:tcW w:w="3293" w:type="pct"/>
            <w:vAlign w:val="center"/>
          </w:tcPr>
          <w:p w14:paraId="5430C041">
            <w:pPr>
              <w:pStyle w:val="30"/>
              <w:rPr>
                <w:rFonts w:ascii="Times New Roman" w:hAnsi="Times New Roman"/>
                <w:color w:val="auto"/>
                <w:highlight w:val="none"/>
                <w:shd w:val="clear"/>
              </w:rPr>
            </w:pPr>
            <w:r>
              <w:rPr>
                <w:rFonts w:hint="eastAsia" w:ascii="Times New Roman" w:hAnsi="Times New Roman"/>
                <w:color w:val="auto"/>
                <w:highlight w:val="none"/>
                <w:shd w:val="clear"/>
              </w:rPr>
              <w:t>（1）投标人提供虚假材料谋取中标的，招标投标行政监督部门将依法处理。</w:t>
            </w:r>
          </w:p>
          <w:p w14:paraId="6D4C5B45">
            <w:pPr>
              <w:pStyle w:val="30"/>
              <w:rPr>
                <w:rFonts w:ascii="Times New Roman" w:hAnsi="Times New Roman"/>
                <w:color w:val="auto"/>
                <w:highlight w:val="none"/>
                <w:shd w:val="clear"/>
              </w:rPr>
            </w:pPr>
            <w:r>
              <w:rPr>
                <w:rFonts w:hint="eastAsia" w:ascii="Times New Roman" w:hAnsi="Times New Roman"/>
                <w:color w:val="auto"/>
                <w:highlight w:val="none"/>
                <w:shd w:val="clear"/>
              </w:rPr>
              <w:t>（2）投标人对所提供的材料承担缔约过失责任和法律责任。若投诉人或举报人对投标人对所提供的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permEnd w:id="70"/>
      <w:tr w14:paraId="71C5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EE8F372">
            <w:pPr>
              <w:pStyle w:val="29"/>
              <w:rPr>
                <w:rFonts w:ascii="Times New Roman" w:hAnsi="Times New Roman"/>
                <w:color w:val="auto"/>
                <w:highlight w:val="none"/>
                <w:shd w:val="clear"/>
              </w:rPr>
            </w:pPr>
            <w:permStart w:id="71" w:edGrp="everyone" w:colFirst="2" w:colLast="2"/>
            <w:r>
              <w:rPr>
                <w:rFonts w:hint="eastAsia" w:ascii="Times New Roman" w:hAnsi="Times New Roman"/>
                <w:color w:val="auto"/>
                <w:highlight w:val="none"/>
                <w:shd w:val="clear"/>
              </w:rPr>
              <w:t>10.6</w:t>
            </w:r>
          </w:p>
        </w:tc>
        <w:tc>
          <w:tcPr>
            <w:tcW w:w="1087" w:type="pct"/>
            <w:vAlign w:val="center"/>
          </w:tcPr>
          <w:p w14:paraId="49D06B14">
            <w:pPr>
              <w:pStyle w:val="29"/>
              <w:rPr>
                <w:rFonts w:ascii="Times New Roman" w:hAnsi="Times New Roman"/>
                <w:color w:val="auto"/>
                <w:highlight w:val="none"/>
                <w:shd w:val="clear"/>
              </w:rPr>
            </w:pPr>
            <w:r>
              <w:rPr>
                <w:rFonts w:hint="eastAsia" w:ascii="Times New Roman" w:hAnsi="Times New Roman"/>
                <w:color w:val="auto"/>
                <w:highlight w:val="none"/>
                <w:shd w:val="clear"/>
              </w:rPr>
              <w:t>同义词语</w:t>
            </w:r>
          </w:p>
        </w:tc>
        <w:tc>
          <w:tcPr>
            <w:tcW w:w="3293" w:type="pct"/>
            <w:vAlign w:val="center"/>
          </w:tcPr>
          <w:p w14:paraId="5BA8B21C">
            <w:pPr>
              <w:pStyle w:val="30"/>
              <w:rPr>
                <w:rFonts w:ascii="Times New Roman" w:hAnsi="Times New Roman"/>
                <w:color w:val="auto"/>
                <w:highlight w:val="none"/>
                <w:shd w:val="clear"/>
              </w:rPr>
            </w:pPr>
            <w:r>
              <w:rPr>
                <w:rFonts w:hint="eastAsia" w:ascii="Times New Roman" w:hAnsi="Times New Roman"/>
                <w:color w:val="auto"/>
                <w:highlight w:val="none"/>
                <w:shd w:val="clear"/>
              </w:rPr>
              <w:t>构成招标文件组成部分的“通用合同条款”、“专用合同条款”、“技术标准和要求”和“工程量清单”等章节中“发包人”和“承包人”，等同于招标投标阶段的“招标人”和“投标人/中标人”。</w:t>
            </w:r>
          </w:p>
        </w:tc>
      </w:tr>
      <w:permEnd w:id="71"/>
      <w:tr w14:paraId="6044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A5CF1D2">
            <w:pPr>
              <w:pStyle w:val="29"/>
              <w:rPr>
                <w:rFonts w:ascii="Times New Roman" w:hAnsi="Times New Roman"/>
                <w:color w:val="auto"/>
                <w:highlight w:val="none"/>
                <w:shd w:val="clear"/>
              </w:rPr>
            </w:pPr>
            <w:permStart w:id="72" w:edGrp="everyone" w:colFirst="2" w:colLast="2"/>
            <w:r>
              <w:rPr>
                <w:rFonts w:hint="eastAsia" w:ascii="Times New Roman" w:hAnsi="Times New Roman"/>
                <w:color w:val="auto"/>
                <w:highlight w:val="none"/>
                <w:shd w:val="clear"/>
              </w:rPr>
              <w:t>10.7</w:t>
            </w:r>
          </w:p>
        </w:tc>
        <w:tc>
          <w:tcPr>
            <w:tcW w:w="1087" w:type="pct"/>
            <w:vAlign w:val="center"/>
          </w:tcPr>
          <w:p w14:paraId="6AB5DBFB">
            <w:pPr>
              <w:pStyle w:val="29"/>
              <w:rPr>
                <w:rFonts w:ascii="Times New Roman" w:hAnsi="Times New Roman"/>
                <w:color w:val="auto"/>
                <w:highlight w:val="none"/>
                <w:shd w:val="clear"/>
              </w:rPr>
            </w:pPr>
            <w:r>
              <w:rPr>
                <w:rFonts w:hint="eastAsia" w:ascii="Times New Roman" w:hAnsi="Times New Roman"/>
                <w:color w:val="auto"/>
                <w:highlight w:val="none"/>
                <w:shd w:val="clear"/>
              </w:rPr>
              <w:t>解释权</w:t>
            </w:r>
          </w:p>
        </w:tc>
        <w:tc>
          <w:tcPr>
            <w:tcW w:w="3293" w:type="pct"/>
            <w:vAlign w:val="center"/>
          </w:tcPr>
          <w:p w14:paraId="5DC50C17">
            <w:pPr>
              <w:pStyle w:val="30"/>
              <w:rPr>
                <w:rFonts w:ascii="Times New Roman" w:hAnsi="Times New Roman"/>
                <w:color w:val="auto"/>
                <w:highlight w:val="none"/>
                <w:shd w:val="clear"/>
              </w:rPr>
            </w:pPr>
            <w:r>
              <w:rPr>
                <w:rFonts w:hint="eastAsia" w:ascii="Times New Roman" w:hAnsi="Times New Roman"/>
                <w:color w:val="auto"/>
                <w:highlight w:val="none"/>
                <w:shd w:val="clear"/>
              </w:rPr>
              <w:t>（1）构成本招标文件的各个组成文件应互为解释，互为说明；</w:t>
            </w:r>
          </w:p>
          <w:p w14:paraId="6B6DBB60">
            <w:pPr>
              <w:pStyle w:val="30"/>
              <w:rPr>
                <w:rFonts w:ascii="Times New Roman" w:hAnsi="Times New Roman"/>
                <w:color w:val="auto"/>
                <w:highlight w:val="none"/>
                <w:shd w:val="clear"/>
              </w:rPr>
            </w:pPr>
            <w:r>
              <w:rPr>
                <w:rFonts w:hint="eastAsia" w:ascii="Times New Roman" w:hAnsi="Times New Roman"/>
                <w:color w:val="auto"/>
                <w:highlight w:val="none"/>
                <w:shd w:val="clear"/>
              </w:rPr>
              <w:t>（2）如有不明确或不一致，构成合同文件组成内容的，以合同文件约定内容为准，且以专用合同条款约定的合同文件优先顺序解释；</w:t>
            </w:r>
          </w:p>
          <w:p w14:paraId="6BBA36BA">
            <w:pPr>
              <w:pStyle w:val="30"/>
              <w:rPr>
                <w:rFonts w:ascii="Times New Roman" w:hAnsi="Times New Roman"/>
                <w:color w:val="auto"/>
                <w:highlight w:val="none"/>
                <w:shd w:val="clear"/>
              </w:rPr>
            </w:pPr>
            <w:r>
              <w:rPr>
                <w:rFonts w:hint="eastAsia" w:ascii="Times New Roman" w:hAnsi="Times New Roman"/>
                <w:color w:val="auto"/>
                <w:highlight w:val="none"/>
                <w:shd w:val="clear"/>
              </w:rPr>
              <w:t>（3）除招标文件中有特别规定外，仅适用于招标投标阶段的规定，按照招标公告、投标人须知、评标及定标办法、投标文件格式的先后顺序解释；</w:t>
            </w:r>
          </w:p>
          <w:p w14:paraId="61D26A4A">
            <w:pPr>
              <w:pStyle w:val="30"/>
              <w:rPr>
                <w:rFonts w:ascii="Times New Roman" w:hAnsi="Times New Roman"/>
                <w:color w:val="auto"/>
                <w:highlight w:val="none"/>
                <w:shd w:val="clear"/>
              </w:rPr>
            </w:pPr>
            <w:r>
              <w:rPr>
                <w:rFonts w:hint="eastAsia" w:ascii="Times New Roman" w:hAnsi="Times New Roman"/>
                <w:color w:val="auto"/>
                <w:highlight w:val="none"/>
                <w:shd w:val="clear"/>
              </w:rPr>
              <w:t>（4）按照本款前述规定仍不能形成结论的，由招标人负责解释。</w:t>
            </w:r>
          </w:p>
        </w:tc>
      </w:tr>
      <w:permEnd w:id="72"/>
      <w:tr w14:paraId="42F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02DCFA2">
            <w:pPr>
              <w:pStyle w:val="29"/>
              <w:rPr>
                <w:rFonts w:ascii="Times New Roman" w:hAnsi="Times New Roman"/>
                <w:color w:val="auto"/>
                <w:highlight w:val="none"/>
                <w:shd w:val="clear"/>
              </w:rPr>
            </w:pPr>
            <w:permStart w:id="73" w:edGrp="everyone" w:colFirst="2" w:colLast="2"/>
            <w:r>
              <w:rPr>
                <w:rFonts w:hint="eastAsia" w:ascii="Times New Roman" w:hAnsi="Times New Roman"/>
                <w:color w:val="auto"/>
                <w:highlight w:val="none"/>
                <w:shd w:val="clear"/>
              </w:rPr>
              <w:t>10.8</w:t>
            </w:r>
          </w:p>
        </w:tc>
        <w:tc>
          <w:tcPr>
            <w:tcW w:w="1087" w:type="pct"/>
            <w:vAlign w:val="center"/>
          </w:tcPr>
          <w:p w14:paraId="388355A4">
            <w:pPr>
              <w:pStyle w:val="29"/>
              <w:rPr>
                <w:rFonts w:ascii="Times New Roman" w:hAnsi="Times New Roman"/>
                <w:color w:val="auto"/>
                <w:highlight w:val="none"/>
                <w:shd w:val="clear"/>
              </w:rPr>
            </w:pPr>
            <w:r>
              <w:rPr>
                <w:rFonts w:hint="eastAsia" w:ascii="Times New Roman" w:hAnsi="Times New Roman"/>
                <w:color w:val="auto"/>
                <w:highlight w:val="none"/>
                <w:shd w:val="clear"/>
              </w:rPr>
              <w:t>创优目标</w:t>
            </w:r>
          </w:p>
        </w:tc>
        <w:tc>
          <w:tcPr>
            <w:tcW w:w="3293" w:type="pct"/>
            <w:vAlign w:val="center"/>
          </w:tcPr>
          <w:p w14:paraId="21793B9D">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permEnd w:id="73"/>
      <w:tr w14:paraId="2AA2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26C34B55">
            <w:pPr>
              <w:pStyle w:val="29"/>
              <w:rPr>
                <w:rFonts w:ascii="Times New Roman" w:hAnsi="Times New Roman"/>
                <w:color w:val="auto"/>
                <w:highlight w:val="none"/>
                <w:shd w:val="clear"/>
              </w:rPr>
            </w:pPr>
            <w:permStart w:id="74" w:edGrp="everyone" w:colFirst="2" w:colLast="2"/>
            <w:r>
              <w:rPr>
                <w:rFonts w:hint="eastAsia" w:ascii="Times New Roman" w:hAnsi="Times New Roman"/>
                <w:color w:val="auto"/>
                <w:highlight w:val="none"/>
                <w:shd w:val="clear"/>
              </w:rPr>
              <w:t>10.9</w:t>
            </w:r>
          </w:p>
        </w:tc>
        <w:tc>
          <w:tcPr>
            <w:tcW w:w="1087" w:type="pct"/>
            <w:vAlign w:val="center"/>
          </w:tcPr>
          <w:p w14:paraId="2D2DB8CC">
            <w:pPr>
              <w:pStyle w:val="29"/>
              <w:rPr>
                <w:rFonts w:ascii="Times New Roman" w:hAnsi="Times New Roman"/>
                <w:color w:val="auto"/>
                <w:highlight w:val="none"/>
                <w:shd w:val="clear"/>
              </w:rPr>
            </w:pPr>
            <w:r>
              <w:rPr>
                <w:rFonts w:hint="eastAsia" w:ascii="Times New Roman" w:hAnsi="Times New Roman"/>
                <w:color w:val="auto"/>
                <w:highlight w:val="none"/>
                <w:shd w:val="clear"/>
              </w:rPr>
              <w:t>异议、投诉、举报提出方式</w:t>
            </w:r>
          </w:p>
        </w:tc>
        <w:tc>
          <w:tcPr>
            <w:tcW w:w="3293" w:type="pct"/>
            <w:vAlign w:val="center"/>
          </w:tcPr>
          <w:p w14:paraId="4E17376F">
            <w:pPr>
              <w:pStyle w:val="30"/>
              <w:rPr>
                <w:rFonts w:ascii="Times New Roman" w:hAnsi="Times New Roman"/>
                <w:color w:val="auto"/>
                <w:highlight w:val="none"/>
                <w:shd w:val="clear"/>
              </w:rPr>
            </w:pPr>
            <w:r>
              <w:rPr>
                <w:rFonts w:hint="eastAsia" w:ascii="Times New Roman" w:hAnsi="Times New Roman"/>
                <w:color w:val="auto"/>
                <w:highlight w:val="none"/>
                <w:shd w:val="clear"/>
              </w:rPr>
              <w:t>（1）本项目的潜在投标人或其它利害关系人对招标文件有异议的，应当在投标截止时间10日前提出；投标人对开标有异议的，应当在开标时通过电子交易系统提出；投标人或者其他利害关系人，对评标结果有异议的，应当在评标结果公示期间提出。投标人异议时，应当按照有关规定以书面形式加盖电子印章后通过电子交易系统在线提交。</w:t>
            </w:r>
          </w:p>
          <w:p w14:paraId="6BB6888B">
            <w:pPr>
              <w:pStyle w:val="30"/>
              <w:rPr>
                <w:rFonts w:ascii="Times New Roman" w:hAnsi="Times New Roman"/>
                <w:color w:val="auto"/>
                <w:highlight w:val="none"/>
                <w:shd w:val="clear"/>
              </w:rPr>
            </w:pPr>
            <w:r>
              <w:rPr>
                <w:rFonts w:hint="eastAsia" w:ascii="Times New Roman" w:hAnsi="Times New Roman"/>
                <w:color w:val="auto"/>
                <w:highlight w:val="none"/>
                <w:shd w:val="clear"/>
              </w:rPr>
              <w:t>（2）本项目的投标人或者其他利害关系人认为招标投标活动不符合法律、行政法规规定，未按期答复异议或对异议答复不满意的，可以自知道或者应当知道之日起10日内以书面形式加盖电子印章后通过电子交易系统向招标投标行政监督部门投诉。</w:t>
            </w:r>
          </w:p>
          <w:p w14:paraId="54A139ED">
            <w:pPr>
              <w:pStyle w:val="30"/>
              <w:rPr>
                <w:rFonts w:ascii="Times New Roman" w:hAnsi="Times New Roman"/>
                <w:color w:val="auto"/>
                <w:highlight w:val="none"/>
                <w:shd w:val="clear"/>
              </w:rPr>
            </w:pPr>
            <w:r>
              <w:rPr>
                <w:rFonts w:hint="eastAsia" w:ascii="Times New Roman" w:hAnsi="Times New Roman"/>
                <w:color w:val="auto"/>
                <w:highlight w:val="none"/>
                <w:shd w:val="clear"/>
              </w:rPr>
              <w:t>对于属于虚假、恶意、捏造事实、多头反映不实信息等情形投诉的，招标投标行政监督部门将驳回投诉，并按照市场竞争主体不良行为相应情形标准扣分，存在违法行为的并予以处罚。</w:t>
            </w:r>
          </w:p>
          <w:p w14:paraId="483815A2">
            <w:pPr>
              <w:pStyle w:val="30"/>
              <w:rPr>
                <w:rFonts w:ascii="Times New Roman" w:hAnsi="Times New Roman"/>
                <w:color w:val="auto"/>
                <w:highlight w:val="none"/>
                <w:shd w:val="clear"/>
              </w:rPr>
            </w:pPr>
            <w:r>
              <w:rPr>
                <w:rFonts w:hint="eastAsia" w:ascii="Times New Roman" w:hAnsi="Times New Roman"/>
                <w:color w:val="auto"/>
                <w:highlight w:val="none"/>
                <w:shd w:val="clear"/>
              </w:rPr>
              <w:t>（3）举报。本项目以举报形式反映违法违规行为的，应当在中标候选人公示结束前一次性提出，公示结束后不予受理。</w:t>
            </w:r>
          </w:p>
        </w:tc>
      </w:tr>
      <w:permEnd w:id="74"/>
      <w:tr w14:paraId="075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42CD7F60">
            <w:pPr>
              <w:pStyle w:val="29"/>
              <w:rPr>
                <w:rFonts w:ascii="Times New Roman" w:hAnsi="Times New Roman"/>
                <w:color w:val="auto"/>
                <w:highlight w:val="none"/>
                <w:shd w:val="clear"/>
              </w:rPr>
            </w:pPr>
            <w:permStart w:id="75" w:edGrp="everyone" w:colFirst="2" w:colLast="2"/>
            <w:r>
              <w:rPr>
                <w:rFonts w:hint="eastAsia" w:ascii="Times New Roman" w:hAnsi="Times New Roman"/>
                <w:color w:val="auto"/>
                <w:highlight w:val="none"/>
                <w:shd w:val="clear"/>
              </w:rPr>
              <w:t>10.10</w:t>
            </w:r>
          </w:p>
        </w:tc>
        <w:tc>
          <w:tcPr>
            <w:tcW w:w="1087" w:type="pct"/>
            <w:vAlign w:val="center"/>
          </w:tcPr>
          <w:p w14:paraId="609C6196">
            <w:pPr>
              <w:pStyle w:val="29"/>
              <w:rPr>
                <w:rFonts w:ascii="Times New Roman" w:hAnsi="Times New Roman"/>
                <w:color w:val="auto"/>
                <w:highlight w:val="none"/>
                <w:shd w:val="clear"/>
              </w:rPr>
            </w:pPr>
            <w:r>
              <w:rPr>
                <w:rFonts w:hint="eastAsia" w:ascii="Times New Roman" w:hAnsi="Times New Roman"/>
                <w:color w:val="auto"/>
                <w:highlight w:val="none"/>
                <w:shd w:val="clear"/>
              </w:rPr>
              <w:t>投标所需资料</w:t>
            </w:r>
          </w:p>
        </w:tc>
        <w:tc>
          <w:tcPr>
            <w:tcW w:w="3293" w:type="pct"/>
            <w:vAlign w:val="center"/>
          </w:tcPr>
          <w:p w14:paraId="6A589DEB">
            <w:pPr>
              <w:pStyle w:val="30"/>
              <w:rPr>
                <w:rFonts w:ascii="Times New Roman" w:hAnsi="Times New Roman"/>
                <w:color w:val="auto"/>
                <w:highlight w:val="none"/>
                <w:shd w:val="clear"/>
              </w:rPr>
            </w:pPr>
            <w:r>
              <w:rPr>
                <w:rFonts w:hint="eastAsia" w:ascii="Times New Roman" w:hAnsi="Times New Roman"/>
                <w:color w:val="auto"/>
                <w:highlight w:val="none"/>
                <w:shd w:val="clear"/>
              </w:rPr>
              <w:t>（1）投标文件使用最新版投标文件制作工具制作生成。</w:t>
            </w:r>
          </w:p>
          <w:p w14:paraId="64AF25D2">
            <w:pPr>
              <w:pStyle w:val="30"/>
              <w:rPr>
                <w:rFonts w:ascii="Times New Roman" w:hAnsi="Times New Roman"/>
                <w:color w:val="auto"/>
                <w:highlight w:val="none"/>
                <w:shd w:val="clear"/>
              </w:rPr>
            </w:pPr>
            <w:r>
              <w:rPr>
                <w:rFonts w:hint="eastAsia" w:ascii="Times New Roman" w:hAnsi="Times New Roman"/>
                <w:color w:val="auto"/>
                <w:highlight w:val="none"/>
                <w:shd w:val="clear"/>
              </w:rPr>
              <w:t>（2）投标文件制作的具体方法详见“蚌埠市公共资源交易中心网站-服务指南-下载中心”栏目下的资料，仔细阅读招标文件要求和相关操作手册。如有技术问题请联系</w:t>
            </w:r>
            <w:r>
              <w:rPr>
                <w:rFonts w:ascii="Times New Roman" w:hAnsi="Times New Roman"/>
                <w:color w:val="auto"/>
                <w:highlight w:val="none"/>
                <w:shd w:val="clear"/>
              </w:rPr>
              <w:t>0512-58188516</w:t>
            </w:r>
            <w:r>
              <w:rPr>
                <w:rFonts w:hint="eastAsia" w:ascii="Times New Roman" w:hAnsi="Times New Roman"/>
                <w:color w:val="auto"/>
                <w:highlight w:val="none"/>
                <w:shd w:val="clear"/>
              </w:rPr>
              <w:t>。</w:t>
            </w:r>
          </w:p>
          <w:p w14:paraId="2E4AE73F">
            <w:pPr>
              <w:pStyle w:val="30"/>
              <w:rPr>
                <w:rFonts w:ascii="Times New Roman" w:hAnsi="Times New Roman"/>
                <w:color w:val="auto"/>
                <w:highlight w:val="none"/>
                <w:shd w:val="clear"/>
              </w:rPr>
            </w:pPr>
            <w:r>
              <w:rPr>
                <w:rFonts w:hint="eastAsia" w:ascii="Times New Roman" w:hAnsi="Times New Roman"/>
                <w:color w:val="auto"/>
                <w:highlight w:val="none"/>
                <w:shd w:val="clear"/>
              </w:rPr>
              <w:t>（3）投标人应合理安排投标文件递交时间，特别是网络速度慢的地区防止在系统关闭前网络拥堵无法操作。如果因计算机及网络故障造成无法完成投标文件递交情形，责任自负。</w:t>
            </w:r>
          </w:p>
          <w:p w14:paraId="0A961C54">
            <w:pPr>
              <w:pStyle w:val="30"/>
              <w:rPr>
                <w:rFonts w:ascii="Times New Roman" w:hAnsi="Times New Roman"/>
                <w:color w:val="auto"/>
                <w:highlight w:val="none"/>
                <w:shd w:val="clear"/>
              </w:rPr>
            </w:pPr>
            <w:r>
              <w:rPr>
                <w:rFonts w:hint="eastAsia" w:ascii="Times New Roman" w:hAnsi="Times New Roman"/>
                <w:color w:val="auto"/>
                <w:highlight w:val="none"/>
                <w:shd w:val="clear"/>
              </w:rPr>
              <w:t>（4）具体资料以第三章“评标及定标办法”和第八章“投标文件格式”要求为准。</w:t>
            </w:r>
          </w:p>
          <w:p w14:paraId="3BC97E16">
            <w:pPr>
              <w:pStyle w:val="30"/>
              <w:rPr>
                <w:rFonts w:ascii="Times New Roman" w:hAnsi="Times New Roman"/>
                <w:color w:val="auto"/>
                <w:highlight w:val="none"/>
                <w:shd w:val="clear"/>
              </w:rPr>
            </w:pPr>
            <w:r>
              <w:rPr>
                <w:rFonts w:hint="eastAsia" w:ascii="Times New Roman" w:hAnsi="Times New Roman"/>
                <w:color w:val="auto"/>
                <w:highlight w:val="none"/>
                <w:shd w:val="clear"/>
              </w:rPr>
              <w:t>（5）投标人应对制作的投标文件质量负责，确保投标文件内容清晰、完整、可用，投标文件内容系统无法识别的，产生的不利后果由投标人自行承担。</w:t>
            </w:r>
          </w:p>
          <w:p w14:paraId="3BF6D4FB">
            <w:pPr>
              <w:pStyle w:val="30"/>
              <w:rPr>
                <w:rFonts w:ascii="Times New Roman" w:hAnsi="Times New Roman"/>
                <w:color w:val="auto"/>
                <w:highlight w:val="none"/>
                <w:shd w:val="clear"/>
              </w:rPr>
            </w:pPr>
            <w:r>
              <w:rPr>
                <w:rFonts w:hint="eastAsia" w:ascii="Times New Roman" w:hAnsi="Times New Roman"/>
                <w:color w:val="auto"/>
                <w:highlight w:val="none"/>
                <w:shd w:val="clear"/>
              </w:rPr>
              <w:t>（6）联合体投标的，联合体各方相关材料由牵头人统一上传。</w:t>
            </w:r>
          </w:p>
        </w:tc>
      </w:tr>
      <w:permEnd w:id="75"/>
      <w:tr w14:paraId="151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71D6CF75">
            <w:pPr>
              <w:pStyle w:val="29"/>
              <w:rPr>
                <w:rFonts w:ascii="Times New Roman" w:hAnsi="Times New Roman"/>
                <w:color w:val="auto"/>
                <w:highlight w:val="none"/>
                <w:shd w:val="clear"/>
              </w:rPr>
            </w:pPr>
            <w:permStart w:id="76" w:edGrp="everyone" w:colFirst="2" w:colLast="2"/>
            <w:r>
              <w:rPr>
                <w:rFonts w:hint="eastAsia" w:ascii="Times New Roman" w:hAnsi="Times New Roman"/>
                <w:color w:val="auto"/>
                <w:highlight w:val="none"/>
                <w:shd w:val="clear"/>
              </w:rPr>
              <w:t>10.11</w:t>
            </w:r>
          </w:p>
        </w:tc>
        <w:tc>
          <w:tcPr>
            <w:tcW w:w="1087" w:type="pct"/>
            <w:vAlign w:val="center"/>
          </w:tcPr>
          <w:p w14:paraId="58E1B0EA">
            <w:pPr>
              <w:pStyle w:val="29"/>
              <w:rPr>
                <w:rFonts w:ascii="Times New Roman" w:hAnsi="Times New Roman"/>
                <w:color w:val="auto"/>
                <w:highlight w:val="none"/>
                <w:shd w:val="clear"/>
              </w:rPr>
            </w:pPr>
            <w:r>
              <w:rPr>
                <w:rFonts w:hint="eastAsia" w:ascii="Times New Roman" w:hAnsi="Times New Roman"/>
                <w:color w:val="auto"/>
                <w:highlight w:val="none"/>
                <w:shd w:val="clear"/>
              </w:rPr>
              <w:t>报价文件编制</w:t>
            </w:r>
          </w:p>
          <w:p w14:paraId="654CF31F">
            <w:pPr>
              <w:pStyle w:val="29"/>
              <w:rPr>
                <w:rFonts w:ascii="Times New Roman" w:hAnsi="Times New Roman"/>
                <w:color w:val="auto"/>
                <w:highlight w:val="none"/>
                <w:shd w:val="clear"/>
              </w:rPr>
            </w:pPr>
            <w:r>
              <w:rPr>
                <w:rFonts w:hint="eastAsia" w:ascii="Times New Roman" w:hAnsi="Times New Roman"/>
                <w:color w:val="auto"/>
                <w:highlight w:val="none"/>
                <w:shd w:val="clear"/>
              </w:rPr>
              <w:t>要求</w:t>
            </w:r>
          </w:p>
        </w:tc>
        <w:tc>
          <w:tcPr>
            <w:tcW w:w="3293" w:type="pct"/>
            <w:vAlign w:val="center"/>
          </w:tcPr>
          <w:p w14:paraId="5417DE9A">
            <w:pPr>
              <w:pStyle w:val="30"/>
              <w:rPr>
                <w:rFonts w:ascii="Times New Roman" w:hAnsi="Times New Roman"/>
                <w:color w:val="auto"/>
                <w:highlight w:val="none"/>
                <w:shd w:val="clear"/>
              </w:rPr>
            </w:pPr>
            <w:r>
              <w:rPr>
                <w:rFonts w:hint="eastAsia" w:ascii="Times New Roman" w:hAnsi="Times New Roman"/>
                <w:color w:val="auto"/>
                <w:highlight w:val="none"/>
                <w:shd w:val="clear"/>
              </w:rPr>
              <w:t>（1）发布的工程量清单为</w:t>
            </w:r>
            <w:r>
              <w:rPr>
                <w:rFonts w:hint="eastAsia" w:ascii="Times New Roman" w:hAnsi="Times New Roman"/>
                <w:color w:val="auto"/>
                <w:highlight w:val="none"/>
                <w:shd w:val="clear"/>
              </w:rPr>
              <w:t>18bzb</w:t>
            </w:r>
            <w:r>
              <w:rPr>
                <w:rFonts w:hint="eastAsia" w:ascii="Times New Roman" w:hAnsi="Times New Roman"/>
                <w:color w:val="auto"/>
                <w:highlight w:val="none"/>
                <w:shd w:val="clear"/>
              </w:rPr>
              <w:t>格式，投标人应及时升级造价软件，生成的已标价工程量清单文件后缀名为软件格式为</w:t>
            </w:r>
            <w:r>
              <w:rPr>
                <w:rFonts w:hint="eastAsia" w:ascii="Times New Roman" w:hAnsi="Times New Roman"/>
                <w:color w:val="auto"/>
                <w:highlight w:val="none"/>
                <w:shd w:val="clear"/>
              </w:rPr>
              <w:t>18b</w:t>
            </w:r>
            <w:r>
              <w:rPr>
                <w:rFonts w:hint="eastAsia"/>
                <w:color w:val="auto"/>
                <w:highlight w:val="none"/>
                <w:shd w:val="clear"/>
              </w:rPr>
              <w:t>tb</w:t>
            </w:r>
            <w:r>
              <w:rPr>
                <w:rFonts w:hint="eastAsia" w:ascii="Times New Roman" w:hAnsi="Times New Roman"/>
                <w:color w:val="auto"/>
                <w:highlight w:val="none"/>
                <w:shd w:val="clear"/>
              </w:rPr>
              <w:t>。</w:t>
            </w:r>
          </w:p>
          <w:p w14:paraId="32C39AD4">
            <w:pPr>
              <w:pStyle w:val="30"/>
              <w:rPr>
                <w:rFonts w:ascii="Times New Roman" w:hAnsi="Times New Roman"/>
                <w:color w:val="auto"/>
                <w:highlight w:val="none"/>
                <w:shd w:val="clear"/>
              </w:rPr>
            </w:pPr>
            <w:r>
              <w:rPr>
                <w:rFonts w:hint="eastAsia" w:ascii="Times New Roman" w:hAnsi="Times New Roman"/>
                <w:color w:val="auto"/>
                <w:highlight w:val="none"/>
                <w:shd w:val="clear"/>
              </w:rPr>
              <w:t>（2）投标人在投标报价过程中有责任和义务对招标人提供的工程量清单进行分析和核对，发现问题应按招标文件要求以书面形式告知招标人。</w:t>
            </w:r>
          </w:p>
        </w:tc>
      </w:tr>
      <w:permEnd w:id="76"/>
      <w:tr w14:paraId="2755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20" w:type="pct"/>
            <w:vAlign w:val="center"/>
          </w:tcPr>
          <w:p w14:paraId="4350DC6A">
            <w:pPr>
              <w:pStyle w:val="29"/>
              <w:rPr>
                <w:rFonts w:ascii="Times New Roman" w:hAnsi="Times New Roman"/>
                <w:color w:val="auto"/>
                <w:highlight w:val="none"/>
                <w:shd w:val="clear"/>
              </w:rPr>
            </w:pPr>
            <w:permStart w:id="77" w:edGrp="everyone" w:colFirst="2" w:colLast="2"/>
            <w:r>
              <w:rPr>
                <w:rFonts w:hint="eastAsia" w:ascii="Times New Roman" w:hAnsi="Times New Roman"/>
                <w:color w:val="auto"/>
                <w:highlight w:val="none"/>
                <w:shd w:val="clear"/>
              </w:rPr>
              <w:t>10.12</w:t>
            </w:r>
          </w:p>
        </w:tc>
        <w:tc>
          <w:tcPr>
            <w:tcW w:w="1087" w:type="pct"/>
            <w:vAlign w:val="center"/>
          </w:tcPr>
          <w:p w14:paraId="10249997">
            <w:pPr>
              <w:pStyle w:val="29"/>
              <w:rPr>
                <w:rFonts w:ascii="Times New Roman" w:hAnsi="Times New Roman"/>
                <w:color w:val="auto"/>
                <w:highlight w:val="none"/>
                <w:shd w:val="clear"/>
              </w:rPr>
            </w:pPr>
            <w:r>
              <w:rPr>
                <w:rFonts w:hint="eastAsia" w:ascii="Times New Roman" w:hAnsi="Times New Roman"/>
                <w:color w:val="auto"/>
                <w:highlight w:val="none"/>
                <w:shd w:val="clear"/>
              </w:rPr>
              <w:t>政府采购政策</w:t>
            </w:r>
          </w:p>
        </w:tc>
        <w:tc>
          <w:tcPr>
            <w:tcW w:w="3293" w:type="pct"/>
            <w:vAlign w:val="center"/>
          </w:tcPr>
          <w:p w14:paraId="3374EA83">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sym w:font="Wingdings 2" w:char="00A3"/>
            </w:r>
            <w:r>
              <w:rPr>
                <w:rFonts w:hint="eastAsia" w:ascii="Times New Roman" w:hAnsi="Times New Roman"/>
                <w:color w:val="auto"/>
                <w:highlight w:val="none"/>
                <w:shd w:val="clear"/>
              </w:rPr>
              <w:t>不执行</w:t>
            </w:r>
          </w:p>
          <w:p w14:paraId="65250B6F">
            <w:pPr>
              <w:pStyle w:val="30"/>
              <w:rPr>
                <w:rFonts w:ascii="Times New Roman" w:hAnsi="Times New Roman"/>
                <w:color w:val="auto"/>
                <w:highlight w:val="none"/>
                <w:shd w:val="clear"/>
              </w:rPr>
            </w:pPr>
            <w:r>
              <w:rPr>
                <w:rFonts w:ascii="Segoe UI Symbol" w:hAnsi="Segoe UI Symbol" w:cs="Segoe UI Symbol"/>
                <w:color w:val="auto"/>
                <w:highlight w:val="none"/>
                <w:shd w:val="clear"/>
              </w:rPr>
              <w:sym w:font="Wingdings" w:char="00FE"/>
            </w:r>
            <w:r>
              <w:rPr>
                <w:rFonts w:hint="eastAsia" w:ascii="Times New Roman" w:hAnsi="Times New Roman"/>
                <w:color w:val="auto"/>
                <w:highlight w:val="none"/>
                <w:shd w:val="clear"/>
              </w:rPr>
              <w:t>执行，</w:t>
            </w:r>
            <w:r>
              <w:rPr>
                <w:rFonts w:hint="eastAsia" w:ascii="Times New Roman" w:hAnsi="Times New Roman"/>
                <w:color w:val="auto"/>
                <w:highlight w:val="none"/>
                <w:shd w:val="clear"/>
              </w:rPr>
              <w:t>具体要求如下：</w:t>
            </w:r>
          </w:p>
          <w:p w14:paraId="5934A067">
            <w:pPr>
              <w:pStyle w:val="30"/>
              <w:rPr>
                <w:rFonts w:ascii="Times New Roman" w:hAnsi="Times New Roman"/>
                <w:color w:val="auto"/>
                <w:highlight w:val="none"/>
                <w:shd w:val="clear"/>
              </w:rPr>
            </w:pPr>
            <w:r>
              <w:rPr>
                <w:rFonts w:hint="eastAsia" w:ascii="Times New Roman" w:hAnsi="Times New Roman"/>
                <w:color w:val="auto"/>
                <w:highlight w:val="none"/>
                <w:shd w:val="clear"/>
              </w:rPr>
              <w:t>（1）执行《政府采购促进中小企业发展管理办法》政策</w:t>
            </w:r>
          </w:p>
          <w:p w14:paraId="52FA6BA7">
            <w:pPr>
              <w:pStyle w:val="30"/>
              <w:rPr>
                <w:rFonts w:ascii="Times New Roman" w:hAnsi="Times New Roman"/>
                <w:color w:val="auto"/>
                <w:highlight w:val="none"/>
                <w:shd w:val="clear"/>
              </w:rPr>
            </w:pPr>
            <w:r>
              <w:rPr>
                <w:rFonts w:hint="eastAsia" w:ascii="Times New Roman" w:hAnsi="Times New Roman"/>
                <w:color w:val="auto"/>
                <w:highlight w:val="none"/>
                <w:shd w:val="clear"/>
              </w:rPr>
              <w:t>标的名称：</w:t>
            </w:r>
            <w:r>
              <w:rPr>
                <w:rFonts w:hint="eastAsia" w:ascii="Times New Roman" w:hAnsi="Times New Roman"/>
                <w:color w:val="auto"/>
                <w:highlight w:val="none"/>
                <w:shd w:val="clear"/>
              </w:rPr>
              <w:t>【</w:t>
            </w:r>
            <w:r>
              <w:rPr>
                <w:rFonts w:hint="eastAsia" w:ascii="Times New Roman" w:hAnsi="Times New Roman"/>
                <w:color w:val="auto"/>
                <w:highlight w:val="none"/>
                <w:shd w:val="clear"/>
                <w:lang w:eastAsia="zh-CN"/>
              </w:rPr>
              <w:t>固镇县仲兴镇2025年和美乡村省级中心村建设项目</w:t>
            </w:r>
            <w:r>
              <w:rPr>
                <w:rFonts w:hint="eastAsia" w:ascii="Times New Roman" w:hAnsi="Times New Roman"/>
                <w:color w:val="auto"/>
                <w:highlight w:val="none"/>
                <w:shd w:val="clear"/>
              </w:rPr>
              <w:t>】</w:t>
            </w:r>
          </w:p>
          <w:p w14:paraId="6C00D682">
            <w:pPr>
              <w:pStyle w:val="30"/>
              <w:rPr>
                <w:rFonts w:ascii="Times New Roman" w:hAnsi="Times New Roman"/>
                <w:color w:val="auto"/>
                <w:highlight w:val="none"/>
                <w:shd w:val="clear"/>
              </w:rPr>
            </w:pPr>
            <w:r>
              <w:rPr>
                <w:rFonts w:hint="eastAsia" w:ascii="Times New Roman" w:hAnsi="Times New Roman"/>
                <w:color w:val="auto"/>
                <w:highlight w:val="none"/>
                <w:shd w:val="clear"/>
              </w:rPr>
              <w:t>所属行业：</w:t>
            </w:r>
            <w:r>
              <w:rPr>
                <w:rFonts w:hint="eastAsia" w:ascii="Times New Roman" w:hAnsi="Times New Roman"/>
                <w:color w:val="auto"/>
                <w:highlight w:val="none"/>
                <w:shd w:val="clear"/>
              </w:rPr>
              <w:t>【建筑业】</w:t>
            </w:r>
          </w:p>
          <w:p w14:paraId="1E453873">
            <w:pPr>
              <w:pStyle w:val="30"/>
              <w:rPr>
                <w:rFonts w:hint="eastAsia"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（2）其他要求：</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见招标公告</w:t>
            </w:r>
            <w:r>
              <w:rPr>
                <w:rFonts w:hint="eastAsia" w:ascii="Times New Roman" w:hAnsi="Times New Roman"/>
                <w:color w:val="auto"/>
                <w:highlight w:val="none"/>
                <w:shd w:val="clear"/>
              </w:rPr>
              <w:t>】</w:t>
            </w:r>
          </w:p>
        </w:tc>
      </w:tr>
      <w:permEnd w:id="77"/>
      <w:tr w14:paraId="5D67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1197E63A">
            <w:pPr>
              <w:pStyle w:val="29"/>
              <w:rPr>
                <w:rFonts w:ascii="Times New Roman" w:hAnsi="Times New Roman"/>
                <w:color w:val="auto"/>
                <w:highlight w:val="none"/>
                <w:shd w:val="clear"/>
              </w:rPr>
            </w:pPr>
            <w:permStart w:id="78" w:edGrp="everyone" w:colFirst="2" w:colLast="2"/>
            <w:r>
              <w:rPr>
                <w:rFonts w:hint="eastAsia" w:ascii="Times New Roman" w:hAnsi="Times New Roman"/>
                <w:color w:val="auto"/>
                <w:highlight w:val="none"/>
                <w:shd w:val="clear"/>
              </w:rPr>
              <w:t>10.13</w:t>
            </w:r>
          </w:p>
        </w:tc>
        <w:tc>
          <w:tcPr>
            <w:tcW w:w="1087" w:type="pct"/>
            <w:vAlign w:val="center"/>
          </w:tcPr>
          <w:p w14:paraId="0B68067B">
            <w:pPr>
              <w:pStyle w:val="29"/>
              <w:rPr>
                <w:rFonts w:ascii="Times New Roman" w:hAnsi="Times New Roman"/>
                <w:color w:val="auto"/>
                <w:highlight w:val="none"/>
                <w:shd w:val="clear"/>
              </w:rPr>
            </w:pPr>
            <w:r>
              <w:rPr>
                <w:rFonts w:hint="eastAsia" w:ascii="Times New Roman" w:hAnsi="Times New Roman"/>
                <w:color w:val="auto"/>
                <w:highlight w:val="none"/>
                <w:shd w:val="clear"/>
              </w:rPr>
              <w:t>招标代理服务费</w:t>
            </w:r>
          </w:p>
        </w:tc>
        <w:tc>
          <w:tcPr>
            <w:tcW w:w="3293" w:type="pct"/>
            <w:vAlign w:val="center"/>
          </w:tcPr>
          <w:p w14:paraId="30CD5422">
            <w:pPr>
              <w:pStyle w:val="30"/>
              <w:rPr>
                <w:rFonts w:ascii="Times New Roman" w:hAnsi="Times New Roman"/>
                <w:color w:val="auto"/>
                <w:highlight w:val="none"/>
                <w:shd w:val="clear"/>
              </w:rPr>
            </w:pPr>
            <w:r>
              <w:rPr>
                <w:rFonts w:hint="eastAsia" w:ascii="Times New Roman" w:hAnsi="Times New Roman"/>
                <w:color w:val="auto"/>
                <w:highlight w:val="none"/>
                <w:shd w:val="clear"/>
              </w:rPr>
              <w:t>（1）招标代理服务费：招标代理服务费以中标总价为计算基数，参照《招标代理服务收费管理暂行办法》（计价格[2002]1980号）标准收取，由中标人在领取中标通知书前向招标代理机构缴纳，包含在报价中，不单独列项。</w:t>
            </w:r>
          </w:p>
          <w:p w14:paraId="2B61AE46">
            <w:pPr>
              <w:adjustRightInd w:val="0"/>
              <w:spacing w:line="360" w:lineRule="auto"/>
              <w:jc w:val="left"/>
              <w:rPr>
                <w:rFonts w:ascii="Times New Roman" w:hAnsi="Times New Roman"/>
                <w:color w:val="auto"/>
                <w:highlight w:val="none"/>
                <w:shd w:val="clear"/>
              </w:rPr>
            </w:pPr>
            <w:r>
              <w:rPr>
                <w:rFonts w:hint="eastAsia" w:ascii="Times New Roman" w:hAnsi="Times New Roman" w:cs="仿宋"/>
                <w:color w:val="auto"/>
                <w:szCs w:val="24"/>
                <w:highlight w:val="none"/>
                <w:shd w:val="clear"/>
              </w:rPr>
              <w:t>（2）支付主体：</w:t>
            </w:r>
            <w:r>
              <w:rPr>
                <w:rFonts w:hint="eastAsia" w:ascii="Times New Roman" w:hAnsi="Times New Roman" w:cs="仿宋"/>
                <w:color w:val="auto"/>
                <w:szCs w:val="24"/>
                <w:highlight w:val="none"/>
                <w:shd w:val="clear"/>
              </w:rPr>
              <w:t>中标人</w:t>
            </w:r>
          </w:p>
        </w:tc>
      </w:tr>
      <w:permEnd w:id="78"/>
      <w:tr w14:paraId="6643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641FD5BA">
            <w:pPr>
              <w:pStyle w:val="29"/>
              <w:rPr>
                <w:rFonts w:ascii="Times New Roman" w:hAnsi="Times New Roman"/>
                <w:color w:val="auto"/>
                <w:highlight w:val="none"/>
                <w:shd w:val="clear"/>
              </w:rPr>
            </w:pPr>
            <w:permStart w:id="79" w:edGrp="everyone" w:colFirst="2" w:colLast="2"/>
            <w:r>
              <w:rPr>
                <w:rFonts w:hint="eastAsia" w:ascii="Times New Roman" w:hAnsi="Times New Roman"/>
                <w:color w:val="auto"/>
                <w:highlight w:val="none"/>
                <w:shd w:val="clear"/>
              </w:rPr>
              <w:t>10.14</w:t>
            </w:r>
          </w:p>
        </w:tc>
        <w:tc>
          <w:tcPr>
            <w:tcW w:w="1087" w:type="pct"/>
            <w:vAlign w:val="center"/>
          </w:tcPr>
          <w:p w14:paraId="34572101">
            <w:pPr>
              <w:pStyle w:val="29"/>
              <w:rPr>
                <w:rFonts w:ascii="Times New Roman" w:hAnsi="Times New Roman"/>
                <w:color w:val="auto"/>
                <w:highlight w:val="none"/>
                <w:shd w:val="clear"/>
              </w:rPr>
            </w:pPr>
            <w:r>
              <w:rPr>
                <w:rFonts w:hint="eastAsia" w:ascii="Times New Roman" w:hAnsi="Times New Roman"/>
                <w:color w:val="auto"/>
                <w:highlight w:val="none"/>
                <w:shd w:val="clear"/>
              </w:rPr>
              <w:t>电子证照</w:t>
            </w:r>
          </w:p>
        </w:tc>
        <w:tc>
          <w:tcPr>
            <w:tcW w:w="3293" w:type="pct"/>
            <w:vAlign w:val="center"/>
          </w:tcPr>
          <w:p w14:paraId="0D99F470">
            <w:pPr>
              <w:pStyle w:val="30"/>
              <w:rPr>
                <w:rFonts w:ascii="Times New Roman" w:hAnsi="Times New Roman"/>
                <w:color w:val="auto"/>
                <w:highlight w:val="none"/>
                <w:shd w:val="clear"/>
              </w:rPr>
            </w:pPr>
            <w:r>
              <w:rPr>
                <w:rFonts w:hint="eastAsia" w:ascii="Times New Roman" w:hAnsi="Times New Roman"/>
                <w:color w:val="auto"/>
                <w:highlight w:val="none"/>
                <w:shd w:val="clear"/>
              </w:rPr>
              <w:t>投标人营业执照、资质证书、安全生产许可证、项目经理注册建造师证书、安全考核合格证B证，可同时选择以下方式提交：①使用国家企业信用信息公示系统企业基本信息、全国建筑市场监管公共服务平台接口获取政务数据；②使用传统影印件（扫描件）上传。</w:t>
            </w:r>
          </w:p>
        </w:tc>
      </w:tr>
      <w:permEnd w:id="79"/>
      <w:tr w14:paraId="478A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 w:type="pct"/>
            <w:vAlign w:val="center"/>
          </w:tcPr>
          <w:p w14:paraId="0DF774E5">
            <w:pPr>
              <w:pStyle w:val="29"/>
              <w:rPr>
                <w:rFonts w:hint="eastAsia" w:ascii="Times New Roman" w:hAnsi="Times New Roman"/>
                <w:color w:val="auto"/>
                <w:highlight w:val="none"/>
                <w:shd w:val="clear"/>
              </w:rPr>
            </w:pPr>
            <w:r>
              <w:rPr>
                <w:rFonts w:hint="eastAsia" w:ascii="Times New Roman" w:hAnsi="Times New Roman"/>
                <w:color w:val="auto"/>
                <w:highlight w:val="none"/>
                <w:shd w:val="clear"/>
              </w:rPr>
              <w:t>10.15</w:t>
            </w:r>
          </w:p>
        </w:tc>
        <w:tc>
          <w:tcPr>
            <w:tcW w:w="1087" w:type="pct"/>
            <w:vAlign w:val="center"/>
          </w:tcPr>
          <w:p w14:paraId="694C328E">
            <w:pPr>
              <w:pStyle w:val="29"/>
              <w:rPr>
                <w:rFonts w:hint="eastAsia" w:ascii="Times New Roman" w:hAnsi="Times New Roman"/>
                <w:color w:val="auto"/>
                <w:highlight w:val="none"/>
                <w:shd w:val="clear"/>
              </w:rPr>
            </w:pPr>
            <w:r>
              <w:rPr>
                <w:rFonts w:hint="eastAsia" w:ascii="Times New Roman" w:hAnsi="Times New Roman"/>
                <w:color w:val="auto"/>
                <w:highlight w:val="none"/>
                <w:shd w:val="clear"/>
              </w:rPr>
              <w:t>工程重难点</w:t>
            </w:r>
          </w:p>
        </w:tc>
        <w:tc>
          <w:tcPr>
            <w:tcW w:w="3293" w:type="pct"/>
            <w:vAlign w:val="center"/>
          </w:tcPr>
          <w:p w14:paraId="2B3C68B9">
            <w:pPr>
              <w:pStyle w:val="30"/>
              <w:rPr>
                <w:rFonts w:hint="default" w:ascii="Times New Roman" w:hAnsi="Times New Roman" w:eastAsia="宋体"/>
                <w:color w:val="auto"/>
                <w:highlight w:val="none"/>
                <w:shd w:val="clear"/>
                <w:lang w:val="en-US" w:eastAsia="zh-CN"/>
              </w:rPr>
            </w:pPr>
            <w:permStart w:id="80" w:edGrp="everyone"/>
            <w:r>
              <w:rPr>
                <w:rFonts w:hint="eastAsia" w:ascii="Times New Roman" w:hAnsi="Times New Roman"/>
                <w:color w:val="auto"/>
                <w:highlight w:val="none"/>
                <w:shd w:val="clear"/>
              </w:rPr>
              <w:t>本项目工程重难点：</w:t>
            </w:r>
            <w:r>
              <w:rPr>
                <w:rFonts w:hint="eastAsia" w:ascii="Times New Roman" w:hAnsi="Times New Roman"/>
                <w:color w:val="auto"/>
                <w:highlight w:val="none"/>
                <w:shd w:val="clear"/>
                <w:lang w:val="en-US" w:eastAsia="zh-CN"/>
              </w:rPr>
              <w:t>详见本项目施工图纸及工程量清单</w:t>
            </w:r>
            <w:permEnd w:id="80"/>
          </w:p>
        </w:tc>
      </w:tr>
      <w:tr w14:paraId="07F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shd w:val="clear" w:color="auto" w:fill="auto"/>
            <w:vAlign w:val="center"/>
          </w:tcPr>
          <w:p w14:paraId="3B49597F">
            <w:pPr>
              <w:pStyle w:val="29"/>
              <w:rPr>
                <w:rFonts w:hint="eastAsia" w:ascii="Times New Roman" w:hAnsi="Times New Roman" w:eastAsia="宋体"/>
                <w:color w:val="auto"/>
                <w:highlight w:val="none"/>
                <w:shd w:val="clear"/>
                <w:lang w:eastAsia="zh-CN"/>
              </w:rPr>
            </w:pPr>
            <w:r>
              <w:rPr>
                <w:rFonts w:hint="eastAsia" w:ascii="Times New Roman" w:hAnsi="Times New Roman" w:eastAsia="宋体" w:cs="仿宋"/>
                <w:bCs/>
                <w:color w:val="auto"/>
                <w:kern w:val="2"/>
                <w:sz w:val="21"/>
                <w:szCs w:val="24"/>
                <w:highlight w:val="none"/>
                <w:shd w:val="clear"/>
                <w:lang w:val="en-US" w:eastAsia="zh-CN" w:bidi="ar-SA"/>
              </w:rPr>
              <w:t>/</w:t>
            </w:r>
          </w:p>
        </w:tc>
      </w:tr>
    </w:tbl>
    <w:p w14:paraId="48E983FA">
      <w:pPr>
        <w:pStyle w:val="26"/>
        <w:rPr>
          <w:rStyle w:val="27"/>
          <w:rFonts w:ascii="Times New Roman" w:hAnsi="Times New Roman"/>
          <w:bCs w:val="0"/>
          <w:color w:val="auto"/>
          <w:highlight w:val="none"/>
          <w:shd w:val="clear"/>
        </w:rPr>
      </w:pPr>
      <w:r>
        <w:rPr>
          <w:rFonts w:hint="eastAsia"/>
          <w:b/>
          <w:color w:val="auto"/>
          <w:highlight w:val="none"/>
          <w:shd w:val="clear"/>
        </w:rPr>
        <w:br w:type="page"/>
      </w:r>
      <w:bookmarkStart w:id="79" w:name="_Toc38879316"/>
      <w:bookmarkStart w:id="80" w:name="_Toc11078137"/>
      <w:bookmarkStart w:id="81" w:name="_Toc460660062"/>
      <w:bookmarkStart w:id="82" w:name="_Toc511"/>
      <w:bookmarkStart w:id="83" w:name="_Toc24087"/>
      <w:bookmarkStart w:id="84" w:name="_Toc14420"/>
      <w:bookmarkStart w:id="85" w:name="_Toc421916975"/>
      <w:bookmarkStart w:id="86" w:name="_Toc460226989"/>
      <w:bookmarkStart w:id="87" w:name="_Toc130919071"/>
      <w:bookmarkStart w:id="88" w:name="_Toc460226720"/>
      <w:bookmarkStart w:id="89" w:name="_Toc283798416"/>
      <w:bookmarkStart w:id="90" w:name="_Toc184635071"/>
      <w:r>
        <w:rPr>
          <w:rFonts w:hint="eastAsia"/>
          <w:color w:val="auto"/>
          <w:highlight w:val="none"/>
          <w:shd w:val="clear"/>
        </w:rPr>
        <w:t>附录1  资格审查条件（资质最低条件）</w:t>
      </w:r>
      <w:bookmarkEnd w:id="79"/>
      <w:bookmarkEnd w:id="80"/>
      <w:bookmarkEnd w:id="81"/>
      <w:bookmarkEnd w:id="82"/>
      <w:bookmarkEnd w:id="83"/>
      <w:bookmarkEnd w:id="84"/>
      <w:bookmarkEnd w:id="85"/>
      <w:bookmarkEnd w:id="86"/>
      <w:bookmarkEnd w:id="87"/>
      <w:bookmarkEnd w:id="88"/>
      <w:bookmarkEnd w:id="89"/>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1F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178FA18">
            <w:pPr>
              <w:pStyle w:val="28"/>
              <w:rPr>
                <w:rFonts w:ascii="Times New Roman" w:hAnsi="Times New Roman"/>
                <w:color w:val="auto"/>
                <w:highlight w:val="none"/>
                <w:shd w:val="clear"/>
              </w:rPr>
            </w:pPr>
            <w:r>
              <w:rPr>
                <w:rFonts w:hint="eastAsia" w:ascii="Times New Roman" w:hAnsi="Times New Roman"/>
                <w:color w:val="auto"/>
                <w:highlight w:val="none"/>
                <w:shd w:val="clear"/>
              </w:rPr>
              <w:t>资质证书及其他要求</w:t>
            </w:r>
          </w:p>
        </w:tc>
      </w:tr>
      <w:tr w14:paraId="348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tcPr>
          <w:p w14:paraId="1C8AF6AC">
            <w:pPr>
              <w:pStyle w:val="29"/>
              <w:jc w:val="left"/>
              <w:rPr>
                <w:rFonts w:ascii="Times New Roman" w:hAnsi="Times New Roman"/>
                <w:color w:val="auto"/>
                <w:highlight w:val="none"/>
                <w:shd w:val="clear"/>
              </w:rPr>
            </w:pPr>
            <w:r>
              <w:rPr>
                <w:rFonts w:hint="eastAsia" w:ascii="Times New Roman" w:hAnsi="Times New Roman"/>
                <w:color w:val="auto"/>
                <w:highlight w:val="none"/>
                <w:shd w:val="clear"/>
              </w:rPr>
              <w:t>1.具备有效的营业执照。</w:t>
            </w:r>
          </w:p>
          <w:p w14:paraId="396D6372">
            <w:pPr>
              <w:pStyle w:val="29"/>
              <w:jc w:val="left"/>
              <w:rPr>
                <w:rFonts w:ascii="Times New Roman" w:hAnsi="Times New Roman"/>
                <w:color w:val="auto"/>
                <w:highlight w:val="none"/>
                <w:shd w:val="clear"/>
              </w:rPr>
            </w:pPr>
            <w:r>
              <w:rPr>
                <w:rFonts w:hint="eastAsia" w:ascii="Times New Roman" w:hAnsi="Times New Roman"/>
                <w:color w:val="auto"/>
                <w:highlight w:val="none"/>
                <w:shd w:val="clear"/>
              </w:rPr>
              <w:t>2.具备有效的资质证书、具备有效的安全生产许可证。（见招标公告）</w:t>
            </w:r>
          </w:p>
        </w:tc>
      </w:tr>
    </w:tbl>
    <w:p w14:paraId="19989DC0">
      <w:pPr>
        <w:pStyle w:val="22"/>
        <w:ind w:firstLine="420"/>
        <w:rPr>
          <w:rFonts w:ascii="Times New Roman" w:hAnsi="Times New Roman"/>
          <w:color w:val="auto"/>
          <w:highlight w:val="none"/>
          <w:shd w:val="clear"/>
        </w:rPr>
      </w:pPr>
      <w:bookmarkStart w:id="91" w:name="_Toc460226990"/>
      <w:bookmarkStart w:id="92" w:name="_Toc283798417"/>
      <w:bookmarkStart w:id="93" w:name="_Toc460226721"/>
      <w:bookmarkStart w:id="94" w:name="_Toc697"/>
      <w:bookmarkStart w:id="95" w:name="_Toc130919072"/>
      <w:bookmarkStart w:id="96" w:name="_Toc23161"/>
      <w:bookmarkStart w:id="97" w:name="_Toc13564"/>
      <w:bookmarkStart w:id="98" w:name="_Toc460660063"/>
      <w:bookmarkStart w:id="99" w:name="_Toc421916976"/>
      <w:bookmarkStart w:id="100" w:name="_Toc38879317"/>
      <w:bookmarkStart w:id="101" w:name="_Toc11078138"/>
      <w:r>
        <w:rPr>
          <w:rFonts w:hint="eastAsia" w:ascii="Times New Roman" w:hAnsi="Times New Roman"/>
          <w:color w:val="auto"/>
          <w:highlight w:val="none"/>
          <w:shd w:val="clear"/>
        </w:rPr>
        <w:t>注：投标人应提供营业执照、资质证书、安全生产许可证等。</w:t>
      </w:r>
    </w:p>
    <w:p w14:paraId="0EE8805B">
      <w:pPr>
        <w:widowControl/>
        <w:jc w:val="left"/>
        <w:rPr>
          <w:rFonts w:ascii="Times New Roman" w:hAnsi="Times New Roman" w:eastAsia="黑体" w:cs="黑体"/>
          <w:snapToGrid w:val="0"/>
          <w:color w:val="auto"/>
          <w:sz w:val="28"/>
          <w:szCs w:val="28"/>
          <w:highlight w:val="none"/>
          <w:shd w:val="clear"/>
        </w:rPr>
      </w:pPr>
      <w:r>
        <w:rPr>
          <w:rFonts w:ascii="Times New Roman" w:hAnsi="Times New Roman"/>
          <w:color w:val="auto"/>
          <w:highlight w:val="none"/>
          <w:shd w:val="clear"/>
        </w:rPr>
        <w:br w:type="page"/>
      </w:r>
    </w:p>
    <w:p w14:paraId="0890DFFB">
      <w:pPr>
        <w:pStyle w:val="26"/>
        <w:rPr>
          <w:color w:val="auto"/>
          <w:highlight w:val="none"/>
          <w:shd w:val="clear"/>
        </w:rPr>
      </w:pPr>
      <w:r>
        <w:rPr>
          <w:rFonts w:hint="eastAsia"/>
          <w:color w:val="auto"/>
          <w:highlight w:val="none"/>
          <w:shd w:val="clear"/>
        </w:rPr>
        <w:t>附录2  资格审查条件（财务最低要求）</w:t>
      </w:r>
      <w:bookmarkEnd w:id="91"/>
      <w:bookmarkEnd w:id="92"/>
      <w:bookmarkEnd w:id="93"/>
      <w:bookmarkEnd w:id="94"/>
      <w:bookmarkEnd w:id="95"/>
      <w:bookmarkEnd w:id="96"/>
      <w:bookmarkEnd w:id="97"/>
      <w:bookmarkEnd w:id="98"/>
      <w:bookmarkEnd w:id="99"/>
      <w:bookmarkEnd w:id="100"/>
      <w:bookmarkEnd w:id="101"/>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CF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8ED4726">
            <w:pPr>
              <w:pStyle w:val="28"/>
              <w:rPr>
                <w:rFonts w:ascii="Times New Roman" w:hAnsi="Times New Roman"/>
                <w:color w:val="auto"/>
                <w:highlight w:val="none"/>
                <w:shd w:val="clear"/>
              </w:rPr>
            </w:pPr>
            <w:r>
              <w:rPr>
                <w:rFonts w:hint="eastAsia" w:ascii="Times New Roman" w:hAnsi="Times New Roman"/>
                <w:color w:val="auto"/>
                <w:highlight w:val="none"/>
                <w:shd w:val="clear"/>
              </w:rPr>
              <w:t>财务要求</w:t>
            </w:r>
          </w:p>
        </w:tc>
      </w:tr>
      <w:tr w14:paraId="691C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572330A">
            <w:pPr>
              <w:pStyle w:val="29"/>
              <w:jc w:val="left"/>
              <w:rPr>
                <w:rFonts w:ascii="Times New Roman" w:hAnsi="Times New Roman"/>
                <w:color w:val="auto"/>
                <w:highlight w:val="none"/>
                <w:shd w:val="clear"/>
              </w:rPr>
            </w:pPr>
            <w:permStart w:id="81" w:edGrp="everyone"/>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无需提供。</w:t>
            </w:r>
            <w:permEnd w:id="81"/>
          </w:p>
        </w:tc>
      </w:tr>
    </w:tbl>
    <w:p w14:paraId="17E5B52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注：证明材料的信息应完整或能充分证明满足评审需要。</w:t>
      </w:r>
    </w:p>
    <w:p w14:paraId="62644481">
      <w:pPr>
        <w:widowControl/>
        <w:jc w:val="left"/>
        <w:rPr>
          <w:rStyle w:val="31"/>
          <w:rFonts w:ascii="Times New Roman" w:hAnsi="Times New Roman"/>
          <w:bCs w:val="0"/>
          <w:snapToGrid/>
          <w:color w:val="auto"/>
          <w:highlight w:val="none"/>
          <w:shd w:val="clear"/>
        </w:rPr>
      </w:pPr>
      <w:bookmarkStart w:id="102" w:name="_Toc460226722"/>
      <w:bookmarkStart w:id="103" w:name="_Toc11078139"/>
      <w:bookmarkStart w:id="104" w:name="_Toc421916977"/>
      <w:bookmarkStart w:id="105" w:name="_Toc460660064"/>
      <w:bookmarkStart w:id="106" w:name="_Toc460226991"/>
      <w:bookmarkStart w:id="107" w:name="_Toc19832"/>
      <w:bookmarkStart w:id="108" w:name="_Toc28740"/>
      <w:bookmarkStart w:id="109" w:name="_Toc8062"/>
      <w:bookmarkStart w:id="110" w:name="_Toc283798418"/>
      <w:bookmarkStart w:id="111" w:name="_Toc38879318"/>
      <w:bookmarkStart w:id="112" w:name="_Toc130919073"/>
      <w:r>
        <w:rPr>
          <w:rStyle w:val="31"/>
          <w:rFonts w:ascii="Times New Roman" w:hAnsi="Times New Roman"/>
          <w:bCs w:val="0"/>
          <w:color w:val="auto"/>
          <w:highlight w:val="none"/>
          <w:shd w:val="clear"/>
        </w:rPr>
        <w:br w:type="page"/>
      </w:r>
    </w:p>
    <w:p w14:paraId="3BA4FBCE">
      <w:pPr>
        <w:pStyle w:val="26"/>
        <w:rPr>
          <w:rStyle w:val="27"/>
          <w:rFonts w:ascii="Times New Roman" w:hAnsi="Times New Roman"/>
          <w:bCs w:val="0"/>
          <w:color w:val="auto"/>
          <w:highlight w:val="none"/>
          <w:shd w:val="clear"/>
        </w:rPr>
      </w:pPr>
      <w:r>
        <w:rPr>
          <w:rStyle w:val="31"/>
          <w:rFonts w:hint="eastAsia"/>
          <w:bCs w:val="0"/>
          <w:color w:val="auto"/>
          <w:highlight w:val="none"/>
          <w:shd w:val="clear"/>
        </w:rPr>
        <w:t>附录3  资格审查条件</w:t>
      </w:r>
      <w:bookmarkEnd w:id="102"/>
      <w:bookmarkEnd w:id="103"/>
      <w:bookmarkEnd w:id="104"/>
      <w:bookmarkEnd w:id="105"/>
      <w:bookmarkEnd w:id="106"/>
      <w:bookmarkEnd w:id="107"/>
      <w:bookmarkEnd w:id="108"/>
      <w:bookmarkEnd w:id="109"/>
      <w:bookmarkEnd w:id="110"/>
      <w:bookmarkEnd w:id="111"/>
      <w:r>
        <w:rPr>
          <w:rStyle w:val="31"/>
          <w:rFonts w:hint="eastAsia"/>
          <w:bCs w:val="0"/>
          <w:color w:val="auto"/>
          <w:highlight w:val="none"/>
          <w:shd w:val="clear"/>
        </w:rPr>
        <w:t>（业绩最低要求）</w:t>
      </w:r>
      <w:bookmarkEnd w:id="112"/>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1A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35CD9BD">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投标人业绩要求</w:t>
            </w:r>
          </w:p>
        </w:tc>
      </w:tr>
      <w:tr w14:paraId="6621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CBB3D0A">
            <w:pPr>
              <w:pStyle w:val="29"/>
              <w:rPr>
                <w:rFonts w:ascii="Times New Roman" w:hAnsi="Times New Roman"/>
                <w:color w:val="auto"/>
                <w:highlight w:val="none"/>
                <w:shd w:val="clear"/>
              </w:rPr>
            </w:pPr>
            <w:r>
              <w:rPr>
                <w:rFonts w:hint="eastAsia" w:ascii="Times New Roman" w:hAnsi="Times New Roman"/>
                <w:color w:val="auto"/>
                <w:highlight w:val="none"/>
                <w:shd w:val="clear"/>
              </w:rPr>
              <w:t>见招标公告。</w:t>
            </w:r>
          </w:p>
        </w:tc>
      </w:tr>
    </w:tbl>
    <w:p w14:paraId="6AFF032E">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注：1.投标人应提供下列任一类别的业绩证明材料：</w:t>
      </w:r>
    </w:p>
    <w:p w14:paraId="6FBD69C7">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第一类：</w:t>
      </w:r>
    </w:p>
    <w:p w14:paraId="2E14178C">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住房和城乡建设部全国建筑市场监管公共服务平台（以下简称“四库一平台”）“数据等级”C级及以上项目业绩网页截图。</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1</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rPr>
        <w:t>数据等级以业绩网页截图中“工程基本信息”-“详细信息”-“数据等级”为准；</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lang w:val="en-US" w:eastAsia="zh-CN"/>
        </w:rPr>
        <w:t>2</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rPr>
        <w:t>项目类型、建设内容，时间，金额以业绩网页截图中“竣工验收”-“竣工验收备案信息”-“详情”中的“实际建设规模”、“ 实际造价”、“竣工验收备案日期”为准。</w:t>
      </w:r>
    </w:p>
    <w:p w14:paraId="23115D3B">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业绩需在商务文件中“资格审查资料”栏“投标人业绩情况表（资格审查）”中注明并提供相关证明材料。如投标人提供的上述业绩证明材料未能完整或充分反映评审因素的，应提供第二类任意证明材料或另附合同甲方证明材料（须加盖合同甲方单位章）予以明确说明，否则评标委员会不予认可。</w:t>
      </w:r>
    </w:p>
    <w:p w14:paraId="387E3105">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第二类：</w:t>
      </w:r>
    </w:p>
    <w:p w14:paraId="746562F5">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（1）合同协议书。</w:t>
      </w:r>
    </w:p>
    <w:p w14:paraId="1DFEDA2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w:t>
      </w:r>
      <w:r>
        <w:rPr>
          <w:rFonts w:hint="eastAsia" w:ascii="Times New Roman" w:hAnsi="Times New Roman"/>
          <w:color w:val="auto"/>
          <w:highlight w:val="none"/>
          <w:shd w:val="clear"/>
        </w:rPr>
        <w:t>中标查询网址及查询截图，或住房和城乡建设主管部门网站公布的施工许可证办理查询截图，或住房和城乡建设主管部门信用评价体系查询截图。无法提供以上截图的，应当提供住房和城乡建设主管部门证明材料。</w:t>
      </w:r>
    </w:p>
    <w:p w14:paraId="2892CAC2">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（3）竣工验收证明文件（至少有建设单位、设计单位、监理单位、施工单位四方参与竣工验收并盖单位章）</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rPr>
        <w:t>时间以工程</w:t>
      </w:r>
      <w:r>
        <w:rPr>
          <w:rFonts w:hint="eastAsia" w:ascii="Times New Roman" w:hAnsi="Times New Roman"/>
          <w:color w:val="auto"/>
          <w:highlight w:val="none"/>
          <w:shd w:val="clear"/>
          <w:lang w:val="en-US" w:eastAsia="zh-CN"/>
        </w:rPr>
        <w:t>竣工验收</w:t>
      </w:r>
      <w:r>
        <w:rPr>
          <w:rFonts w:hint="eastAsia" w:ascii="Times New Roman" w:hAnsi="Times New Roman"/>
          <w:color w:val="auto"/>
          <w:highlight w:val="none"/>
          <w:shd w:val="clear"/>
        </w:rPr>
        <w:t>证明文件所载信息为准</w:t>
      </w:r>
      <w:r>
        <w:rPr>
          <w:rFonts w:hint="eastAsia" w:ascii="Times New Roman" w:hAnsi="Times New Roman"/>
          <w:color w:val="auto"/>
          <w:highlight w:val="none"/>
          <w:shd w:val="clear"/>
          <w:lang w:eastAsia="zh-CN"/>
        </w:rPr>
        <w:t>。</w:t>
      </w:r>
    </w:p>
    <w:p w14:paraId="4B867A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业绩需在商务文件中“资格审查资料”栏“投标人业绩情况表（资格审查）”中注明并提供相关证明材料。如投标人提供的上述业绩证明材料未能完整或充分反映评审因素的，应另附合同甲方证明材料（须加盖合同甲方单位章）予以明确说明，否则评标委员会不予认可。</w:t>
      </w:r>
    </w:p>
    <w:p w14:paraId="62BF32DA">
      <w:pPr>
        <w:adjustRightInd w:val="0"/>
        <w:spacing w:line="360" w:lineRule="auto"/>
        <w:rPr>
          <w:rStyle w:val="27"/>
          <w:rFonts w:ascii="Times New Roman" w:hAnsi="Times New Roman"/>
          <w:bCs w:val="0"/>
          <w:color w:val="auto"/>
          <w:highlight w:val="none"/>
          <w:shd w:val="clear"/>
        </w:rPr>
      </w:pPr>
      <w:r>
        <w:rPr>
          <w:rFonts w:hint="eastAsia" w:ascii="Times New Roman" w:hAnsi="Times New Roman"/>
          <w:snapToGrid w:val="0"/>
          <w:color w:val="auto"/>
          <w:szCs w:val="24"/>
          <w:highlight w:val="none"/>
          <w:shd w:val="clear"/>
        </w:rPr>
        <w:br w:type="page"/>
      </w:r>
      <w:bookmarkStart w:id="113" w:name="_Toc130919074"/>
      <w:bookmarkStart w:id="114" w:name="_Toc4225"/>
      <w:bookmarkStart w:id="115" w:name="_Toc38879319"/>
      <w:bookmarkStart w:id="116" w:name="_Toc30200"/>
      <w:bookmarkStart w:id="117" w:name="_Toc10084"/>
      <w:bookmarkStart w:id="118" w:name="_Toc11078140"/>
      <w:bookmarkStart w:id="119" w:name="_Toc460226723"/>
      <w:bookmarkStart w:id="120" w:name="_Toc460226992"/>
      <w:bookmarkStart w:id="121" w:name="_Toc421916978"/>
      <w:r>
        <w:rPr>
          <w:rStyle w:val="31"/>
          <w:rFonts w:hint="eastAsia" w:ascii="Times New Roman" w:hAnsi="Times New Roman"/>
          <w:bCs w:val="0"/>
          <w:color w:val="auto"/>
          <w:highlight w:val="none"/>
          <w:shd w:val="clear"/>
        </w:rPr>
        <w:t>附录4  资格审查条件（信誉最低要求）</w:t>
      </w:r>
      <w:bookmarkEnd w:id="113"/>
      <w:bookmarkEnd w:id="114"/>
      <w:bookmarkEnd w:id="115"/>
      <w:bookmarkEnd w:id="116"/>
      <w:bookmarkEnd w:id="117"/>
      <w:bookmarkEnd w:id="118"/>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A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C0EC4FD">
            <w:pPr>
              <w:pStyle w:val="28"/>
              <w:rPr>
                <w:rFonts w:ascii="Times New Roman" w:hAnsi="Times New Roman"/>
                <w:color w:val="auto"/>
                <w:highlight w:val="none"/>
                <w:shd w:val="clear"/>
              </w:rPr>
            </w:pPr>
            <w:r>
              <w:rPr>
                <w:rFonts w:hint="eastAsia" w:ascii="Times New Roman" w:hAnsi="Times New Roman"/>
                <w:color w:val="auto"/>
                <w:highlight w:val="none"/>
                <w:shd w:val="clear"/>
              </w:rPr>
              <w:t>信誉要求</w:t>
            </w:r>
          </w:p>
        </w:tc>
      </w:tr>
      <w:tr w14:paraId="7A0D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19B9E1D">
            <w:pPr>
              <w:pStyle w:val="29"/>
              <w:rPr>
                <w:rFonts w:ascii="Times New Roman" w:hAnsi="Times New Roman"/>
                <w:color w:val="auto"/>
                <w:highlight w:val="none"/>
                <w:shd w:val="clear"/>
              </w:rPr>
            </w:pPr>
            <w:r>
              <w:rPr>
                <w:rFonts w:hint="eastAsia" w:ascii="Times New Roman" w:hAnsi="Times New Roman"/>
                <w:color w:val="auto"/>
                <w:highlight w:val="none"/>
                <w:shd w:val="clear"/>
              </w:rPr>
              <w:t>见招标公告。</w:t>
            </w:r>
          </w:p>
        </w:tc>
      </w:tr>
    </w:tbl>
    <w:p w14:paraId="7D104255">
      <w:pPr>
        <w:pStyle w:val="22"/>
        <w:ind w:firstLine="420"/>
        <w:rPr>
          <w:rFonts w:ascii="Times New Roman" w:hAnsi="Times New Roman"/>
          <w:color w:val="auto"/>
          <w:highlight w:val="none"/>
          <w:shd w:val="clear"/>
        </w:rPr>
      </w:pPr>
      <w:bookmarkStart w:id="122" w:name="_Hlk181628016"/>
      <w:r>
        <w:rPr>
          <w:rFonts w:hint="eastAsia" w:ascii="Times New Roman" w:hAnsi="Times New Roman"/>
          <w:color w:val="auto"/>
          <w:highlight w:val="none"/>
          <w:shd w:val="clear"/>
        </w:rPr>
        <w:t>注：</w:t>
      </w:r>
      <w:r>
        <w:rPr>
          <w:rFonts w:hint="eastAsia" w:ascii="Times New Roman" w:hAnsi="Times New Roman"/>
          <w:bCs/>
          <w:color w:val="auto"/>
          <w:highlight w:val="none"/>
          <w:shd w:val="clear"/>
        </w:rPr>
        <w:t>投标人应按照第八章“投标文件格式”的投标函承诺。如投标人承诺与实际不符，招标人有权取消其中标（或中标候选）资格，并报招标投标行政监督部门。</w:t>
      </w:r>
    </w:p>
    <w:bookmarkEnd w:id="122"/>
    <w:p w14:paraId="73CDA732">
      <w:pPr>
        <w:pStyle w:val="22"/>
        <w:ind w:firstLine="420"/>
        <w:rPr>
          <w:rFonts w:ascii="Times New Roman" w:hAnsi="Times New Roman"/>
          <w:color w:val="auto"/>
          <w:highlight w:val="none"/>
          <w:shd w:val="clear"/>
        </w:rPr>
      </w:pPr>
      <w:bookmarkStart w:id="123" w:name="_Toc460660065"/>
      <w:bookmarkStart w:id="124" w:name="_Toc11078141"/>
      <w:bookmarkStart w:id="125" w:name="_Toc38879320"/>
    </w:p>
    <w:p w14:paraId="33940DCB">
      <w:pPr>
        <w:pStyle w:val="26"/>
        <w:rPr>
          <w:rStyle w:val="27"/>
          <w:rFonts w:ascii="Times New Roman" w:hAnsi="Times New Roman"/>
          <w:bCs w:val="0"/>
          <w:color w:val="auto"/>
          <w:highlight w:val="none"/>
          <w:shd w:val="clear"/>
        </w:rPr>
      </w:pPr>
      <w:r>
        <w:rPr>
          <w:rFonts w:hint="eastAsia"/>
          <w:color w:val="auto"/>
          <w:sz w:val="24"/>
          <w:szCs w:val="24"/>
          <w:highlight w:val="none"/>
          <w:shd w:val="clear"/>
        </w:rPr>
        <w:br w:type="page"/>
      </w:r>
      <w:bookmarkStart w:id="126" w:name="_Toc130919075"/>
      <w:bookmarkStart w:id="127" w:name="_Toc22030"/>
      <w:bookmarkStart w:id="128" w:name="_Toc30197"/>
      <w:bookmarkStart w:id="129" w:name="_Toc2606"/>
      <w:r>
        <w:rPr>
          <w:rStyle w:val="31"/>
          <w:rFonts w:hint="eastAsia"/>
          <w:bCs w:val="0"/>
          <w:color w:val="auto"/>
          <w:highlight w:val="none"/>
          <w:shd w:val="clear"/>
        </w:rPr>
        <w:t>附录5  资格审查条件（项目经理最低要求）</w:t>
      </w:r>
      <w:bookmarkEnd w:id="119"/>
      <w:bookmarkEnd w:id="120"/>
      <w:bookmarkEnd w:id="121"/>
      <w:bookmarkEnd w:id="123"/>
      <w:bookmarkEnd w:id="124"/>
      <w:bookmarkEnd w:id="125"/>
      <w:bookmarkEnd w:id="126"/>
      <w:bookmarkEnd w:id="127"/>
      <w:bookmarkEnd w:id="128"/>
      <w:bookmarkEnd w:id="129"/>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7060"/>
      </w:tblGrid>
      <w:tr w14:paraId="4970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51E1FC7D">
            <w:pPr>
              <w:pStyle w:val="28"/>
              <w:rPr>
                <w:rFonts w:ascii="Times New Roman" w:hAnsi="Times New Roman"/>
                <w:color w:val="auto"/>
                <w:highlight w:val="none"/>
                <w:shd w:val="clear"/>
              </w:rPr>
            </w:pPr>
            <w:r>
              <w:rPr>
                <w:rFonts w:hint="eastAsia" w:ascii="Times New Roman" w:hAnsi="Times New Roman"/>
                <w:color w:val="auto"/>
                <w:highlight w:val="none"/>
                <w:shd w:val="clear"/>
              </w:rPr>
              <w:t>人员</w:t>
            </w:r>
          </w:p>
        </w:tc>
        <w:tc>
          <w:tcPr>
            <w:tcW w:w="4141" w:type="pct"/>
            <w:tcBorders>
              <w:top w:val="single" w:color="auto" w:sz="4" w:space="0"/>
              <w:left w:val="single" w:color="auto" w:sz="4" w:space="0"/>
              <w:bottom w:val="single" w:color="auto" w:sz="4" w:space="0"/>
              <w:right w:val="single" w:color="auto" w:sz="4" w:space="0"/>
            </w:tcBorders>
            <w:vAlign w:val="center"/>
          </w:tcPr>
          <w:p w14:paraId="65A015C8">
            <w:pPr>
              <w:pStyle w:val="28"/>
              <w:rPr>
                <w:rFonts w:ascii="Times New Roman" w:hAnsi="Times New Roman"/>
                <w:color w:val="auto"/>
                <w:highlight w:val="none"/>
                <w:shd w:val="clear"/>
              </w:rPr>
            </w:pPr>
            <w:r>
              <w:rPr>
                <w:rFonts w:hint="eastAsia" w:ascii="Times New Roman" w:hAnsi="Times New Roman"/>
                <w:color w:val="auto"/>
                <w:highlight w:val="none"/>
                <w:shd w:val="clear"/>
              </w:rPr>
              <w:t>资格要求</w:t>
            </w:r>
          </w:p>
        </w:tc>
      </w:tr>
      <w:tr w14:paraId="58D5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7FC59ED9">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w:t>
            </w:r>
          </w:p>
        </w:tc>
        <w:tc>
          <w:tcPr>
            <w:tcW w:w="4141" w:type="pct"/>
            <w:tcBorders>
              <w:top w:val="single" w:color="auto" w:sz="4" w:space="0"/>
              <w:left w:val="single" w:color="auto" w:sz="4" w:space="0"/>
              <w:bottom w:val="single" w:color="auto" w:sz="4" w:space="0"/>
              <w:right w:val="single" w:color="auto" w:sz="4" w:space="0"/>
            </w:tcBorders>
            <w:vAlign w:val="center"/>
          </w:tcPr>
          <w:p w14:paraId="5B6BF2D3">
            <w:pPr>
              <w:pStyle w:val="30"/>
              <w:rPr>
                <w:rFonts w:ascii="Times New Roman" w:hAnsi="Times New Roman"/>
                <w:color w:val="auto"/>
                <w:highlight w:val="none"/>
                <w:shd w:val="clear"/>
              </w:rPr>
            </w:pPr>
            <w:r>
              <w:rPr>
                <w:rFonts w:hint="eastAsia" w:ascii="Times New Roman" w:hAnsi="Times New Roman"/>
                <w:color w:val="auto"/>
                <w:highlight w:val="none"/>
                <w:shd w:val="clear"/>
              </w:rPr>
              <w:t>1.项目经理资格条件见招标公告，且必须是本单位人员（招标公告中要求的注册证书注册单位应当与投标人名称一致）。</w:t>
            </w:r>
          </w:p>
          <w:p w14:paraId="574F7C91">
            <w:pPr>
              <w:pStyle w:val="30"/>
              <w:rPr>
                <w:rFonts w:ascii="Times New Roman" w:hAnsi="Times New Roman"/>
                <w:color w:val="auto"/>
                <w:highlight w:val="none"/>
                <w:shd w:val="clear"/>
              </w:rPr>
            </w:pPr>
            <w:r>
              <w:rPr>
                <w:rFonts w:hint="eastAsia" w:ascii="Times New Roman" w:hAnsi="Times New Roman"/>
                <w:color w:val="auto"/>
                <w:highlight w:val="none"/>
                <w:shd w:val="clear"/>
              </w:rPr>
              <w:t>2.项目经理业绩具体要求见招标公告。</w:t>
            </w:r>
          </w:p>
          <w:p w14:paraId="1F6AA071">
            <w:pPr>
              <w:pStyle w:val="30"/>
              <w:rPr>
                <w:rFonts w:ascii="Times New Roman" w:hAnsi="Times New Roman"/>
                <w:color w:val="auto"/>
                <w:highlight w:val="none"/>
                <w:shd w:val="clear"/>
              </w:rPr>
            </w:pPr>
            <w:r>
              <w:rPr>
                <w:rFonts w:hint="eastAsia" w:ascii="Times New Roman" w:hAnsi="Times New Roman"/>
                <w:color w:val="auto"/>
                <w:highlight w:val="none"/>
                <w:shd w:val="clear"/>
              </w:rPr>
              <w:t>3.项目经理不得同时担任两个及以上建设工程施工项目经理，以下情形除外：</w:t>
            </w:r>
          </w:p>
          <w:p w14:paraId="5899D9C1">
            <w:pPr>
              <w:pStyle w:val="30"/>
              <w:rPr>
                <w:rFonts w:ascii="Times New Roman" w:hAnsi="Times New Roman"/>
                <w:color w:val="auto"/>
                <w:highlight w:val="none"/>
                <w:shd w:val="clear"/>
              </w:rPr>
            </w:pPr>
            <w:r>
              <w:rPr>
                <w:rFonts w:hint="eastAsia" w:ascii="Times New Roman" w:hAnsi="Times New Roman"/>
                <w:color w:val="auto"/>
                <w:highlight w:val="none"/>
                <w:shd w:val="clear"/>
              </w:rPr>
              <w:t>（1）法定情形；</w:t>
            </w:r>
          </w:p>
          <w:p w14:paraId="21439EA0">
            <w:pPr>
              <w:pStyle w:val="30"/>
              <w:rPr>
                <w:rFonts w:ascii="Times New Roman" w:hAnsi="Times New Roman"/>
                <w:color w:val="auto"/>
                <w:highlight w:val="none"/>
                <w:shd w:val="clear"/>
              </w:rPr>
            </w:pPr>
            <w:r>
              <w:rPr>
                <w:rFonts w:hint="eastAsia" w:ascii="Times New Roman" w:hAnsi="Times New Roman"/>
                <w:color w:val="auto"/>
                <w:highlight w:val="none"/>
                <w:shd w:val="clear"/>
              </w:rPr>
              <w:t>（2）虽在其他项目上担任项目经理岗位，但承诺在本项目中标后合同签订前能够从其他项目变更至本项目并全面履约。</w:t>
            </w:r>
          </w:p>
          <w:p w14:paraId="3A292DFA">
            <w:pPr>
              <w:pStyle w:val="30"/>
              <w:rPr>
                <w:rFonts w:ascii="Times New Roman" w:hAnsi="Times New Roman"/>
                <w:snapToGrid w:val="0"/>
                <w:color w:val="auto"/>
                <w:highlight w:val="none"/>
                <w:shd w:val="clear"/>
              </w:rPr>
            </w:pPr>
            <w:permStart w:id="82" w:edGrp="everyone"/>
            <w:r>
              <w:rPr>
                <w:rFonts w:hint="eastAsia" w:ascii="Times New Roman" w:hAnsi="Times New Roman"/>
                <w:color w:val="auto"/>
                <w:highlight w:val="none"/>
                <w:shd w:val="clear"/>
              </w:rPr>
              <w:sym w:font="Wingdings 2" w:char="F052"/>
            </w:r>
            <w:r>
              <w:rPr>
                <w:rStyle w:val="32"/>
                <w:rFonts w:hint="eastAsia" w:ascii="Times New Roman" w:hAnsi="Times New Roman"/>
                <w:color w:val="auto"/>
                <w:highlight w:val="none"/>
                <w:shd w:val="clear"/>
              </w:rPr>
              <w:t>社保要求：</w:t>
            </w:r>
            <w:r>
              <w:rPr>
                <w:rFonts w:hint="eastAsia" w:ascii="Times New Roman" w:hAnsi="Times New Roman"/>
                <w:color w:val="auto"/>
                <w:kern w:val="0"/>
                <w:highlight w:val="none"/>
                <w:shd w:val="clear"/>
              </w:rPr>
              <w:t>投标截止时间前，项目经理缴纳社保的时间不少于6个月，社保缴纳单位应当是投标人或者投标人不具备独立法人资格的分支机构，且至少含养老保险，</w:t>
            </w:r>
            <w:r>
              <w:rPr>
                <w:rFonts w:hint="eastAsia" w:ascii="Times New Roman" w:hAnsi="Times New Roman"/>
                <w:color w:val="auto"/>
                <w:highlight w:val="none"/>
                <w:shd w:val="clear"/>
              </w:rPr>
              <w:t>投标人应按照第八章“投标文件格式”的投标函</w:t>
            </w:r>
            <w:r>
              <w:rPr>
                <w:rFonts w:hint="eastAsia" w:ascii="Times New Roman" w:hAnsi="Times New Roman"/>
                <w:color w:val="auto"/>
                <w:highlight w:val="none"/>
                <w:shd w:val="clear"/>
                <w:lang w:val="en-US" w:eastAsia="zh-CN"/>
              </w:rPr>
              <w:t>提供</w:t>
            </w:r>
            <w:r>
              <w:rPr>
                <w:rFonts w:hint="eastAsia" w:ascii="Times New Roman" w:hAnsi="Times New Roman"/>
                <w:color w:val="auto"/>
                <w:highlight w:val="none"/>
                <w:shd w:val="clear"/>
              </w:rPr>
              <w:t>承诺</w:t>
            </w:r>
            <w:r>
              <w:rPr>
                <w:rFonts w:hint="eastAsia" w:ascii="Times New Roman" w:hAnsi="Times New Roman"/>
                <w:color w:val="auto"/>
                <w:highlight w:val="none"/>
                <w:shd w:val="clear"/>
                <w:lang w:val="en-US" w:eastAsia="zh-CN"/>
              </w:rPr>
              <w:t>即可</w:t>
            </w:r>
            <w:r>
              <w:rPr>
                <w:rFonts w:hint="eastAsia" w:ascii="Times New Roman" w:hAnsi="Times New Roman"/>
                <w:color w:val="auto"/>
                <w:highlight w:val="none"/>
                <w:shd w:val="clear"/>
              </w:rPr>
              <w:t>。</w:t>
            </w:r>
            <w:permEnd w:id="82"/>
          </w:p>
        </w:tc>
      </w:tr>
    </w:tbl>
    <w:p w14:paraId="16453C4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w:t>
      </w:r>
    </w:p>
    <w:p w14:paraId="792734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1.投标人应提供项目经理的注册建造师注册证书、安全生产考核合格证书</w:t>
      </w:r>
      <w:r>
        <w:rPr>
          <w:rFonts w:hint="eastAsia" w:ascii="Times New Roman" w:hAnsi="Times New Roman"/>
          <w:color w:val="auto"/>
          <w:highlight w:val="none"/>
          <w:shd w:val="clear"/>
          <w:lang w:val="en-US" w:eastAsia="zh-CN"/>
        </w:rPr>
        <w:t>扫描件</w:t>
      </w:r>
      <w:r>
        <w:rPr>
          <w:rFonts w:hint="eastAsia" w:ascii="Times New Roman" w:hAnsi="Times New Roman"/>
          <w:color w:val="auto"/>
          <w:highlight w:val="none"/>
          <w:shd w:val="clear"/>
        </w:rPr>
        <w:t>。</w:t>
      </w:r>
    </w:p>
    <w:p w14:paraId="7028674F">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2.投标人应提供下列任一类别的业绩证明材料：</w:t>
      </w:r>
    </w:p>
    <w:p w14:paraId="13879FCD">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第一类：</w:t>
      </w:r>
    </w:p>
    <w:p w14:paraId="1E8A770F">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住房和城乡建设部全国建筑市场监管公共服务平台（以下简称“四库一平台”）“数据等级”C级及以上项目业绩网页截图。（1）数据等级以业绩网页截图中“工程基本信息”-“详细信息”-“数据等级”为准；（2）项目类型、建设内容，时间，金额以业绩网页截图中“竣工验收”-“竣工验收备案信息”-“详情”中的“实际建设规模”、“ 实际造价”、“竣工验收备案日期”为准。</w:t>
      </w:r>
    </w:p>
    <w:p w14:paraId="788A06FD">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业绩需在商务文件中“资格审查资料”栏“项目经理业绩情况表（资格审查）”中注明并提供相关证明材料。如投标人提供的上述业绩证明材料未能完整或充分反映评审因素的，应提供第二类任意证明材料或另附合同甲方证明材料（须加盖合同甲方单位章）予以明确说明，否则评标委员会不予认可。</w:t>
      </w:r>
    </w:p>
    <w:p w14:paraId="29FC0DC3">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第二类：</w:t>
      </w:r>
    </w:p>
    <w:p w14:paraId="2514A5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（1）合同协议书。</w:t>
      </w:r>
    </w:p>
    <w:p w14:paraId="2428FF7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w:t>
      </w:r>
      <w:r>
        <w:rPr>
          <w:rFonts w:hint="eastAsia" w:ascii="Times New Roman" w:hAnsi="Times New Roman"/>
          <w:color w:val="auto"/>
          <w:highlight w:val="none"/>
          <w:shd w:val="clear"/>
        </w:rPr>
        <w:t>中标查询网址及查询截图，或住房和城乡建设主管部门网站公布的施工许可证办理查询截图，或住房和城乡建设主管部门信用评价体系查询截图。无法提供以上截图的，应当提供住房和城乡建设主管部门证明材料。</w:t>
      </w:r>
    </w:p>
    <w:p w14:paraId="53DC4959">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（3）竣工验收证明文件（至少有</w:t>
      </w:r>
      <w:permStart w:id="83" w:edGrp="everyone"/>
      <w:r>
        <w:rPr>
          <w:rFonts w:hint="eastAsia" w:ascii="Times New Roman" w:hAnsi="Times New Roman"/>
          <w:color w:val="auto"/>
          <w:highlight w:val="none"/>
          <w:shd w:val="clear"/>
        </w:rPr>
        <w:t>建设单位、设计单位、监理单位、施工单位四方</w:t>
      </w:r>
      <w:permEnd w:id="83"/>
      <w:r>
        <w:rPr>
          <w:rFonts w:hint="eastAsia" w:ascii="Times New Roman" w:hAnsi="Times New Roman"/>
          <w:color w:val="auto"/>
          <w:highlight w:val="none"/>
          <w:shd w:val="clear"/>
        </w:rPr>
        <w:t>参与竣工验收并盖单位章）。时间以工程</w:t>
      </w:r>
      <w:r>
        <w:rPr>
          <w:rFonts w:hint="eastAsia" w:ascii="Times New Roman" w:hAnsi="Times New Roman"/>
          <w:color w:val="auto"/>
          <w:highlight w:val="none"/>
          <w:shd w:val="clear"/>
          <w:lang w:val="en-US" w:eastAsia="zh-CN"/>
        </w:rPr>
        <w:t>竣工验收</w:t>
      </w:r>
      <w:r>
        <w:rPr>
          <w:rFonts w:hint="eastAsia" w:ascii="Times New Roman" w:hAnsi="Times New Roman"/>
          <w:color w:val="auto"/>
          <w:highlight w:val="none"/>
          <w:shd w:val="clear"/>
        </w:rPr>
        <w:t>证明文件所载信息为准</w:t>
      </w:r>
      <w:r>
        <w:rPr>
          <w:rFonts w:hint="eastAsia" w:ascii="Times New Roman" w:hAnsi="Times New Roman"/>
          <w:color w:val="auto"/>
          <w:highlight w:val="none"/>
          <w:shd w:val="clear"/>
          <w:lang w:eastAsia="zh-CN"/>
        </w:rPr>
        <w:t>。</w:t>
      </w:r>
    </w:p>
    <w:p w14:paraId="47DBE7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业绩需在商务文件中“资格审查资料”栏“项目经理业绩情况表（资格审查）”中注明并提供相关证明材料。如投标人提供的上述业绩证明材料未能完整或充分反映评审因素的，应另附合同甲方证明材料（须加盖合同甲方单位章）予以明确说明，否则评标委员会不予认可。</w:t>
      </w:r>
    </w:p>
    <w:p w14:paraId="5A4509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3.投标人提供的项目经理业绩证明材料应反映出本招标项目的项目经理在此业绩中担任过</w:t>
      </w:r>
      <w:permStart w:id="84" w:edGrp="everyone"/>
      <w:r>
        <w:rPr>
          <w:rFonts w:hint="eastAsia" w:ascii="Times New Roman" w:hAnsi="Times New Roman"/>
          <w:color w:val="auto"/>
          <w:highlight w:val="none"/>
          <w:shd w:val="clear"/>
        </w:rPr>
        <w:t>项目经理</w:t>
      </w:r>
      <w:permEnd w:id="84"/>
      <w:r>
        <w:rPr>
          <w:rFonts w:hint="eastAsia" w:ascii="Times New Roman" w:hAnsi="Times New Roman"/>
          <w:color w:val="auto"/>
          <w:highlight w:val="none"/>
          <w:shd w:val="clear"/>
        </w:rPr>
        <w:t>的岗位。</w:t>
      </w:r>
    </w:p>
    <w:p w14:paraId="258D4AB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4.本招标项目项目经理不得同时兼任本招标项目技术负责人岗位。</w:t>
      </w:r>
    </w:p>
    <w:p w14:paraId="3878CB37">
      <w:pPr>
        <w:pStyle w:val="22"/>
        <w:ind w:firstLine="420"/>
        <w:rPr>
          <w:rFonts w:ascii="Times New Roman" w:hAnsi="Times New Roman"/>
          <w:color w:val="auto"/>
          <w:highlight w:val="none"/>
          <w:shd w:val="clear"/>
        </w:rPr>
      </w:pPr>
      <w:r>
        <w:rPr>
          <w:rFonts w:hint="eastAsia" w:ascii="Times New Roman" w:hAnsi="Times New Roman"/>
          <w:color w:val="auto"/>
          <w:spacing w:val="-6"/>
          <w:sz w:val="21"/>
          <w:highlight w:val="none"/>
          <w:shd w:val="clear"/>
        </w:rPr>
        <w:t>5.项目经理业绩，在合同履行过程中项目经理发生变更的，该业绩属于变更后的项目经理。</w:t>
      </w:r>
    </w:p>
    <w:p w14:paraId="00DC867F">
      <w:pPr>
        <w:pStyle w:val="22"/>
        <w:ind w:firstLine="420"/>
        <w:rPr>
          <w:rFonts w:ascii="Times New Roman" w:hAnsi="Times New Roman"/>
          <w:color w:val="auto"/>
          <w:highlight w:val="none"/>
          <w:shd w:val="clear"/>
        </w:rPr>
      </w:pPr>
      <w:r>
        <w:rPr>
          <w:rFonts w:hint="eastAsia" w:ascii="Times New Roman" w:hAnsi="Times New Roman"/>
          <w:b/>
          <w:color w:val="auto"/>
          <w:szCs w:val="24"/>
          <w:highlight w:val="none"/>
          <w:shd w:val="clear"/>
        </w:rPr>
        <w:br w:type="page"/>
      </w:r>
    </w:p>
    <w:p w14:paraId="0D18CA4F">
      <w:pPr>
        <w:pStyle w:val="26"/>
        <w:rPr>
          <w:rStyle w:val="31"/>
          <w:bCs w:val="0"/>
          <w:color w:val="auto"/>
          <w:highlight w:val="none"/>
          <w:shd w:val="clear"/>
        </w:rPr>
      </w:pPr>
      <w:bookmarkStart w:id="130" w:name="_Toc460226724"/>
      <w:bookmarkStart w:id="131" w:name="_Toc421916979"/>
      <w:bookmarkStart w:id="132" w:name="_Toc460660066"/>
      <w:bookmarkStart w:id="133" w:name="_Toc460226993"/>
      <w:bookmarkStart w:id="134" w:name="_Toc11745"/>
      <w:bookmarkStart w:id="135" w:name="_Toc24864"/>
      <w:bookmarkStart w:id="136" w:name="_Toc11078142"/>
      <w:bookmarkStart w:id="137" w:name="_Toc130919076"/>
      <w:bookmarkStart w:id="138" w:name="_Toc12498"/>
      <w:bookmarkStart w:id="139" w:name="_Toc38879321"/>
      <w:r>
        <w:rPr>
          <w:rStyle w:val="31"/>
          <w:rFonts w:hint="eastAsia"/>
          <w:bCs w:val="0"/>
          <w:color w:val="auto"/>
          <w:highlight w:val="none"/>
          <w:shd w:val="clear"/>
        </w:rPr>
        <w:t xml:space="preserve">附录6  </w:t>
      </w:r>
      <w:bookmarkEnd w:id="130"/>
      <w:bookmarkEnd w:id="131"/>
      <w:bookmarkEnd w:id="132"/>
      <w:bookmarkEnd w:id="133"/>
      <w:r>
        <w:rPr>
          <w:rStyle w:val="31"/>
          <w:rFonts w:hint="eastAsia"/>
          <w:bCs w:val="0"/>
          <w:color w:val="auto"/>
          <w:highlight w:val="none"/>
          <w:shd w:val="clear"/>
        </w:rPr>
        <w:t>资格审查条件（其他管理人员和技术人员最低要求）</w:t>
      </w:r>
      <w:bookmarkEnd w:id="134"/>
      <w:bookmarkEnd w:id="135"/>
      <w:bookmarkEnd w:id="136"/>
      <w:bookmarkEnd w:id="137"/>
      <w:bookmarkEnd w:id="138"/>
      <w:bookmarkEnd w:id="139"/>
    </w:p>
    <w:p w14:paraId="0B15FD90">
      <w:pPr>
        <w:pStyle w:val="33"/>
        <w:rPr>
          <w:color w:val="auto"/>
          <w:highlight w:val="none"/>
          <w:shd w:val="clear"/>
        </w:rPr>
      </w:pPr>
      <w:r>
        <w:rPr>
          <w:rFonts w:hint="eastAsia"/>
          <w:color w:val="auto"/>
          <w:highlight w:val="none"/>
          <w:shd w:val="clear"/>
        </w:rPr>
        <w:t>附表1  资格审查评审条件（主要管理人员最低要求）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036"/>
        <w:gridCol w:w="5534"/>
      </w:tblGrid>
      <w:tr w14:paraId="5523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14:paraId="65AD2E04">
            <w:pPr>
              <w:pStyle w:val="28"/>
              <w:rPr>
                <w:rFonts w:ascii="Times New Roman" w:hAnsi="Times New Roman"/>
                <w:color w:val="auto"/>
                <w:highlight w:val="none"/>
                <w:shd w:val="clear"/>
              </w:rPr>
            </w:pPr>
            <w:bookmarkStart w:id="140" w:name="_Toc460226725"/>
            <w:bookmarkStart w:id="141" w:name="_Toc460660067"/>
            <w:bookmarkStart w:id="142" w:name="_Toc460226994"/>
            <w:r>
              <w:rPr>
                <w:rFonts w:hint="eastAsia" w:ascii="Times New Roman" w:hAnsi="Times New Roman"/>
                <w:color w:val="auto"/>
                <w:highlight w:val="none"/>
                <w:shd w:val="clear"/>
              </w:rPr>
              <w:t>人员岗位</w:t>
            </w:r>
          </w:p>
        </w:tc>
        <w:tc>
          <w:tcPr>
            <w:tcW w:w="608" w:type="pct"/>
            <w:tcBorders>
              <w:top w:val="single" w:color="auto" w:sz="4" w:space="0"/>
              <w:left w:val="single" w:color="auto" w:sz="4" w:space="0"/>
              <w:bottom w:val="single" w:color="auto" w:sz="4" w:space="0"/>
              <w:right w:val="single" w:color="auto" w:sz="4" w:space="0"/>
            </w:tcBorders>
            <w:vAlign w:val="center"/>
          </w:tcPr>
          <w:p w14:paraId="3FCB2BD7">
            <w:pPr>
              <w:pStyle w:val="28"/>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3247" w:type="pct"/>
            <w:tcBorders>
              <w:top w:val="single" w:color="auto" w:sz="4" w:space="0"/>
              <w:left w:val="single" w:color="auto" w:sz="4" w:space="0"/>
              <w:bottom w:val="single" w:color="auto" w:sz="4" w:space="0"/>
              <w:right w:val="single" w:color="auto" w:sz="4" w:space="0"/>
            </w:tcBorders>
            <w:vAlign w:val="center"/>
          </w:tcPr>
          <w:p w14:paraId="705DAF85">
            <w:pPr>
              <w:pStyle w:val="28"/>
              <w:rPr>
                <w:rFonts w:ascii="Times New Roman" w:hAnsi="Times New Roman"/>
                <w:color w:val="auto"/>
                <w:highlight w:val="none"/>
                <w:shd w:val="clear"/>
              </w:rPr>
            </w:pPr>
            <w:r>
              <w:rPr>
                <w:rFonts w:hint="eastAsia" w:ascii="Times New Roman" w:hAnsi="Times New Roman"/>
                <w:color w:val="auto"/>
                <w:highlight w:val="none"/>
                <w:shd w:val="clear"/>
              </w:rPr>
              <w:t>资格要求</w:t>
            </w:r>
          </w:p>
        </w:tc>
      </w:tr>
      <w:tr w14:paraId="6C76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14:paraId="4A5B4909">
            <w:pPr>
              <w:pStyle w:val="29"/>
              <w:rPr>
                <w:rFonts w:ascii="Times New Roman" w:hAnsi="Times New Roman"/>
                <w:color w:val="auto"/>
                <w:highlight w:val="none"/>
                <w:shd w:val="clear"/>
              </w:rPr>
            </w:pPr>
            <w:permStart w:id="85" w:edGrp="everyone" w:colFirst="1" w:colLast="1"/>
            <w:permStart w:id="86" w:edGrp="everyone" w:colFirst="2" w:colLast="2"/>
            <w:r>
              <w:rPr>
                <w:rFonts w:hint="eastAsia" w:ascii="Times New Roman" w:hAnsi="Times New Roman"/>
                <w:color w:val="auto"/>
                <w:highlight w:val="none"/>
                <w:shd w:val="clear"/>
              </w:rPr>
              <w:t>项目技术负责人</w:t>
            </w:r>
          </w:p>
        </w:tc>
        <w:tc>
          <w:tcPr>
            <w:tcW w:w="608" w:type="pct"/>
            <w:tcBorders>
              <w:top w:val="single" w:color="auto" w:sz="4" w:space="0"/>
              <w:left w:val="single" w:color="auto" w:sz="4" w:space="0"/>
              <w:bottom w:val="single" w:color="auto" w:sz="4" w:space="0"/>
              <w:right w:val="single" w:color="auto" w:sz="4" w:space="0"/>
            </w:tcBorders>
            <w:vAlign w:val="center"/>
          </w:tcPr>
          <w:p w14:paraId="2B0DAC59">
            <w:pPr>
              <w:pStyle w:val="29"/>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1</w:t>
            </w:r>
          </w:p>
        </w:tc>
        <w:tc>
          <w:tcPr>
            <w:tcW w:w="3247" w:type="pct"/>
            <w:tcBorders>
              <w:top w:val="single" w:color="auto" w:sz="4" w:space="0"/>
              <w:left w:val="single" w:color="auto" w:sz="4" w:space="0"/>
              <w:bottom w:val="single" w:color="auto" w:sz="4" w:space="0"/>
              <w:right w:val="single" w:color="auto" w:sz="4" w:space="0"/>
            </w:tcBorders>
            <w:vAlign w:val="center"/>
          </w:tcPr>
          <w:p w14:paraId="0C3BD607">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技术职称为</w:t>
            </w:r>
            <w:r>
              <w:rPr>
                <w:rFonts w:hint="eastAsia" w:ascii="Times New Roman" w:hAnsi="Times New Roman"/>
                <w:color w:val="auto"/>
                <w:highlight w:val="none"/>
                <w:shd w:val="clear"/>
                <w:lang w:val="en-US" w:eastAsia="zh-CN"/>
              </w:rPr>
              <w:t>市政工程相关</w:t>
            </w:r>
            <w:r>
              <w:rPr>
                <w:rFonts w:hint="eastAsia" w:ascii="Times New Roman" w:hAnsi="Times New Roman"/>
                <w:color w:val="auto"/>
                <w:highlight w:val="none"/>
                <w:shd w:val="clear"/>
              </w:rPr>
              <w:t>专业</w:t>
            </w:r>
            <w:r>
              <w:rPr>
                <w:rFonts w:hint="eastAsia" w:ascii="Times New Roman" w:hAnsi="Times New Roman"/>
                <w:color w:val="auto"/>
                <w:highlight w:val="none"/>
                <w:shd w:val="clear"/>
                <w:lang w:val="en-US" w:eastAsia="zh-CN"/>
              </w:rPr>
              <w:t>中级</w:t>
            </w:r>
            <w:r>
              <w:rPr>
                <w:rFonts w:hint="eastAsia" w:ascii="Times New Roman" w:hAnsi="Times New Roman"/>
                <w:color w:val="auto"/>
                <w:highlight w:val="none"/>
                <w:shd w:val="clear"/>
              </w:rPr>
              <w:t>及以上。</w:t>
            </w:r>
          </w:p>
          <w:p w14:paraId="6E8E844F">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F052"/>
            </w:r>
            <w:r>
              <w:rPr>
                <w:rFonts w:hint="eastAsia" w:ascii="Times New Roman" w:hAnsi="Times New Roman"/>
                <w:color w:val="auto"/>
                <w:highlight w:val="none"/>
                <w:shd w:val="clear"/>
              </w:rPr>
              <w:t>社保要求：</w:t>
            </w:r>
            <w:r>
              <w:rPr>
                <w:rFonts w:hint="eastAsia" w:ascii="Times New Roman" w:hAnsi="Times New Roman"/>
                <w:color w:val="auto"/>
                <w:kern w:val="0"/>
                <w:szCs w:val="21"/>
                <w:highlight w:val="none"/>
                <w:shd w:val="clear"/>
              </w:rPr>
              <w:t>投标截止时间前，</w:t>
            </w:r>
            <w:r>
              <w:rPr>
                <w:rFonts w:hint="eastAsia" w:ascii="Times New Roman" w:hAnsi="Times New Roman"/>
                <w:color w:val="auto"/>
                <w:highlight w:val="none"/>
                <w:shd w:val="clear"/>
              </w:rPr>
              <w:t>项目技术负责人</w:t>
            </w:r>
            <w:r>
              <w:rPr>
                <w:rFonts w:hint="eastAsia" w:ascii="Times New Roman" w:hAnsi="Times New Roman"/>
                <w:color w:val="auto"/>
                <w:kern w:val="0"/>
                <w:szCs w:val="21"/>
                <w:highlight w:val="none"/>
                <w:shd w:val="clear"/>
              </w:rPr>
              <w:t>缴纳社保的时间不少于</w:t>
            </w:r>
            <w:r>
              <w:rPr>
                <w:rFonts w:hint="eastAsia" w:ascii="Times New Roman" w:hAnsi="Times New Roman"/>
                <w:color w:val="auto"/>
                <w:kern w:val="0"/>
                <w:szCs w:val="21"/>
                <w:highlight w:val="none"/>
                <w:shd w:val="clear"/>
                <w:lang w:val="en-US" w:eastAsia="zh-CN"/>
              </w:rPr>
              <w:t>3</w:t>
            </w:r>
            <w:r>
              <w:rPr>
                <w:rFonts w:hint="eastAsia" w:ascii="Times New Roman" w:hAnsi="Times New Roman"/>
                <w:color w:val="auto"/>
                <w:kern w:val="0"/>
                <w:szCs w:val="21"/>
                <w:highlight w:val="none"/>
                <w:shd w:val="clear"/>
              </w:rPr>
              <w:t>个月，社保缴纳单位应当是投标人或者投标人不具备独立法人资格的分支机构，且至少含养老保险，</w:t>
            </w:r>
            <w:r>
              <w:rPr>
                <w:rFonts w:hint="eastAsia" w:ascii="Times New Roman" w:hAnsi="Times New Roman"/>
                <w:color w:val="auto"/>
                <w:highlight w:val="none"/>
                <w:shd w:val="clear"/>
              </w:rPr>
              <w:t>投标人应按照第</w:t>
            </w:r>
            <w:r>
              <w:rPr>
                <w:rFonts w:hint="eastAsia" w:ascii="Times New Roman" w:hAnsi="Times New Roman"/>
                <w:bCs w:val="0"/>
                <w:color w:val="auto"/>
                <w:highlight w:val="none"/>
                <w:shd w:val="clear"/>
              </w:rPr>
              <w:t>八</w:t>
            </w:r>
            <w:r>
              <w:rPr>
                <w:rFonts w:hint="eastAsia" w:ascii="Times New Roman" w:hAnsi="Times New Roman"/>
                <w:color w:val="auto"/>
                <w:highlight w:val="none"/>
                <w:shd w:val="clear"/>
              </w:rPr>
              <w:t>章“投标文件格式”的投标函</w:t>
            </w:r>
            <w:r>
              <w:rPr>
                <w:rFonts w:hint="eastAsia" w:ascii="Times New Roman" w:hAnsi="Times New Roman"/>
                <w:color w:val="auto"/>
                <w:highlight w:val="none"/>
                <w:shd w:val="clear"/>
                <w:lang w:val="en-US" w:eastAsia="zh-CN"/>
              </w:rPr>
              <w:t>提供</w:t>
            </w:r>
            <w:r>
              <w:rPr>
                <w:rFonts w:hint="eastAsia" w:ascii="Times New Roman" w:hAnsi="Times New Roman"/>
                <w:color w:val="auto"/>
                <w:highlight w:val="none"/>
                <w:shd w:val="clear"/>
              </w:rPr>
              <w:t>承诺</w:t>
            </w:r>
            <w:r>
              <w:rPr>
                <w:rFonts w:hint="eastAsia" w:ascii="Times New Roman" w:hAnsi="Times New Roman"/>
                <w:color w:val="auto"/>
                <w:highlight w:val="none"/>
                <w:shd w:val="clear"/>
                <w:lang w:val="en-US" w:eastAsia="zh-CN"/>
              </w:rPr>
              <w:t>即可</w:t>
            </w:r>
            <w:r>
              <w:rPr>
                <w:rFonts w:hint="eastAsia" w:ascii="Times New Roman" w:hAnsi="Times New Roman"/>
                <w:color w:val="auto"/>
                <w:highlight w:val="none"/>
                <w:shd w:val="clear"/>
              </w:rPr>
              <w:t>。</w:t>
            </w:r>
          </w:p>
        </w:tc>
      </w:tr>
      <w:permEnd w:id="85"/>
      <w:permEnd w:id="86"/>
    </w:tbl>
    <w:p w14:paraId="2494EEC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注：投标人应提供项目技术负责人的职称证书</w:t>
      </w:r>
      <w:r>
        <w:rPr>
          <w:rFonts w:hint="eastAsia" w:ascii="Times New Roman" w:hAnsi="Times New Roman"/>
          <w:color w:val="auto"/>
          <w:highlight w:val="none"/>
          <w:shd w:val="clear"/>
          <w:lang w:val="en-US" w:eastAsia="zh-CN"/>
        </w:rPr>
        <w:t>扫描件</w:t>
      </w:r>
      <w:r>
        <w:rPr>
          <w:rFonts w:hint="eastAsia" w:ascii="Times New Roman" w:hAnsi="Times New Roman"/>
          <w:color w:val="auto"/>
          <w:highlight w:val="none"/>
          <w:shd w:val="clear"/>
        </w:rPr>
        <w:t>。</w:t>
      </w:r>
    </w:p>
    <w:p w14:paraId="0098AA8D">
      <w:pPr>
        <w:pStyle w:val="33"/>
        <w:rPr>
          <w:color w:val="auto"/>
          <w:highlight w:val="none"/>
          <w:shd w:val="clear"/>
        </w:rPr>
      </w:pPr>
      <w:r>
        <w:rPr>
          <w:rFonts w:hint="eastAsia"/>
          <w:b/>
          <w:color w:val="auto"/>
          <w:highlight w:val="none"/>
          <w:shd w:val="clear"/>
        </w:rPr>
        <w:br w:type="page"/>
      </w:r>
      <w:r>
        <w:rPr>
          <w:rFonts w:hint="eastAsia"/>
          <w:color w:val="auto"/>
          <w:highlight w:val="none"/>
          <w:shd w:val="clear"/>
        </w:rPr>
        <w:t>附表2  其他主要管理人员和技术人员最低要求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2270"/>
        <w:gridCol w:w="4302"/>
      </w:tblGrid>
      <w:tr w14:paraId="6E5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14:paraId="7BD3926D">
            <w:pPr>
              <w:pStyle w:val="28"/>
              <w:rPr>
                <w:rFonts w:ascii="Times New Roman" w:hAnsi="Times New Roman"/>
                <w:color w:val="auto"/>
                <w:highlight w:val="none"/>
                <w:shd w:val="clear"/>
              </w:rPr>
            </w:pPr>
            <w:r>
              <w:rPr>
                <w:rFonts w:hint="eastAsia" w:ascii="Times New Roman" w:hAnsi="Times New Roman"/>
                <w:color w:val="auto"/>
                <w:highlight w:val="none"/>
                <w:shd w:val="clear"/>
              </w:rPr>
              <w:t>人员岗位</w:t>
            </w:r>
          </w:p>
        </w:tc>
        <w:tc>
          <w:tcPr>
            <w:tcW w:w="1332" w:type="pct"/>
            <w:tcBorders>
              <w:top w:val="single" w:color="auto" w:sz="4" w:space="0"/>
              <w:left w:val="single" w:color="auto" w:sz="4" w:space="0"/>
              <w:bottom w:val="single" w:color="auto" w:sz="4" w:space="0"/>
              <w:right w:val="single" w:color="auto" w:sz="4" w:space="0"/>
            </w:tcBorders>
            <w:vAlign w:val="center"/>
          </w:tcPr>
          <w:p w14:paraId="7EA54A12">
            <w:pPr>
              <w:pStyle w:val="28"/>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2524" w:type="pct"/>
            <w:tcBorders>
              <w:top w:val="single" w:color="auto" w:sz="4" w:space="0"/>
              <w:left w:val="single" w:color="auto" w:sz="4" w:space="0"/>
              <w:bottom w:val="single" w:color="auto" w:sz="4" w:space="0"/>
              <w:right w:val="single" w:color="auto" w:sz="4" w:space="0"/>
            </w:tcBorders>
            <w:vAlign w:val="center"/>
          </w:tcPr>
          <w:p w14:paraId="26177E44">
            <w:pPr>
              <w:pStyle w:val="28"/>
              <w:rPr>
                <w:rFonts w:ascii="Times New Roman" w:hAnsi="Times New Roman"/>
                <w:color w:val="auto"/>
                <w:highlight w:val="none"/>
                <w:shd w:val="clear"/>
              </w:rPr>
            </w:pPr>
            <w:r>
              <w:rPr>
                <w:rFonts w:hint="eastAsia" w:ascii="Times New Roman" w:hAnsi="Times New Roman"/>
                <w:color w:val="auto"/>
                <w:highlight w:val="none"/>
                <w:shd w:val="clear"/>
              </w:rPr>
              <w:t>资格要求</w:t>
            </w:r>
          </w:p>
        </w:tc>
      </w:tr>
      <w:tr w14:paraId="54E7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14:paraId="1C6964BA">
            <w:pPr>
              <w:pStyle w:val="29"/>
              <w:rPr>
                <w:rFonts w:ascii="Times New Roman" w:hAnsi="Times New Roman"/>
                <w:color w:val="auto"/>
                <w:highlight w:val="none"/>
                <w:shd w:val="clear"/>
              </w:rPr>
            </w:pPr>
            <w:permStart w:id="87" w:edGrp="everyone" w:colFirst="1" w:colLast="1"/>
            <w:r>
              <w:rPr>
                <w:rFonts w:hint="eastAsia" w:ascii="Times New Roman" w:hAnsi="Times New Roman"/>
                <w:color w:val="auto"/>
                <w:highlight w:val="none"/>
                <w:shd w:val="clear"/>
              </w:rPr>
              <w:t>施工员</w:t>
            </w:r>
          </w:p>
        </w:tc>
        <w:tc>
          <w:tcPr>
            <w:tcW w:w="1332" w:type="pct"/>
            <w:tcBorders>
              <w:top w:val="single" w:color="auto" w:sz="4" w:space="0"/>
              <w:left w:val="single" w:color="auto" w:sz="4" w:space="0"/>
              <w:bottom w:val="single" w:color="auto" w:sz="4" w:space="0"/>
              <w:right w:val="single" w:color="auto" w:sz="4" w:space="0"/>
            </w:tcBorders>
            <w:vAlign w:val="center"/>
          </w:tcPr>
          <w:p w14:paraId="124A0086">
            <w:pPr>
              <w:pStyle w:val="29"/>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1</w:t>
            </w:r>
          </w:p>
        </w:tc>
        <w:tc>
          <w:tcPr>
            <w:tcW w:w="2524" w:type="pct"/>
            <w:vMerge w:val="restart"/>
            <w:tcBorders>
              <w:top w:val="single" w:color="auto" w:sz="4" w:space="0"/>
              <w:left w:val="single" w:color="auto" w:sz="4" w:space="0"/>
              <w:right w:val="single" w:color="auto" w:sz="4" w:space="0"/>
            </w:tcBorders>
          </w:tcPr>
          <w:p w14:paraId="3C02DD10">
            <w:pPr>
              <w:pStyle w:val="30"/>
              <w:rPr>
                <w:rFonts w:ascii="Times New Roman" w:hAnsi="Times New Roman"/>
                <w:color w:val="auto"/>
                <w:highlight w:val="none"/>
                <w:shd w:val="clear"/>
              </w:rPr>
            </w:pPr>
            <w:r>
              <w:rPr>
                <w:rFonts w:hint="eastAsia" w:ascii="Times New Roman" w:hAnsi="Times New Roman"/>
                <w:color w:val="auto"/>
                <w:highlight w:val="none"/>
                <w:shd w:val="clear"/>
              </w:rPr>
              <w:t>根据安徽省住房和城乡建设厅《关于调整招标投标活动中有关住房城乡建设领域现场专业人员证书要求的通知》（建市函〔2019〕1112号）要求，不再将住房城乡建设领域现场专业技术人员（包括施工员、质量员、安全员、资料员、材料员、劳务员、机械员、标准员）及取样员持证情况列入投标文件。</w:t>
            </w:r>
          </w:p>
        </w:tc>
      </w:tr>
      <w:permEnd w:id="87"/>
      <w:tr w14:paraId="118F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14:paraId="4E5EA3C6">
            <w:pPr>
              <w:pStyle w:val="29"/>
              <w:rPr>
                <w:rFonts w:ascii="Times New Roman" w:hAnsi="Times New Roman"/>
                <w:color w:val="auto"/>
                <w:highlight w:val="none"/>
                <w:shd w:val="clear"/>
              </w:rPr>
            </w:pPr>
            <w:permStart w:id="88" w:edGrp="everyone" w:colFirst="1" w:colLast="1"/>
            <w:r>
              <w:rPr>
                <w:rFonts w:hint="eastAsia" w:ascii="Times New Roman" w:hAnsi="Times New Roman"/>
                <w:color w:val="auto"/>
                <w:highlight w:val="none"/>
                <w:shd w:val="clear"/>
              </w:rPr>
              <w:t>质量员/质检员</w:t>
            </w:r>
          </w:p>
        </w:tc>
        <w:tc>
          <w:tcPr>
            <w:tcW w:w="1332" w:type="pct"/>
            <w:tcBorders>
              <w:top w:val="single" w:color="auto" w:sz="4" w:space="0"/>
              <w:left w:val="single" w:color="auto" w:sz="4" w:space="0"/>
              <w:bottom w:val="single" w:color="auto" w:sz="4" w:space="0"/>
              <w:right w:val="single" w:color="auto" w:sz="4" w:space="0"/>
            </w:tcBorders>
            <w:vAlign w:val="center"/>
          </w:tcPr>
          <w:p w14:paraId="1FBDCCF5">
            <w:pPr>
              <w:pStyle w:val="29"/>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1</w:t>
            </w:r>
          </w:p>
        </w:tc>
        <w:tc>
          <w:tcPr>
            <w:tcW w:w="2524" w:type="pct"/>
            <w:vMerge w:val="continue"/>
            <w:tcBorders>
              <w:left w:val="single" w:color="auto" w:sz="4" w:space="0"/>
              <w:right w:val="single" w:color="auto" w:sz="4" w:space="0"/>
            </w:tcBorders>
            <w:vAlign w:val="center"/>
          </w:tcPr>
          <w:p w14:paraId="4F6C874E">
            <w:pPr>
              <w:pStyle w:val="22"/>
              <w:ind w:firstLine="420"/>
              <w:rPr>
                <w:rFonts w:ascii="Times New Roman" w:hAnsi="Times New Roman"/>
                <w:color w:val="auto"/>
                <w:highlight w:val="none"/>
                <w:shd w:val="clear"/>
              </w:rPr>
            </w:pPr>
          </w:p>
        </w:tc>
      </w:tr>
      <w:permEnd w:id="88"/>
      <w:tr w14:paraId="5695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14:paraId="4B1E7F3F">
            <w:pPr>
              <w:pStyle w:val="29"/>
              <w:rPr>
                <w:rFonts w:ascii="Times New Roman" w:hAnsi="Times New Roman"/>
                <w:color w:val="auto"/>
                <w:highlight w:val="none"/>
                <w:shd w:val="clear"/>
              </w:rPr>
            </w:pPr>
            <w:permStart w:id="89" w:edGrp="everyone" w:colFirst="1" w:colLast="1"/>
            <w:r>
              <w:rPr>
                <w:rFonts w:hint="eastAsia" w:ascii="Times New Roman" w:hAnsi="Times New Roman"/>
                <w:color w:val="auto"/>
                <w:highlight w:val="none"/>
                <w:shd w:val="clear"/>
              </w:rPr>
              <w:t>安全员</w:t>
            </w:r>
          </w:p>
        </w:tc>
        <w:tc>
          <w:tcPr>
            <w:tcW w:w="1332" w:type="pct"/>
            <w:tcBorders>
              <w:top w:val="single" w:color="auto" w:sz="4" w:space="0"/>
              <w:left w:val="single" w:color="auto" w:sz="4" w:space="0"/>
              <w:bottom w:val="single" w:color="auto" w:sz="4" w:space="0"/>
              <w:right w:val="single" w:color="auto" w:sz="4" w:space="0"/>
            </w:tcBorders>
            <w:vAlign w:val="center"/>
          </w:tcPr>
          <w:p w14:paraId="6C04663B">
            <w:pPr>
              <w:pStyle w:val="29"/>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1</w:t>
            </w:r>
          </w:p>
        </w:tc>
        <w:tc>
          <w:tcPr>
            <w:tcW w:w="2524" w:type="pct"/>
            <w:vMerge w:val="continue"/>
            <w:tcBorders>
              <w:left w:val="single" w:color="auto" w:sz="4" w:space="0"/>
              <w:right w:val="single" w:color="auto" w:sz="4" w:space="0"/>
            </w:tcBorders>
            <w:vAlign w:val="center"/>
          </w:tcPr>
          <w:p w14:paraId="7FD2D72C">
            <w:pPr>
              <w:pStyle w:val="22"/>
              <w:ind w:firstLine="420"/>
              <w:rPr>
                <w:rFonts w:ascii="Times New Roman" w:hAnsi="Times New Roman"/>
                <w:color w:val="auto"/>
                <w:highlight w:val="none"/>
                <w:shd w:val="clear"/>
              </w:rPr>
            </w:pPr>
          </w:p>
        </w:tc>
      </w:tr>
      <w:permEnd w:id="89"/>
      <w:tr w14:paraId="077D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14:paraId="46811BC6">
            <w:pPr>
              <w:pStyle w:val="29"/>
              <w:rPr>
                <w:rFonts w:ascii="Times New Roman" w:hAnsi="Times New Roman"/>
                <w:color w:val="auto"/>
                <w:highlight w:val="none"/>
                <w:shd w:val="clear"/>
              </w:rPr>
            </w:pPr>
            <w:permStart w:id="90" w:edGrp="everyone" w:colFirst="1" w:colLast="1"/>
            <w:r>
              <w:rPr>
                <w:rFonts w:hint="eastAsia" w:ascii="Times New Roman" w:hAnsi="Times New Roman"/>
                <w:color w:val="auto"/>
                <w:highlight w:val="none"/>
                <w:shd w:val="clear"/>
              </w:rPr>
              <w:t>资料员</w:t>
            </w:r>
          </w:p>
        </w:tc>
        <w:tc>
          <w:tcPr>
            <w:tcW w:w="1332" w:type="pct"/>
            <w:tcBorders>
              <w:top w:val="single" w:color="auto" w:sz="4" w:space="0"/>
              <w:left w:val="single" w:color="auto" w:sz="4" w:space="0"/>
              <w:bottom w:val="single" w:color="auto" w:sz="4" w:space="0"/>
              <w:right w:val="single" w:color="auto" w:sz="4" w:space="0"/>
            </w:tcBorders>
            <w:vAlign w:val="center"/>
          </w:tcPr>
          <w:p w14:paraId="62134C4D">
            <w:pPr>
              <w:pStyle w:val="29"/>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1</w:t>
            </w:r>
          </w:p>
        </w:tc>
        <w:tc>
          <w:tcPr>
            <w:tcW w:w="2524" w:type="pct"/>
            <w:vMerge w:val="continue"/>
            <w:tcBorders>
              <w:left w:val="single" w:color="auto" w:sz="4" w:space="0"/>
              <w:right w:val="single" w:color="auto" w:sz="4" w:space="0"/>
            </w:tcBorders>
            <w:vAlign w:val="center"/>
          </w:tcPr>
          <w:p w14:paraId="196309DB">
            <w:pPr>
              <w:pStyle w:val="22"/>
              <w:ind w:firstLine="420"/>
              <w:rPr>
                <w:rFonts w:ascii="Times New Roman" w:hAnsi="Times New Roman"/>
                <w:color w:val="auto"/>
                <w:highlight w:val="none"/>
                <w:shd w:val="clear"/>
              </w:rPr>
            </w:pPr>
          </w:p>
        </w:tc>
      </w:tr>
      <w:permEnd w:id="90"/>
      <w:tr w14:paraId="7F58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077648A">
            <w:pPr>
              <w:pStyle w:val="22"/>
              <w:ind w:firstLine="420"/>
              <w:rPr>
                <w:rFonts w:ascii="Times New Roman" w:hAnsi="Times New Roman"/>
                <w:color w:val="auto"/>
                <w:highlight w:val="none"/>
                <w:shd w:val="clear"/>
              </w:rPr>
            </w:pPr>
          </w:p>
        </w:tc>
      </w:tr>
      <w:bookmarkEnd w:id="90"/>
      <w:bookmarkEnd w:id="140"/>
      <w:bookmarkEnd w:id="141"/>
      <w:bookmarkEnd w:id="142"/>
    </w:tbl>
    <w:p w14:paraId="094492F6">
      <w:pPr>
        <w:pStyle w:val="22"/>
        <w:ind w:firstLine="420"/>
        <w:rPr>
          <w:rFonts w:ascii="Times New Roman" w:hAnsi="Times New Roman"/>
          <w:color w:val="auto"/>
          <w:highlight w:val="none"/>
          <w:shd w:val="clear"/>
        </w:rPr>
      </w:pPr>
      <w:bookmarkStart w:id="143" w:name="_Toc283798422"/>
      <w:bookmarkStart w:id="144" w:name="_Toc38879323"/>
      <w:bookmarkStart w:id="145" w:name="_Toc2985"/>
      <w:r>
        <w:rPr>
          <w:rFonts w:hint="eastAsia" w:ascii="Times New Roman" w:hAnsi="Times New Roman"/>
          <w:color w:val="auto"/>
          <w:highlight w:val="none"/>
          <w:shd w:val="clear"/>
        </w:rPr>
        <w:t xml:space="preserve">注： </w:t>
      </w:r>
    </w:p>
    <w:p w14:paraId="2C012436">
      <w:pPr>
        <w:pStyle w:val="22"/>
        <w:ind w:firstLine="420"/>
        <w:rPr>
          <w:rFonts w:ascii="Times New Roman" w:hAnsi="Times New Roman"/>
          <w:color w:val="auto"/>
          <w:highlight w:val="none"/>
          <w:shd w:val="clear"/>
        </w:rPr>
      </w:pPr>
      <w:permStart w:id="91" w:edGrp="everyone"/>
      <w:r>
        <w:rPr>
          <w:rFonts w:hint="eastAsia" w:ascii="Times New Roman" w:hAnsi="Times New Roman" w:eastAsia="MS Gothic"/>
          <w:color w:val="auto"/>
          <w:highlight w:val="none"/>
          <w:shd w:val="clear"/>
        </w:rPr>
        <w:t>☐</w:t>
      </w:r>
      <w:r>
        <w:rPr>
          <w:rFonts w:hint="eastAsia" w:ascii="Times New Roman" w:hAnsi="Times New Roman"/>
          <w:color w:val="auto"/>
          <w:highlight w:val="none"/>
          <w:shd w:val="clear"/>
        </w:rPr>
        <w:t>投标人须在投标文件格式 “项目管理机构人员组成表”中列明配备的人员岗位及人员姓名、数量，列明的人员数量及人员岗位满足上述最低要求。</w:t>
      </w:r>
    </w:p>
    <w:p w14:paraId="4C49FE93">
      <w:pPr>
        <w:pStyle w:val="22"/>
        <w:ind w:firstLine="420"/>
        <w:rPr>
          <w:color w:val="auto"/>
          <w:highlight w:val="none"/>
          <w:shd w:val="clear"/>
        </w:rPr>
      </w:pPr>
      <w:r>
        <w:rPr>
          <w:rFonts w:hint="eastAsia" w:ascii="Times New Roman" w:hAnsi="Times New Roman"/>
          <w:color w:val="auto"/>
          <w:highlight w:val="none"/>
          <w:shd w:val="clear"/>
        </w:rPr>
        <w:sym w:font="Wingdings 2" w:char="0052"/>
      </w:r>
      <w:r>
        <w:rPr>
          <w:rFonts w:hint="eastAsia" w:ascii="Times New Roman" w:hAnsi="Times New Roman"/>
          <w:color w:val="auto"/>
          <w:highlight w:val="none"/>
          <w:shd w:val="clear"/>
        </w:rPr>
        <w:t>本表不作为资格审查项，项目实施时，中标人和招标人在签订合同时应按照不低于本表人员配置的要求填写承包人主要施工管理人员表（人员配置符合住房和城乡建设部及安徽省相关标准），并作为合同的附件之一。</w:t>
      </w:r>
      <w:r>
        <w:rPr>
          <w:rFonts w:hint="eastAsia"/>
          <w:color w:val="auto"/>
          <w:highlight w:val="none"/>
          <w:shd w:val="clear"/>
        </w:rPr>
        <w:br w:type="page"/>
      </w:r>
      <w:permEnd w:id="91"/>
      <w:bookmarkStart w:id="146" w:name="_Toc130919077"/>
      <w:r>
        <w:rPr>
          <w:rFonts w:hint="eastAsia"/>
          <w:color w:val="auto"/>
          <w:highlight w:val="none"/>
          <w:shd w:val="clear"/>
        </w:rPr>
        <w:t>附录7  资格审查条件（其他要求）</w:t>
      </w:r>
      <w:bookmarkEnd w:id="146"/>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5B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DB82B23">
            <w:pPr>
              <w:pStyle w:val="28"/>
              <w:rPr>
                <w:rFonts w:ascii="Times New Roman" w:hAnsi="Times New Roman"/>
                <w:color w:val="auto"/>
                <w:highlight w:val="none"/>
                <w:shd w:val="clear"/>
              </w:rPr>
            </w:pPr>
            <w:r>
              <w:rPr>
                <w:rFonts w:hint="eastAsia" w:ascii="Times New Roman" w:hAnsi="Times New Roman"/>
                <w:color w:val="auto"/>
                <w:highlight w:val="none"/>
                <w:shd w:val="clear"/>
              </w:rPr>
              <w:t>其他要求1</w:t>
            </w:r>
          </w:p>
        </w:tc>
      </w:tr>
      <w:tr w14:paraId="2508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3F3A4DE">
            <w:pPr>
              <w:pStyle w:val="29"/>
              <w:jc w:val="left"/>
              <w:rPr>
                <w:rFonts w:ascii="Times New Roman" w:hAnsi="Times New Roman"/>
                <w:color w:val="auto"/>
                <w:highlight w:val="none"/>
                <w:shd w:val="clear"/>
              </w:rPr>
            </w:pPr>
            <w:r>
              <w:rPr>
                <w:rFonts w:hint="eastAsia" w:ascii="Times New Roman" w:hAnsi="Times New Roman"/>
                <w:color w:val="auto"/>
                <w:highlight w:val="none"/>
                <w:shd w:val="clear"/>
              </w:rPr>
              <w:t>1.投标人不得存在招标文件第二章“投标人须知”第1.4.3项、第1.4.4项规定的情形。</w:t>
            </w:r>
          </w:p>
        </w:tc>
      </w:tr>
    </w:tbl>
    <w:p w14:paraId="5AE2098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w:t>
      </w:r>
    </w:p>
    <w:p w14:paraId="2C9368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1.投标人应按照第八章“投标文件格式”的投标函承诺。如投标人承诺与实际不符，招标人有权取消其中标（或候选）资格，并报招标投标行政监督部门。</w:t>
      </w:r>
    </w:p>
    <w:p w14:paraId="4322F4DC">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2.上述投标人包含其不具备独立法人资格的分公司。</w:t>
      </w:r>
    </w:p>
    <w:p w14:paraId="2E1E4555">
      <w:pPr>
        <w:rPr>
          <w:rFonts w:hint="eastAsia" w:ascii="Times New Roman" w:hAnsi="Times New Roman"/>
          <w:color w:val="auto"/>
          <w:highlight w:val="none"/>
          <w:shd w:val="clear"/>
        </w:rPr>
      </w:pPr>
      <w:r>
        <w:rPr>
          <w:rFonts w:hint="eastAsia" w:ascii="Times New Roman" w:hAnsi="Times New Roman"/>
          <w:color w:val="auto"/>
          <w:highlight w:val="none"/>
          <w:shd w:val="clear"/>
        </w:rPr>
        <w:br w:type="page"/>
      </w:r>
    </w:p>
    <w:p w14:paraId="37E8A8C0">
      <w:pPr>
        <w:pStyle w:val="26"/>
        <w:rPr>
          <w:color w:val="auto"/>
          <w:highlight w:val="none"/>
          <w:shd w:val="clear"/>
        </w:rPr>
      </w:pPr>
      <w:bookmarkStart w:id="147" w:name="_Toc130919078"/>
      <w:bookmarkStart w:id="148" w:name="_Toc31252"/>
      <w:bookmarkStart w:id="149" w:name="_Toc170805110"/>
      <w:bookmarkStart w:id="150" w:name="_Toc17783"/>
      <w:bookmarkStart w:id="151" w:name="_Toc170805490"/>
      <w:bookmarkStart w:id="152" w:name="_Toc16515"/>
      <w:bookmarkStart w:id="153" w:name="_Toc299"/>
      <w:bookmarkStart w:id="154" w:name="_Toc25831"/>
      <w:bookmarkStart w:id="155" w:name="_Toc8098"/>
      <w:bookmarkStart w:id="156" w:name="_Toc5852"/>
      <w:bookmarkStart w:id="157" w:name="_Toc170803922"/>
      <w:r>
        <w:rPr>
          <w:rStyle w:val="31"/>
          <w:rFonts w:hint="eastAsia"/>
          <w:bCs w:val="0"/>
          <w:snapToGrid w:val="0"/>
          <w:color w:val="auto"/>
          <w:highlight w:val="none"/>
          <w:shd w:val="clear"/>
        </w:rPr>
        <w:t>投标人须知正文修改一览表</w:t>
      </w:r>
      <w:bookmarkEnd w:id="147"/>
      <w:bookmarkEnd w:id="148"/>
      <w:bookmarkEnd w:id="149"/>
      <w:bookmarkEnd w:id="150"/>
      <w:bookmarkEnd w:id="151"/>
      <w:bookmarkEnd w:id="152"/>
      <w:bookmarkEnd w:id="153"/>
      <w:bookmarkEnd w:id="154"/>
      <w:bookmarkEnd w:id="155"/>
      <w:bookmarkEnd w:id="156"/>
      <w:bookmarkEnd w:id="157"/>
    </w:p>
    <w:p w14:paraId="739EB0BB">
      <w:pPr>
        <w:pStyle w:val="33"/>
        <w:rPr>
          <w:color w:val="auto"/>
          <w:highlight w:val="none"/>
          <w:shd w:val="clear"/>
        </w:rPr>
      </w:pPr>
      <w:bookmarkStart w:id="158" w:name="_Toc170805111"/>
      <w:bookmarkStart w:id="159" w:name="_Toc170805491"/>
      <w:bookmarkStart w:id="160" w:name="_Toc170803923"/>
      <w:r>
        <w:rPr>
          <w:color w:val="auto"/>
          <w:highlight w:val="none"/>
          <w:shd w:val="clear"/>
        </w:rPr>
        <w:t>投标人须知正文条款内容修改如下：</w:t>
      </w:r>
      <w:bookmarkEnd w:id="158"/>
      <w:bookmarkEnd w:id="159"/>
      <w:bookmarkEnd w:id="16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580"/>
        <w:gridCol w:w="4238"/>
      </w:tblGrid>
      <w:tr w14:paraId="5031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vAlign w:val="center"/>
          </w:tcPr>
          <w:p w14:paraId="29EED937">
            <w:pPr>
              <w:pStyle w:val="28"/>
              <w:rPr>
                <w:rFonts w:ascii="Times New Roman" w:hAnsi="Times New Roman"/>
                <w:color w:val="auto"/>
                <w:highlight w:val="none"/>
                <w:shd w:val="clear"/>
              </w:rPr>
            </w:pPr>
            <w:r>
              <w:rPr>
                <w:rFonts w:hint="eastAsia" w:ascii="Times New Roman" w:hAnsi="Times New Roman"/>
                <w:color w:val="auto"/>
                <w:highlight w:val="none"/>
                <w:shd w:val="clear"/>
              </w:rPr>
              <w:t>条款编号</w:t>
            </w:r>
          </w:p>
        </w:tc>
        <w:tc>
          <w:tcPr>
            <w:tcW w:w="2580" w:type="dxa"/>
            <w:tcBorders>
              <w:top w:val="single" w:color="auto" w:sz="4" w:space="0"/>
              <w:left w:val="single" w:color="auto" w:sz="4" w:space="0"/>
              <w:bottom w:val="single" w:color="auto" w:sz="4" w:space="0"/>
              <w:right w:val="single" w:color="auto" w:sz="4" w:space="0"/>
            </w:tcBorders>
            <w:vAlign w:val="center"/>
          </w:tcPr>
          <w:p w14:paraId="4B0FE062">
            <w:pPr>
              <w:pStyle w:val="28"/>
              <w:rPr>
                <w:rFonts w:ascii="Times New Roman" w:hAnsi="Times New Roman"/>
                <w:color w:val="auto"/>
                <w:highlight w:val="none"/>
                <w:shd w:val="clear"/>
              </w:rPr>
            </w:pPr>
            <w:r>
              <w:rPr>
                <w:rFonts w:hint="eastAsia" w:ascii="Times New Roman" w:hAnsi="Times New Roman"/>
                <w:color w:val="auto"/>
                <w:highlight w:val="none"/>
                <w:shd w:val="clear"/>
              </w:rPr>
              <w:t>示范文本中条款内容</w:t>
            </w:r>
          </w:p>
        </w:tc>
        <w:tc>
          <w:tcPr>
            <w:tcW w:w="4238" w:type="dxa"/>
            <w:tcBorders>
              <w:top w:val="single" w:color="auto" w:sz="4" w:space="0"/>
              <w:left w:val="single" w:color="auto" w:sz="4" w:space="0"/>
              <w:bottom w:val="single" w:color="auto" w:sz="4" w:space="0"/>
              <w:right w:val="single" w:color="auto" w:sz="4" w:space="0"/>
            </w:tcBorders>
            <w:vAlign w:val="center"/>
          </w:tcPr>
          <w:p w14:paraId="3B1FDB6E">
            <w:pPr>
              <w:pStyle w:val="28"/>
              <w:rPr>
                <w:rFonts w:ascii="Times New Roman" w:hAnsi="Times New Roman"/>
                <w:color w:val="auto"/>
                <w:highlight w:val="none"/>
                <w:shd w:val="clear"/>
              </w:rPr>
            </w:pPr>
            <w:r>
              <w:rPr>
                <w:rFonts w:hint="eastAsia" w:ascii="Times New Roman" w:hAnsi="Times New Roman"/>
                <w:color w:val="auto"/>
                <w:highlight w:val="none"/>
                <w:shd w:val="clear"/>
              </w:rPr>
              <w:t>修改后条款内容</w:t>
            </w:r>
          </w:p>
        </w:tc>
      </w:tr>
      <w:tr w14:paraId="0271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41AEA0B">
            <w:pPr>
              <w:pStyle w:val="34"/>
              <w:rPr>
                <w:rFonts w:hint="eastAsia" w:ascii="Times New Roman" w:hAnsi="Times New Roman" w:eastAsia="宋体"/>
                <w:color w:val="auto"/>
                <w:highlight w:val="none"/>
                <w:shd w:val="clear"/>
                <w:lang w:val="en-US" w:eastAsia="zh-CN"/>
              </w:rPr>
            </w:pPr>
            <w:r>
              <w:rPr>
                <w:rFonts w:hint="eastAsia" w:ascii="Times New Roman" w:hAnsi="Times New Roman"/>
                <w:color w:val="auto"/>
                <w:highlight w:val="none"/>
                <w:shd w:val="clear"/>
                <w:lang w:val="en-US" w:eastAsia="zh-CN"/>
              </w:rPr>
              <w:t>/</w:t>
            </w:r>
          </w:p>
        </w:tc>
        <w:tc>
          <w:tcPr>
            <w:tcW w:w="2580" w:type="dxa"/>
            <w:tcBorders>
              <w:top w:val="single" w:color="auto" w:sz="4" w:space="0"/>
              <w:left w:val="single" w:color="auto" w:sz="4" w:space="0"/>
              <w:bottom w:val="single" w:color="auto" w:sz="4" w:space="0"/>
              <w:right w:val="single" w:color="auto" w:sz="4" w:space="0"/>
            </w:tcBorders>
            <w:vAlign w:val="center"/>
          </w:tcPr>
          <w:p w14:paraId="37917CE4">
            <w:pPr>
              <w:pStyle w:val="34"/>
              <w:rPr>
                <w:rFonts w:hint="default" w:ascii="Times New Roman" w:hAnsi="Times New Roman"/>
                <w:color w:val="auto"/>
                <w:highlight w:val="none"/>
                <w:shd w:val="clear"/>
              </w:rPr>
            </w:pPr>
            <w:r>
              <w:rPr>
                <w:rFonts w:hint="eastAsia" w:ascii="Times New Roman" w:hAnsi="Times New Roman"/>
                <w:color w:val="auto"/>
                <w:highlight w:val="none"/>
                <w:shd w:val="clear"/>
                <w:lang w:val="en-US" w:eastAsia="zh-CN"/>
              </w:rPr>
              <w:t>/</w:t>
            </w:r>
          </w:p>
        </w:tc>
        <w:tc>
          <w:tcPr>
            <w:tcW w:w="4238" w:type="dxa"/>
            <w:tcBorders>
              <w:top w:val="single" w:color="auto" w:sz="4" w:space="0"/>
              <w:left w:val="single" w:color="auto" w:sz="4" w:space="0"/>
              <w:bottom w:val="single" w:color="auto" w:sz="4" w:space="0"/>
              <w:right w:val="single" w:color="auto" w:sz="4" w:space="0"/>
            </w:tcBorders>
            <w:vAlign w:val="center"/>
          </w:tcPr>
          <w:p w14:paraId="637108F3">
            <w:pPr>
              <w:pStyle w:val="34"/>
              <w:rPr>
                <w:rFonts w:hint="default" w:ascii="Times New Roman" w:hAnsi="Times New Roman"/>
                <w:color w:val="auto"/>
                <w:highlight w:val="none"/>
                <w:shd w:val="clear"/>
              </w:rPr>
            </w:pPr>
            <w:r>
              <w:rPr>
                <w:rFonts w:hint="eastAsia" w:ascii="Times New Roman" w:hAnsi="Times New Roman"/>
                <w:color w:val="auto"/>
                <w:highlight w:val="none"/>
                <w:shd w:val="clear"/>
                <w:lang w:val="en-US" w:eastAsia="zh-CN"/>
              </w:rPr>
              <w:t>/</w:t>
            </w:r>
          </w:p>
        </w:tc>
      </w:tr>
    </w:tbl>
    <w:p w14:paraId="78240A81">
      <w:pPr>
        <w:pStyle w:val="22"/>
        <w:ind w:firstLine="420"/>
        <w:rPr>
          <w:rFonts w:hint="eastAsia" w:ascii="Times New Roman" w:hAnsi="Times New Roman"/>
          <w:color w:val="auto"/>
          <w:highlight w:val="none"/>
          <w:shd w:val="clear"/>
        </w:rPr>
      </w:pPr>
    </w:p>
    <w:p w14:paraId="5A56A77E">
      <w:pPr>
        <w:adjustRightInd w:val="0"/>
        <w:spacing w:line="360" w:lineRule="auto"/>
        <w:rPr>
          <w:rFonts w:ascii="Times New Roman" w:hAnsi="Times New Roman"/>
          <w:snapToGrid w:val="0"/>
          <w:color w:val="auto"/>
          <w:sz w:val="24"/>
          <w:szCs w:val="24"/>
          <w:highlight w:val="none"/>
          <w:shd w:val="clear"/>
        </w:rPr>
      </w:pPr>
      <w:r>
        <w:rPr>
          <w:rFonts w:hint="eastAsia" w:ascii="Times New Roman" w:hAnsi="Times New Roman"/>
          <w:snapToGrid w:val="0"/>
          <w:color w:val="auto"/>
          <w:sz w:val="24"/>
          <w:szCs w:val="24"/>
          <w:highlight w:val="none"/>
          <w:shd w:val="clear"/>
        </w:rPr>
        <w:br w:type="page"/>
      </w:r>
    </w:p>
    <w:bookmarkEnd w:id="143"/>
    <w:bookmarkEnd w:id="144"/>
    <w:bookmarkEnd w:id="145"/>
    <w:p w14:paraId="2C28F135">
      <w:pPr>
        <w:pStyle w:val="26"/>
        <w:rPr>
          <w:color w:val="auto"/>
          <w:highlight w:val="none"/>
          <w:shd w:val="clear"/>
        </w:rPr>
      </w:pPr>
      <w:bookmarkStart w:id="161" w:name="_Toc170803924"/>
      <w:bookmarkStart w:id="162" w:name="_Toc170805112"/>
      <w:bookmarkStart w:id="163" w:name="_Toc1641"/>
      <w:bookmarkStart w:id="164" w:name="_Toc130919079"/>
      <w:bookmarkStart w:id="165" w:name="_Toc19348"/>
      <w:bookmarkStart w:id="166" w:name="_Toc170805492"/>
      <w:r>
        <w:rPr>
          <w:rStyle w:val="31"/>
          <w:bCs/>
          <w:snapToGrid w:val="0"/>
          <w:color w:val="auto"/>
          <w:highlight w:val="none"/>
          <w:shd w:val="clear"/>
        </w:rPr>
        <w:t>1. 总则</w:t>
      </w:r>
      <w:bookmarkEnd w:id="161"/>
      <w:bookmarkEnd w:id="162"/>
      <w:bookmarkEnd w:id="163"/>
      <w:bookmarkEnd w:id="164"/>
      <w:bookmarkEnd w:id="165"/>
      <w:bookmarkEnd w:id="166"/>
    </w:p>
    <w:p w14:paraId="39BA4849">
      <w:pPr>
        <w:pStyle w:val="33"/>
        <w:rPr>
          <w:color w:val="auto"/>
          <w:highlight w:val="none"/>
          <w:shd w:val="clear"/>
        </w:rPr>
      </w:pPr>
      <w:bookmarkStart w:id="167" w:name="_Toc170803925"/>
      <w:bookmarkStart w:id="168" w:name="_Toc170805493"/>
      <w:bookmarkStart w:id="169" w:name="_Toc170805113"/>
      <w:bookmarkStart w:id="170" w:name="_Toc179632548"/>
      <w:bookmarkStart w:id="171" w:name="_Toc144974499"/>
      <w:bookmarkStart w:id="172" w:name="_Toc152045531"/>
      <w:bookmarkStart w:id="173" w:name="_Toc152042307"/>
      <w:r>
        <w:rPr>
          <w:color w:val="auto"/>
          <w:highlight w:val="none"/>
          <w:shd w:val="clear"/>
        </w:rPr>
        <w:t>1.1 项目概况</w:t>
      </w:r>
      <w:bookmarkEnd w:id="167"/>
      <w:bookmarkEnd w:id="168"/>
      <w:bookmarkEnd w:id="169"/>
    </w:p>
    <w:p w14:paraId="3A73DD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 根据《中华人民共和国招标投标法》《中华人民共和国招标投标法实施条例》等有关法律、法规和规章的规定，本招标项目已具备招标条件，现对本招标项目进行招标。</w:t>
      </w:r>
    </w:p>
    <w:p w14:paraId="0A0C28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 招标人：见招标公告。</w:t>
      </w:r>
    </w:p>
    <w:p w14:paraId="0F8599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1.1.3 招标代理机构：见招标公告。</w:t>
      </w:r>
    </w:p>
    <w:p w14:paraId="13565F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1.1.4 招标项目名称：见招标公告。</w:t>
      </w:r>
    </w:p>
    <w:p w14:paraId="7397FDF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1.1.5 建设地点：见招标公告。</w:t>
      </w:r>
    </w:p>
    <w:p w14:paraId="28F6C200">
      <w:pPr>
        <w:pStyle w:val="33"/>
        <w:rPr>
          <w:color w:val="auto"/>
          <w:highlight w:val="none"/>
          <w:shd w:val="clear"/>
        </w:rPr>
      </w:pPr>
      <w:bookmarkStart w:id="174" w:name="_Toc170805114"/>
      <w:bookmarkStart w:id="175" w:name="_Toc170803926"/>
      <w:bookmarkStart w:id="176" w:name="_Toc170805494"/>
      <w:r>
        <w:rPr>
          <w:color w:val="auto"/>
          <w:highlight w:val="none"/>
          <w:shd w:val="clear"/>
        </w:rPr>
        <w:t>1.2 资金来源和落实情况</w:t>
      </w:r>
      <w:bookmarkEnd w:id="174"/>
      <w:bookmarkEnd w:id="175"/>
      <w:bookmarkEnd w:id="176"/>
    </w:p>
    <w:p w14:paraId="1D7D48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1.2.1 资金来源：见招标公告。</w:t>
      </w:r>
    </w:p>
    <w:p w14:paraId="6A5CC3E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1.2.2 出资比例：见招标公告。</w:t>
      </w:r>
    </w:p>
    <w:p w14:paraId="03D4E3D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 资金落实情况：见招标公告。</w:t>
      </w:r>
    </w:p>
    <w:p w14:paraId="193678CB">
      <w:pPr>
        <w:pStyle w:val="33"/>
        <w:rPr>
          <w:color w:val="auto"/>
          <w:highlight w:val="none"/>
          <w:shd w:val="clear"/>
        </w:rPr>
      </w:pPr>
      <w:bookmarkStart w:id="177" w:name="_Toc170803927"/>
      <w:bookmarkStart w:id="178" w:name="_Toc170805495"/>
      <w:bookmarkStart w:id="179" w:name="_Toc170805115"/>
      <w:r>
        <w:rPr>
          <w:color w:val="auto"/>
          <w:highlight w:val="none"/>
          <w:shd w:val="clear"/>
        </w:rPr>
        <w:t>1.3 招标范围、计划工期、质量要求</w:t>
      </w:r>
      <w:bookmarkEnd w:id="177"/>
      <w:bookmarkEnd w:id="178"/>
      <w:bookmarkEnd w:id="179"/>
    </w:p>
    <w:p w14:paraId="59C4BF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1.3.1 招标范围：见招标公告。</w:t>
      </w:r>
    </w:p>
    <w:p w14:paraId="6BF7C8E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1.3.2 计划工期：见投标人须知前附表。</w:t>
      </w:r>
    </w:p>
    <w:p w14:paraId="1BE2D1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1.3.3 质量要求：见投标人须知前附表。</w:t>
      </w:r>
    </w:p>
    <w:p w14:paraId="67876E7F">
      <w:pPr>
        <w:pStyle w:val="33"/>
        <w:rPr>
          <w:color w:val="auto"/>
          <w:highlight w:val="none"/>
          <w:shd w:val="clear"/>
        </w:rPr>
      </w:pPr>
      <w:bookmarkStart w:id="180" w:name="_Toc170805496"/>
      <w:bookmarkStart w:id="181" w:name="_Toc170805116"/>
      <w:bookmarkStart w:id="182" w:name="_Toc170803928"/>
      <w:r>
        <w:rPr>
          <w:color w:val="auto"/>
          <w:highlight w:val="none"/>
          <w:shd w:val="clear"/>
        </w:rPr>
        <w:t>1.4 投标人资格要求</w:t>
      </w:r>
      <w:bookmarkEnd w:id="180"/>
      <w:bookmarkEnd w:id="181"/>
      <w:bookmarkEnd w:id="182"/>
    </w:p>
    <w:p w14:paraId="51A6EC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1.4.1 投标人应具备承担本标段施工的资质条件、能力和信誉。</w:t>
      </w:r>
    </w:p>
    <w:p w14:paraId="0BC9203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（1）资质条件：见投标人须知前附表；</w:t>
      </w:r>
    </w:p>
    <w:p w14:paraId="3DE49E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（2）财务要求：见投标人须知前附表；</w:t>
      </w:r>
    </w:p>
    <w:p w14:paraId="069A4A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（3）业绩要求：见投标人须知前附表；</w:t>
      </w:r>
    </w:p>
    <w:p w14:paraId="6835E3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（4）信誉要求：见投标人须知前附表；</w:t>
      </w:r>
    </w:p>
    <w:p w14:paraId="7666D8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（5）项目经理资格：见投标人须知前附表；</w:t>
      </w:r>
    </w:p>
    <w:p w14:paraId="629C29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（6）其他管理人员和技术人员要求：见投标人须知前附表；</w:t>
      </w:r>
    </w:p>
    <w:p w14:paraId="1BFD73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（7）其他要求：见投标人须知前附表。</w:t>
      </w:r>
    </w:p>
    <w:p w14:paraId="6534573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需要提交的相关证明材料见本章第3.5款的规定。</w:t>
      </w:r>
    </w:p>
    <w:p w14:paraId="24021B5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1.4.2 投标人须知前附表规定接受联合体投标的，联合体除应符合本章第1.4.1项和投标人须知前附表的要求外，还应遵守以下规定：</w:t>
      </w:r>
    </w:p>
    <w:p w14:paraId="7FDEB9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（1）联合体各方应按照招标文件提供的格式签订联合体协议书，明确联合体牵头人和各方权利义务，并承诺就中标项目向招标人承担连带责任；</w:t>
      </w:r>
    </w:p>
    <w:p w14:paraId="1E7D9E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联合体协议约定同一专业分工由两个以上成员共同承担的，按照承担该专业工作的资质等级最低的成员确定联合体该专业的资质；不同专业分工由不同成员分别承担的，按照各自的专业资质确定联合体的资质；</w:t>
      </w:r>
    </w:p>
    <w:p w14:paraId="54434FC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（3）联合体各方不得再以自己名义单独或参加其他联合体在同一标段中投标；</w:t>
      </w:r>
    </w:p>
    <w:p w14:paraId="355895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227BAE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（5）尽管委任了联合体牵头人，但联合体各成员在投标、签约与履行合同过程中，仍负有连带的和各自的法律责任。</w:t>
      </w:r>
    </w:p>
    <w:p w14:paraId="7DE1B6A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1.4.3 投标人（包括联合体各成员）不得存在下列情形：</w:t>
      </w:r>
    </w:p>
    <w:p w14:paraId="5728AB7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（1）为招标人不具有独立法人资格的附属机构（单位）；</w:t>
      </w:r>
    </w:p>
    <w:p w14:paraId="4E47A2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（2）与招标人存在利害关系且可能影响招标公正性；</w:t>
      </w:r>
    </w:p>
    <w:p w14:paraId="2D28EBF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（3）与本标段其他投标人的单位负责人为同一人；</w:t>
      </w:r>
    </w:p>
    <w:p w14:paraId="15F10D5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（4）与本标段的其他投标人存在控股、管理关系；</w:t>
      </w:r>
    </w:p>
    <w:p w14:paraId="5B9A902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（5）为本标段前期准备提供设计或咨询服务的法人或其任何附属机构（单位）；</w:t>
      </w:r>
    </w:p>
    <w:p w14:paraId="539A4E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（6）为本标段的监理人或代建人或招标代理机构；</w:t>
      </w:r>
    </w:p>
    <w:p w14:paraId="61BE1A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（7）与本标段的监理人或代建人或招标代理机构同为一个法定代表人；</w:t>
      </w:r>
    </w:p>
    <w:p w14:paraId="55137D6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（8）与本标段的监理人或代建人或招标代理机构存在控股或参股关系；</w:t>
      </w:r>
    </w:p>
    <w:p w14:paraId="67BF99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（9）被依法暂停或者取消投标资格，且在处罚期和处罚范围内（以有关行政管理部门的行政处罚决定或司法机关出具的有关法律文书为准）；</w:t>
      </w:r>
    </w:p>
    <w:p w14:paraId="3C61B13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（10）在最近三年内（自投标截止之日向前追溯3年，下同）有重大工程质量事故或重大生产安全事故的（以相关行业主管部门的行政处罚决定或司法机关出具的有关法律文书为准）；</w:t>
      </w:r>
    </w:p>
    <w:p w14:paraId="0AD7A5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（11）被责令停业，暂扣或吊销执照，或吊销资质证书，暂扣或吊销安全生产许可证；</w:t>
      </w:r>
    </w:p>
    <w:p w14:paraId="0E0187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（12）进入清算程序，或被宣告破产，或其他丧失履约能力的情形；</w:t>
      </w:r>
    </w:p>
    <w:p w14:paraId="6BBC64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（13）投标人或其法定代表人、项目经理在近三年内（自投标截止之日向前追溯3年）有行贿犯罪行为；</w:t>
      </w:r>
    </w:p>
    <w:p w14:paraId="3566AED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（14）法律法规规定的其他禁止投标的情形；</w:t>
      </w:r>
    </w:p>
    <w:p w14:paraId="3F4EACA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（15）投标人须知前附表规定的其他情形。</w:t>
      </w:r>
    </w:p>
    <w:p w14:paraId="484232C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1.4.4 投标人（包括联合体各成员）不得存在下列不良状况或不良信用记录：</w:t>
      </w:r>
    </w:p>
    <w:p w14:paraId="2EA2A0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（1）在国家企业信用信息公示系统（http://www.gsxt.gov.cn/）中被列入严重违法失信企业名单；</w:t>
      </w:r>
    </w:p>
    <w:p w14:paraId="3004C3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（2）在“信用中国”网站（http://www.creditchina.gov.cn/）中被列入失信被执行人名单；</w:t>
      </w:r>
    </w:p>
    <w:p w14:paraId="41DA193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（3）在“信用中国”网站（http://www.creditchina.gov.cn/）中被列入重大税收违法失信主体名单；</w:t>
      </w:r>
    </w:p>
    <w:p w14:paraId="67058A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（4）在“信用中国”网站（http://www.creditchina.gov.cn/）中被列入拖欠农民工工资失信联合惩戒对象名单；</w:t>
      </w:r>
    </w:p>
    <w:p w14:paraId="5A977E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w:t>
      </w:r>
      <w:r>
        <w:rPr>
          <w:rFonts w:ascii="Times New Roman" w:hAnsi="Times New Roman"/>
          <w:color w:val="auto"/>
          <w:highlight w:val="none"/>
          <w:shd w:val="clear"/>
        </w:rPr>
        <w:t>在</w:t>
      </w:r>
      <w:r>
        <w:rPr>
          <w:rFonts w:hint="eastAsia" w:ascii="Times New Roman" w:hAnsi="Times New Roman"/>
          <w:color w:val="auto"/>
          <w:highlight w:val="none"/>
          <w:shd w:val="clear"/>
        </w:rPr>
        <w:t>“</w:t>
      </w:r>
      <w:r>
        <w:rPr>
          <w:rFonts w:ascii="Times New Roman" w:hAnsi="Times New Roman"/>
          <w:color w:val="auto"/>
          <w:highlight w:val="none"/>
          <w:shd w:val="clear"/>
        </w:rPr>
        <w:t>信用中国</w:t>
      </w:r>
      <w:r>
        <w:rPr>
          <w:rFonts w:hint="eastAsia" w:ascii="Times New Roman" w:hAnsi="Times New Roman"/>
          <w:color w:val="auto"/>
          <w:highlight w:val="none"/>
          <w:shd w:val="clear"/>
        </w:rPr>
        <w:t>”</w:t>
      </w:r>
      <w:r>
        <w:rPr>
          <w:rFonts w:ascii="Times New Roman" w:hAnsi="Times New Roman"/>
          <w:color w:val="auto"/>
          <w:highlight w:val="none"/>
          <w:shd w:val="clear"/>
        </w:rPr>
        <w:t>网站（http://www.creditchina.gov.cn/）中被列入安全生产严重失信主体名单；</w:t>
      </w:r>
    </w:p>
    <w:p w14:paraId="00DB9AEA">
      <w:pPr>
        <w:pStyle w:val="22"/>
        <w:ind w:firstLine="420"/>
        <w:rPr>
          <w:rFonts w:ascii="Times New Roman" w:hAnsi="Times New Roman"/>
          <w:color w:val="auto"/>
          <w:highlight w:val="none"/>
          <w:shd w:val="clear"/>
          <w:lang w:val="zh-CN"/>
        </w:rPr>
      </w:pPr>
      <w:r>
        <w:rPr>
          <w:rFonts w:hint="eastAsia" w:ascii="Times New Roman" w:hAnsi="Times New Roman"/>
          <w:color w:val="auto"/>
          <w:highlight w:val="none"/>
          <w:shd w:val="clear"/>
        </w:rPr>
        <w:t>（6）投标人须知前附表规定的其他情形。</w:t>
      </w:r>
    </w:p>
    <w:bookmarkEnd w:id="170"/>
    <w:bookmarkEnd w:id="171"/>
    <w:bookmarkEnd w:id="172"/>
    <w:bookmarkEnd w:id="173"/>
    <w:p w14:paraId="03D2A3E8">
      <w:pPr>
        <w:pStyle w:val="33"/>
        <w:rPr>
          <w:color w:val="auto"/>
          <w:highlight w:val="none"/>
          <w:shd w:val="clear"/>
        </w:rPr>
      </w:pPr>
      <w:bookmarkStart w:id="183" w:name="_Toc170803929"/>
      <w:bookmarkStart w:id="184" w:name="_Toc144974503"/>
      <w:bookmarkStart w:id="185" w:name="_Toc179632552"/>
      <w:bookmarkStart w:id="186" w:name="_Toc152042311"/>
      <w:bookmarkStart w:id="187" w:name="_Toc152045535"/>
      <w:bookmarkStart w:id="188" w:name="_Toc170805497"/>
      <w:bookmarkStart w:id="189" w:name="_Toc170805117"/>
      <w:r>
        <w:rPr>
          <w:color w:val="auto"/>
          <w:highlight w:val="none"/>
          <w:shd w:val="clear"/>
        </w:rPr>
        <w:t>1.5 费用承担</w:t>
      </w:r>
      <w:bookmarkEnd w:id="183"/>
      <w:bookmarkEnd w:id="184"/>
      <w:bookmarkEnd w:id="185"/>
      <w:bookmarkEnd w:id="186"/>
      <w:bookmarkEnd w:id="187"/>
      <w:bookmarkEnd w:id="188"/>
      <w:bookmarkEnd w:id="189"/>
    </w:p>
    <w:p w14:paraId="42E6A4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投标人准备和参加投标活动发生的费用自理。</w:t>
      </w:r>
    </w:p>
    <w:p w14:paraId="254CD6D9">
      <w:pPr>
        <w:pStyle w:val="33"/>
        <w:rPr>
          <w:color w:val="auto"/>
          <w:highlight w:val="none"/>
          <w:shd w:val="clear"/>
        </w:rPr>
      </w:pPr>
      <w:bookmarkStart w:id="190" w:name="_Toc179632553"/>
      <w:bookmarkStart w:id="191" w:name="_Toc152042312"/>
      <w:bookmarkStart w:id="192" w:name="_Toc170803930"/>
      <w:bookmarkStart w:id="193" w:name="_Toc144974504"/>
      <w:bookmarkStart w:id="194" w:name="_Toc152045536"/>
      <w:bookmarkStart w:id="195" w:name="_Toc170805118"/>
      <w:bookmarkStart w:id="196" w:name="_Toc170805498"/>
      <w:r>
        <w:rPr>
          <w:color w:val="auto"/>
          <w:highlight w:val="none"/>
          <w:shd w:val="clear"/>
        </w:rPr>
        <w:t>1.6 保密</w:t>
      </w:r>
      <w:bookmarkEnd w:id="190"/>
      <w:bookmarkEnd w:id="191"/>
      <w:bookmarkEnd w:id="192"/>
      <w:bookmarkEnd w:id="193"/>
      <w:bookmarkEnd w:id="194"/>
      <w:bookmarkEnd w:id="195"/>
      <w:bookmarkEnd w:id="196"/>
    </w:p>
    <w:p w14:paraId="0FDB07E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参与招标投标活动的各方应对招标文件和投标文件中的商业和技术等秘密保密，否则应承担相应的法律责任。</w:t>
      </w:r>
    </w:p>
    <w:p w14:paraId="60CB87FA">
      <w:pPr>
        <w:pStyle w:val="33"/>
        <w:rPr>
          <w:color w:val="auto"/>
          <w:highlight w:val="none"/>
          <w:shd w:val="clear"/>
        </w:rPr>
      </w:pPr>
      <w:bookmarkStart w:id="197" w:name="_Toc144974505"/>
      <w:bookmarkStart w:id="198" w:name="_Toc179632554"/>
      <w:bookmarkStart w:id="199" w:name="_Toc152042313"/>
      <w:bookmarkStart w:id="200" w:name="_Toc170803931"/>
      <w:bookmarkStart w:id="201" w:name="_Toc170805119"/>
      <w:bookmarkStart w:id="202" w:name="_Toc170805499"/>
      <w:bookmarkStart w:id="203" w:name="_Toc152045537"/>
      <w:r>
        <w:rPr>
          <w:color w:val="auto"/>
          <w:highlight w:val="none"/>
          <w:shd w:val="clear"/>
        </w:rPr>
        <w:t>1.7 语言</w:t>
      </w:r>
      <w:bookmarkEnd w:id="197"/>
      <w:r>
        <w:rPr>
          <w:color w:val="auto"/>
          <w:highlight w:val="none"/>
          <w:shd w:val="clear"/>
        </w:rPr>
        <w:t>文字</w:t>
      </w:r>
      <w:bookmarkEnd w:id="198"/>
      <w:bookmarkEnd w:id="199"/>
      <w:bookmarkEnd w:id="200"/>
      <w:bookmarkEnd w:id="201"/>
      <w:bookmarkEnd w:id="202"/>
      <w:bookmarkEnd w:id="203"/>
    </w:p>
    <w:p w14:paraId="7B2C783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招标投标文件使用的语言文字为中文。专用术语使用外文的，应附有中文注释。</w:t>
      </w:r>
    </w:p>
    <w:p w14:paraId="740C62CA">
      <w:pPr>
        <w:pStyle w:val="33"/>
        <w:rPr>
          <w:color w:val="auto"/>
          <w:highlight w:val="none"/>
          <w:shd w:val="clear"/>
        </w:rPr>
      </w:pPr>
      <w:bookmarkStart w:id="204" w:name="_Toc170803932"/>
      <w:bookmarkStart w:id="205" w:name="_Toc170805120"/>
      <w:bookmarkStart w:id="206" w:name="_Toc179632555"/>
      <w:bookmarkStart w:id="207" w:name="_Toc152042314"/>
      <w:bookmarkStart w:id="208" w:name="_Toc144974506"/>
      <w:bookmarkStart w:id="209" w:name="_Toc152045538"/>
      <w:bookmarkStart w:id="210" w:name="_Toc170805500"/>
      <w:r>
        <w:rPr>
          <w:color w:val="auto"/>
          <w:highlight w:val="none"/>
          <w:shd w:val="clear"/>
        </w:rPr>
        <w:t>1.8 计量单位</w:t>
      </w:r>
      <w:bookmarkEnd w:id="204"/>
      <w:bookmarkEnd w:id="205"/>
      <w:bookmarkEnd w:id="206"/>
      <w:bookmarkEnd w:id="207"/>
      <w:bookmarkEnd w:id="208"/>
      <w:bookmarkEnd w:id="209"/>
      <w:bookmarkEnd w:id="210"/>
    </w:p>
    <w:p w14:paraId="1A36E1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所有计量均采用中华人民共和国法定计量单位。</w:t>
      </w:r>
    </w:p>
    <w:p w14:paraId="46884B1A">
      <w:pPr>
        <w:pStyle w:val="33"/>
        <w:rPr>
          <w:color w:val="auto"/>
          <w:highlight w:val="none"/>
          <w:shd w:val="clear"/>
        </w:rPr>
      </w:pPr>
      <w:bookmarkStart w:id="211" w:name="_Toc170803933"/>
      <w:bookmarkStart w:id="212" w:name="_Toc170805121"/>
      <w:bookmarkStart w:id="213" w:name="_Toc152045539"/>
      <w:bookmarkStart w:id="214" w:name="_Toc179632556"/>
      <w:bookmarkStart w:id="215" w:name="_Toc170805501"/>
      <w:bookmarkStart w:id="216" w:name="_Toc144974507"/>
      <w:bookmarkStart w:id="217" w:name="_Toc152042315"/>
      <w:r>
        <w:rPr>
          <w:color w:val="auto"/>
          <w:highlight w:val="none"/>
          <w:shd w:val="clear"/>
        </w:rPr>
        <w:t>1.9 踏勘现场</w:t>
      </w:r>
      <w:bookmarkEnd w:id="211"/>
      <w:bookmarkEnd w:id="212"/>
      <w:bookmarkEnd w:id="213"/>
      <w:bookmarkEnd w:id="214"/>
      <w:bookmarkEnd w:id="215"/>
      <w:bookmarkEnd w:id="216"/>
      <w:bookmarkEnd w:id="217"/>
    </w:p>
    <w:p w14:paraId="75B5F40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1.9.1 投标人须知前附表规定组织踏勘现场的，招标人按投标人须知前附表规定的时间、地点组织投标人踏勘项目现场。部分投标人未按时参加踏勘现场的，不影响踏勘现场的正常进行。招标人不得组织单个或部分投标人踏勘项目现场。</w:t>
      </w:r>
    </w:p>
    <w:p w14:paraId="605F39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1.9.2 投标人踏勘现场发生的费用自理。</w:t>
      </w:r>
    </w:p>
    <w:p w14:paraId="403D6E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1.9.3 除招标人的原因外，投标人自行负责在踏勘现场中所发生的人员伤亡和财产损失。</w:t>
      </w:r>
    </w:p>
    <w:p w14:paraId="0FBB2F1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1.9.4 招标人在踏勘现场中介绍的工程场地和相关的周边环境情况，供投标人在编制投标文件时参考，招标人不对投标人据此作出的判断和决策负责。</w:t>
      </w:r>
    </w:p>
    <w:p w14:paraId="1B0B6F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1.9.5 无论投标人是否到施工现场实地踏勘，中标后签订合同时和履约过程中，投标人不得以不完全了解现场情况或现场情况与招标文件描述不一致等为由，提出任何形式的增加工程造价或索赔的要求。</w:t>
      </w:r>
    </w:p>
    <w:p w14:paraId="20C67C9C">
      <w:pPr>
        <w:pStyle w:val="33"/>
        <w:rPr>
          <w:color w:val="auto"/>
          <w:highlight w:val="none"/>
          <w:shd w:val="clear"/>
        </w:rPr>
      </w:pPr>
      <w:bookmarkStart w:id="218" w:name="_Toc170805122"/>
      <w:bookmarkStart w:id="219" w:name="_Toc170803934"/>
      <w:bookmarkStart w:id="220" w:name="_Toc170805502"/>
      <w:r>
        <w:rPr>
          <w:color w:val="auto"/>
          <w:highlight w:val="none"/>
          <w:shd w:val="clear"/>
        </w:rPr>
        <w:t>1.10 投标预备会</w:t>
      </w:r>
      <w:bookmarkEnd w:id="218"/>
      <w:bookmarkEnd w:id="219"/>
      <w:bookmarkEnd w:id="220"/>
    </w:p>
    <w:p w14:paraId="79A72F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1.10.1 投标人须知前附表规定召开投标预备会的，招标人按照投标人须知前附表规定的时间和形式召开投标预备会，澄清投标人提出的问题。</w:t>
      </w:r>
    </w:p>
    <w:p w14:paraId="1DD948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1.10.2 投标人应按照投标人须知前附表规定的时间和形式将提出的问题送达招标人，以便招标人在会议期间澄清。</w:t>
      </w:r>
    </w:p>
    <w:p w14:paraId="33CC0E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1.10.3 投标预备会后，招标人将对投标人所提问题的澄清，按照本章第2.2款规定的时间和形式通知所有获取招标文件的投标人。该澄清内容为招标文件的组成部分。</w:t>
      </w:r>
    </w:p>
    <w:p w14:paraId="3649161D">
      <w:pPr>
        <w:pStyle w:val="33"/>
        <w:rPr>
          <w:color w:val="auto"/>
          <w:highlight w:val="none"/>
          <w:shd w:val="clear"/>
        </w:rPr>
      </w:pPr>
      <w:bookmarkStart w:id="221" w:name="_Toc152042317"/>
      <w:bookmarkStart w:id="222" w:name="_Toc144974509"/>
      <w:bookmarkStart w:id="223" w:name="_Toc179632558"/>
      <w:bookmarkStart w:id="224" w:name="_Toc170805503"/>
      <w:bookmarkStart w:id="225" w:name="_Toc170803935"/>
      <w:bookmarkStart w:id="226" w:name="_Toc170805123"/>
      <w:bookmarkStart w:id="227" w:name="_Toc152045541"/>
      <w:r>
        <w:rPr>
          <w:color w:val="auto"/>
          <w:highlight w:val="none"/>
          <w:shd w:val="clear"/>
        </w:rPr>
        <w:t>1.11 分包</w:t>
      </w:r>
      <w:bookmarkEnd w:id="221"/>
      <w:bookmarkEnd w:id="222"/>
      <w:bookmarkEnd w:id="223"/>
      <w:bookmarkEnd w:id="224"/>
      <w:bookmarkEnd w:id="225"/>
      <w:bookmarkEnd w:id="226"/>
      <w:bookmarkEnd w:id="227"/>
    </w:p>
    <w:p w14:paraId="2CE225B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1.11.1 投标人拟在中标后将中标项目的部分非主体、非关键性工作进行分包的，应符合以下规定：</w:t>
      </w:r>
    </w:p>
    <w:p w14:paraId="7ACE76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（1）分包内容要求：招标人允许分包或不允许分包的专业工程应在投标人须知前附表中载明；</w:t>
      </w:r>
    </w:p>
    <w:p w14:paraId="5DB4ABC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（2）接受分包的第三人资格要求：分包人的资格能力应与其分包工程的标准和规模相适应，且具备投标人须知前附表中规定的资格条件；</w:t>
      </w:r>
    </w:p>
    <w:p w14:paraId="772EB0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（3）其他要求：投标人如有分包计划，应按第八章“投标文件格式”的要求填写“拟分包项目情况表”，明确拟分包的工程及规模，且投标人中标后的分包应满足合同条款的相关要求。</w:t>
      </w:r>
    </w:p>
    <w:p w14:paraId="553FD68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1.11.2 中标人不得向他人转让中标项目，接受分包的人不得再次分包。中标人应就分包项目向招标人负责，接受分包的人就分包项目承担连带责任。</w:t>
      </w:r>
    </w:p>
    <w:p w14:paraId="0D168B36">
      <w:pPr>
        <w:pStyle w:val="33"/>
        <w:rPr>
          <w:color w:val="auto"/>
          <w:highlight w:val="none"/>
          <w:shd w:val="clear"/>
        </w:rPr>
      </w:pPr>
      <w:bookmarkStart w:id="228" w:name="_Toc179632559"/>
      <w:bookmarkStart w:id="229" w:name="_Toc170803936"/>
      <w:bookmarkStart w:id="230" w:name="_Toc170805124"/>
      <w:bookmarkStart w:id="231" w:name="_Toc170805504"/>
      <w:r>
        <w:rPr>
          <w:color w:val="auto"/>
          <w:highlight w:val="none"/>
          <w:shd w:val="clear"/>
        </w:rPr>
        <w:t>1.12 响应和</w:t>
      </w:r>
      <w:bookmarkEnd w:id="228"/>
      <w:r>
        <w:rPr>
          <w:color w:val="auto"/>
          <w:highlight w:val="none"/>
          <w:shd w:val="clear"/>
        </w:rPr>
        <w:t>偏差</w:t>
      </w:r>
      <w:bookmarkEnd w:id="229"/>
      <w:bookmarkEnd w:id="230"/>
      <w:bookmarkEnd w:id="231"/>
    </w:p>
    <w:p w14:paraId="34E73BA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1.12.1 投标文件偏离招标文件某些要求，视为投标文件存在偏差。偏差包括重大偏差和细微偏差。</w:t>
      </w:r>
    </w:p>
    <w:p w14:paraId="25E785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1.12.2 投标文件应对招标文件的实质性要求和条件作出满足性或更有利于招标人的响应，否则，视为投标文件存在重大偏差，投标人的投标将被否决。</w:t>
      </w:r>
    </w:p>
    <w:p w14:paraId="3DF39C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投标文件存在第三章“评标及定标办法”中所列任一否决投标情形的，均属于存在重大偏差。</w:t>
      </w:r>
    </w:p>
    <w:p w14:paraId="45D3F6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1.12.3 投标文件中的下列偏差为细微偏差：</w:t>
      </w:r>
    </w:p>
    <w:p w14:paraId="6FB516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在按照第三章“评标及定标办法”的规定对投标价进行算术性错误修正及其他错误修正后，最终投标报价未超过最高投标限价（如有）或未被否决投标的情况下，出现第三章“评标及定标办法”规定的算术性错误和投标报价的其他错误；</w:t>
      </w:r>
    </w:p>
    <w:p w14:paraId="111CBC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（2）投标文件个别文字有遗漏错误等不影响投标文件实质性内容的偏差。</w:t>
      </w:r>
    </w:p>
    <w:p w14:paraId="166FE6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1.12.4 评标委员会对投标文件中的细微偏差按照如下规定处理： </w:t>
      </w:r>
    </w:p>
    <w:p w14:paraId="5DF82B1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（1）对于本章第1.12.3项（1）目所述的细微偏差，按照第三章“评标及定标办法”的规定予以修正并要求投标人进行澄清；</w:t>
      </w:r>
    </w:p>
    <w:p w14:paraId="1499C8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（2）对于本章第1.12.3项（2）目所述的细微偏差，可要求投标人对细微偏差进行澄清。</w:t>
      </w:r>
    </w:p>
    <w:p w14:paraId="6AAAEAD7">
      <w:pPr>
        <w:pStyle w:val="26"/>
        <w:rPr>
          <w:rStyle w:val="31"/>
          <w:bCs/>
          <w:snapToGrid w:val="0"/>
          <w:color w:val="auto"/>
          <w:highlight w:val="none"/>
          <w:shd w:val="clear"/>
        </w:rPr>
      </w:pPr>
      <w:bookmarkStart w:id="232" w:name="_Toc179632560"/>
      <w:bookmarkStart w:id="233" w:name="_Toc170805505"/>
      <w:bookmarkStart w:id="234" w:name="_Toc5072"/>
      <w:bookmarkStart w:id="235" w:name="_Toc152045542"/>
      <w:bookmarkStart w:id="236" w:name="_Toc152042318"/>
      <w:bookmarkStart w:id="237" w:name="_Toc28866"/>
      <w:bookmarkStart w:id="238" w:name="_Toc170805125"/>
      <w:bookmarkStart w:id="239" w:name="_Toc38879325"/>
      <w:bookmarkStart w:id="240" w:name="_Toc144974510"/>
      <w:bookmarkStart w:id="241" w:name="_Toc130919080"/>
      <w:bookmarkStart w:id="242" w:name="_Toc170803937"/>
      <w:r>
        <w:rPr>
          <w:rStyle w:val="31"/>
          <w:bCs/>
          <w:snapToGrid w:val="0"/>
          <w:color w:val="auto"/>
          <w:highlight w:val="none"/>
          <w:shd w:val="clear"/>
        </w:rPr>
        <w:t>2. 招标文件</w:t>
      </w:r>
      <w:bookmarkEnd w:id="232"/>
      <w:bookmarkEnd w:id="233"/>
      <w:bookmarkEnd w:id="234"/>
      <w:bookmarkEnd w:id="235"/>
      <w:bookmarkEnd w:id="236"/>
      <w:bookmarkEnd w:id="237"/>
      <w:bookmarkEnd w:id="238"/>
      <w:bookmarkEnd w:id="239"/>
      <w:bookmarkEnd w:id="240"/>
      <w:bookmarkEnd w:id="241"/>
      <w:bookmarkEnd w:id="242"/>
    </w:p>
    <w:p w14:paraId="3A0033DD">
      <w:pPr>
        <w:pStyle w:val="33"/>
        <w:rPr>
          <w:color w:val="auto"/>
          <w:highlight w:val="none"/>
          <w:shd w:val="clear"/>
        </w:rPr>
      </w:pPr>
      <w:bookmarkStart w:id="243" w:name="_Toc179632561"/>
      <w:bookmarkStart w:id="244" w:name="_Toc170805126"/>
      <w:bookmarkStart w:id="245" w:name="_Toc152045543"/>
      <w:bookmarkStart w:id="246" w:name="_Toc170803938"/>
      <w:bookmarkStart w:id="247" w:name="_Toc170805506"/>
      <w:bookmarkStart w:id="248" w:name="_Toc144974511"/>
      <w:bookmarkStart w:id="249" w:name="_Toc152042319"/>
      <w:r>
        <w:rPr>
          <w:color w:val="auto"/>
          <w:highlight w:val="none"/>
          <w:shd w:val="clear"/>
        </w:rPr>
        <w:t>2.1 招标文件的组成</w:t>
      </w:r>
      <w:bookmarkEnd w:id="243"/>
      <w:bookmarkEnd w:id="244"/>
      <w:bookmarkEnd w:id="245"/>
      <w:bookmarkEnd w:id="246"/>
      <w:bookmarkEnd w:id="247"/>
      <w:bookmarkEnd w:id="248"/>
      <w:bookmarkEnd w:id="249"/>
    </w:p>
    <w:p w14:paraId="34D2857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本招标文件包括：</w:t>
      </w:r>
    </w:p>
    <w:p w14:paraId="0B58154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（1）招标公告；</w:t>
      </w:r>
    </w:p>
    <w:p w14:paraId="4D3625B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（2）投标人须知；</w:t>
      </w:r>
    </w:p>
    <w:p w14:paraId="3151587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（3）评标及定标办法；</w:t>
      </w:r>
    </w:p>
    <w:p w14:paraId="18BB7A3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（4）合同条款及格式；</w:t>
      </w:r>
    </w:p>
    <w:p w14:paraId="6B4B5C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（5）工程量清单；</w:t>
      </w:r>
    </w:p>
    <w:p w14:paraId="452F3F8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（6）图纸；</w:t>
      </w:r>
    </w:p>
    <w:p w14:paraId="40A3E5A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（7）技术标准和要求；</w:t>
      </w:r>
    </w:p>
    <w:p w14:paraId="6AADC41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（8）投标文件格式；</w:t>
      </w:r>
    </w:p>
    <w:p w14:paraId="27491F7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（9）投标人须知前附表规定的其他材料。</w:t>
      </w:r>
    </w:p>
    <w:p w14:paraId="3B49FCE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根据本章第1.10款、第2.2款和第2.3款对招标文件所作的澄清、修改，构成招标文件的组成部分。</w:t>
      </w:r>
    </w:p>
    <w:p w14:paraId="207781A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当招标文件、招标文件的澄清或修改等在同一内容的表述上不一致时，以最后发出的文件为准。</w:t>
      </w:r>
    </w:p>
    <w:p w14:paraId="23B6DBA9">
      <w:pPr>
        <w:pStyle w:val="33"/>
        <w:rPr>
          <w:color w:val="auto"/>
          <w:highlight w:val="none"/>
          <w:shd w:val="clear"/>
        </w:rPr>
      </w:pPr>
      <w:bookmarkStart w:id="250" w:name="_Toc170805127"/>
      <w:bookmarkStart w:id="251" w:name="_Toc144974512"/>
      <w:bookmarkStart w:id="252" w:name="_Toc152045544"/>
      <w:bookmarkStart w:id="253" w:name="_Toc170803939"/>
      <w:bookmarkStart w:id="254" w:name="_Toc170805507"/>
      <w:bookmarkStart w:id="255" w:name="_Toc152042320"/>
      <w:bookmarkStart w:id="256" w:name="_Toc179632562"/>
      <w:r>
        <w:rPr>
          <w:snapToGrid/>
          <w:color w:val="auto"/>
          <w:highlight w:val="none"/>
          <w:shd w:val="clear"/>
        </w:rPr>
        <w:t>2.2 招标文件的澄清</w:t>
      </w:r>
      <w:bookmarkEnd w:id="250"/>
      <w:bookmarkEnd w:id="251"/>
      <w:bookmarkEnd w:id="252"/>
      <w:bookmarkEnd w:id="253"/>
      <w:bookmarkEnd w:id="254"/>
      <w:bookmarkEnd w:id="255"/>
      <w:bookmarkEnd w:id="256"/>
    </w:p>
    <w:p w14:paraId="3915A8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2.2.1 投标人应仔细阅读和检查招标文件的全部内容。如有疑问，应按照投标人须知前附表规定的时间和形式向招标人发出对招标文件进行澄清的要求。</w:t>
      </w:r>
    </w:p>
    <w:p w14:paraId="0EDAFE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2.2.2 招标人对招标文件进行澄清的，以投标人须知前附表规定的形式向所有获取招标文件的投标人发出澄清文件，澄清文件一经发出则视为送达所有获取招标文件的投标人。因投标人未及时查阅上述澄清文件而导致的后果由投标人自行承担。</w:t>
      </w:r>
    </w:p>
    <w:p w14:paraId="025DF5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2.2.3 澄清文件发出的时间距投标截止时间不足15日的，并且澄清内容可能影响投标文件编制的，招标人将相应顺延投标截止时间。</w:t>
      </w:r>
    </w:p>
    <w:p w14:paraId="69A0320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2.2.4 除非招标人认为确有必要答复，否则，招标人有权拒绝回复投标人在本章第2.2.1项规定的时间后提出的任何澄清要求。</w:t>
      </w:r>
    </w:p>
    <w:p w14:paraId="41ABFA0E">
      <w:pPr>
        <w:pStyle w:val="33"/>
        <w:rPr>
          <w:color w:val="auto"/>
          <w:highlight w:val="none"/>
          <w:shd w:val="clear"/>
        </w:rPr>
      </w:pPr>
      <w:bookmarkStart w:id="257" w:name="_Toc170805508"/>
      <w:bookmarkStart w:id="258" w:name="_Toc144974513"/>
      <w:bookmarkStart w:id="259" w:name="_Toc170805128"/>
      <w:bookmarkStart w:id="260" w:name="_Toc152045545"/>
      <w:bookmarkStart w:id="261" w:name="_Toc179632563"/>
      <w:bookmarkStart w:id="262" w:name="_Toc170803940"/>
      <w:bookmarkStart w:id="263" w:name="_Toc152042321"/>
      <w:r>
        <w:rPr>
          <w:color w:val="auto"/>
          <w:highlight w:val="none"/>
          <w:shd w:val="clear"/>
        </w:rPr>
        <w:t>2.3 招标文件的修改</w:t>
      </w:r>
      <w:bookmarkEnd w:id="257"/>
      <w:bookmarkEnd w:id="258"/>
      <w:bookmarkEnd w:id="259"/>
      <w:bookmarkEnd w:id="260"/>
      <w:bookmarkEnd w:id="261"/>
      <w:bookmarkEnd w:id="262"/>
      <w:bookmarkEnd w:id="263"/>
    </w:p>
    <w:p w14:paraId="7DA4CED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369EF8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2.3.2 修改文件发出的时间距投标截止时间不足15日的，并且修改内容可能影响投标文件编制的，招标人将相应顺延投标截止时间。</w:t>
      </w:r>
    </w:p>
    <w:p w14:paraId="0BB7BDAD">
      <w:pPr>
        <w:pStyle w:val="33"/>
        <w:rPr>
          <w:color w:val="auto"/>
          <w:highlight w:val="none"/>
          <w:shd w:val="clear"/>
        </w:rPr>
      </w:pPr>
      <w:bookmarkStart w:id="264" w:name="_Toc170805129"/>
      <w:bookmarkStart w:id="265" w:name="_Toc170805509"/>
      <w:bookmarkStart w:id="266" w:name="_Toc170803941"/>
      <w:r>
        <w:rPr>
          <w:color w:val="auto"/>
          <w:highlight w:val="none"/>
          <w:shd w:val="clear"/>
        </w:rPr>
        <w:t>2.4 招标文件的异议</w:t>
      </w:r>
      <w:bookmarkEnd w:id="264"/>
      <w:bookmarkEnd w:id="265"/>
      <w:bookmarkEnd w:id="266"/>
    </w:p>
    <w:p w14:paraId="22F456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投标人或者其他利害关系人对招标文件有异议的，应在投标截止时间10日前通过电子交易系统在线提出或以其他书面形式提出。招标人将在收到异议之日起3日内作出答复；作出答复前，将暂停招标投标活动。</w:t>
      </w:r>
    </w:p>
    <w:p w14:paraId="12B04FAE">
      <w:pPr>
        <w:pStyle w:val="26"/>
        <w:rPr>
          <w:rStyle w:val="31"/>
          <w:bCs/>
          <w:snapToGrid w:val="0"/>
          <w:color w:val="auto"/>
          <w:highlight w:val="none"/>
          <w:shd w:val="clear"/>
        </w:rPr>
      </w:pPr>
      <w:bookmarkStart w:id="267" w:name="_Toc152042322"/>
      <w:bookmarkStart w:id="268" w:name="_Toc31804"/>
      <w:bookmarkStart w:id="269" w:name="_Toc152045546"/>
      <w:bookmarkStart w:id="270" w:name="_Toc130919081"/>
      <w:bookmarkStart w:id="271" w:name="_Toc144974514"/>
      <w:bookmarkStart w:id="272" w:name="_Toc38879326"/>
      <w:bookmarkStart w:id="273" w:name="_Toc170805510"/>
      <w:bookmarkStart w:id="274" w:name="_Toc170805130"/>
      <w:bookmarkStart w:id="275" w:name="_Toc170803942"/>
      <w:bookmarkStart w:id="276" w:name="_Toc10192"/>
      <w:bookmarkStart w:id="277" w:name="_Toc179632564"/>
      <w:r>
        <w:rPr>
          <w:rStyle w:val="31"/>
          <w:bCs/>
          <w:snapToGrid w:val="0"/>
          <w:color w:val="auto"/>
          <w:highlight w:val="none"/>
          <w:shd w:val="clear"/>
        </w:rPr>
        <w:t>3. 投标文件</w:t>
      </w:r>
      <w:bookmarkEnd w:id="267"/>
      <w:bookmarkEnd w:id="268"/>
      <w:bookmarkEnd w:id="269"/>
      <w:bookmarkEnd w:id="270"/>
      <w:bookmarkEnd w:id="271"/>
      <w:bookmarkEnd w:id="272"/>
      <w:bookmarkEnd w:id="273"/>
      <w:bookmarkEnd w:id="274"/>
      <w:bookmarkEnd w:id="275"/>
      <w:bookmarkEnd w:id="276"/>
      <w:bookmarkEnd w:id="277"/>
    </w:p>
    <w:p w14:paraId="10ED7079">
      <w:pPr>
        <w:pStyle w:val="33"/>
        <w:rPr>
          <w:color w:val="auto"/>
          <w:highlight w:val="none"/>
          <w:shd w:val="clear"/>
        </w:rPr>
      </w:pPr>
      <w:bookmarkStart w:id="278" w:name="_Toc170805511"/>
      <w:bookmarkStart w:id="279" w:name="_Toc170805131"/>
      <w:bookmarkStart w:id="280" w:name="_Toc152042323"/>
      <w:bookmarkStart w:id="281" w:name="_Toc170803943"/>
      <w:bookmarkStart w:id="282" w:name="_Toc179632565"/>
      <w:bookmarkStart w:id="283" w:name="_Toc152045547"/>
      <w:bookmarkStart w:id="284" w:name="_Toc144974515"/>
      <w:r>
        <w:rPr>
          <w:color w:val="auto"/>
          <w:highlight w:val="none"/>
          <w:shd w:val="clear"/>
        </w:rPr>
        <w:t>3.1 投标文件的组成</w:t>
      </w:r>
      <w:bookmarkEnd w:id="278"/>
      <w:bookmarkEnd w:id="279"/>
      <w:bookmarkEnd w:id="280"/>
      <w:bookmarkEnd w:id="281"/>
      <w:bookmarkEnd w:id="282"/>
      <w:bookmarkEnd w:id="283"/>
      <w:bookmarkEnd w:id="284"/>
    </w:p>
    <w:p w14:paraId="000096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3.1.1 投标文件应包括下列内容：</w:t>
      </w:r>
    </w:p>
    <w:p w14:paraId="319B27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（1）商务文件</w:t>
      </w:r>
    </w:p>
    <w:p w14:paraId="2847931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（2）技术文件</w:t>
      </w:r>
    </w:p>
    <w:p w14:paraId="5CE30AC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（3）报价文件</w:t>
      </w:r>
    </w:p>
    <w:p w14:paraId="0D219FA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3.1.2 投标人在评标过程中作出的符合法律法规和招标文件规定的澄清、说明和确认，构成投标文件的组成部分。</w:t>
      </w:r>
    </w:p>
    <w:p w14:paraId="5DF6B351">
      <w:pPr>
        <w:pStyle w:val="33"/>
        <w:rPr>
          <w:color w:val="auto"/>
          <w:highlight w:val="none"/>
          <w:shd w:val="clear"/>
        </w:rPr>
      </w:pPr>
      <w:bookmarkStart w:id="285" w:name="_Toc170803944"/>
      <w:bookmarkStart w:id="286" w:name="_Toc170805512"/>
      <w:bookmarkStart w:id="287" w:name="_Toc170805132"/>
      <w:bookmarkStart w:id="288" w:name="_Toc144974516"/>
      <w:bookmarkStart w:id="289" w:name="_Toc179632566"/>
      <w:bookmarkStart w:id="290" w:name="_Toc152042324"/>
      <w:bookmarkStart w:id="291" w:name="_Toc152045548"/>
      <w:r>
        <w:rPr>
          <w:color w:val="auto"/>
          <w:highlight w:val="none"/>
          <w:shd w:val="clear"/>
        </w:rPr>
        <w:t>3.2 投标报价</w:t>
      </w:r>
      <w:bookmarkEnd w:id="285"/>
      <w:bookmarkEnd w:id="286"/>
      <w:bookmarkEnd w:id="287"/>
      <w:bookmarkEnd w:id="288"/>
      <w:bookmarkEnd w:id="289"/>
      <w:bookmarkEnd w:id="290"/>
      <w:bookmarkEnd w:id="291"/>
    </w:p>
    <w:p w14:paraId="5C4A089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3.2.1 投标报价应包括国家规定的增值税税金，除投标人须知前附表另有规定外，增值税税金按照一般计税方法计算。投标人应按照第八章“投标文件格式”的要求在报价文件投标函中进行报价，并填写工程量清单相应表格。</w:t>
      </w:r>
    </w:p>
    <w:p w14:paraId="1F392E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3.2.2 投标人应充分了解本项目的总体情况以及影响投标报价的其他要素。</w:t>
      </w:r>
    </w:p>
    <w:p w14:paraId="6FC817E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3.2.3 投标人在投标截止时间前修改报价文件投标函中的投标总报价，应同时修改投标文件“已标价工程量清单”中的相应报价。此修改须符合本章第4.3款的有关要求。</w:t>
      </w:r>
    </w:p>
    <w:p w14:paraId="6A4A9C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3.2.4 招标人设有最高投标限价的，投标人的投标报价不得超过最高投标限价，最高投标限价在投标人须知前附表中载明。1</w:t>
      </w:r>
    </w:p>
    <w:p w14:paraId="4B69F1C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3.2.5 投标报价的其他要求见投标人须知前附表。</w:t>
      </w:r>
    </w:p>
    <w:p w14:paraId="3A6CC046">
      <w:pPr>
        <w:pStyle w:val="33"/>
        <w:rPr>
          <w:color w:val="auto"/>
          <w:highlight w:val="none"/>
          <w:shd w:val="clear"/>
        </w:rPr>
      </w:pPr>
      <w:bookmarkStart w:id="292" w:name="_Toc170803945"/>
      <w:bookmarkStart w:id="293" w:name="_Toc152042325"/>
      <w:bookmarkStart w:id="294" w:name="_Toc144974517"/>
      <w:bookmarkStart w:id="295" w:name="_Toc170805133"/>
      <w:bookmarkStart w:id="296" w:name="_Toc170805513"/>
      <w:bookmarkStart w:id="297" w:name="_Toc152045549"/>
      <w:bookmarkStart w:id="298" w:name="_Toc179632567"/>
      <w:r>
        <w:rPr>
          <w:color w:val="auto"/>
          <w:highlight w:val="none"/>
          <w:shd w:val="clear"/>
        </w:rPr>
        <w:t>3.3 投标有效期</w:t>
      </w:r>
      <w:bookmarkEnd w:id="292"/>
      <w:bookmarkEnd w:id="293"/>
      <w:bookmarkEnd w:id="294"/>
      <w:bookmarkEnd w:id="295"/>
      <w:bookmarkEnd w:id="296"/>
      <w:bookmarkEnd w:id="297"/>
      <w:bookmarkEnd w:id="298"/>
    </w:p>
    <w:p w14:paraId="79190F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3.3.1 除投标人须知前附表另有规定外，投标有效期为120日。</w:t>
      </w:r>
    </w:p>
    <w:p w14:paraId="517950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3.3.2 在投标有效期内，投标人撤销投标文件的，应承担招标文件和法律规定的责任。</w:t>
      </w:r>
    </w:p>
    <w:p w14:paraId="3622923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74FA343">
      <w:pPr>
        <w:pStyle w:val="33"/>
        <w:rPr>
          <w:color w:val="auto"/>
          <w:highlight w:val="none"/>
          <w:shd w:val="clear"/>
        </w:rPr>
      </w:pPr>
      <w:bookmarkStart w:id="299" w:name="_Toc170805134"/>
      <w:bookmarkStart w:id="300" w:name="_Toc152042326"/>
      <w:bookmarkStart w:id="301" w:name="_Toc170805514"/>
      <w:bookmarkStart w:id="302" w:name="_Toc179632568"/>
      <w:bookmarkStart w:id="303" w:name="_Toc152045550"/>
      <w:bookmarkStart w:id="304" w:name="_Toc144974518"/>
      <w:bookmarkStart w:id="305" w:name="_Toc170803946"/>
      <w:r>
        <w:rPr>
          <w:color w:val="auto"/>
          <w:highlight w:val="none"/>
          <w:shd w:val="clear"/>
        </w:rPr>
        <w:t>3.4 投标保证金</w:t>
      </w:r>
      <w:bookmarkEnd w:id="299"/>
      <w:bookmarkEnd w:id="300"/>
      <w:bookmarkEnd w:id="301"/>
      <w:bookmarkEnd w:id="302"/>
      <w:bookmarkEnd w:id="303"/>
      <w:bookmarkEnd w:id="304"/>
      <w:bookmarkEnd w:id="305"/>
    </w:p>
    <w:p w14:paraId="753741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3.4.1 招标人在投标人须知前附表中要求投标人提交投标保证金的，投标人在递交投标文件的同时，应按照投标人须知前附表规定的金额、形式和第八章“投标文件格式”规定的投标保证金格式提交投标保证金，并作为其投标文件的组成部分。</w:t>
      </w:r>
    </w:p>
    <w:p w14:paraId="63D4836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境内投标人以银行转账形式提交的投标保证金应当从其基本存款账户转出。联合体投标的，其投标保证金由牵头人递交，并应符合投标人须知前附表的规定。</w:t>
      </w:r>
    </w:p>
    <w:p w14:paraId="6AC2CE3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无论采取何种形式的投标保证金，投标保证金有效期均应与投标有效期一致。招标人如果按照本章第3.3.3项的规定延长了投标有效期，则投标保证金的有效期也相应延长。</w:t>
      </w:r>
    </w:p>
    <w:p w14:paraId="4E6E7A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3.4.2 投标人不按照本章第3.4.1项要求提交投标保证金的，评标委员会将否决其投标。</w:t>
      </w:r>
    </w:p>
    <w:p w14:paraId="7F6E0F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3.4.3 招标人最迟将在中标通知书发出后5日内向中标候选人以外的其他投标人退还投标保证金，与中标人签订合同后5日内向中标人和其他中标候选人退还投标保证金。投标保证金以银行转账形式提交的，招标人应同时退还投标保证金的银行同期活期存款利息，且退还至投标人的基本存款账户。其他形式的投标保证金，在投标有效期届满时自动失效的，无需退还。</w:t>
      </w:r>
    </w:p>
    <w:p w14:paraId="3C5330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3.4.4 有下列情形之一的，投标保证金将不予退还：</w:t>
      </w:r>
    </w:p>
    <w:p w14:paraId="5E86DE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（1）投标人在规定的投标有效期内撤销其投标文件；</w:t>
      </w:r>
    </w:p>
    <w:p w14:paraId="771318F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（2）中标人在收到中标通知书后，无正当理由不与招标人订立合同，或在签订合同时向招标人提出附加条件，或不按照招标文件要求提交履约保证金；</w:t>
      </w:r>
    </w:p>
    <w:p w14:paraId="32B179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（3）发生投标人须知前附表规定的其他不予退还投标保证金的情形。</w:t>
      </w:r>
      <w:bookmarkStart w:id="306" w:name="_Toc144974520"/>
      <w:bookmarkStart w:id="307" w:name="_Toc179632570"/>
      <w:bookmarkStart w:id="308" w:name="_Toc152045552"/>
      <w:bookmarkStart w:id="309" w:name="_Toc152042328"/>
    </w:p>
    <w:p w14:paraId="5D8544AB">
      <w:pPr>
        <w:pStyle w:val="33"/>
        <w:rPr>
          <w:color w:val="auto"/>
          <w:highlight w:val="none"/>
          <w:shd w:val="clear"/>
        </w:rPr>
      </w:pPr>
      <w:bookmarkStart w:id="310" w:name="_Toc170805515"/>
      <w:bookmarkStart w:id="311" w:name="_Toc170805135"/>
      <w:bookmarkStart w:id="312" w:name="_Toc170803947"/>
      <w:r>
        <w:rPr>
          <w:color w:val="auto"/>
          <w:highlight w:val="none"/>
          <w:shd w:val="clear"/>
        </w:rPr>
        <w:t>3.5 资格审查资料</w:t>
      </w:r>
      <w:bookmarkEnd w:id="310"/>
      <w:bookmarkEnd w:id="311"/>
      <w:bookmarkEnd w:id="312"/>
    </w:p>
    <w:bookmarkEnd w:id="306"/>
    <w:bookmarkEnd w:id="307"/>
    <w:bookmarkEnd w:id="308"/>
    <w:bookmarkEnd w:id="309"/>
    <w:p w14:paraId="5CA84B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3.5.1 投标人应按照投标人须知前附表附录要求提供资格审查资料，内容及格式见第八章“投标文件格式”要求。</w:t>
      </w:r>
    </w:p>
    <w:p w14:paraId="3F6D34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3.5.2 投标人须知前附表规定接受联合体投标的，资格审查资料应包括联合体各方相关情况。</w:t>
      </w:r>
    </w:p>
    <w:p w14:paraId="5B8B77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3.5.3 招标人有权核查投标人在投标文件中提供的材料，若在评标期间发现投标人提供了虚假材料，其投标将被否决；若在签订合同前发现中标候选人、中标人提供了虚假材料，招标人有权取消其中标（或候选）资格。同时招标人将报招标投标行政监督部门。</w:t>
      </w:r>
    </w:p>
    <w:p w14:paraId="1078B1E8">
      <w:pPr>
        <w:pStyle w:val="33"/>
        <w:rPr>
          <w:color w:val="auto"/>
          <w:highlight w:val="none"/>
          <w:shd w:val="clear"/>
        </w:rPr>
      </w:pPr>
      <w:bookmarkStart w:id="313" w:name="_Toc170805136"/>
      <w:bookmarkStart w:id="314" w:name="_Toc170805516"/>
      <w:bookmarkStart w:id="315" w:name="_Toc170803948"/>
      <w:r>
        <w:rPr>
          <w:color w:val="auto"/>
          <w:highlight w:val="none"/>
          <w:shd w:val="clear"/>
        </w:rPr>
        <w:t>3.6 备选投标方案</w:t>
      </w:r>
      <w:bookmarkEnd w:id="313"/>
      <w:bookmarkEnd w:id="314"/>
      <w:bookmarkEnd w:id="315"/>
    </w:p>
    <w:p w14:paraId="014DCC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3.6.1 除投标人须知前附表规定允许外，投标人不得递交备选投标方案，否则其投标将被否决。</w:t>
      </w:r>
    </w:p>
    <w:p w14:paraId="2098EB9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593629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3.6.3 投标人提供两个或两个以上投标报价，或在投标文件中提供一个报价，但同时提供两个或两个以上施工组织设计的，视为提供备选方案。</w:t>
      </w:r>
    </w:p>
    <w:p w14:paraId="223A1290">
      <w:pPr>
        <w:pStyle w:val="33"/>
        <w:rPr>
          <w:color w:val="auto"/>
          <w:kern w:val="0"/>
          <w:highlight w:val="none"/>
          <w:shd w:val="clear"/>
        </w:rPr>
      </w:pPr>
      <w:bookmarkStart w:id="316" w:name="_Toc152042330"/>
      <w:bookmarkStart w:id="317" w:name="_Toc170805517"/>
      <w:bookmarkStart w:id="318" w:name="_Toc170805137"/>
      <w:bookmarkStart w:id="319" w:name="_Toc152045554"/>
      <w:bookmarkStart w:id="320" w:name="_Toc170803949"/>
      <w:bookmarkStart w:id="321" w:name="_Toc144974522"/>
      <w:bookmarkStart w:id="322" w:name="_Toc179632572"/>
      <w:r>
        <w:rPr>
          <w:color w:val="auto"/>
          <w:highlight w:val="none"/>
          <w:shd w:val="clear"/>
        </w:rPr>
        <w:t>3.7 投标文件的编制</w:t>
      </w:r>
      <w:bookmarkEnd w:id="316"/>
      <w:bookmarkEnd w:id="317"/>
      <w:bookmarkEnd w:id="318"/>
      <w:bookmarkEnd w:id="319"/>
      <w:bookmarkEnd w:id="320"/>
      <w:bookmarkEnd w:id="321"/>
      <w:bookmarkEnd w:id="322"/>
    </w:p>
    <w:p w14:paraId="28E6D60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3.7.1 投标文件应按照第八章“投标文件格式”进行编写，如有必要，可以增加附页，作为投标文件的组成部分。投标函在满足招标文件实质性要求的基础上，可以提出比招标文件要求更有利于招标人的承诺。</w:t>
      </w:r>
    </w:p>
    <w:p w14:paraId="3AAD6CC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3.7.2 投标文件应当对招标文件有关工期、投标有效期、质量要求、技术标准和要求、招标范围等实质性内容作出响应。</w:t>
      </w:r>
    </w:p>
    <w:p w14:paraId="2A31C54D">
      <w:pPr>
        <w:pStyle w:val="22"/>
        <w:ind w:firstLine="420"/>
        <w:jc w:val="both"/>
        <w:rPr>
          <w:rFonts w:ascii="Times New Roman" w:hAnsi="Times New Roman"/>
          <w:color w:val="auto"/>
          <w:highlight w:val="none"/>
          <w:shd w:val="clear"/>
        </w:rPr>
      </w:pPr>
      <w:r>
        <w:rPr>
          <w:rFonts w:hint="eastAsia" w:ascii="Times New Roman" w:hAnsi="Times New Roman"/>
          <w:color w:val="auto"/>
          <w:highlight w:val="none"/>
          <w:shd w:val="clear"/>
        </w:rPr>
        <w:t>3.7.3 投标文件的制作应满足以下规定：</w:t>
      </w:r>
    </w:p>
    <w:p w14:paraId="526AD7F7">
      <w:pPr>
        <w:pStyle w:val="22"/>
        <w:ind w:firstLine="420"/>
        <w:jc w:val="both"/>
        <w:rPr>
          <w:rFonts w:ascii="Times New Roman" w:hAnsi="Times New Roman"/>
          <w:color w:val="auto"/>
          <w:highlight w:val="none"/>
          <w:shd w:val="clear"/>
        </w:rPr>
      </w:pPr>
      <w:bookmarkStart w:id="323" w:name="_Toc179632573"/>
      <w:bookmarkStart w:id="324" w:name="_Toc38879327"/>
      <w:bookmarkStart w:id="325" w:name="_Toc152042331"/>
      <w:bookmarkStart w:id="326" w:name="_Toc152045555"/>
      <w:bookmarkStart w:id="327" w:name="_Toc144974523"/>
      <w:r>
        <w:rPr>
          <w:rFonts w:hint="eastAsia" w:ascii="Times New Roman" w:hAnsi="Times New Roman"/>
          <w:color w:val="auto"/>
          <w:highlight w:val="none"/>
          <w:shd w:val="clear"/>
        </w:rPr>
        <w:t>（1）投标文件由投标人使用电子交易系统提供的“投标文件制作工具”制作生成。“投标文件制作工具”可以通过电子交易系统下载。</w:t>
      </w:r>
    </w:p>
    <w:p w14:paraId="67EBF306">
      <w:pPr>
        <w:pStyle w:val="22"/>
        <w:ind w:firstLine="420"/>
        <w:jc w:val="both"/>
        <w:rPr>
          <w:rFonts w:ascii="Times New Roman" w:hAnsi="Times New Roman"/>
          <w:color w:val="auto"/>
          <w:highlight w:val="none"/>
          <w:shd w:val="clear"/>
        </w:rPr>
      </w:pPr>
      <w:r>
        <w:rPr>
          <w:rFonts w:hint="eastAsia" w:ascii="Times New Roman" w:hAnsi="Times New Roman"/>
          <w:color w:val="auto"/>
          <w:highlight w:val="none"/>
          <w:shd w:val="clear"/>
        </w:rPr>
        <w:t>（2）在第八章“投标文件格式”中要求盖单位章和（或）法定代表人签字处，投标人应加盖投标人单位印章/电子印章和（或）法定代表人的个人印章/电子印章/签名/电子签名章。联合体投标的，除联合体协议书外，投标文件由联合体牵头人按照上述规定加盖联合体牵头人单位印章/电子印章和（或）法定代表人的个人印章/电子印章/签名/电子签名章。</w:t>
      </w:r>
    </w:p>
    <w:p w14:paraId="61D71447">
      <w:pPr>
        <w:pStyle w:val="22"/>
        <w:ind w:firstLine="420"/>
        <w:jc w:val="both"/>
        <w:rPr>
          <w:rFonts w:ascii="Times New Roman" w:hAnsi="Times New Roman"/>
          <w:color w:val="auto"/>
          <w:highlight w:val="none"/>
          <w:shd w:val="clear"/>
        </w:rPr>
      </w:pPr>
      <w:r>
        <w:rPr>
          <w:rFonts w:hint="eastAsia" w:ascii="Times New Roman" w:hAnsi="Times New Roman"/>
          <w:color w:val="auto"/>
          <w:highlight w:val="none"/>
          <w:shd w:val="clear"/>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1331E5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（4）投标文件中的证明材料接受扫描件（包括电子证照等电子件）形式。</w:t>
      </w:r>
    </w:p>
    <w:p w14:paraId="7C41F77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3.7.4 “投标文件制作工具”生成加密投标文件时，同时生成非加密投标文件，作为加密投标文件无法解密、导入时的补救措施。非加密投标文件递交要求见投标人须知前附表。</w:t>
      </w:r>
    </w:p>
    <w:p w14:paraId="09BEBA9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3.7.5 因投标人自身原因而导致投标文件（指解密后的投标文件或启用补救措施下的非加密投标文件）无法导入电子交易系统电子开标、评标系统，该投标视为无效投标，投标人自行承担由此导致的全部责任。</w:t>
      </w:r>
    </w:p>
    <w:p w14:paraId="7508F5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3.7.6 招标人在投标人须知前附表中要求本项目是否使用技术文件横向暗标评审。</w:t>
      </w:r>
    </w:p>
    <w:p w14:paraId="73B242F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（1）使用技术文件横向暗标评审的，按照如下格式要求编写：</w:t>
      </w:r>
    </w:p>
    <w:p w14:paraId="18BF0C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横向暗标评审技术文件不设目录，评审前系统自动对所有投标人的技术文件及各评审因素分别进行编号；投标人制作的技术文件部分不得出现可能泄露投标人单位及个人信息的文字、图片、图表（技术文件部分不得签章）等有关表述。</w:t>
      </w:r>
    </w:p>
    <w:p w14:paraId="74612B7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横向暗标评审仅限评标环节。评标结束后，如出现质疑、投诉、举报等，此时不再受横向暗标评审约束。</w:t>
      </w:r>
    </w:p>
    <w:p w14:paraId="4ECE000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（2）横向暗标补充要求见投标人须知前附表。</w:t>
      </w:r>
    </w:p>
    <w:p w14:paraId="4FE3C736">
      <w:pPr>
        <w:pStyle w:val="26"/>
        <w:rPr>
          <w:rStyle w:val="31"/>
          <w:bCs/>
          <w:snapToGrid w:val="0"/>
          <w:color w:val="auto"/>
          <w:highlight w:val="none"/>
          <w:shd w:val="clear"/>
        </w:rPr>
      </w:pPr>
      <w:bookmarkStart w:id="328" w:name="_Toc28777"/>
      <w:bookmarkStart w:id="329" w:name="_Toc170805518"/>
      <w:bookmarkStart w:id="330" w:name="_Toc14000"/>
      <w:bookmarkStart w:id="331" w:name="_Toc130919082"/>
      <w:bookmarkStart w:id="332" w:name="_Toc170803950"/>
      <w:bookmarkStart w:id="333" w:name="_Toc170805138"/>
      <w:r>
        <w:rPr>
          <w:rStyle w:val="31"/>
          <w:bCs/>
          <w:snapToGrid w:val="0"/>
          <w:color w:val="auto"/>
          <w:highlight w:val="none"/>
          <w:shd w:val="clear"/>
        </w:rPr>
        <w:t>4. 投标</w:t>
      </w:r>
      <w:bookmarkEnd w:id="323"/>
      <w:bookmarkEnd w:id="324"/>
      <w:bookmarkEnd w:id="325"/>
      <w:bookmarkEnd w:id="326"/>
      <w:bookmarkEnd w:id="327"/>
      <w:bookmarkEnd w:id="328"/>
      <w:bookmarkEnd w:id="329"/>
      <w:bookmarkEnd w:id="330"/>
      <w:bookmarkEnd w:id="331"/>
      <w:bookmarkEnd w:id="332"/>
      <w:bookmarkEnd w:id="333"/>
    </w:p>
    <w:p w14:paraId="705E4512">
      <w:pPr>
        <w:pStyle w:val="33"/>
        <w:rPr>
          <w:color w:val="auto"/>
          <w:highlight w:val="none"/>
          <w:shd w:val="clear"/>
        </w:rPr>
      </w:pPr>
      <w:bookmarkStart w:id="334" w:name="_Toc170803951"/>
      <w:bookmarkStart w:id="335" w:name="_Toc179632574"/>
      <w:bookmarkStart w:id="336" w:name="_Toc152045556"/>
      <w:bookmarkStart w:id="337" w:name="_Toc170805519"/>
      <w:bookmarkStart w:id="338" w:name="_Toc152042332"/>
      <w:bookmarkStart w:id="339" w:name="_Toc144974524"/>
      <w:bookmarkStart w:id="340" w:name="_Toc170805139"/>
      <w:r>
        <w:rPr>
          <w:color w:val="auto"/>
          <w:highlight w:val="none"/>
          <w:shd w:val="clear"/>
        </w:rPr>
        <w:t>4.1 投标文件的加密（密封）和标记</w:t>
      </w:r>
      <w:bookmarkEnd w:id="334"/>
      <w:bookmarkEnd w:id="335"/>
      <w:bookmarkEnd w:id="336"/>
      <w:bookmarkEnd w:id="337"/>
      <w:bookmarkEnd w:id="338"/>
      <w:bookmarkEnd w:id="339"/>
      <w:bookmarkEnd w:id="340"/>
    </w:p>
    <w:p w14:paraId="6B8CB7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4.1.1 投标文件应按照本章第3.7.3项要求制作并加密，未按照要求加密的投标文件将被拒绝接收。</w:t>
      </w:r>
    </w:p>
    <w:p w14:paraId="1060F73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4.1.2 非加密投标文件密封和标记要求见投标人须知前附表。非加密投标文件应在封口处加盖投标人单位章或由投标人的法定代表人或其授权的代理人签字，未按照规定封装或加写标记，招标人将不承担投标文件未被开启或提前开启的责任。</w:t>
      </w:r>
    </w:p>
    <w:p w14:paraId="72F9B925">
      <w:pPr>
        <w:pStyle w:val="33"/>
        <w:rPr>
          <w:color w:val="auto"/>
          <w:highlight w:val="none"/>
          <w:shd w:val="clear"/>
        </w:rPr>
      </w:pPr>
      <w:bookmarkStart w:id="341" w:name="_Toc144974525"/>
      <w:bookmarkStart w:id="342" w:name="_Toc152045557"/>
      <w:bookmarkStart w:id="343" w:name="_Toc179632575"/>
      <w:bookmarkStart w:id="344" w:name="_Toc152042333"/>
      <w:bookmarkStart w:id="345" w:name="_Toc170803952"/>
      <w:bookmarkStart w:id="346" w:name="_Toc170805140"/>
      <w:bookmarkStart w:id="347" w:name="_Toc170805520"/>
      <w:r>
        <w:rPr>
          <w:color w:val="auto"/>
          <w:highlight w:val="none"/>
          <w:shd w:val="clear"/>
        </w:rPr>
        <w:t>4.2 投标文件的递交</w:t>
      </w:r>
      <w:bookmarkEnd w:id="341"/>
      <w:bookmarkEnd w:id="342"/>
      <w:bookmarkEnd w:id="343"/>
      <w:bookmarkEnd w:id="344"/>
      <w:bookmarkEnd w:id="345"/>
      <w:bookmarkEnd w:id="346"/>
      <w:bookmarkEnd w:id="347"/>
    </w:p>
    <w:p w14:paraId="7140C669">
      <w:pPr>
        <w:pStyle w:val="22"/>
        <w:ind w:firstLine="420"/>
        <w:rPr>
          <w:rFonts w:ascii="Times New Roman" w:hAnsi="Times New Roman"/>
          <w:color w:val="auto"/>
          <w:highlight w:val="none"/>
          <w:shd w:val="clear"/>
        </w:rPr>
      </w:pPr>
      <w:bookmarkStart w:id="348" w:name="_Toc179632576"/>
      <w:bookmarkStart w:id="349" w:name="_Toc152042334"/>
      <w:bookmarkStart w:id="350" w:name="_Toc152045558"/>
      <w:bookmarkStart w:id="351" w:name="_Toc144974526"/>
      <w:r>
        <w:rPr>
          <w:rFonts w:hint="eastAsia" w:ascii="Times New Roman" w:hAnsi="Times New Roman"/>
          <w:color w:val="auto"/>
          <w:highlight w:val="none"/>
          <w:shd w:val="clear"/>
        </w:rPr>
        <w:t>4.2.1 投标人应当在规定的投标截止时间前，将加密投标文件在电子交易系统上传。</w:t>
      </w:r>
    </w:p>
    <w:p w14:paraId="5D08A1A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4.2.2 投标人递交非加密投标文件的地点：见投标人须知前附表。招标人收到非加密投标文件后由投标人代表登记或向投标人出具签收凭证。</w:t>
      </w:r>
    </w:p>
    <w:p w14:paraId="2F2E79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4.2.3 除投标人须知前附表另有规定外，投标人所递交的投标文件不予退还。</w:t>
      </w:r>
    </w:p>
    <w:p w14:paraId="24E7E64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4.2.4 投标人应当在投标截止时间前完成投标文件的传输递交（以接收到电子签收凭证为准），并可以补充、修改或者撤回投标文件。投标截止时间前未完成投标文件传输的，视为撤回投标文件。未按照规定加密或投标截止时间后送达的投标文件，电子交易系统应当拒收。</w:t>
      </w:r>
    </w:p>
    <w:p w14:paraId="6F7B29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4.2.5 如投标人须知前附表允许递交非加密投标文件，投标人逾期送达的或者未送达指定地点的非加密投标文件，招标人不予接收，但不影响其已按照招标文件要求从电子交易系统递交的加密投标文件的有效性。未从电子交易系统递交加密投标文件的，投标人递交的非加密投标文件将被视为无效。</w:t>
      </w:r>
    </w:p>
    <w:p w14:paraId="62FBE9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75438B9E">
      <w:pPr>
        <w:pStyle w:val="33"/>
        <w:rPr>
          <w:color w:val="auto"/>
          <w:highlight w:val="none"/>
          <w:shd w:val="clear"/>
        </w:rPr>
      </w:pPr>
      <w:bookmarkStart w:id="352" w:name="_Toc170805521"/>
      <w:bookmarkStart w:id="353" w:name="_Toc170803953"/>
      <w:bookmarkStart w:id="354" w:name="_Toc170805141"/>
      <w:r>
        <w:rPr>
          <w:color w:val="auto"/>
          <w:highlight w:val="none"/>
          <w:shd w:val="clear"/>
        </w:rPr>
        <w:t>4.3 投标文件的修改与撤回</w:t>
      </w:r>
      <w:bookmarkEnd w:id="348"/>
      <w:bookmarkEnd w:id="349"/>
      <w:bookmarkEnd w:id="350"/>
      <w:bookmarkEnd w:id="351"/>
      <w:bookmarkEnd w:id="352"/>
      <w:bookmarkEnd w:id="353"/>
      <w:bookmarkEnd w:id="354"/>
    </w:p>
    <w:p w14:paraId="3B502BED">
      <w:pPr>
        <w:pStyle w:val="22"/>
        <w:ind w:firstLine="420"/>
        <w:rPr>
          <w:rFonts w:ascii="Times New Roman" w:hAnsi="Times New Roman"/>
          <w:color w:val="auto"/>
          <w:highlight w:val="none"/>
          <w:shd w:val="clear"/>
        </w:rPr>
      </w:pPr>
      <w:bookmarkStart w:id="355" w:name="_Toc152045559"/>
      <w:bookmarkStart w:id="356" w:name="_Toc144974527"/>
      <w:bookmarkStart w:id="357" w:name="_Toc179632577"/>
      <w:bookmarkStart w:id="358" w:name="_Toc152042335"/>
      <w:bookmarkStart w:id="359" w:name="_Toc38879328"/>
      <w:r>
        <w:rPr>
          <w:rFonts w:hint="eastAsia" w:ascii="Times New Roman" w:hAnsi="Times New Roman"/>
          <w:color w:val="auto"/>
          <w:highlight w:val="none"/>
          <w:shd w:val="clear"/>
        </w:rPr>
        <w:t>4.3.1 在规定的投标截止时间前，投标人可以修改或撤回已递交的投标文件。投标人对加密投标文件进行撤回的，应在电子交易系统直接进行撤回操作；投标人对加密投标文件进行修改的，应在投标截止时间前完成上传。投标人修改投标文件的，应使用“投标文件制作工具”制作成完整的投标文件，并按照本章第3条、第4条规定进行编制、加密和递交。</w:t>
      </w:r>
    </w:p>
    <w:p w14:paraId="0DB202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4.3.2 投标人修改或撤回已递交的非加密投标文件的，应当以书面形式通知招标人，书面通知应由法定代表人（或代理人）签字或盖单位章。招标人收到书面通知后，向投标人出具签收凭证。</w:t>
      </w:r>
    </w:p>
    <w:p w14:paraId="01274A84">
      <w:pPr>
        <w:pStyle w:val="26"/>
        <w:rPr>
          <w:rStyle w:val="31"/>
          <w:bCs/>
          <w:snapToGrid w:val="0"/>
          <w:color w:val="auto"/>
          <w:highlight w:val="none"/>
          <w:shd w:val="clear"/>
        </w:rPr>
      </w:pPr>
      <w:bookmarkStart w:id="360" w:name="_Toc130919083"/>
      <w:bookmarkStart w:id="361" w:name="_Toc170805142"/>
      <w:bookmarkStart w:id="362" w:name="_Toc170805522"/>
      <w:bookmarkStart w:id="363" w:name="_Toc26824"/>
      <w:bookmarkStart w:id="364" w:name="_Toc31578"/>
      <w:bookmarkStart w:id="365" w:name="_Toc170803954"/>
      <w:r>
        <w:rPr>
          <w:rStyle w:val="31"/>
          <w:bCs/>
          <w:snapToGrid w:val="0"/>
          <w:color w:val="auto"/>
          <w:highlight w:val="none"/>
          <w:shd w:val="clear"/>
        </w:rPr>
        <w:t>5. 开标</w:t>
      </w:r>
      <w:bookmarkEnd w:id="355"/>
      <w:bookmarkEnd w:id="356"/>
      <w:bookmarkEnd w:id="357"/>
      <w:bookmarkEnd w:id="358"/>
      <w:bookmarkEnd w:id="359"/>
      <w:bookmarkEnd w:id="360"/>
      <w:bookmarkEnd w:id="361"/>
      <w:bookmarkEnd w:id="362"/>
      <w:bookmarkEnd w:id="363"/>
      <w:bookmarkEnd w:id="364"/>
      <w:bookmarkEnd w:id="365"/>
    </w:p>
    <w:p w14:paraId="5B626C90">
      <w:pPr>
        <w:pStyle w:val="33"/>
        <w:rPr>
          <w:color w:val="auto"/>
          <w:highlight w:val="none"/>
          <w:shd w:val="clear"/>
        </w:rPr>
      </w:pPr>
      <w:bookmarkStart w:id="366" w:name="_Toc152042336"/>
      <w:bookmarkStart w:id="367" w:name="_Toc170805143"/>
      <w:bookmarkStart w:id="368" w:name="_Toc152045560"/>
      <w:bookmarkStart w:id="369" w:name="_Toc179632578"/>
      <w:bookmarkStart w:id="370" w:name="_Toc170805523"/>
      <w:bookmarkStart w:id="371" w:name="_Toc170803955"/>
      <w:bookmarkStart w:id="372" w:name="_Toc144974528"/>
      <w:r>
        <w:rPr>
          <w:color w:val="auto"/>
          <w:highlight w:val="none"/>
          <w:shd w:val="clear"/>
        </w:rPr>
        <w:t>5.1 开标时间和地点</w:t>
      </w:r>
      <w:bookmarkEnd w:id="366"/>
      <w:bookmarkEnd w:id="367"/>
      <w:bookmarkEnd w:id="368"/>
      <w:bookmarkEnd w:id="369"/>
      <w:bookmarkEnd w:id="370"/>
      <w:bookmarkEnd w:id="371"/>
      <w:bookmarkEnd w:id="372"/>
    </w:p>
    <w:p w14:paraId="69EBBC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5.1.1 招标人在投标人须知前附表规定的开标时间和地点通过电子交易系统开标。</w:t>
      </w:r>
    </w:p>
    <w:p w14:paraId="13ABB7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5.1.2 所有投标人的法定代表人或其委托代理人应当准时参加。投标人若未派法定代表人或其委托代理人出席开标活动，视为该投标人默认开标结果。</w:t>
      </w:r>
    </w:p>
    <w:p w14:paraId="3DB013EC">
      <w:pPr>
        <w:pStyle w:val="33"/>
        <w:rPr>
          <w:color w:val="auto"/>
          <w:highlight w:val="none"/>
          <w:shd w:val="clear"/>
        </w:rPr>
      </w:pPr>
      <w:bookmarkStart w:id="373" w:name="_Toc152045561"/>
      <w:bookmarkStart w:id="374" w:name="_Toc170805524"/>
      <w:bookmarkStart w:id="375" w:name="_Toc152042337"/>
      <w:bookmarkStart w:id="376" w:name="_Toc170805144"/>
      <w:bookmarkStart w:id="377" w:name="_Toc170803956"/>
      <w:bookmarkStart w:id="378" w:name="_Toc144974529"/>
      <w:bookmarkStart w:id="379" w:name="_Toc179632579"/>
      <w:r>
        <w:rPr>
          <w:color w:val="auto"/>
          <w:highlight w:val="none"/>
          <w:shd w:val="clear"/>
        </w:rPr>
        <w:t>5.2 开标程序</w:t>
      </w:r>
      <w:bookmarkEnd w:id="373"/>
      <w:bookmarkEnd w:id="374"/>
      <w:bookmarkEnd w:id="375"/>
      <w:bookmarkEnd w:id="376"/>
      <w:bookmarkEnd w:id="377"/>
      <w:bookmarkEnd w:id="378"/>
      <w:bookmarkEnd w:id="379"/>
    </w:p>
    <w:p w14:paraId="26F911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除投标人须知前附表另有规定外，主持人按照下列程序进行开标：</w:t>
      </w:r>
    </w:p>
    <w:p w14:paraId="3C19F5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（1）公布在投标截止时间前通过电子交易系统完成投标文件递交的投标人名称；</w:t>
      </w:r>
    </w:p>
    <w:p w14:paraId="4AFDDEA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（2）由投标人推选的代表检查非加密投标文件的密封情况（如有）；</w:t>
      </w:r>
    </w:p>
    <w:p w14:paraId="0853389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（3）投标人在投标截止时间后在投标人须知前附表规定的要求和规定的解密时间内完成投标文件的解密工作；</w:t>
      </w:r>
      <w:r>
        <w:rPr>
          <w:rFonts w:ascii="Times New Roman" w:hAnsi="Times New Roman"/>
          <w:color w:val="auto"/>
          <w:highlight w:val="none"/>
          <w:shd w:val="clear"/>
        </w:rPr>
        <w:t xml:space="preserve"> </w:t>
      </w:r>
    </w:p>
    <w:p w14:paraId="7BAE816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（4）招标人完成解密工作，导入并读取所有成功解密的投标文件，或招标人成功导入现场递交的非加密投标文件；</w:t>
      </w:r>
    </w:p>
    <w:p w14:paraId="70A6F4A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（5）公布投标人名称、标段名称、质量要求、工期及其他内容；商务、技术文件评审完成后，根据第三章“评标及定标办法”的规定再公布所有投标人的投标报价；</w:t>
      </w:r>
    </w:p>
    <w:p w14:paraId="500499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（6）开标结束。</w:t>
      </w:r>
    </w:p>
    <w:p w14:paraId="5B7B5D05">
      <w:pPr>
        <w:pStyle w:val="33"/>
        <w:rPr>
          <w:color w:val="auto"/>
          <w:highlight w:val="none"/>
          <w:shd w:val="clear"/>
        </w:rPr>
      </w:pPr>
      <w:bookmarkStart w:id="380" w:name="_Toc170803957"/>
      <w:bookmarkStart w:id="381" w:name="_Toc170805145"/>
      <w:bookmarkStart w:id="382" w:name="_Toc170805525"/>
      <w:r>
        <w:rPr>
          <w:color w:val="auto"/>
          <w:highlight w:val="none"/>
          <w:shd w:val="clear"/>
        </w:rPr>
        <w:t>5.3 开标异议</w:t>
      </w:r>
      <w:bookmarkEnd w:id="380"/>
      <w:bookmarkEnd w:id="381"/>
      <w:bookmarkEnd w:id="382"/>
    </w:p>
    <w:p w14:paraId="26AC6E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投标人对开标有异议的，应当在开标过程中提出；招标人当场对异议作出答复，并记入开标记录。异议与答复应通过电子交易系统进行。</w:t>
      </w:r>
    </w:p>
    <w:p w14:paraId="4014E466">
      <w:pPr>
        <w:pStyle w:val="26"/>
        <w:rPr>
          <w:rStyle w:val="31"/>
          <w:bCs/>
          <w:snapToGrid w:val="0"/>
          <w:color w:val="auto"/>
          <w:highlight w:val="none"/>
          <w:shd w:val="clear"/>
        </w:rPr>
      </w:pPr>
      <w:bookmarkStart w:id="383" w:name="_Toc38879329"/>
      <w:bookmarkStart w:id="384" w:name="_Toc170805146"/>
      <w:bookmarkStart w:id="385" w:name="_Toc10587"/>
      <w:bookmarkStart w:id="386" w:name="_Toc152042338"/>
      <w:bookmarkStart w:id="387" w:name="_Toc179632580"/>
      <w:bookmarkStart w:id="388" w:name="_Toc152045562"/>
      <w:bookmarkStart w:id="389" w:name="_Toc28983"/>
      <w:bookmarkStart w:id="390" w:name="_Toc170805526"/>
      <w:bookmarkStart w:id="391" w:name="_Toc144974530"/>
      <w:bookmarkStart w:id="392" w:name="_Toc130919084"/>
      <w:bookmarkStart w:id="393" w:name="_Toc170803958"/>
      <w:r>
        <w:rPr>
          <w:rStyle w:val="31"/>
          <w:bCs/>
          <w:snapToGrid w:val="0"/>
          <w:color w:val="auto"/>
          <w:highlight w:val="none"/>
          <w:shd w:val="clear"/>
        </w:rPr>
        <w:t>6. 评标</w:t>
      </w:r>
      <w:bookmarkEnd w:id="383"/>
      <w:bookmarkEnd w:id="384"/>
      <w:bookmarkEnd w:id="385"/>
      <w:bookmarkEnd w:id="386"/>
      <w:bookmarkEnd w:id="387"/>
      <w:bookmarkEnd w:id="388"/>
      <w:bookmarkEnd w:id="389"/>
      <w:bookmarkEnd w:id="390"/>
      <w:bookmarkEnd w:id="391"/>
      <w:bookmarkEnd w:id="392"/>
      <w:bookmarkEnd w:id="393"/>
    </w:p>
    <w:p w14:paraId="7C8AFB9C">
      <w:pPr>
        <w:pStyle w:val="33"/>
        <w:rPr>
          <w:color w:val="auto"/>
          <w:highlight w:val="none"/>
          <w:shd w:val="clear"/>
        </w:rPr>
      </w:pPr>
      <w:bookmarkStart w:id="394" w:name="_Toc170803959"/>
      <w:bookmarkStart w:id="395" w:name="_Toc144974531"/>
      <w:bookmarkStart w:id="396" w:name="_Toc179632581"/>
      <w:bookmarkStart w:id="397" w:name="_Toc152042339"/>
      <w:bookmarkStart w:id="398" w:name="_Toc152045563"/>
      <w:bookmarkStart w:id="399" w:name="_Toc170805527"/>
      <w:bookmarkStart w:id="400" w:name="_Toc170805147"/>
      <w:r>
        <w:rPr>
          <w:color w:val="auto"/>
          <w:highlight w:val="none"/>
          <w:shd w:val="clear"/>
        </w:rPr>
        <w:t>6.1 评标委员会</w:t>
      </w:r>
      <w:bookmarkEnd w:id="394"/>
      <w:bookmarkEnd w:id="395"/>
      <w:bookmarkEnd w:id="396"/>
      <w:bookmarkEnd w:id="397"/>
      <w:bookmarkEnd w:id="398"/>
      <w:bookmarkEnd w:id="399"/>
      <w:bookmarkEnd w:id="400"/>
    </w:p>
    <w:p w14:paraId="7AE398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6.1.1 评标由招标人依法组建的评标委员会负责。评标委员会由招标人的代表，以及有关技术、经济等方面的专家组成。</w:t>
      </w:r>
    </w:p>
    <w:p w14:paraId="086686D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6.1.2 评标委员会成员有下列情形之一的，应当主动提出回避：</w:t>
      </w:r>
    </w:p>
    <w:p w14:paraId="605092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（1）投标人或投标人的主要负责人的近亲属；</w:t>
      </w:r>
    </w:p>
    <w:p w14:paraId="0E1C4CA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（2）项目主管部门或者行政监督部门的人员；</w:t>
      </w:r>
    </w:p>
    <w:p w14:paraId="6EB5E4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（3）与投标人有经济利益关系，可能影响对投标公正评审的；</w:t>
      </w:r>
    </w:p>
    <w:p w14:paraId="5300A5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（4）曾因在招标、评标以及其他与招标投标有关活动中从事违法行为而受过行政处罚或刑事处罚的；</w:t>
      </w:r>
    </w:p>
    <w:p w14:paraId="5AE9C1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（5）与投标人有其他利害关系。</w:t>
      </w:r>
    </w:p>
    <w:p w14:paraId="54BB92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6.1.3 评标过程中，评标委员会成员有回避事由、擅离职守或因健康等原因不能继续评标的，招标人有权更换。被更换的评标委员会成员作出的评审结论无效，由更换后的评标委员会成员重新进行评审。</w:t>
      </w:r>
    </w:p>
    <w:p w14:paraId="3AF06D4D">
      <w:pPr>
        <w:pStyle w:val="33"/>
        <w:rPr>
          <w:color w:val="auto"/>
          <w:highlight w:val="none"/>
          <w:shd w:val="clear"/>
        </w:rPr>
      </w:pPr>
      <w:bookmarkStart w:id="401" w:name="_Toc170805148"/>
      <w:bookmarkStart w:id="402" w:name="_Toc144974532"/>
      <w:bookmarkStart w:id="403" w:name="_Toc152042340"/>
      <w:bookmarkStart w:id="404" w:name="_Toc170805528"/>
      <w:bookmarkStart w:id="405" w:name="_Toc152045564"/>
      <w:bookmarkStart w:id="406" w:name="_Toc170803960"/>
      <w:bookmarkStart w:id="407" w:name="_Toc179632582"/>
      <w:r>
        <w:rPr>
          <w:color w:val="auto"/>
          <w:highlight w:val="none"/>
          <w:shd w:val="clear"/>
        </w:rPr>
        <w:t>6.2 评标原则</w:t>
      </w:r>
      <w:bookmarkEnd w:id="401"/>
      <w:bookmarkEnd w:id="402"/>
      <w:bookmarkEnd w:id="403"/>
      <w:bookmarkEnd w:id="404"/>
      <w:bookmarkEnd w:id="405"/>
      <w:bookmarkEnd w:id="406"/>
      <w:bookmarkEnd w:id="407"/>
    </w:p>
    <w:p w14:paraId="349E08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评标活动遵循公平、公正、科学和择优的原则。</w:t>
      </w:r>
    </w:p>
    <w:p w14:paraId="2DB05573">
      <w:pPr>
        <w:pStyle w:val="33"/>
        <w:rPr>
          <w:color w:val="auto"/>
          <w:highlight w:val="none"/>
          <w:shd w:val="clear"/>
        </w:rPr>
      </w:pPr>
      <w:bookmarkStart w:id="408" w:name="_Toc144974533"/>
      <w:bookmarkStart w:id="409" w:name="_Toc170805529"/>
      <w:bookmarkStart w:id="410" w:name="_Toc170805149"/>
      <w:bookmarkStart w:id="411" w:name="_Toc179632583"/>
      <w:bookmarkStart w:id="412" w:name="_Toc170803961"/>
      <w:bookmarkStart w:id="413" w:name="_Toc152045565"/>
      <w:bookmarkStart w:id="414" w:name="_Toc152042341"/>
      <w:r>
        <w:rPr>
          <w:color w:val="auto"/>
          <w:highlight w:val="none"/>
          <w:shd w:val="clear"/>
        </w:rPr>
        <w:t>6.3 评标</w:t>
      </w:r>
      <w:bookmarkEnd w:id="408"/>
      <w:bookmarkEnd w:id="409"/>
      <w:bookmarkEnd w:id="410"/>
      <w:bookmarkEnd w:id="411"/>
      <w:bookmarkEnd w:id="412"/>
      <w:bookmarkEnd w:id="413"/>
      <w:bookmarkEnd w:id="414"/>
    </w:p>
    <w:p w14:paraId="60CAE57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6.3.1 评标委员会按照第三章“评标及定标办法”规定的方法、评审因素、标准和程序对投标文件进行评审。第三章“评标及定标办法”没有规定的方法、评审因素和标准，不作为评标依据。</w:t>
      </w:r>
    </w:p>
    <w:p w14:paraId="62D19AA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6.3.2 评标完成后，评标委员会应向招标人提交书面评标报告和中标候选人名单。评标委员会推荐中标候选人的数量见投标人须知前附表。</w:t>
      </w:r>
    </w:p>
    <w:p w14:paraId="1E281BF8">
      <w:pPr>
        <w:pStyle w:val="33"/>
        <w:rPr>
          <w:color w:val="auto"/>
          <w:highlight w:val="none"/>
          <w:shd w:val="clear"/>
        </w:rPr>
      </w:pPr>
      <w:bookmarkStart w:id="415" w:name="_Toc170805150"/>
      <w:bookmarkStart w:id="416" w:name="_Toc170803962"/>
      <w:bookmarkStart w:id="417" w:name="_Toc170805530"/>
      <w:bookmarkStart w:id="418" w:name="_Toc179632585"/>
      <w:bookmarkStart w:id="419" w:name="_Toc152045567"/>
      <w:bookmarkStart w:id="420" w:name="_Toc144974535"/>
      <w:bookmarkStart w:id="421" w:name="_Toc152042343"/>
      <w:r>
        <w:rPr>
          <w:color w:val="auto"/>
          <w:highlight w:val="none"/>
          <w:shd w:val="clear"/>
        </w:rPr>
        <w:t>6.4 中标候选人公示</w:t>
      </w:r>
      <w:bookmarkEnd w:id="415"/>
      <w:bookmarkEnd w:id="416"/>
      <w:bookmarkEnd w:id="417"/>
    </w:p>
    <w:p w14:paraId="03C5BE4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招标人在收到评标报告之日起3日内，按照投标人须知前附表规定的公示媒介和期限依法公示中标候选人，公示期不得少于3日。其他要求见投标人须知前附表。</w:t>
      </w:r>
    </w:p>
    <w:p w14:paraId="54209030">
      <w:pPr>
        <w:pStyle w:val="33"/>
        <w:rPr>
          <w:color w:val="auto"/>
          <w:highlight w:val="none"/>
          <w:shd w:val="clear"/>
        </w:rPr>
      </w:pPr>
      <w:bookmarkStart w:id="422" w:name="_Toc170803963"/>
      <w:bookmarkStart w:id="423" w:name="_Toc170805151"/>
      <w:bookmarkStart w:id="424" w:name="_Toc170805531"/>
      <w:r>
        <w:rPr>
          <w:color w:val="auto"/>
          <w:highlight w:val="none"/>
          <w:shd w:val="clear"/>
        </w:rPr>
        <w:t>6.5 评标结果异议</w:t>
      </w:r>
      <w:bookmarkEnd w:id="422"/>
      <w:bookmarkEnd w:id="423"/>
      <w:bookmarkEnd w:id="424"/>
    </w:p>
    <w:p w14:paraId="004873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投标人或者其他利害关系人对评标结果有异议的，应在中标候选人公示期间通过电子交易系统在线提出或以其他书面形式提出。招标人将在收到异议之日起3日内作出答复；作出答复前，将暂停招标投标活动。</w:t>
      </w:r>
    </w:p>
    <w:p w14:paraId="768B9A4D">
      <w:pPr>
        <w:pStyle w:val="33"/>
        <w:rPr>
          <w:snapToGrid/>
          <w:color w:val="auto"/>
          <w:highlight w:val="none"/>
          <w:shd w:val="clear"/>
        </w:rPr>
      </w:pPr>
      <w:bookmarkStart w:id="425" w:name="_Toc170805532"/>
      <w:bookmarkStart w:id="426" w:name="_Toc170803964"/>
      <w:bookmarkStart w:id="427" w:name="_Toc170805152"/>
      <w:r>
        <w:rPr>
          <w:snapToGrid/>
          <w:color w:val="auto"/>
          <w:highlight w:val="none"/>
          <w:shd w:val="clear"/>
        </w:rPr>
        <w:t>6.6 中标候选人履约能力审查</w:t>
      </w:r>
      <w:bookmarkEnd w:id="425"/>
      <w:bookmarkEnd w:id="426"/>
      <w:bookmarkEnd w:id="427"/>
    </w:p>
    <w:p w14:paraId="64AB7A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中标候选人的经营、财务状况发生较大变化或存在违法行为，招标人认为可能影响其履约能力的，将在发出中标通知书前提请原评标委员会按照招标文件规定的标准和方法进行审查确认。</w:t>
      </w:r>
    </w:p>
    <w:p w14:paraId="2199AC8D">
      <w:pPr>
        <w:pStyle w:val="26"/>
        <w:rPr>
          <w:rStyle w:val="31"/>
          <w:bCs/>
          <w:snapToGrid w:val="0"/>
          <w:color w:val="auto"/>
          <w:highlight w:val="none"/>
          <w:shd w:val="clear"/>
        </w:rPr>
      </w:pPr>
      <w:bookmarkStart w:id="428" w:name="_Toc130919085"/>
      <w:bookmarkStart w:id="429" w:name="_Toc170805533"/>
      <w:bookmarkStart w:id="430" w:name="_Toc170803965"/>
      <w:bookmarkStart w:id="431" w:name="_Toc170805153"/>
      <w:r>
        <w:rPr>
          <w:rStyle w:val="31"/>
          <w:bCs/>
          <w:snapToGrid w:val="0"/>
          <w:color w:val="auto"/>
          <w:highlight w:val="none"/>
          <w:shd w:val="clear"/>
        </w:rPr>
        <w:t>7. 定标</w:t>
      </w:r>
      <w:bookmarkEnd w:id="418"/>
      <w:bookmarkEnd w:id="419"/>
      <w:bookmarkEnd w:id="420"/>
      <w:bookmarkEnd w:id="421"/>
      <w:bookmarkEnd w:id="428"/>
      <w:bookmarkEnd w:id="429"/>
      <w:bookmarkEnd w:id="430"/>
      <w:bookmarkEnd w:id="431"/>
    </w:p>
    <w:p w14:paraId="1F7D6DFF">
      <w:pPr>
        <w:pStyle w:val="33"/>
        <w:rPr>
          <w:color w:val="auto"/>
          <w:highlight w:val="none"/>
          <w:shd w:val="clear"/>
        </w:rPr>
      </w:pPr>
      <w:bookmarkStart w:id="432" w:name="_Toc170803966"/>
      <w:bookmarkStart w:id="433" w:name="_Toc170805534"/>
      <w:bookmarkStart w:id="434" w:name="_Toc170805154"/>
      <w:bookmarkStart w:id="435" w:name="_Hlk184117676"/>
      <w:r>
        <w:rPr>
          <w:color w:val="auto"/>
          <w:highlight w:val="none"/>
          <w:shd w:val="clear"/>
        </w:rPr>
        <w:t>7.1 定标</w:t>
      </w:r>
      <w:bookmarkEnd w:id="432"/>
      <w:bookmarkEnd w:id="433"/>
      <w:bookmarkEnd w:id="434"/>
    </w:p>
    <w:p w14:paraId="29F1A222">
      <w:pPr>
        <w:pStyle w:val="22"/>
        <w:wordWrap/>
        <w:spacing w:line="360" w:lineRule="auto"/>
        <w:ind w:firstLine="420"/>
        <w:rPr>
          <w:rFonts w:ascii="Times New Roman" w:hAnsi="Times New Roman"/>
          <w:color w:val="auto"/>
          <w:highlight w:val="none"/>
          <w:shd w:val="clear"/>
        </w:rPr>
      </w:pPr>
      <w:r>
        <w:rPr>
          <w:rFonts w:hint="eastAsia" w:ascii="Times New Roman" w:hAnsi="Times New Roman"/>
          <w:color w:val="auto"/>
          <w:highlight w:val="none"/>
          <w:shd w:val="clear"/>
        </w:rPr>
        <w:t>按照投标人须知前附表的规定，确定中标人。中标人因不可抗力不能履行合同、放弃中标、不按约定组织进场以及招标文件规定应当提供履约担保而未在规定期限内提供，或者被查实存在影响中标结果的违法行为等不符合中标条件的，招标人可以在其他中标候选人中再次组织定标活动，也可以重新招标。</w:t>
      </w:r>
    </w:p>
    <w:p w14:paraId="35E5CBAB">
      <w:pPr>
        <w:pStyle w:val="33"/>
        <w:rPr>
          <w:color w:val="auto"/>
          <w:highlight w:val="none"/>
          <w:shd w:val="clear"/>
        </w:rPr>
      </w:pPr>
      <w:bookmarkStart w:id="436" w:name="_Toc170805155"/>
      <w:bookmarkStart w:id="437" w:name="_Toc170805535"/>
      <w:bookmarkStart w:id="438" w:name="_Toc170803967"/>
      <w:r>
        <w:rPr>
          <w:color w:val="auto"/>
          <w:highlight w:val="none"/>
          <w:shd w:val="clear"/>
        </w:rPr>
        <w:t xml:space="preserve">7.2 </w:t>
      </w:r>
      <w:bookmarkEnd w:id="436"/>
      <w:bookmarkEnd w:id="437"/>
      <w:bookmarkEnd w:id="438"/>
      <w:r>
        <w:rPr>
          <w:rFonts w:hint="eastAsia"/>
          <w:color w:val="auto"/>
          <w:highlight w:val="none"/>
          <w:shd w:val="clear"/>
        </w:rPr>
        <w:t>定标委员会组建</w:t>
      </w:r>
    </w:p>
    <w:p w14:paraId="4BC32661">
      <w:pPr>
        <w:pStyle w:val="22"/>
        <w:wordWrap/>
        <w:spacing w:line="360" w:lineRule="auto"/>
        <w:ind w:firstLine="420"/>
        <w:rPr>
          <w:rFonts w:ascii="Times New Roman" w:hAnsi="Times New Roman"/>
          <w:color w:val="auto"/>
          <w:highlight w:val="none"/>
          <w:shd w:val="clear"/>
        </w:rPr>
      </w:pPr>
      <w:r>
        <w:rPr>
          <w:rFonts w:hint="eastAsia" w:ascii="Times New Roman" w:hAnsi="Times New Roman"/>
          <w:color w:val="auto"/>
          <w:highlight w:val="none"/>
          <w:shd w:val="clear"/>
        </w:rPr>
        <w:t>定标委员会按照投标人须知前附表规定组建。定标工作由组建的定标委员会负责，定标委员会成员为5人及以上的单数，最多不超过11人。定标委员会组长由招标人确定，定标委员会组长负责组织定标等工作，定标委员会成员对所提出的意见承担责任。</w:t>
      </w:r>
    </w:p>
    <w:p w14:paraId="18A4271D">
      <w:pPr>
        <w:pStyle w:val="33"/>
        <w:rPr>
          <w:color w:val="auto"/>
          <w:highlight w:val="none"/>
          <w:shd w:val="clear"/>
        </w:rPr>
      </w:pPr>
      <w:bookmarkStart w:id="439" w:name="_Toc170805156"/>
      <w:bookmarkStart w:id="440" w:name="_Toc170805536"/>
      <w:bookmarkStart w:id="441" w:name="_Toc170803968"/>
      <w:r>
        <w:rPr>
          <w:color w:val="auto"/>
          <w:highlight w:val="none"/>
          <w:shd w:val="clear"/>
        </w:rPr>
        <w:t xml:space="preserve">7.3 </w:t>
      </w:r>
      <w:bookmarkEnd w:id="439"/>
      <w:bookmarkEnd w:id="440"/>
      <w:bookmarkEnd w:id="441"/>
      <w:r>
        <w:rPr>
          <w:rFonts w:hint="eastAsia"/>
          <w:color w:val="auto"/>
          <w:highlight w:val="none"/>
          <w:shd w:val="clear"/>
        </w:rPr>
        <w:t>考察中标候选人情况</w:t>
      </w:r>
    </w:p>
    <w:p w14:paraId="6C7D4F23">
      <w:pPr>
        <w:pStyle w:val="22"/>
        <w:wordWrap/>
        <w:spacing w:line="360" w:lineRule="auto"/>
        <w:ind w:firstLine="420"/>
        <w:rPr>
          <w:rFonts w:ascii="Times New Roman" w:hAnsi="Times New Roman"/>
          <w:color w:val="auto"/>
          <w:highlight w:val="none"/>
          <w:shd w:val="clear"/>
        </w:rPr>
      </w:pPr>
      <w:bookmarkStart w:id="442" w:name="_Toc144974537"/>
      <w:bookmarkStart w:id="443" w:name="_Toc152042345"/>
      <w:bookmarkStart w:id="444" w:name="_Toc152045569"/>
      <w:bookmarkStart w:id="445" w:name="_Toc179632587"/>
      <w:r>
        <w:rPr>
          <w:rFonts w:hint="eastAsia" w:ascii="Times New Roman" w:hAnsi="Times New Roman"/>
          <w:color w:val="auto"/>
          <w:highlight w:val="none"/>
          <w:shd w:val="clear"/>
        </w:rPr>
        <w:t>招标人按照投标人须知前附表规定组织对中标候选人的考察。定标会议召开前，由招标人或招标人委托的专业机构围绕企业履约能力、拟派团队管理能力及水平、履约表现（记录）、是否存在影响中标结果的违法行为、投标报价及价格构成等方面进行考察，重点对中标候选人的合同履行能力特别是履约表现（记录）和风险进行考察并出具考察报告，作为定标委员会择优确定中标人的参考依据。</w:t>
      </w:r>
    </w:p>
    <w:p w14:paraId="1E51D61F">
      <w:pPr>
        <w:pStyle w:val="33"/>
        <w:rPr>
          <w:color w:val="auto"/>
          <w:highlight w:val="none"/>
          <w:shd w:val="clear"/>
        </w:rPr>
      </w:pPr>
      <w:r>
        <w:rPr>
          <w:color w:val="auto"/>
          <w:highlight w:val="none"/>
          <w:shd w:val="clear"/>
        </w:rPr>
        <w:t>7.</w:t>
      </w:r>
      <w:r>
        <w:rPr>
          <w:rFonts w:hint="eastAsia"/>
          <w:color w:val="auto"/>
          <w:highlight w:val="none"/>
          <w:shd w:val="clear"/>
        </w:rPr>
        <w:t>4</w:t>
      </w:r>
      <w:r>
        <w:rPr>
          <w:color w:val="auto"/>
          <w:highlight w:val="none"/>
          <w:shd w:val="clear"/>
        </w:rPr>
        <w:t xml:space="preserve"> </w:t>
      </w:r>
      <w:r>
        <w:rPr>
          <w:rFonts w:hint="eastAsia"/>
          <w:color w:val="auto"/>
          <w:highlight w:val="none"/>
          <w:shd w:val="clear"/>
        </w:rPr>
        <w:t>定标方法</w:t>
      </w:r>
    </w:p>
    <w:p w14:paraId="44902606">
      <w:pPr>
        <w:widowControl/>
        <w:spacing w:line="360" w:lineRule="auto"/>
        <w:ind w:firstLine="420" w:firstLineChars="200"/>
        <w:jc w:val="left"/>
        <w:rPr>
          <w:rFonts w:ascii="Times New Roman" w:hAnsi="Times New Roman"/>
          <w:bCs w:val="0"/>
          <w:color w:val="auto"/>
          <w:highlight w:val="none"/>
          <w:shd w:val="clear"/>
        </w:rPr>
      </w:pPr>
      <w:r>
        <w:rPr>
          <w:rFonts w:hint="eastAsia" w:ascii="Times New Roman" w:hAnsi="Times New Roman"/>
          <w:bCs w:val="0"/>
          <w:color w:val="auto"/>
          <w:highlight w:val="none"/>
          <w:shd w:val="clear"/>
        </w:rPr>
        <w:t>7.4.1 招标人自中标候选人公示结束后7个工作日内组织定标会议。招标人对中标候选人进行考察、质询及其他特殊原因的，可适当延长，但不得超过公示期满后10个工作日。如有异议、投诉等情况的，定标时间可相应顺延，</w:t>
      </w:r>
      <w:r>
        <w:rPr>
          <w:rFonts w:hint="eastAsia" w:ascii="Times New Roman" w:hAnsi="Times New Roman"/>
          <w:color w:val="auto"/>
          <w:highlight w:val="none"/>
          <w:shd w:val="clear"/>
        </w:rPr>
        <w:t>但不得超过投标有效期</w:t>
      </w:r>
      <w:r>
        <w:rPr>
          <w:rFonts w:hint="eastAsia" w:ascii="Times New Roman" w:hAnsi="Times New Roman"/>
          <w:bCs w:val="0"/>
          <w:color w:val="auto"/>
          <w:highlight w:val="none"/>
          <w:shd w:val="clear"/>
        </w:rPr>
        <w:t xml:space="preserve">。 </w:t>
      </w:r>
    </w:p>
    <w:p w14:paraId="690F87F3">
      <w:pPr>
        <w:widowControl/>
        <w:spacing w:line="360" w:lineRule="auto"/>
        <w:ind w:firstLine="420" w:firstLineChars="200"/>
        <w:jc w:val="left"/>
        <w:rPr>
          <w:rFonts w:ascii="Times New Roman" w:hAnsi="Times New Roman"/>
          <w:bCs w:val="0"/>
          <w:color w:val="auto"/>
          <w:highlight w:val="none"/>
          <w:shd w:val="clear"/>
        </w:rPr>
      </w:pPr>
      <w:r>
        <w:rPr>
          <w:rFonts w:hint="eastAsia" w:ascii="Times New Roman" w:hAnsi="Times New Roman"/>
          <w:bCs w:val="0"/>
          <w:color w:val="auto"/>
          <w:highlight w:val="none"/>
          <w:shd w:val="clear"/>
        </w:rPr>
        <w:t>7.4.2 定标委员会应当按照招标文件约定的定标方式客观、公正定标，确定中标人。具体定标方法详见投标人须知前附表。</w:t>
      </w:r>
    </w:p>
    <w:p w14:paraId="13DF51F7">
      <w:pPr>
        <w:pStyle w:val="33"/>
        <w:rPr>
          <w:color w:val="auto"/>
          <w:highlight w:val="none"/>
          <w:shd w:val="clear"/>
        </w:rPr>
      </w:pPr>
      <w:r>
        <w:rPr>
          <w:color w:val="auto"/>
          <w:highlight w:val="none"/>
          <w:shd w:val="clear"/>
        </w:rPr>
        <w:t>7.</w:t>
      </w:r>
      <w:r>
        <w:rPr>
          <w:rFonts w:hint="eastAsia"/>
          <w:color w:val="auto"/>
          <w:highlight w:val="none"/>
          <w:shd w:val="clear"/>
        </w:rPr>
        <w:t>5</w:t>
      </w:r>
      <w:r>
        <w:rPr>
          <w:color w:val="auto"/>
          <w:highlight w:val="none"/>
          <w:shd w:val="clear"/>
        </w:rPr>
        <w:t xml:space="preserve"> </w:t>
      </w:r>
      <w:r>
        <w:rPr>
          <w:rFonts w:hint="eastAsia"/>
          <w:color w:val="auto"/>
          <w:highlight w:val="none"/>
          <w:shd w:val="clear"/>
        </w:rPr>
        <w:t>定标的其他情形</w:t>
      </w:r>
    </w:p>
    <w:p w14:paraId="79583EA7">
      <w:pPr>
        <w:widowControl/>
        <w:spacing w:line="360" w:lineRule="auto"/>
        <w:ind w:firstLine="420" w:firstLineChars="200"/>
        <w:jc w:val="left"/>
        <w:rPr>
          <w:rFonts w:ascii="Times New Roman" w:hAnsi="Times New Roman"/>
          <w:bCs w:val="0"/>
          <w:color w:val="auto"/>
          <w:highlight w:val="none"/>
          <w:shd w:val="clear"/>
        </w:rPr>
      </w:pPr>
      <w:bookmarkStart w:id="446" w:name="_Hlk185406617"/>
      <w:r>
        <w:rPr>
          <w:rFonts w:hint="eastAsia" w:ascii="Times New Roman" w:hAnsi="Times New Roman"/>
          <w:bCs w:val="0"/>
          <w:color w:val="auto"/>
          <w:highlight w:val="none"/>
          <w:shd w:val="clear"/>
        </w:rPr>
        <w:t>中标候选人公示期间，因异议或投诉导致中标候选人少于招标文件规定的数量时，招标人应当按照投标人须知前附表规定进行处理。</w:t>
      </w:r>
    </w:p>
    <w:bookmarkEnd w:id="446"/>
    <w:p w14:paraId="49688946">
      <w:pPr>
        <w:pStyle w:val="33"/>
        <w:rPr>
          <w:color w:val="auto"/>
          <w:highlight w:val="none"/>
          <w:shd w:val="clear"/>
        </w:rPr>
      </w:pPr>
      <w:r>
        <w:rPr>
          <w:color w:val="auto"/>
          <w:highlight w:val="none"/>
          <w:shd w:val="clear"/>
        </w:rPr>
        <w:t>7.</w:t>
      </w:r>
      <w:r>
        <w:rPr>
          <w:rFonts w:hint="eastAsia"/>
          <w:color w:val="auto"/>
          <w:highlight w:val="none"/>
          <w:shd w:val="clear"/>
        </w:rPr>
        <w:t>6</w:t>
      </w:r>
      <w:r>
        <w:rPr>
          <w:color w:val="auto"/>
          <w:highlight w:val="none"/>
          <w:shd w:val="clear"/>
        </w:rPr>
        <w:t xml:space="preserve"> </w:t>
      </w:r>
      <w:r>
        <w:rPr>
          <w:rFonts w:hint="eastAsia"/>
          <w:color w:val="auto"/>
          <w:highlight w:val="none"/>
          <w:shd w:val="clear"/>
        </w:rPr>
        <w:t>中标结果公示</w:t>
      </w:r>
    </w:p>
    <w:p w14:paraId="4A671EF7">
      <w:pPr>
        <w:spacing w:line="360" w:lineRule="auto"/>
        <w:ind w:firstLine="420" w:firstLineChars="200"/>
        <w:rPr>
          <w:rFonts w:ascii="Times New Roman" w:hAnsi="Times New Roman"/>
          <w:bCs w:val="0"/>
          <w:color w:val="auto"/>
          <w:highlight w:val="none"/>
          <w:shd w:val="clear"/>
        </w:rPr>
      </w:pPr>
      <w:r>
        <w:rPr>
          <w:rFonts w:hint="eastAsia" w:ascii="Times New Roman" w:hAnsi="Times New Roman"/>
          <w:bCs w:val="0"/>
          <w:color w:val="auto"/>
          <w:highlight w:val="none"/>
          <w:shd w:val="clear"/>
        </w:rPr>
        <w:t>招标人在定标委员会出具定标报告后1个工作日内按照投标人须知前附表规定的公示媒介依法公示中标结果。因投诉改变定标结果的，应当重新进行中标结果公示。对定标结果的异议或投诉处理决定不改变评标委员会推荐的中标候选人名单。</w:t>
      </w:r>
    </w:p>
    <w:p w14:paraId="711BD014">
      <w:pPr>
        <w:pStyle w:val="33"/>
        <w:rPr>
          <w:color w:val="auto"/>
          <w:highlight w:val="none"/>
          <w:shd w:val="clear"/>
        </w:rPr>
      </w:pPr>
      <w:r>
        <w:rPr>
          <w:color w:val="auto"/>
          <w:highlight w:val="none"/>
          <w:shd w:val="clear"/>
        </w:rPr>
        <w:t>7.</w:t>
      </w:r>
      <w:r>
        <w:rPr>
          <w:rFonts w:hint="eastAsia"/>
          <w:color w:val="auto"/>
          <w:highlight w:val="none"/>
          <w:shd w:val="clear"/>
        </w:rPr>
        <w:t>7</w:t>
      </w:r>
      <w:r>
        <w:rPr>
          <w:color w:val="auto"/>
          <w:highlight w:val="none"/>
          <w:shd w:val="clear"/>
        </w:rPr>
        <w:t xml:space="preserve"> </w:t>
      </w:r>
      <w:r>
        <w:rPr>
          <w:rFonts w:hint="eastAsia"/>
          <w:color w:val="auto"/>
          <w:highlight w:val="none"/>
          <w:shd w:val="clear"/>
        </w:rPr>
        <w:t>中标通知</w:t>
      </w:r>
    </w:p>
    <w:p w14:paraId="530A941D">
      <w:pPr>
        <w:spacing w:line="360" w:lineRule="auto"/>
        <w:ind w:firstLine="420" w:firstLineChars="200"/>
        <w:rPr>
          <w:rFonts w:ascii="Times New Roman" w:hAnsi="Times New Roman"/>
          <w:bCs w:val="0"/>
          <w:color w:val="auto"/>
          <w:highlight w:val="none"/>
          <w:shd w:val="clear"/>
        </w:rPr>
      </w:pPr>
      <w:r>
        <w:rPr>
          <w:rFonts w:hint="eastAsia" w:ascii="Times New Roman" w:hAnsi="Times New Roman"/>
          <w:bCs w:val="0"/>
          <w:color w:val="auto"/>
          <w:highlight w:val="none"/>
          <w:shd w:val="clear"/>
        </w:rPr>
        <w:t>在本章第3.3款规定的投标有效期内，招标人按照投标人须知前附表规定的形式向中标人发出中标通知书，同时将中标结果通知未中标的投标人</w:t>
      </w:r>
      <w:bookmarkEnd w:id="435"/>
      <w:r>
        <w:rPr>
          <w:rFonts w:hint="eastAsia" w:ascii="Times New Roman" w:hAnsi="Times New Roman"/>
          <w:bCs w:val="0"/>
          <w:color w:val="auto"/>
          <w:highlight w:val="none"/>
          <w:shd w:val="clear"/>
        </w:rPr>
        <w:t>。</w:t>
      </w:r>
    </w:p>
    <w:p w14:paraId="57E0F852">
      <w:pPr>
        <w:pStyle w:val="26"/>
        <w:rPr>
          <w:rStyle w:val="31"/>
          <w:bCs/>
          <w:snapToGrid w:val="0"/>
          <w:color w:val="auto"/>
          <w:highlight w:val="none"/>
          <w:shd w:val="clear"/>
        </w:rPr>
      </w:pPr>
      <w:bookmarkStart w:id="447" w:name="_Toc130919086"/>
      <w:bookmarkStart w:id="448" w:name="_Toc170805537"/>
      <w:bookmarkStart w:id="449" w:name="_Toc170805157"/>
      <w:bookmarkStart w:id="450" w:name="_Toc170803969"/>
      <w:r>
        <w:rPr>
          <w:rStyle w:val="31"/>
          <w:bCs/>
          <w:snapToGrid w:val="0"/>
          <w:color w:val="auto"/>
          <w:highlight w:val="none"/>
          <w:shd w:val="clear"/>
        </w:rPr>
        <w:t>8. 合同授予</w:t>
      </w:r>
      <w:bookmarkEnd w:id="447"/>
      <w:bookmarkEnd w:id="448"/>
      <w:bookmarkEnd w:id="449"/>
      <w:bookmarkEnd w:id="450"/>
    </w:p>
    <w:p w14:paraId="6CA34F2F">
      <w:pPr>
        <w:pStyle w:val="33"/>
        <w:rPr>
          <w:color w:val="auto"/>
          <w:highlight w:val="none"/>
          <w:shd w:val="clear"/>
        </w:rPr>
      </w:pPr>
      <w:bookmarkStart w:id="451" w:name="_Toc170805538"/>
      <w:bookmarkStart w:id="452" w:name="_Toc170805158"/>
      <w:bookmarkStart w:id="453" w:name="_Toc170803970"/>
      <w:r>
        <w:rPr>
          <w:color w:val="auto"/>
          <w:highlight w:val="none"/>
          <w:shd w:val="clear"/>
        </w:rPr>
        <w:t>8.1 履约保证金</w:t>
      </w:r>
      <w:bookmarkEnd w:id="442"/>
      <w:bookmarkEnd w:id="443"/>
      <w:bookmarkEnd w:id="444"/>
      <w:bookmarkEnd w:id="445"/>
      <w:bookmarkEnd w:id="451"/>
      <w:bookmarkEnd w:id="452"/>
      <w:bookmarkEnd w:id="453"/>
    </w:p>
    <w:p w14:paraId="50219F6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8.1.1 在签订合同前，中标人应按照投标人须知前附表规定的金额、形式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4ED30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8.1.2 中标人不能按照本章第8.1.1项要求提交履约保证金的，视为放弃中标，其投标保证金不予退还，给招标人造成的损失超过投标保证金数额的，中标人还应当对超过部分予以赔偿。</w:t>
      </w:r>
    </w:p>
    <w:p w14:paraId="0A76D28A">
      <w:pPr>
        <w:pStyle w:val="33"/>
        <w:rPr>
          <w:color w:val="auto"/>
          <w:highlight w:val="none"/>
          <w:shd w:val="clear"/>
        </w:rPr>
      </w:pPr>
      <w:bookmarkStart w:id="454" w:name="_Toc144974538"/>
      <w:bookmarkStart w:id="455" w:name="_Toc170805539"/>
      <w:bookmarkStart w:id="456" w:name="_Toc152042346"/>
      <w:bookmarkStart w:id="457" w:name="_Toc152045570"/>
      <w:bookmarkStart w:id="458" w:name="_Toc170805159"/>
      <w:bookmarkStart w:id="459" w:name="_Toc179632588"/>
      <w:bookmarkStart w:id="460" w:name="_Toc170803971"/>
      <w:r>
        <w:rPr>
          <w:color w:val="auto"/>
          <w:highlight w:val="none"/>
          <w:shd w:val="clear"/>
        </w:rPr>
        <w:t>8.2 签订合同</w:t>
      </w:r>
      <w:bookmarkEnd w:id="454"/>
      <w:bookmarkEnd w:id="455"/>
      <w:bookmarkEnd w:id="456"/>
      <w:bookmarkEnd w:id="457"/>
      <w:bookmarkEnd w:id="458"/>
      <w:bookmarkEnd w:id="459"/>
      <w:bookmarkEnd w:id="460"/>
    </w:p>
    <w:p w14:paraId="0B77C1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8.2.1 中标人和招标人应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对超过部分予以赔偿。</w:t>
      </w:r>
    </w:p>
    <w:p w14:paraId="0C40EB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8.2.2 发出中标通知书后，招标人无正当理由拒签合同，或者在签订合同时向中标人提出附加条件的，招标人应退还中标人的投标保证金。招标人存在前述情形的，由招标投标行政监督部门责令改正，可以处中标项目金额10‰以下的罚款；给中标人造成损失的，依法承担赔偿责任。</w:t>
      </w:r>
    </w:p>
    <w:p w14:paraId="31A46AA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8.2.3 联合体中标的，联合体各方应当共同与招标人签订合同，就中标项目向招标人承担连带责任。</w:t>
      </w:r>
    </w:p>
    <w:p w14:paraId="0B9C50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8.2.4 招标人将及时主动公开合同订立信息，并积极推进合同履行及变更信息公开。</w:t>
      </w:r>
    </w:p>
    <w:p w14:paraId="06C72612">
      <w:pPr>
        <w:pStyle w:val="26"/>
        <w:rPr>
          <w:rStyle w:val="31"/>
          <w:bCs/>
          <w:snapToGrid w:val="0"/>
          <w:color w:val="auto"/>
          <w:highlight w:val="none"/>
          <w:shd w:val="clear"/>
        </w:rPr>
      </w:pPr>
      <w:bookmarkStart w:id="461" w:name="_Toc170805540"/>
      <w:bookmarkStart w:id="462" w:name="_Toc948"/>
      <w:bookmarkStart w:id="463" w:name="_Toc130919087"/>
      <w:bookmarkStart w:id="464" w:name="_Toc152045574"/>
      <w:bookmarkStart w:id="465" w:name="_Toc170803972"/>
      <w:bookmarkStart w:id="466" w:name="_Toc144974542"/>
      <w:bookmarkStart w:id="467" w:name="_Toc170805160"/>
      <w:bookmarkStart w:id="468" w:name="_Toc20588"/>
      <w:bookmarkStart w:id="469" w:name="_Toc38879332"/>
      <w:bookmarkStart w:id="470" w:name="_Toc179632592"/>
      <w:bookmarkStart w:id="471" w:name="_Toc152042350"/>
      <w:r>
        <w:rPr>
          <w:rStyle w:val="31"/>
          <w:bCs/>
          <w:snapToGrid w:val="0"/>
          <w:color w:val="auto"/>
          <w:highlight w:val="none"/>
          <w:shd w:val="clear"/>
        </w:rPr>
        <w:t>9. 纪律和监督</w:t>
      </w:r>
      <w:bookmarkEnd w:id="461"/>
      <w:bookmarkEnd w:id="462"/>
      <w:bookmarkEnd w:id="463"/>
      <w:bookmarkEnd w:id="464"/>
      <w:bookmarkEnd w:id="465"/>
      <w:bookmarkEnd w:id="466"/>
      <w:bookmarkEnd w:id="467"/>
      <w:bookmarkEnd w:id="468"/>
      <w:bookmarkEnd w:id="469"/>
      <w:bookmarkEnd w:id="470"/>
      <w:bookmarkEnd w:id="471"/>
    </w:p>
    <w:p w14:paraId="210C2F4C">
      <w:pPr>
        <w:pStyle w:val="33"/>
        <w:rPr>
          <w:color w:val="auto"/>
          <w:highlight w:val="none"/>
          <w:shd w:val="clear"/>
        </w:rPr>
      </w:pPr>
      <w:bookmarkStart w:id="472" w:name="_Toc152042351"/>
      <w:bookmarkStart w:id="473" w:name="_Toc144974543"/>
      <w:bookmarkStart w:id="474" w:name="_Toc170805541"/>
      <w:bookmarkStart w:id="475" w:name="_Toc152045575"/>
      <w:bookmarkStart w:id="476" w:name="_Toc170805161"/>
      <w:bookmarkStart w:id="477" w:name="_Toc170803973"/>
      <w:bookmarkStart w:id="478" w:name="_Toc179632593"/>
      <w:r>
        <w:rPr>
          <w:color w:val="auto"/>
          <w:highlight w:val="none"/>
          <w:shd w:val="clear"/>
        </w:rPr>
        <w:t>9.1 对招标人的纪律要求</w:t>
      </w:r>
      <w:bookmarkEnd w:id="472"/>
      <w:bookmarkEnd w:id="473"/>
      <w:bookmarkEnd w:id="474"/>
      <w:bookmarkEnd w:id="475"/>
      <w:bookmarkEnd w:id="476"/>
      <w:bookmarkEnd w:id="477"/>
      <w:bookmarkEnd w:id="478"/>
    </w:p>
    <w:p w14:paraId="6B7F374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招标人不得泄露招标投标活动中应当保密的情况和资料，不得与投标人串通损害国家利益、社会公共利益或者他人合法权益。</w:t>
      </w:r>
    </w:p>
    <w:p w14:paraId="0A7848E8">
      <w:pPr>
        <w:pStyle w:val="33"/>
        <w:rPr>
          <w:color w:val="auto"/>
          <w:highlight w:val="none"/>
          <w:shd w:val="clear"/>
        </w:rPr>
      </w:pPr>
      <w:bookmarkStart w:id="479" w:name="_Toc144974544"/>
      <w:bookmarkStart w:id="480" w:name="_Toc152045576"/>
      <w:bookmarkStart w:id="481" w:name="_Toc170803974"/>
      <w:bookmarkStart w:id="482" w:name="_Toc179632594"/>
      <w:bookmarkStart w:id="483" w:name="_Toc152042352"/>
      <w:bookmarkStart w:id="484" w:name="_Toc170805542"/>
      <w:bookmarkStart w:id="485" w:name="_Toc170805162"/>
      <w:r>
        <w:rPr>
          <w:color w:val="auto"/>
          <w:highlight w:val="none"/>
          <w:shd w:val="clear"/>
        </w:rPr>
        <w:t>9.2 对投标人的纪律要求</w:t>
      </w:r>
      <w:bookmarkEnd w:id="479"/>
      <w:bookmarkEnd w:id="480"/>
      <w:bookmarkEnd w:id="481"/>
      <w:bookmarkEnd w:id="482"/>
      <w:bookmarkEnd w:id="483"/>
      <w:bookmarkEnd w:id="484"/>
      <w:bookmarkEnd w:id="485"/>
    </w:p>
    <w:p w14:paraId="4391A30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5292175">
      <w:pPr>
        <w:pStyle w:val="33"/>
        <w:rPr>
          <w:color w:val="auto"/>
          <w:highlight w:val="none"/>
          <w:shd w:val="clear"/>
        </w:rPr>
      </w:pPr>
      <w:bookmarkStart w:id="486" w:name="_Toc170805543"/>
      <w:bookmarkStart w:id="487" w:name="_Toc152045577"/>
      <w:bookmarkStart w:id="488" w:name="_Toc170805163"/>
      <w:bookmarkStart w:id="489" w:name="_Toc179632595"/>
      <w:bookmarkStart w:id="490" w:name="_Toc170803975"/>
      <w:bookmarkStart w:id="491" w:name="_Toc144974545"/>
      <w:bookmarkStart w:id="492" w:name="_Toc152042353"/>
      <w:r>
        <w:rPr>
          <w:color w:val="auto"/>
          <w:highlight w:val="none"/>
          <w:shd w:val="clear"/>
        </w:rPr>
        <w:t>9.3 对评标委员会成员的纪律要求</w:t>
      </w:r>
      <w:bookmarkEnd w:id="486"/>
      <w:bookmarkEnd w:id="487"/>
      <w:bookmarkEnd w:id="488"/>
      <w:bookmarkEnd w:id="489"/>
      <w:bookmarkEnd w:id="490"/>
      <w:bookmarkEnd w:id="491"/>
      <w:bookmarkEnd w:id="492"/>
    </w:p>
    <w:p w14:paraId="55F569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rPr>
          <w:rFonts w:hint="eastAsia" w:ascii="Times New Roman" w:hAnsi="Times New Roman"/>
          <w:bCs/>
          <w:color w:val="auto"/>
          <w:szCs w:val="24"/>
          <w:highlight w:val="none"/>
          <w:shd w:val="clear"/>
        </w:rPr>
        <w:t>评标及定标办法</w:t>
      </w:r>
      <w:r>
        <w:rPr>
          <w:rFonts w:hint="eastAsia" w:ascii="Times New Roman" w:hAnsi="Times New Roman"/>
          <w:color w:val="auto"/>
          <w:highlight w:val="none"/>
          <w:shd w:val="clear"/>
        </w:rPr>
        <w:t>”没有规定的评审因素和标准进行评标。</w:t>
      </w:r>
    </w:p>
    <w:p w14:paraId="42D8B350">
      <w:pPr>
        <w:pStyle w:val="33"/>
        <w:rPr>
          <w:color w:val="auto"/>
          <w:highlight w:val="none"/>
          <w:shd w:val="clear"/>
        </w:rPr>
      </w:pPr>
      <w:bookmarkStart w:id="493" w:name="_Toc152042354"/>
      <w:bookmarkStart w:id="494" w:name="_Toc170803976"/>
      <w:bookmarkStart w:id="495" w:name="_Toc152045578"/>
      <w:bookmarkStart w:id="496" w:name="_Toc179632596"/>
      <w:bookmarkStart w:id="497" w:name="_Toc170805164"/>
      <w:bookmarkStart w:id="498" w:name="_Toc170805544"/>
      <w:bookmarkStart w:id="499" w:name="_Toc144974546"/>
      <w:r>
        <w:rPr>
          <w:color w:val="auto"/>
          <w:highlight w:val="none"/>
          <w:shd w:val="clear"/>
        </w:rPr>
        <w:t>9.4 对与评标活动有关的工作人员的纪律要求</w:t>
      </w:r>
      <w:bookmarkEnd w:id="493"/>
      <w:bookmarkEnd w:id="494"/>
      <w:bookmarkEnd w:id="495"/>
      <w:bookmarkEnd w:id="496"/>
      <w:bookmarkEnd w:id="497"/>
      <w:bookmarkEnd w:id="498"/>
    </w:p>
    <w:p w14:paraId="0E63CE52">
      <w:pPr>
        <w:pStyle w:val="22"/>
        <w:ind w:firstLine="420"/>
        <w:rPr>
          <w:rFonts w:ascii="Times New Roman" w:hAnsi="Times New Roman"/>
          <w:color w:val="auto"/>
          <w:highlight w:val="none"/>
          <w:shd w:val="clear"/>
        </w:rPr>
      </w:pPr>
      <w:bookmarkStart w:id="500" w:name="_Toc152042355"/>
      <w:r>
        <w:rPr>
          <w:rFonts w:hint="eastAsia" w:ascii="Times New Roman" w:hAnsi="Times New Roman"/>
          <w:color w:val="auto"/>
          <w:highlight w:val="none"/>
          <w:shd w:val="cle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500"/>
    </w:p>
    <w:p w14:paraId="25EED37E">
      <w:pPr>
        <w:pStyle w:val="33"/>
        <w:rPr>
          <w:color w:val="auto"/>
          <w:highlight w:val="none"/>
          <w:shd w:val="clear"/>
        </w:rPr>
      </w:pPr>
      <w:bookmarkStart w:id="501" w:name="_Toc152045579"/>
      <w:bookmarkStart w:id="502" w:name="_Toc170805545"/>
      <w:bookmarkStart w:id="503" w:name="_Toc170803977"/>
      <w:bookmarkStart w:id="504" w:name="_Toc152042356"/>
      <w:bookmarkStart w:id="505" w:name="_Toc170805165"/>
      <w:bookmarkStart w:id="506" w:name="_Toc179632597"/>
      <w:r>
        <w:rPr>
          <w:color w:val="auto"/>
          <w:highlight w:val="none"/>
          <w:shd w:val="clear"/>
        </w:rPr>
        <w:t>9.5 投诉</w:t>
      </w:r>
      <w:bookmarkEnd w:id="499"/>
      <w:bookmarkEnd w:id="501"/>
      <w:bookmarkEnd w:id="502"/>
      <w:bookmarkEnd w:id="503"/>
      <w:bookmarkEnd w:id="504"/>
      <w:bookmarkEnd w:id="505"/>
      <w:bookmarkEnd w:id="506"/>
    </w:p>
    <w:p w14:paraId="563448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2EE0DE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9.5.2 投标人或者其他利害关系人对招标文件、开标和评标结果提出投诉的，应当按照投标人须知第2.4款、第5.3款和第6.5款的规定先向招标人提出异议。异议答复期间</w:t>
      </w:r>
      <w:bookmarkStart w:id="507" w:name="_Toc247513994"/>
      <w:bookmarkStart w:id="508" w:name="_Toc369531561"/>
      <w:bookmarkStart w:id="509" w:name="_Toc384308255"/>
      <w:bookmarkStart w:id="510" w:name="_Toc12776"/>
      <w:bookmarkStart w:id="511" w:name="_Toc361508630"/>
      <w:bookmarkStart w:id="512" w:name="_Toc247527595"/>
      <w:bookmarkStart w:id="513" w:name="_Toc352691517"/>
      <w:bookmarkStart w:id="514" w:name="_Toc300834993"/>
      <w:r>
        <w:rPr>
          <w:rFonts w:hint="eastAsia" w:ascii="Times New Roman" w:hAnsi="Times New Roman"/>
          <w:color w:val="auto"/>
          <w:highlight w:val="none"/>
          <w:shd w:val="clear"/>
        </w:rPr>
        <w:t>不计算在第9.5.</w:t>
      </w:r>
      <w:bookmarkEnd w:id="507"/>
      <w:bookmarkEnd w:id="508"/>
      <w:bookmarkEnd w:id="509"/>
      <w:bookmarkEnd w:id="510"/>
      <w:bookmarkEnd w:id="511"/>
      <w:bookmarkEnd w:id="512"/>
      <w:bookmarkEnd w:id="513"/>
      <w:bookmarkEnd w:id="514"/>
      <w:r>
        <w:rPr>
          <w:rFonts w:hint="eastAsia" w:ascii="Times New Roman" w:hAnsi="Times New Roman"/>
          <w:color w:val="auto"/>
          <w:highlight w:val="none"/>
          <w:shd w:val="clear"/>
        </w:rPr>
        <w:t>1项规定的期限内。</w:t>
      </w:r>
    </w:p>
    <w:p w14:paraId="03D56C8A">
      <w:pPr>
        <w:pStyle w:val="26"/>
        <w:rPr>
          <w:rStyle w:val="31"/>
          <w:bCs/>
          <w:snapToGrid w:val="0"/>
          <w:color w:val="auto"/>
          <w:highlight w:val="none"/>
          <w:shd w:val="clear"/>
        </w:rPr>
      </w:pPr>
      <w:bookmarkStart w:id="515" w:name="_Toc170805546"/>
      <w:bookmarkStart w:id="516" w:name="_Toc144974547"/>
      <w:bookmarkStart w:id="517" w:name="_Toc152045580"/>
      <w:bookmarkStart w:id="518" w:name="_Toc3705"/>
      <w:bookmarkStart w:id="519" w:name="_Toc152042357"/>
      <w:bookmarkStart w:id="520" w:name="_Toc179632598"/>
      <w:bookmarkStart w:id="521" w:name="_Toc170803978"/>
      <w:bookmarkStart w:id="522" w:name="_Toc38879333"/>
      <w:bookmarkStart w:id="523" w:name="_Toc170805166"/>
      <w:bookmarkStart w:id="524" w:name="_Toc130919088"/>
      <w:bookmarkStart w:id="525" w:name="_Toc2315"/>
      <w:r>
        <w:rPr>
          <w:rStyle w:val="31"/>
          <w:bCs/>
          <w:snapToGrid w:val="0"/>
          <w:color w:val="auto"/>
          <w:highlight w:val="none"/>
          <w:shd w:val="clear"/>
        </w:rPr>
        <w:t>10. 需要补充的其他内容</w:t>
      </w:r>
      <w:bookmarkEnd w:id="515"/>
      <w:bookmarkEnd w:id="516"/>
      <w:bookmarkEnd w:id="517"/>
      <w:bookmarkEnd w:id="518"/>
      <w:bookmarkEnd w:id="519"/>
      <w:bookmarkEnd w:id="520"/>
      <w:bookmarkEnd w:id="521"/>
      <w:bookmarkEnd w:id="522"/>
      <w:bookmarkEnd w:id="523"/>
      <w:bookmarkEnd w:id="524"/>
      <w:bookmarkEnd w:id="525"/>
    </w:p>
    <w:p w14:paraId="2DB1AB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需要补充的其他内容：见投标人须知前附表。</w:t>
      </w:r>
    </w:p>
    <w:p w14:paraId="140643AE">
      <w:pPr>
        <w:widowControl/>
        <w:jc w:val="left"/>
        <w:rPr>
          <w:rFonts w:ascii="Times New Roman" w:hAnsi="Times New Roman"/>
          <w:color w:val="auto"/>
          <w:highlight w:val="none"/>
          <w:shd w:val="clear"/>
        </w:rPr>
      </w:pPr>
      <w:r>
        <w:rPr>
          <w:rFonts w:ascii="Times New Roman" w:hAnsi="Times New Roman"/>
          <w:color w:val="auto"/>
          <w:highlight w:val="none"/>
          <w:shd w:val="clear"/>
        </w:rPr>
        <w:br w:type="page"/>
      </w:r>
    </w:p>
    <w:p w14:paraId="4F5F2A59">
      <w:pPr>
        <w:pStyle w:val="20"/>
        <w:rPr>
          <w:rFonts w:ascii="Times New Roman" w:hAnsi="Times New Roman"/>
          <w:color w:val="auto"/>
          <w:highlight w:val="none"/>
          <w:shd w:val="clear"/>
        </w:rPr>
      </w:pPr>
      <w:r>
        <w:rPr>
          <w:rFonts w:hint="eastAsia" w:ascii="Times New Roman" w:hAnsi="Times New Roman"/>
          <w:color w:val="auto"/>
          <w:highlight w:val="none"/>
          <w:shd w:val="clear"/>
        </w:rPr>
        <w:t>蚌埠公共资源交易中心网上招投标操作规程（暂行）</w:t>
      </w:r>
    </w:p>
    <w:p w14:paraId="10E884C2">
      <w:pPr>
        <w:pStyle w:val="21"/>
        <w:rPr>
          <w:rFonts w:ascii="Times New Roman" w:hAnsi="Times New Roman"/>
          <w:bCs w:val="0"/>
          <w:color w:val="auto"/>
          <w:highlight w:val="none"/>
          <w:shd w:val="clear"/>
        </w:rPr>
      </w:pPr>
      <w:r>
        <w:rPr>
          <w:rFonts w:hint="eastAsia" w:ascii="Times New Roman" w:hAnsi="Times New Roman"/>
          <w:bCs w:val="0"/>
          <w:color w:val="auto"/>
          <w:highlight w:val="none"/>
          <w:shd w:val="clear"/>
        </w:rPr>
        <w:t>第一章 总则</w:t>
      </w:r>
    </w:p>
    <w:p w14:paraId="4339B39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第一条 为进一步规范招投标行为，提高招投标效率，充分利用信息网络技术，根据《中华人民共和国招标投标法》、《中华人民共和国政府采购法》、《中华人民共和国电子签名法》和《蚌埠市公共资源交易监督管理条例》等有关规定，并结合工作实际，制定本规程。</w:t>
      </w:r>
    </w:p>
    <w:p w14:paraId="17AB424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第二条 本规程所指的网上招投标，是指使用蚌埠市公共资源交易中心建设及对接的电子交易系统，在互联网上完成招标、投标、开标、评标以及其他招投标行为。</w:t>
      </w:r>
    </w:p>
    <w:p w14:paraId="201B88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第三条 本规程适用于《中华人民共和国招标投标法》规定的公开招标、邀请招标的建设工程项目，《中华人民共和国政府采购法》规定的公开招标、邀请招标、竞争性谈判、竞争性磋商、询价、单一来源、框架协议采购等方式操作的政府采购项目，产权交易另行规定。</w:t>
      </w:r>
    </w:p>
    <w:p w14:paraId="5B59DC21">
      <w:pPr>
        <w:pStyle w:val="22"/>
        <w:ind w:firstLine="420"/>
        <w:rPr>
          <w:rFonts w:ascii="Times New Roman" w:hAnsi="Times New Roman"/>
          <w:color w:val="auto"/>
          <w:highlight w:val="none"/>
          <w:shd w:val="clear"/>
        </w:rPr>
      </w:pPr>
      <w:r>
        <w:rPr>
          <w:rFonts w:ascii="Times New Roman" w:hAnsi="Times New Roman"/>
          <w:color w:val="auto"/>
          <w:highlight w:val="none"/>
          <w:shd w:val="clear"/>
        </w:rPr>
        <w:t>第四条</w:t>
      </w:r>
      <w:r>
        <w:rPr>
          <w:rFonts w:hint="eastAsia" w:ascii="Times New Roman" w:hAnsi="Times New Roman"/>
          <w:color w:val="auto"/>
          <w:highlight w:val="none"/>
          <w:shd w:val="clear"/>
        </w:rPr>
        <w:t xml:space="preserve"> </w:t>
      </w:r>
      <w:r>
        <w:rPr>
          <w:rFonts w:ascii="Times New Roman" w:hAnsi="Times New Roman"/>
          <w:color w:val="auto"/>
          <w:highlight w:val="none"/>
          <w:shd w:val="clear"/>
        </w:rPr>
        <w:t>代理机构负责网上招投标的组织实施工作，</w:t>
      </w:r>
      <w:r>
        <w:rPr>
          <w:rFonts w:hint="eastAsia" w:ascii="Times New Roman" w:hAnsi="Times New Roman"/>
          <w:color w:val="auto"/>
          <w:highlight w:val="none"/>
          <w:shd w:val="clear"/>
        </w:rPr>
        <w:t>蚌埠市公共资源交易监督管理局（以下简称市公共资源局）对网上招投标的全过程进行监管。</w:t>
      </w:r>
    </w:p>
    <w:p w14:paraId="215EC8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第五条 投标企业在安徽省公共资源交易市场主体库进行注册，应及时对其注册的信息进行维护，并对信息的真实性、准确性和完整性负责。当主体库中文字信息与扫描件不一致时，以扫描件为准。</w:t>
      </w:r>
    </w:p>
    <w:p w14:paraId="4C4014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第六条 网上招投标各方主体，应当及时办理使用数字证书及电子签章。电子交易系统通过数字证书登陆，对关键信息使用数字证书进行电子签章并加密。各方主体在系统中所有操作都具有法律效力，并承担法律责任。</w:t>
      </w:r>
    </w:p>
    <w:p w14:paraId="516CA3F2">
      <w:pPr>
        <w:pStyle w:val="21"/>
        <w:rPr>
          <w:rFonts w:ascii="Times New Roman" w:hAnsi="Times New Roman"/>
          <w:bCs w:val="0"/>
          <w:color w:val="auto"/>
          <w:highlight w:val="none"/>
          <w:shd w:val="clear"/>
        </w:rPr>
      </w:pPr>
      <w:r>
        <w:rPr>
          <w:rFonts w:hint="eastAsia" w:ascii="Times New Roman" w:hAnsi="Times New Roman"/>
          <w:bCs w:val="0"/>
          <w:color w:val="auto"/>
          <w:highlight w:val="none"/>
          <w:shd w:val="clear"/>
        </w:rPr>
        <w:t>第二章 网上招投标操作程序</w:t>
      </w:r>
    </w:p>
    <w:p w14:paraId="4FDA4FF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第七条 对实行网上招投标的项目，招标人应在招标公告和招标文件中做出明确规定，并严格按照系统操作规程进行操作，确保整个过程公正、规范、安全。</w:t>
      </w:r>
    </w:p>
    <w:p w14:paraId="053A4A1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第八条 招标文件须加盖数字证书电子签章，在蚌埠市公共资源交易中心网上发布。</w:t>
      </w:r>
    </w:p>
    <w:p w14:paraId="28381C6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第九条 投标人须持数字证书登录电子交易系统参与投标，下载招标文件和其他相关资料。</w:t>
      </w:r>
    </w:p>
    <w:p w14:paraId="0BA69E6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第十条 补遗、答疑、澄清和勘误（以下简称变更）文件须加盖数字证书电子签章后在网上发布，投标人应及时通过蚌埠市公共资源交易中心网查阅相关变更信息。</w:t>
      </w:r>
    </w:p>
    <w:p w14:paraId="12174FA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第十一条 投标人应通过电子标书工具软件严格按招标文件要求制作投标文件，在投标截止时间前完成上传经过数字证书电子签章并加密的投标文件（加密和解密须用同一把数字证书）。</w:t>
      </w:r>
    </w:p>
    <w:p w14:paraId="23576D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投标人在投标截止时间前，可以对其所递交的投标文件进行修改或者撤回，但以投标截止时间前完成上传的投标文件为唯一有效投标文件。</w:t>
      </w:r>
    </w:p>
    <w:p w14:paraId="6C1715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第十二条 投标截止时间以蚌埠市电子交易系统显示的时间为准，逾期系统将自动关闭</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未完成上传的投标文件将被拒绝。</w:t>
      </w:r>
    </w:p>
    <w:p w14:paraId="4C957529">
      <w:pPr>
        <w:pStyle w:val="22"/>
        <w:ind w:firstLine="420"/>
        <w:rPr>
          <w:rFonts w:ascii="Times New Roman" w:hAnsi="Times New Roman"/>
          <w:color w:val="auto"/>
          <w:highlight w:val="none"/>
          <w:shd w:val="clear"/>
        </w:rPr>
      </w:pPr>
      <w:r>
        <w:rPr>
          <w:rFonts w:ascii="Times New Roman" w:hAnsi="Times New Roman"/>
          <w:color w:val="auto"/>
          <w:highlight w:val="none"/>
          <w:shd w:val="clear"/>
        </w:rPr>
        <w:t>第十</w:t>
      </w:r>
      <w:r>
        <w:rPr>
          <w:rFonts w:hint="eastAsia" w:ascii="Times New Roman" w:hAnsi="Times New Roman"/>
          <w:color w:val="auto"/>
          <w:highlight w:val="none"/>
          <w:shd w:val="clear"/>
        </w:rPr>
        <w:t>三</w:t>
      </w:r>
      <w:r>
        <w:rPr>
          <w:rFonts w:ascii="Times New Roman" w:hAnsi="Times New Roman"/>
          <w:color w:val="auto"/>
          <w:highlight w:val="none"/>
          <w:shd w:val="clear"/>
        </w:rPr>
        <w:t>条</w:t>
      </w:r>
      <w:r>
        <w:rPr>
          <w:rFonts w:hint="eastAsia" w:ascii="Times New Roman" w:hAnsi="Times New Roman"/>
          <w:color w:val="auto"/>
          <w:highlight w:val="none"/>
          <w:shd w:val="clear"/>
        </w:rPr>
        <w:t xml:space="preserve"> </w:t>
      </w:r>
      <w:r>
        <w:rPr>
          <w:rFonts w:ascii="Times New Roman" w:hAnsi="Times New Roman"/>
          <w:color w:val="auto"/>
          <w:highlight w:val="none"/>
          <w:shd w:val="clear"/>
        </w:rPr>
        <w:t>代理机构项目负责人根据有关规定登录系统开标。开标时由投标人先行解密，然后代理机构项目负责人对投标文件进行解密，</w:t>
      </w:r>
      <w:r>
        <w:rPr>
          <w:rFonts w:hint="eastAsia" w:ascii="Times New Roman" w:hAnsi="Times New Roman"/>
          <w:color w:val="auto"/>
          <w:highlight w:val="none"/>
          <w:shd w:val="clear"/>
        </w:rPr>
        <w:t>系统自动记录开标过程。投标人应根据招标文件要求，在投标截止时间以前登录系统并保持在线，直到项目评审结束。 </w:t>
      </w:r>
    </w:p>
    <w:p w14:paraId="1CBC76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第十四条 投标人应妥善保管数字证书，及时到证书颁发机构续期。出现下列情况的，投标人必须重新用数字证书签章和加密投标文件，并在投标截止时间之前上传完成到电子交易系统：</w:t>
      </w:r>
    </w:p>
    <w:p w14:paraId="0524307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（一）数字证书到期后重新续期；</w:t>
      </w:r>
    </w:p>
    <w:p w14:paraId="586500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（二）数字证书因遗失、损坏、企业信息变更等情况更换新证书。</w:t>
      </w:r>
    </w:p>
    <w:p w14:paraId="35D501F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投标人由于数字证书遗失、损坏、更换、续期等情况导致投标文件无法解密，由投标人自行承担责任。</w:t>
      </w:r>
    </w:p>
    <w:p w14:paraId="47B846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第十五条 代理机构项目负责人根据有关规定组织评标，评标委员会按照招标文件中规定的评标及定标办法进行电子评标，并对评标结果签字或电子签章确认。</w:t>
      </w:r>
    </w:p>
    <w:p w14:paraId="0384E9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第十六条 各投标人在项目开标、评标期间应保持在线状态，随时通过电子交易系统接受评标委员会发出的询标信息，并在规定时间内答复，未能按时答复的，评标委员会将视同其放弃澄清。</w:t>
      </w:r>
    </w:p>
    <w:p w14:paraId="1CF62F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第十七条 项目评审中，投标文件如出现下列情况的，应终止对投标文件做进一步的评审，并作废标处理：</w:t>
      </w:r>
    </w:p>
    <w:p w14:paraId="2B789D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（一）投标文件无法打开或不完整的；</w:t>
      </w:r>
    </w:p>
    <w:p w14:paraId="4D2E01E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（二）投标文件中携带病毒并造成后果的；</w:t>
      </w:r>
    </w:p>
    <w:p w14:paraId="790C7A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（三）恶意递交投标文件，企图造成网络堵塞或瘫痪的；</w:t>
      </w:r>
    </w:p>
    <w:p w14:paraId="6EC16A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（四）评标委员会认定的其他废标情形。</w:t>
      </w:r>
    </w:p>
    <w:p w14:paraId="0D145F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第十八条 项目评审中，澄清文件如出现下列情况的，应终止对澄清文件做进一步的评审，视同放弃澄清：</w:t>
      </w:r>
    </w:p>
    <w:p w14:paraId="61A183A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（一）澄清文件无法打开或不完整的；</w:t>
      </w:r>
    </w:p>
    <w:p w14:paraId="0C446D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（二）澄清文件中携带病毒并造成后果的；</w:t>
      </w:r>
    </w:p>
    <w:p w14:paraId="3830F8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（三）恶意递交澄清文件，企图造成网络堵塞或瘫痪的；</w:t>
      </w:r>
    </w:p>
    <w:p w14:paraId="49C72C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（四）评标委员会认定的其他不予评审情形的。</w:t>
      </w:r>
    </w:p>
    <w:p w14:paraId="78FA169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第十九条 工程建设项目评标结束并公示无异议，向中标人发出中标通知书。政府采购项目评标结束，在发布中标（成交）结果公告的同时，向中标（成交）供应商发出中标通知书。</w:t>
      </w:r>
    </w:p>
    <w:p w14:paraId="2D40F87E">
      <w:pPr>
        <w:pStyle w:val="21"/>
        <w:rPr>
          <w:rFonts w:ascii="Times New Roman" w:hAnsi="Times New Roman"/>
          <w:bCs w:val="0"/>
          <w:color w:val="auto"/>
          <w:highlight w:val="none"/>
          <w:shd w:val="clear"/>
        </w:rPr>
      </w:pPr>
      <w:r>
        <w:rPr>
          <w:rFonts w:hint="eastAsia" w:ascii="Times New Roman" w:hAnsi="Times New Roman"/>
          <w:bCs w:val="0"/>
          <w:color w:val="auto"/>
          <w:highlight w:val="none"/>
          <w:shd w:val="clear"/>
        </w:rPr>
        <w:t>第三章 意外情况的处理</w:t>
      </w:r>
    </w:p>
    <w:p w14:paraId="3089D3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第二十条 出现下列情形导致电子交易系统无法正常运行，或者无法保证招投标过程的公平、公正和信息安全时，除第十九条、第二十条规定的投标人责任外，其余各方当事人免责：</w:t>
      </w:r>
    </w:p>
    <w:p w14:paraId="3287FF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（一）网络服务器发生故障而无法访问网站或无法使用电子交易系统；</w:t>
      </w:r>
    </w:p>
    <w:p w14:paraId="26699C2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（二）电子交易系统的软件或网络数据库出现错误，不能进行正常操作；</w:t>
      </w:r>
    </w:p>
    <w:p w14:paraId="3C9805A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（三）电子交易系统发现有安全漏洞，有潜在的泄密危险；</w:t>
      </w:r>
    </w:p>
    <w:p w14:paraId="2F1E3C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（四）计算机病毒发作导致系统无法正常运行的；</w:t>
      </w:r>
    </w:p>
    <w:p w14:paraId="361229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（五）电力系统发生故障导致电子交易系统无法运行；</w:t>
      </w:r>
    </w:p>
    <w:p w14:paraId="71C9429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（六）其他无法保证招投标过程公平、公正和信息安全的。</w:t>
      </w:r>
    </w:p>
    <w:p w14:paraId="510BFC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第二十一条 出现上述情形而又不能及时解决的，应及时向市公共资源局报告。经市公共资源局批准，采取以下处理办法：</w:t>
      </w:r>
    </w:p>
    <w:p w14:paraId="53DA52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（一）项目暂停，项目资料封存，待电子交易系统或网络故障排除并经过可靠测试后，再恢复电子交易系统运行并重新在系统中实施暂停的项目；</w:t>
      </w:r>
    </w:p>
    <w:p w14:paraId="798EE0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（二）停止该项目此次网上招投标操作程序，项目流标。</w:t>
      </w:r>
    </w:p>
    <w:p w14:paraId="79411D3A">
      <w:pPr>
        <w:pStyle w:val="21"/>
        <w:rPr>
          <w:rFonts w:ascii="Times New Roman" w:hAnsi="Times New Roman"/>
          <w:bCs w:val="0"/>
          <w:color w:val="auto"/>
          <w:highlight w:val="none"/>
          <w:shd w:val="clear"/>
        </w:rPr>
      </w:pPr>
      <w:r>
        <w:rPr>
          <w:rFonts w:hint="eastAsia" w:ascii="Times New Roman" w:hAnsi="Times New Roman"/>
          <w:bCs w:val="0"/>
          <w:color w:val="auto"/>
          <w:highlight w:val="none"/>
          <w:shd w:val="clear"/>
        </w:rPr>
        <w:t>第四章 附则</w:t>
      </w:r>
    </w:p>
    <w:p w14:paraId="520B401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第二十二条 怀远县、五河县、固镇县的公共资源交易项目参照执行。</w:t>
      </w:r>
    </w:p>
    <w:p w14:paraId="14A7971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第二十三条 本规程由市公共资源局负责解释。</w:t>
      </w:r>
    </w:p>
    <w:p w14:paraId="7C5C1F2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第二十四条 本规程从</w:t>
      </w:r>
      <w:r>
        <w:rPr>
          <w:rFonts w:ascii="Times New Roman" w:hAnsi="Times New Roman"/>
          <w:color w:val="auto"/>
          <w:highlight w:val="none"/>
          <w:shd w:val="clear"/>
        </w:rPr>
        <w:t>20</w:t>
      </w:r>
      <w:r>
        <w:rPr>
          <w:rFonts w:hint="eastAsia" w:ascii="Times New Roman" w:hAnsi="Times New Roman"/>
          <w:color w:val="auto"/>
          <w:highlight w:val="none"/>
          <w:shd w:val="clear"/>
        </w:rPr>
        <w:t>24年5月31日起施行。</w:t>
      </w:r>
    </w:p>
    <w:p w14:paraId="02A07743">
      <w:pPr>
        <w:adjustRightInd w:val="0"/>
        <w:spacing w:line="400" w:lineRule="exact"/>
        <w:outlineLvl w:val="1"/>
        <w:rPr>
          <w:rFonts w:ascii="Times New Roman" w:hAnsi="Times New Roman"/>
          <w:b/>
          <w:color w:val="auto"/>
          <w:sz w:val="32"/>
          <w:highlight w:val="none"/>
          <w:shd w:val="cle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4C5A6714">
      <w:pPr>
        <w:pStyle w:val="24"/>
        <w:rPr>
          <w:rFonts w:ascii="Times New Roman" w:hAnsi="Times New Roman"/>
          <w:color w:val="auto"/>
          <w:highlight w:val="none"/>
          <w:shd w:val="clear"/>
        </w:rPr>
      </w:pPr>
      <w:bookmarkStart w:id="526" w:name="_Toc8259"/>
      <w:bookmarkStart w:id="527" w:name="_Toc170805547"/>
      <w:r>
        <w:rPr>
          <w:rFonts w:hint="eastAsia" w:ascii="Times New Roman" w:hAnsi="Times New Roman"/>
          <w:color w:val="auto"/>
          <w:highlight w:val="none"/>
          <w:shd w:val="clear"/>
        </w:rPr>
        <w:t>第三章 评标办法</w:t>
      </w:r>
      <w:bookmarkEnd w:id="526"/>
      <w:r>
        <w:rPr>
          <w:rFonts w:hint="eastAsia" w:ascii="Times New Roman" w:hAnsi="Times New Roman"/>
          <w:color w:val="auto"/>
          <w:highlight w:val="none"/>
          <w:shd w:val="clear"/>
        </w:rPr>
        <w:t>（综合评估法一</w:t>
      </w:r>
      <w:bookmarkEnd w:id="527"/>
      <w:r>
        <w:rPr>
          <w:rFonts w:hint="eastAsia" w:ascii="Times New Roman" w:hAnsi="Times New Roman"/>
          <w:color w:val="auto"/>
          <w:highlight w:val="none"/>
          <w:shd w:val="clear"/>
        </w:rPr>
        <w:t>）</w:t>
      </w:r>
    </w:p>
    <w:p w14:paraId="68D4FB65">
      <w:pPr>
        <w:pStyle w:val="26"/>
        <w:jc w:val="both"/>
        <w:rPr>
          <w:rFonts w:ascii="Times New Roman" w:hAnsi="Times New Roman"/>
          <w:color w:val="auto"/>
          <w:highlight w:val="none"/>
          <w:shd w:val="clear"/>
        </w:rPr>
      </w:pPr>
      <w:bookmarkStart w:id="528" w:name="_Toc170805548"/>
      <w:bookmarkStart w:id="529" w:name="_Toc3061"/>
      <w:bookmarkStart w:id="530" w:name="_Toc170803980"/>
      <w:bookmarkStart w:id="531" w:name="_Toc170805168"/>
      <w:r>
        <w:rPr>
          <w:rFonts w:hint="eastAsia" w:ascii="Times New Roman" w:hAnsi="Times New Roman"/>
          <w:color w:val="auto"/>
          <w:highlight w:val="none"/>
          <w:shd w:val="clear"/>
        </w:rPr>
        <w:t>评标办法前附表</w:t>
      </w:r>
      <w:bookmarkEnd w:id="528"/>
      <w:bookmarkEnd w:id="529"/>
      <w:bookmarkEnd w:id="530"/>
      <w:bookmarkEnd w:id="531"/>
    </w:p>
    <w:tbl>
      <w:tblPr>
        <w:tblStyle w:val="12"/>
        <w:tblW w:w="500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0"/>
        <w:gridCol w:w="2057"/>
        <w:gridCol w:w="4996"/>
      </w:tblGrid>
      <w:tr w14:paraId="4CA6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3" w:type="pct"/>
            <w:noWrap w:val="0"/>
            <w:vAlign w:val="center"/>
          </w:tcPr>
          <w:p w14:paraId="675E7E04">
            <w:pPr>
              <w:pStyle w:val="28"/>
              <w:rPr>
                <w:rFonts w:ascii="Times New Roman" w:hAnsi="Times New Roman"/>
                <w:color w:val="auto"/>
                <w:highlight w:val="none"/>
                <w:shd w:val="clear"/>
              </w:rPr>
            </w:pPr>
            <w:r>
              <w:rPr>
                <w:rFonts w:hint="eastAsia" w:ascii="Times New Roman" w:hAnsi="Times New Roman"/>
                <w:color w:val="auto"/>
                <w:highlight w:val="none"/>
                <w:shd w:val="clear"/>
              </w:rPr>
              <w:t>条款号</w:t>
            </w:r>
          </w:p>
        </w:tc>
        <w:tc>
          <w:tcPr>
            <w:tcW w:w="1235" w:type="pct"/>
            <w:noWrap w:val="0"/>
            <w:vAlign w:val="center"/>
          </w:tcPr>
          <w:p w14:paraId="68BDF26F">
            <w:pPr>
              <w:pStyle w:val="28"/>
              <w:rPr>
                <w:rFonts w:ascii="Times New Roman" w:hAnsi="Times New Roman"/>
                <w:color w:val="auto"/>
                <w:highlight w:val="none"/>
                <w:shd w:val="clear"/>
              </w:rPr>
            </w:pPr>
            <w:r>
              <w:rPr>
                <w:rFonts w:hint="eastAsia" w:ascii="Times New Roman" w:hAnsi="Times New Roman"/>
                <w:color w:val="auto"/>
                <w:highlight w:val="none"/>
                <w:shd w:val="clear"/>
              </w:rPr>
              <w:t>评审因素</w:t>
            </w:r>
          </w:p>
        </w:tc>
        <w:tc>
          <w:tcPr>
            <w:tcW w:w="3000" w:type="pct"/>
            <w:noWrap w:val="0"/>
            <w:vAlign w:val="center"/>
          </w:tcPr>
          <w:p w14:paraId="7BB382AB">
            <w:pPr>
              <w:pStyle w:val="28"/>
              <w:rPr>
                <w:rFonts w:ascii="Times New Roman" w:hAnsi="Times New Roman"/>
                <w:color w:val="auto"/>
                <w:highlight w:val="none"/>
                <w:shd w:val="clear"/>
              </w:rPr>
            </w:pPr>
            <w:r>
              <w:rPr>
                <w:rFonts w:hint="eastAsia" w:ascii="Times New Roman" w:hAnsi="Times New Roman"/>
                <w:color w:val="auto"/>
                <w:highlight w:val="none"/>
                <w:shd w:val="clear"/>
              </w:rPr>
              <w:t>评审标准</w:t>
            </w:r>
          </w:p>
        </w:tc>
      </w:tr>
      <w:tr w14:paraId="63A5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3" w:type="pct"/>
            <w:noWrap w:val="0"/>
            <w:vAlign w:val="center"/>
          </w:tcPr>
          <w:p w14:paraId="17BCE1FA">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1235" w:type="pct"/>
            <w:noWrap w:val="0"/>
            <w:tcMar>
              <w:left w:w="75" w:type="dxa"/>
            </w:tcMar>
            <w:vAlign w:val="center"/>
          </w:tcPr>
          <w:p w14:paraId="2DBF5700">
            <w:pPr>
              <w:pStyle w:val="29"/>
              <w:rPr>
                <w:rFonts w:ascii="Times New Roman" w:hAnsi="Times New Roman"/>
                <w:color w:val="auto"/>
                <w:highlight w:val="none"/>
                <w:shd w:val="clear"/>
              </w:rPr>
            </w:pPr>
            <w:r>
              <w:rPr>
                <w:rFonts w:hint="eastAsia" w:ascii="Times New Roman" w:hAnsi="Times New Roman"/>
                <w:color w:val="auto"/>
                <w:highlight w:val="none"/>
                <w:shd w:val="clear"/>
              </w:rPr>
              <w:t>中标候选人排序方法</w:t>
            </w:r>
          </w:p>
        </w:tc>
        <w:tc>
          <w:tcPr>
            <w:tcW w:w="3000" w:type="pct"/>
            <w:noWrap w:val="0"/>
            <w:tcMar>
              <w:left w:w="75" w:type="dxa"/>
            </w:tcMar>
            <w:vAlign w:val="center"/>
          </w:tcPr>
          <w:p w14:paraId="1C4F9590">
            <w:pPr>
              <w:pStyle w:val="30"/>
              <w:rPr>
                <w:rFonts w:ascii="Times New Roman" w:hAnsi="Times New Roman"/>
                <w:color w:val="auto"/>
                <w:highlight w:val="none"/>
                <w:shd w:val="clear"/>
              </w:rPr>
            </w:pPr>
            <w:r>
              <w:rPr>
                <w:rFonts w:hint="eastAsia" w:ascii="Times New Roman" w:hAnsi="Times New Roman" w:eastAsia="宋体" w:cs="仿宋"/>
                <w:bCs/>
                <w:color w:val="auto"/>
                <w:kern w:val="2"/>
                <w:sz w:val="21"/>
                <w:szCs w:val="24"/>
                <w:highlight w:val="none"/>
                <w:shd w:val="clear"/>
                <w:lang w:val="en-US" w:eastAsia="zh-CN" w:bidi="ar-SA"/>
              </w:rPr>
              <w:t>综合评估得分相同时，以投标报价低的优先，报价相同的，以评标委员会现场抽签确定排序</w:t>
            </w:r>
            <w:r>
              <w:rPr>
                <w:rFonts w:hint="eastAsia" w:ascii="Times New Roman" w:hAnsi="Times New Roman" w:cs="仿宋"/>
                <w:bCs/>
                <w:color w:val="auto"/>
                <w:kern w:val="2"/>
                <w:sz w:val="21"/>
                <w:szCs w:val="24"/>
                <w:highlight w:val="none"/>
                <w:shd w:val="clear"/>
                <w:lang w:val="en-US" w:eastAsia="zh-CN" w:bidi="ar-SA"/>
              </w:rPr>
              <w:t>。</w:t>
            </w:r>
          </w:p>
        </w:tc>
      </w:tr>
      <w:tr w14:paraId="487A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3" w:type="pct"/>
            <w:noWrap w:val="0"/>
            <w:vAlign w:val="center"/>
          </w:tcPr>
          <w:p w14:paraId="26D49A6A">
            <w:pPr>
              <w:pStyle w:val="29"/>
              <w:rPr>
                <w:rFonts w:ascii="Times New Roman" w:hAnsi="Times New Roman"/>
                <w:color w:val="auto"/>
                <w:highlight w:val="none"/>
                <w:shd w:val="clear"/>
              </w:rPr>
            </w:pPr>
            <w:r>
              <w:rPr>
                <w:rFonts w:hint="eastAsia" w:ascii="Times New Roman" w:hAnsi="Times New Roman"/>
                <w:color w:val="auto"/>
                <w:highlight w:val="none"/>
                <w:shd w:val="clear"/>
              </w:rPr>
              <w:t>2.1</w:t>
            </w:r>
          </w:p>
        </w:tc>
        <w:tc>
          <w:tcPr>
            <w:tcW w:w="1235" w:type="pct"/>
            <w:noWrap w:val="0"/>
            <w:tcMar>
              <w:left w:w="75" w:type="dxa"/>
            </w:tcMar>
            <w:vAlign w:val="center"/>
          </w:tcPr>
          <w:p w14:paraId="14D320E2">
            <w:pPr>
              <w:pStyle w:val="29"/>
              <w:rPr>
                <w:rFonts w:ascii="Times New Roman" w:hAnsi="Times New Roman"/>
                <w:color w:val="auto"/>
                <w:highlight w:val="none"/>
                <w:shd w:val="clear"/>
              </w:rPr>
            </w:pPr>
            <w:r>
              <w:rPr>
                <w:rFonts w:hint="eastAsia" w:ascii="Times New Roman" w:hAnsi="Times New Roman"/>
                <w:color w:val="auto"/>
                <w:highlight w:val="none"/>
                <w:shd w:val="clear"/>
              </w:rPr>
              <w:t>初步评审标准</w:t>
            </w:r>
          </w:p>
        </w:tc>
        <w:tc>
          <w:tcPr>
            <w:tcW w:w="3000" w:type="pct"/>
            <w:noWrap w:val="0"/>
            <w:tcMar>
              <w:left w:w="75" w:type="dxa"/>
            </w:tcMar>
            <w:vAlign w:val="center"/>
          </w:tcPr>
          <w:p w14:paraId="33CCA6C6">
            <w:pPr>
              <w:pStyle w:val="30"/>
              <w:rPr>
                <w:rFonts w:ascii="Times New Roman" w:hAnsi="Times New Roman"/>
                <w:color w:val="auto"/>
                <w:highlight w:val="none"/>
                <w:shd w:val="clear"/>
              </w:rPr>
            </w:pPr>
            <w:r>
              <w:rPr>
                <w:rFonts w:hint="eastAsia" w:ascii="Times New Roman" w:hAnsi="Times New Roman"/>
                <w:color w:val="auto"/>
                <w:highlight w:val="none"/>
                <w:shd w:val="clear"/>
              </w:rPr>
              <w:t>见“商务文件初步评审标准”表、“技术文件初步评审标准”、“报价文件初步评审标准”表。</w:t>
            </w:r>
          </w:p>
        </w:tc>
      </w:tr>
      <w:tr w14:paraId="42D0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135A2DDB">
            <w:pPr>
              <w:pStyle w:val="29"/>
              <w:rPr>
                <w:rFonts w:ascii="Times New Roman" w:hAnsi="Times New Roman"/>
                <w:color w:val="auto"/>
                <w:highlight w:val="none"/>
                <w:shd w:val="clear"/>
              </w:rPr>
            </w:pPr>
            <w:r>
              <w:rPr>
                <w:rFonts w:hint="eastAsia" w:ascii="Times New Roman" w:hAnsi="Times New Roman"/>
                <w:color w:val="auto"/>
                <w:highlight w:val="none"/>
                <w:shd w:val="clear"/>
              </w:rPr>
              <w:t>2.2.1</w:t>
            </w:r>
          </w:p>
        </w:tc>
        <w:tc>
          <w:tcPr>
            <w:tcW w:w="1235" w:type="pct"/>
            <w:noWrap w:val="0"/>
            <w:tcMar>
              <w:left w:w="75" w:type="dxa"/>
            </w:tcMar>
            <w:vAlign w:val="center"/>
          </w:tcPr>
          <w:p w14:paraId="0B441ED4">
            <w:pPr>
              <w:pStyle w:val="29"/>
              <w:rPr>
                <w:rFonts w:ascii="Times New Roman" w:hAnsi="Times New Roman"/>
                <w:color w:val="auto"/>
                <w:highlight w:val="none"/>
                <w:shd w:val="clear"/>
              </w:rPr>
            </w:pPr>
            <w:r>
              <w:rPr>
                <w:rFonts w:hint="eastAsia" w:ascii="Times New Roman" w:hAnsi="Times New Roman"/>
                <w:color w:val="auto"/>
                <w:highlight w:val="none"/>
                <w:shd w:val="clear"/>
              </w:rPr>
              <w:t>分值构成（100分）</w:t>
            </w:r>
          </w:p>
        </w:tc>
        <w:tc>
          <w:tcPr>
            <w:tcW w:w="3000" w:type="pct"/>
            <w:noWrap w:val="0"/>
            <w:vAlign w:val="center"/>
          </w:tcPr>
          <w:p w14:paraId="79A55F28">
            <w:pPr>
              <w:pStyle w:val="29"/>
              <w:jc w:val="left"/>
              <w:rPr>
                <w:rFonts w:hint="eastAsia" w:ascii="Times New Roman" w:hAnsi="Times New Roman" w:eastAsia="宋体" w:cs="仿宋"/>
                <w:bCs/>
                <w:color w:val="auto"/>
                <w:kern w:val="2"/>
                <w:sz w:val="21"/>
                <w:szCs w:val="24"/>
                <w:highlight w:val="none"/>
                <w:shd w:val="clear"/>
                <w:lang w:val="en-US" w:eastAsia="zh-CN" w:bidi="ar-SA"/>
              </w:rPr>
            </w:pPr>
            <w:r>
              <w:rPr>
                <w:rFonts w:hint="eastAsia" w:ascii="Times New Roman" w:hAnsi="Times New Roman"/>
                <w:color w:val="auto"/>
                <w:highlight w:val="none"/>
                <w:shd w:val="clear"/>
              </w:rPr>
              <w:t>技术文件</w:t>
            </w:r>
            <w:r>
              <w:rPr>
                <w:rFonts w:hint="eastAsia" w:ascii="Times New Roman" w:hAnsi="Times New Roman" w:eastAsia="宋体" w:cs="仿宋"/>
                <w:bCs/>
                <w:color w:val="auto"/>
                <w:kern w:val="2"/>
                <w:sz w:val="21"/>
                <w:szCs w:val="24"/>
                <w:highlight w:val="none"/>
                <w:shd w:val="clear"/>
                <w:lang w:val="en-US" w:eastAsia="zh-CN" w:bidi="ar-SA"/>
              </w:rPr>
              <w:t>：</w:t>
            </w:r>
            <w:r>
              <w:rPr>
                <w:rFonts w:hint="eastAsia" w:ascii="Times New Roman" w:hAnsi="Times New Roman" w:cs="仿宋"/>
                <w:bCs/>
                <w:color w:val="auto"/>
                <w:kern w:val="2"/>
                <w:sz w:val="21"/>
                <w:szCs w:val="24"/>
                <w:highlight w:val="none"/>
                <w:shd w:val="clear"/>
                <w:lang w:val="en-US" w:eastAsia="zh-CN" w:bidi="ar-SA"/>
              </w:rPr>
              <w:t>28</w:t>
            </w:r>
            <w:r>
              <w:rPr>
                <w:rFonts w:hint="eastAsia" w:ascii="Times New Roman" w:hAnsi="Times New Roman" w:eastAsia="宋体" w:cs="仿宋"/>
                <w:bCs/>
                <w:color w:val="auto"/>
                <w:kern w:val="2"/>
                <w:sz w:val="21"/>
                <w:szCs w:val="24"/>
                <w:highlight w:val="none"/>
                <w:shd w:val="clear"/>
                <w:lang w:val="en-US" w:eastAsia="zh-CN" w:bidi="ar-SA"/>
              </w:rPr>
              <w:t>分</w:t>
            </w:r>
          </w:p>
          <w:p w14:paraId="7D607D05">
            <w:pPr>
              <w:pStyle w:val="29"/>
              <w:jc w:val="left"/>
              <w:rPr>
                <w:rFonts w:hint="eastAsia" w:ascii="Times New Roman" w:hAnsi="Times New Roman" w:eastAsia="宋体" w:cs="仿宋"/>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商务文件：</w:t>
            </w:r>
            <w:r>
              <w:rPr>
                <w:rFonts w:hint="eastAsia" w:ascii="Times New Roman" w:hAnsi="Times New Roman" w:cs="仿宋"/>
                <w:bCs/>
                <w:color w:val="auto"/>
                <w:kern w:val="2"/>
                <w:sz w:val="21"/>
                <w:szCs w:val="24"/>
                <w:highlight w:val="none"/>
                <w:shd w:val="clear"/>
                <w:lang w:val="en-US" w:eastAsia="zh-CN" w:bidi="ar-SA"/>
              </w:rPr>
              <w:t>12</w:t>
            </w:r>
            <w:r>
              <w:rPr>
                <w:rFonts w:hint="eastAsia" w:ascii="Times New Roman" w:hAnsi="Times New Roman" w:eastAsia="宋体" w:cs="仿宋"/>
                <w:bCs/>
                <w:color w:val="auto"/>
                <w:kern w:val="2"/>
                <w:sz w:val="21"/>
                <w:szCs w:val="24"/>
                <w:highlight w:val="none"/>
                <w:shd w:val="clear"/>
                <w:lang w:val="en-US" w:eastAsia="zh-CN" w:bidi="ar-SA"/>
              </w:rPr>
              <w:t>分</w:t>
            </w:r>
          </w:p>
          <w:p w14:paraId="11050EFD">
            <w:pPr>
              <w:pStyle w:val="30"/>
              <w:rPr>
                <w:rFonts w:ascii="Times New Roman" w:hAnsi="Times New Roman"/>
                <w:color w:val="auto"/>
                <w:highlight w:val="none"/>
                <w:shd w:val="clear"/>
              </w:rPr>
            </w:pPr>
            <w:r>
              <w:rPr>
                <w:rFonts w:hint="eastAsia" w:ascii="Times New Roman" w:hAnsi="Times New Roman" w:eastAsia="宋体" w:cs="仿宋"/>
                <w:bCs/>
                <w:color w:val="auto"/>
                <w:kern w:val="2"/>
                <w:sz w:val="21"/>
                <w:szCs w:val="24"/>
                <w:highlight w:val="none"/>
                <w:shd w:val="clear"/>
                <w:lang w:val="en-US" w:eastAsia="zh-CN" w:bidi="ar-SA"/>
              </w:rPr>
              <w:t>报价文件：60分</w:t>
            </w:r>
          </w:p>
        </w:tc>
      </w:tr>
      <w:tr w14:paraId="16CB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1FAFD166">
            <w:pPr>
              <w:pStyle w:val="29"/>
              <w:rPr>
                <w:rFonts w:ascii="Times New Roman" w:hAnsi="Times New Roman"/>
                <w:color w:val="auto"/>
                <w:highlight w:val="none"/>
                <w:shd w:val="clear"/>
              </w:rPr>
            </w:pPr>
            <w:r>
              <w:rPr>
                <w:rFonts w:hint="eastAsia" w:ascii="Times New Roman" w:hAnsi="Times New Roman"/>
                <w:color w:val="auto"/>
                <w:highlight w:val="none"/>
                <w:shd w:val="clear"/>
              </w:rPr>
              <w:t>2.2.2</w:t>
            </w:r>
          </w:p>
        </w:tc>
        <w:tc>
          <w:tcPr>
            <w:tcW w:w="1235" w:type="pct"/>
            <w:noWrap w:val="0"/>
            <w:tcMar>
              <w:left w:w="75" w:type="dxa"/>
            </w:tcMar>
            <w:vAlign w:val="center"/>
          </w:tcPr>
          <w:p w14:paraId="3F200E70">
            <w:pPr>
              <w:pStyle w:val="29"/>
              <w:rPr>
                <w:rFonts w:ascii="Times New Roman" w:hAnsi="Times New Roman"/>
                <w:color w:val="auto"/>
                <w:highlight w:val="none"/>
                <w:shd w:val="clear"/>
              </w:rPr>
            </w:pPr>
            <w:r>
              <w:rPr>
                <w:rFonts w:hint="eastAsia" w:ascii="Times New Roman" w:hAnsi="Times New Roman"/>
                <w:color w:val="auto"/>
                <w:highlight w:val="none"/>
                <w:shd w:val="clear"/>
              </w:rPr>
              <w:t>详细评审标准</w:t>
            </w:r>
          </w:p>
        </w:tc>
        <w:tc>
          <w:tcPr>
            <w:tcW w:w="3000" w:type="pct"/>
            <w:noWrap w:val="0"/>
            <w:vAlign w:val="center"/>
          </w:tcPr>
          <w:p w14:paraId="02BEB911">
            <w:pPr>
              <w:pStyle w:val="30"/>
              <w:rPr>
                <w:rFonts w:ascii="Times New Roman" w:hAnsi="Times New Roman" w:cs="宋体"/>
                <w:color w:val="auto"/>
                <w:sz w:val="24"/>
                <w:highlight w:val="none"/>
                <w:shd w:val="clear"/>
              </w:rPr>
            </w:pPr>
            <w:r>
              <w:rPr>
                <w:rStyle w:val="32"/>
                <w:rFonts w:hint="eastAsia" w:ascii="Times New Roman" w:hAnsi="Times New Roman"/>
                <w:color w:val="auto"/>
                <w:highlight w:val="none"/>
                <w:shd w:val="clear"/>
              </w:rPr>
              <w:t>见“详细评审标准”</w:t>
            </w:r>
            <w:r>
              <w:rPr>
                <w:rStyle w:val="27"/>
                <w:rFonts w:hint="eastAsia" w:ascii="Times New Roman" w:hAnsi="Times New Roman"/>
                <w:color w:val="auto"/>
                <w:highlight w:val="none"/>
                <w:shd w:val="clear"/>
              </w:rPr>
              <w:t>表。</w:t>
            </w:r>
          </w:p>
        </w:tc>
      </w:tr>
      <w:tr w14:paraId="02D3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7B5C0A92">
            <w:pPr>
              <w:pStyle w:val="29"/>
              <w:rPr>
                <w:rFonts w:ascii="Times New Roman" w:hAnsi="Times New Roman"/>
                <w:color w:val="auto"/>
                <w:highlight w:val="none"/>
                <w:shd w:val="clear"/>
              </w:rPr>
            </w:pPr>
            <w:r>
              <w:rPr>
                <w:rFonts w:hint="eastAsia" w:ascii="Times New Roman" w:hAnsi="Times New Roman"/>
                <w:color w:val="auto"/>
                <w:highlight w:val="none"/>
                <w:shd w:val="clear"/>
              </w:rPr>
              <w:t>3.2.2（1）</w:t>
            </w:r>
          </w:p>
        </w:tc>
        <w:tc>
          <w:tcPr>
            <w:tcW w:w="1235" w:type="pct"/>
            <w:noWrap w:val="0"/>
            <w:tcMar>
              <w:left w:w="75" w:type="dxa"/>
            </w:tcMar>
            <w:vAlign w:val="center"/>
          </w:tcPr>
          <w:p w14:paraId="3FE849E9">
            <w:pPr>
              <w:pStyle w:val="29"/>
              <w:rPr>
                <w:rFonts w:ascii="Times New Roman" w:hAnsi="Times New Roman"/>
                <w:color w:val="auto"/>
                <w:highlight w:val="none"/>
                <w:shd w:val="clear"/>
              </w:rPr>
            </w:pPr>
            <w:r>
              <w:rPr>
                <w:rFonts w:hint="eastAsia" w:ascii="Times New Roman" w:hAnsi="Times New Roman"/>
                <w:color w:val="auto"/>
                <w:highlight w:val="none"/>
                <w:shd w:val="clear"/>
              </w:rPr>
              <w:t>主观分异常评审情形</w:t>
            </w:r>
          </w:p>
        </w:tc>
        <w:tc>
          <w:tcPr>
            <w:tcW w:w="3000" w:type="pct"/>
            <w:noWrap w:val="0"/>
            <w:vAlign w:val="center"/>
          </w:tcPr>
          <w:p w14:paraId="351C36DD">
            <w:pPr>
              <w:pStyle w:val="30"/>
              <w:rPr>
                <w:rFonts w:ascii="Times New Roman" w:hAnsi="Times New Roman"/>
                <w:color w:val="auto"/>
                <w:highlight w:val="none"/>
                <w:shd w:val="clear"/>
              </w:rPr>
            </w:pPr>
            <w:r>
              <w:rPr>
                <w:rFonts w:hint="eastAsia" w:ascii="Times New Roman" w:hAnsi="Times New Roman"/>
                <w:color w:val="auto"/>
                <w:highlight w:val="none"/>
                <w:shd w:val="clear"/>
              </w:rPr>
              <w:t>见附件1。</w:t>
            </w:r>
          </w:p>
        </w:tc>
      </w:tr>
      <w:tr w14:paraId="0FD6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435AC398">
            <w:pPr>
              <w:pStyle w:val="29"/>
              <w:rPr>
                <w:rFonts w:ascii="Times New Roman" w:hAnsi="Times New Roman"/>
                <w:color w:val="auto"/>
                <w:highlight w:val="none"/>
                <w:shd w:val="clear"/>
              </w:rPr>
            </w:pPr>
            <w:r>
              <w:rPr>
                <w:rFonts w:hint="eastAsia" w:ascii="Times New Roman" w:hAnsi="Times New Roman"/>
                <w:color w:val="auto"/>
                <w:highlight w:val="none"/>
                <w:shd w:val="clear"/>
              </w:rPr>
              <w:t>3.2.4</w:t>
            </w:r>
          </w:p>
        </w:tc>
        <w:tc>
          <w:tcPr>
            <w:tcW w:w="1235" w:type="pct"/>
            <w:noWrap w:val="0"/>
            <w:tcMar>
              <w:left w:w="75" w:type="dxa"/>
            </w:tcMar>
            <w:vAlign w:val="center"/>
          </w:tcPr>
          <w:p w14:paraId="555A4B71">
            <w:pPr>
              <w:pStyle w:val="29"/>
              <w:rPr>
                <w:rFonts w:ascii="Times New Roman" w:hAnsi="Times New Roman"/>
                <w:color w:val="auto"/>
                <w:highlight w:val="none"/>
                <w:shd w:val="clear"/>
              </w:rPr>
            </w:pPr>
            <w:r>
              <w:rPr>
                <w:rFonts w:hint="eastAsia" w:ascii="Times New Roman" w:hAnsi="Times New Roman"/>
                <w:color w:val="auto"/>
                <w:highlight w:val="none"/>
                <w:shd w:val="clear"/>
              </w:rPr>
              <w:t>确定入围第三阶段报价文件评审的规定</w:t>
            </w:r>
          </w:p>
        </w:tc>
        <w:tc>
          <w:tcPr>
            <w:tcW w:w="3000" w:type="pct"/>
            <w:noWrap w:val="0"/>
            <w:vAlign w:val="center"/>
          </w:tcPr>
          <w:p w14:paraId="6B927EE7">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按照商务及技术文件详细评审得分情况确定入围单位，具体详见附件2。</w:t>
            </w:r>
          </w:p>
        </w:tc>
      </w:tr>
      <w:tr w14:paraId="4EB2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51C535B3">
            <w:pPr>
              <w:pStyle w:val="29"/>
              <w:rPr>
                <w:rFonts w:ascii="Times New Roman" w:hAnsi="Times New Roman"/>
                <w:color w:val="auto"/>
                <w:highlight w:val="none"/>
                <w:shd w:val="clear"/>
              </w:rPr>
            </w:pPr>
            <w:r>
              <w:rPr>
                <w:rFonts w:hint="eastAsia" w:ascii="Times New Roman" w:hAnsi="Times New Roman"/>
                <w:color w:val="auto"/>
                <w:highlight w:val="none"/>
                <w:shd w:val="clear"/>
              </w:rPr>
              <w:t>3.6.2</w:t>
            </w:r>
          </w:p>
        </w:tc>
        <w:tc>
          <w:tcPr>
            <w:tcW w:w="1235" w:type="pct"/>
            <w:noWrap w:val="0"/>
            <w:tcMar>
              <w:left w:w="75" w:type="dxa"/>
            </w:tcMar>
            <w:vAlign w:val="center"/>
          </w:tcPr>
          <w:p w14:paraId="38440CFB">
            <w:pPr>
              <w:pStyle w:val="29"/>
              <w:rPr>
                <w:rFonts w:ascii="Times New Roman" w:hAnsi="Times New Roman"/>
                <w:color w:val="auto"/>
                <w:highlight w:val="none"/>
                <w:shd w:val="clear"/>
              </w:rPr>
            </w:pPr>
            <w:r>
              <w:rPr>
                <w:rFonts w:hint="eastAsia" w:ascii="Times New Roman" w:hAnsi="Times New Roman"/>
                <w:color w:val="auto"/>
                <w:highlight w:val="none"/>
                <w:shd w:val="clear"/>
              </w:rPr>
              <w:t>否决投标的其他情形</w:t>
            </w:r>
          </w:p>
        </w:tc>
        <w:tc>
          <w:tcPr>
            <w:tcW w:w="3000" w:type="pct"/>
            <w:noWrap w:val="0"/>
            <w:vAlign w:val="center"/>
          </w:tcPr>
          <w:p w14:paraId="53188D42">
            <w:pPr>
              <w:pStyle w:val="30"/>
              <w:rPr>
                <w:rFonts w:ascii="Times New Roman" w:hAnsi="Times New Roman"/>
                <w:color w:val="auto"/>
                <w:highlight w:val="none"/>
                <w:shd w:val="clear"/>
              </w:rPr>
            </w:pPr>
            <w:r>
              <w:rPr>
                <w:rFonts w:hint="eastAsia" w:ascii="Times New Roman" w:hAnsi="Times New Roman"/>
                <w:color w:val="auto"/>
                <w:highlight w:val="none"/>
                <w:shd w:val="clear"/>
              </w:rPr>
              <w:t>见附件3。</w:t>
            </w:r>
          </w:p>
        </w:tc>
      </w:tr>
      <w:tr w14:paraId="2B47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3D5B789C">
            <w:pPr>
              <w:pStyle w:val="29"/>
              <w:rPr>
                <w:rFonts w:ascii="Times New Roman" w:hAnsi="Times New Roman"/>
                <w:color w:val="auto"/>
                <w:highlight w:val="none"/>
                <w:shd w:val="clear"/>
              </w:rPr>
            </w:pPr>
            <w:r>
              <w:rPr>
                <w:rFonts w:hint="eastAsia" w:ascii="Times New Roman" w:hAnsi="Times New Roman"/>
                <w:color w:val="auto"/>
                <w:highlight w:val="none"/>
                <w:shd w:val="clear"/>
              </w:rPr>
              <w:t>3.6.3</w:t>
            </w:r>
          </w:p>
        </w:tc>
        <w:tc>
          <w:tcPr>
            <w:tcW w:w="1235" w:type="pct"/>
            <w:noWrap w:val="0"/>
            <w:tcMar>
              <w:left w:w="75" w:type="dxa"/>
            </w:tcMar>
            <w:vAlign w:val="center"/>
          </w:tcPr>
          <w:p w14:paraId="4343D621">
            <w:pPr>
              <w:pStyle w:val="29"/>
              <w:rPr>
                <w:rFonts w:ascii="Times New Roman" w:hAnsi="Times New Roman"/>
                <w:color w:val="auto"/>
                <w:highlight w:val="none"/>
                <w:shd w:val="clear"/>
              </w:rPr>
            </w:pPr>
            <w:r>
              <w:rPr>
                <w:rFonts w:hint="eastAsia" w:ascii="Times New Roman" w:hAnsi="Times New Roman"/>
                <w:color w:val="auto"/>
                <w:highlight w:val="none"/>
                <w:shd w:val="clear"/>
              </w:rPr>
              <w:t>异常低价评审</w:t>
            </w:r>
          </w:p>
        </w:tc>
        <w:tc>
          <w:tcPr>
            <w:tcW w:w="3000" w:type="pct"/>
            <w:noWrap w:val="0"/>
            <w:vAlign w:val="center"/>
          </w:tcPr>
          <w:p w14:paraId="7814A199">
            <w:pPr>
              <w:pStyle w:val="30"/>
              <w:keepNext w:val="0"/>
              <w:keepLines w:val="0"/>
              <w:pageBreakBefore w:val="0"/>
              <w:widowControl w:val="0"/>
              <w:kinsoku/>
              <w:wordWrap/>
              <w:overflowPunct/>
              <w:topLinePunct w:val="0"/>
              <w:autoSpaceDE/>
              <w:autoSpaceDN/>
              <w:bidi w:val="0"/>
              <w:adjustRightInd w:val="0"/>
              <w:snapToGrid/>
              <w:ind w:left="21" w:leftChars="10"/>
              <w:textAlignment w:val="auto"/>
              <w:rPr>
                <w:rStyle w:val="32"/>
                <w:rFonts w:ascii="Times New Roman" w:hAnsi="Times New Roman"/>
                <w:color w:val="auto"/>
                <w:highlight w:val="none"/>
                <w:shd w:val="clear"/>
              </w:rPr>
            </w:pPr>
            <w:r>
              <w:rPr>
                <w:rFonts w:hint="eastAsia" w:ascii="Times New Roman" w:hAnsi="Times New Roman" w:eastAsia="MS Gothic"/>
                <w:color w:val="auto"/>
                <w:highlight w:val="none"/>
                <w:shd w:val="clear"/>
              </w:rPr>
              <w:t>☐</w:t>
            </w:r>
            <w:r>
              <w:rPr>
                <w:rStyle w:val="32"/>
                <w:rFonts w:hint="eastAsia" w:ascii="Times New Roman" w:hAnsi="Times New Roman"/>
                <w:color w:val="auto"/>
                <w:highlight w:val="none"/>
                <w:shd w:val="clear"/>
              </w:rPr>
              <w:t>不执行</w:t>
            </w:r>
          </w:p>
          <w:p w14:paraId="37514C98">
            <w:pPr>
              <w:pStyle w:val="30"/>
              <w:keepNext w:val="0"/>
              <w:keepLines w:val="0"/>
              <w:pageBreakBefore w:val="0"/>
              <w:widowControl w:val="0"/>
              <w:kinsoku/>
              <w:wordWrap/>
              <w:overflowPunct/>
              <w:topLinePunct w:val="0"/>
              <w:autoSpaceDE/>
              <w:autoSpaceDN/>
              <w:bidi w:val="0"/>
              <w:adjustRightInd w:val="0"/>
              <w:snapToGrid/>
              <w:ind w:left="21" w:leftChars="10"/>
              <w:textAlignment w:val="auto"/>
              <w:rPr>
                <w:rStyle w:val="27"/>
                <w:rFonts w:ascii="Times New Roman" w:hAnsi="Times New Roman"/>
                <w:bCs w:val="0"/>
                <w:color w:val="auto"/>
                <w:highlight w:val="none"/>
                <w:shd w:val="clear"/>
              </w:rPr>
            </w:pPr>
            <w:r>
              <w:rPr>
                <w:rFonts w:hint="eastAsia" w:ascii="Times New Roman" w:hAnsi="Times New Roman"/>
                <w:color w:val="auto"/>
                <w:highlight w:val="none"/>
                <w:shd w:val="clear"/>
              </w:rPr>
              <w:sym w:font="Wingdings 2" w:char="0052"/>
            </w:r>
            <w:r>
              <w:rPr>
                <w:rStyle w:val="32"/>
                <w:rFonts w:hint="eastAsia" w:ascii="Times New Roman" w:hAnsi="Times New Roman"/>
                <w:color w:val="auto"/>
                <w:highlight w:val="none"/>
                <w:shd w:val="clear"/>
              </w:rPr>
              <w:t>执行，异常低价规定指标：</w:t>
            </w:r>
          </w:p>
          <w:p w14:paraId="3040DDFA">
            <w:pPr>
              <w:pStyle w:val="30"/>
              <w:keepNext w:val="0"/>
              <w:keepLines w:val="0"/>
              <w:pageBreakBefore w:val="0"/>
              <w:framePr w:hSpace="0" w:wrap="auto" w:vAnchor="margin" w:hAnchor="text" w:xAlign="left" w:yAlign="inline"/>
              <w:widowControl w:val="0"/>
              <w:kinsoku/>
              <w:wordWrap/>
              <w:overflowPunct/>
              <w:topLinePunct w:val="0"/>
              <w:autoSpaceDE/>
              <w:autoSpaceDN/>
              <w:bidi w:val="0"/>
              <w:adjustRightInd w:val="0"/>
              <w:snapToGrid/>
              <w:ind w:left="21" w:leftChars="10"/>
              <w:textAlignment w:val="auto"/>
              <w:rPr>
                <w:rStyle w:val="32"/>
                <w:rFonts w:hint="default" w:ascii="Times New Roman" w:hAnsi="Times New Roman" w:eastAsia="宋体"/>
                <w:color w:val="auto"/>
                <w:highlight w:val="none"/>
                <w:shd w:val="clear"/>
                <w:lang w:val="en-US" w:eastAsia="zh-CN"/>
              </w:rPr>
            </w:pPr>
            <w:r>
              <w:rPr>
                <w:rStyle w:val="32"/>
                <w:rFonts w:hint="eastAsia" w:ascii="Times New Roman" w:hAnsi="Times New Roman"/>
                <w:color w:val="auto"/>
                <w:highlight w:val="none"/>
                <w:shd w:val="clear"/>
              </w:rPr>
              <w:t>①</w:t>
            </w:r>
            <w:r>
              <w:rPr>
                <w:rStyle w:val="32"/>
                <w:rFonts w:hint="eastAsia" w:ascii="Times New Roman" w:hAnsi="Times New Roman" w:eastAsia="宋体"/>
                <w:color w:val="auto"/>
                <w:highlight w:val="none"/>
                <w:shd w:val="clear"/>
              </w:rPr>
              <w:t>通过商务文件初步评审及技术文件初步评审的投标文件的评标价的算数平均值*</w:t>
            </w:r>
            <w:r>
              <w:rPr>
                <w:rStyle w:val="32"/>
                <w:rFonts w:hint="eastAsia" w:ascii="Times New Roman" w:hAnsi="Times New Roman" w:eastAsia="宋体"/>
                <w:color w:val="auto"/>
                <w:highlight w:val="none"/>
                <w:shd w:val="clear"/>
                <w:lang w:val="en-US" w:eastAsia="zh-CN"/>
              </w:rPr>
              <w:t>90%</w:t>
            </w:r>
          </w:p>
          <w:p w14:paraId="2F30B723">
            <w:pPr>
              <w:pStyle w:val="30"/>
              <w:keepNext w:val="0"/>
              <w:keepLines w:val="0"/>
              <w:pageBreakBefore w:val="0"/>
              <w:framePr w:hSpace="0" w:wrap="auto" w:vAnchor="margin" w:hAnchor="text" w:xAlign="left" w:yAlign="inline"/>
              <w:widowControl w:val="0"/>
              <w:kinsoku/>
              <w:wordWrap/>
              <w:overflowPunct/>
              <w:topLinePunct w:val="0"/>
              <w:autoSpaceDE/>
              <w:autoSpaceDN/>
              <w:bidi w:val="0"/>
              <w:adjustRightInd w:val="0"/>
              <w:snapToGrid/>
              <w:ind w:left="21" w:leftChars="10"/>
              <w:textAlignment w:val="auto"/>
              <w:rPr>
                <w:rStyle w:val="32"/>
                <w:rFonts w:hint="eastAsia" w:ascii="Times New Roman" w:hAnsi="Times New Roman" w:eastAsia="宋体"/>
                <w:color w:val="auto"/>
                <w:highlight w:val="none"/>
                <w:shd w:val="clear"/>
              </w:rPr>
            </w:pPr>
            <w:r>
              <w:rPr>
                <w:rStyle w:val="32"/>
                <w:rFonts w:hint="eastAsia" w:ascii="Times New Roman" w:hAnsi="Times New Roman" w:eastAsia="宋体"/>
                <w:color w:val="auto"/>
                <w:highlight w:val="none"/>
                <w:shd w:val="clear"/>
              </w:rPr>
              <w:t xml:space="preserve">②根据《关于进一步规范全省房屋建筑和市政基础设施工程招标投标活动的通知》（建市函〔2020〕1073 号）文件规定，通过商务及技术文件初步评审的投标文件的评标价低于最高投标限价* </w:t>
            </w:r>
            <w:r>
              <w:rPr>
                <w:rStyle w:val="32"/>
                <w:rFonts w:hint="eastAsia" w:ascii="Times New Roman" w:hAnsi="Times New Roman"/>
                <w:color w:val="auto"/>
                <w:highlight w:val="none"/>
                <w:shd w:val="clear"/>
                <w:lang w:val="en-US" w:eastAsia="zh-CN"/>
              </w:rPr>
              <w:t>85</w:t>
            </w:r>
            <w:r>
              <w:rPr>
                <w:rStyle w:val="32"/>
                <w:rFonts w:hint="eastAsia" w:ascii="Times New Roman" w:hAnsi="Times New Roman" w:eastAsia="宋体"/>
                <w:color w:val="auto"/>
                <w:highlight w:val="none"/>
                <w:shd w:val="clear"/>
              </w:rPr>
              <w:t>%。</w:t>
            </w:r>
          </w:p>
          <w:p w14:paraId="670E7AEE">
            <w:pPr>
              <w:pStyle w:val="30"/>
              <w:keepNext w:val="0"/>
              <w:keepLines w:val="0"/>
              <w:pageBreakBefore w:val="0"/>
              <w:widowControl w:val="0"/>
              <w:kinsoku/>
              <w:wordWrap/>
              <w:overflowPunct/>
              <w:topLinePunct w:val="0"/>
              <w:autoSpaceDE/>
              <w:autoSpaceDN/>
              <w:bidi w:val="0"/>
              <w:adjustRightInd w:val="0"/>
              <w:snapToGrid/>
              <w:ind w:left="21" w:leftChars="10"/>
              <w:textAlignment w:val="auto"/>
              <w:rPr>
                <w:rStyle w:val="32"/>
                <w:rFonts w:hint="eastAsia" w:ascii="Times New Roman" w:hAnsi="Times New Roman"/>
                <w:color w:val="auto"/>
                <w:highlight w:val="none"/>
                <w:shd w:val="clear"/>
              </w:rPr>
            </w:pPr>
            <w:r>
              <w:rPr>
                <w:rStyle w:val="32"/>
                <w:rFonts w:hint="eastAsia" w:ascii="Times New Roman" w:hAnsi="Times New Roman" w:eastAsia="宋体"/>
                <w:color w:val="auto"/>
                <w:highlight w:val="none"/>
                <w:shd w:val="clear"/>
              </w:rPr>
              <w:t>以①和②较低的指</w:t>
            </w:r>
            <w:r>
              <w:rPr>
                <w:rStyle w:val="32"/>
                <w:rFonts w:hint="eastAsia" w:ascii="Times New Roman" w:hAnsi="Times New Roman"/>
                <w:color w:val="auto"/>
                <w:highlight w:val="none"/>
                <w:shd w:val="clear"/>
              </w:rPr>
              <w:t>标作为最终的异常低价指标。具体见附件4。</w:t>
            </w:r>
          </w:p>
          <w:p w14:paraId="79EF6703">
            <w:pPr>
              <w:pStyle w:val="30"/>
              <w:keepNext w:val="0"/>
              <w:keepLines w:val="0"/>
              <w:pageBreakBefore w:val="0"/>
              <w:widowControl w:val="0"/>
              <w:kinsoku/>
              <w:wordWrap/>
              <w:overflowPunct/>
              <w:topLinePunct w:val="0"/>
              <w:autoSpaceDE/>
              <w:autoSpaceDN/>
              <w:bidi w:val="0"/>
              <w:adjustRightInd w:val="0"/>
              <w:snapToGrid/>
              <w:ind w:left="21" w:leftChars="10"/>
              <w:textAlignment w:val="auto"/>
              <w:rPr>
                <w:rStyle w:val="32"/>
                <w:rFonts w:hint="eastAsia" w:ascii="Times New Roman" w:hAnsi="Times New Roman"/>
                <w:color w:val="auto"/>
                <w:highlight w:val="none"/>
                <w:shd w:val="clear"/>
                <w:lang w:val="en-US" w:eastAsia="zh-CN"/>
              </w:rPr>
            </w:pPr>
            <w:r>
              <w:rPr>
                <w:rStyle w:val="32"/>
                <w:rFonts w:hint="eastAsia" w:ascii="Times New Roman" w:hAnsi="Times New Roman"/>
                <w:color w:val="auto"/>
                <w:highlight w:val="none"/>
                <w:shd w:val="clear"/>
                <w:lang w:val="en-US" w:eastAsia="zh-CN"/>
              </w:rPr>
              <w:t>注：异常低价评审过程中均不含暂列金、专业工程暂估</w:t>
            </w:r>
          </w:p>
          <w:p w14:paraId="7BAFA5D1">
            <w:pPr>
              <w:pStyle w:val="30"/>
              <w:rPr>
                <w:rFonts w:hint="default" w:ascii="Times New Roman" w:hAnsi="Times New Roman"/>
                <w:color w:val="auto"/>
                <w:highlight w:val="none"/>
                <w:shd w:val="clear"/>
                <w:lang w:val="en-US"/>
              </w:rPr>
            </w:pPr>
            <w:r>
              <w:rPr>
                <w:rStyle w:val="32"/>
                <w:rFonts w:hint="eastAsia" w:ascii="Times New Roman" w:hAnsi="Times New Roman"/>
                <w:color w:val="auto"/>
                <w:highlight w:val="none"/>
                <w:shd w:val="clear"/>
                <w:lang w:val="en-US" w:eastAsia="zh-CN"/>
              </w:rPr>
              <w:t>价。</w:t>
            </w:r>
          </w:p>
        </w:tc>
      </w:tr>
      <w:tr w14:paraId="62D9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5D6B470F">
            <w:pPr>
              <w:pStyle w:val="29"/>
              <w:rPr>
                <w:rFonts w:ascii="Times New Roman" w:hAnsi="Times New Roman"/>
                <w:color w:val="auto"/>
                <w:highlight w:val="none"/>
                <w:shd w:val="clear"/>
              </w:rPr>
            </w:pPr>
            <w:r>
              <w:rPr>
                <w:rFonts w:hint="eastAsia" w:ascii="Times New Roman" w:hAnsi="Times New Roman"/>
                <w:color w:val="auto"/>
                <w:highlight w:val="none"/>
                <w:shd w:val="clear"/>
              </w:rPr>
              <w:t>3.6.4</w:t>
            </w:r>
          </w:p>
        </w:tc>
        <w:tc>
          <w:tcPr>
            <w:tcW w:w="1235" w:type="pct"/>
            <w:noWrap w:val="0"/>
            <w:tcMar>
              <w:left w:w="75" w:type="dxa"/>
            </w:tcMar>
            <w:vAlign w:val="center"/>
          </w:tcPr>
          <w:p w14:paraId="48FAA146">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投标人履约能力的建造师数量</w:t>
            </w:r>
          </w:p>
        </w:tc>
        <w:tc>
          <w:tcPr>
            <w:tcW w:w="3000" w:type="pct"/>
            <w:noWrap w:val="0"/>
            <w:vAlign w:val="center"/>
          </w:tcPr>
          <w:p w14:paraId="7192E92B">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1）市政公用工程施工总承包特级资质企业：注册一级建造师50人以上；</w:t>
            </w:r>
          </w:p>
          <w:p w14:paraId="303A40B8">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2）市政公用工程施工总承包壹级资质企业：市政公用工程专业一级注册建造师不少于12人</w:t>
            </w:r>
            <w:r>
              <w:rPr>
                <w:rFonts w:hint="eastAsia" w:ascii="Times New Roman" w:hAnsi="Times New Roman"/>
                <w:color w:val="auto"/>
                <w:highlight w:val="none"/>
                <w:shd w:val="clear"/>
                <w:lang w:eastAsia="zh-CN"/>
              </w:rPr>
              <w:t>；</w:t>
            </w:r>
          </w:p>
          <w:p w14:paraId="44350DFB">
            <w:pPr>
              <w:pStyle w:val="30"/>
              <w:rPr>
                <w:rFonts w:ascii="Times New Roman" w:hAnsi="Times New Roman"/>
                <w:color w:val="auto"/>
                <w:highlight w:val="none"/>
                <w:shd w:val="clear"/>
              </w:rPr>
            </w:pPr>
            <w:r>
              <w:rPr>
                <w:rFonts w:hint="eastAsia" w:ascii="Times New Roman" w:hAnsi="Times New Roman"/>
                <w:color w:val="auto"/>
                <w:highlight w:val="none"/>
                <w:shd w:val="clear"/>
              </w:rPr>
              <w:t>2）市政公用工程施工总承包贰级、叁级资质企业：市政公用工程专业注册建造师不少于5人。</w:t>
            </w:r>
          </w:p>
        </w:tc>
      </w:tr>
      <w:tr w14:paraId="0D2D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4776F4D9">
            <w:pPr>
              <w:pStyle w:val="29"/>
              <w:rPr>
                <w:rFonts w:ascii="Times New Roman" w:hAnsi="Times New Roman"/>
                <w:color w:val="auto"/>
                <w:highlight w:val="none"/>
                <w:shd w:val="clear"/>
              </w:rPr>
            </w:pPr>
            <w:r>
              <w:rPr>
                <w:rFonts w:hint="eastAsia" w:ascii="Times New Roman" w:hAnsi="Times New Roman"/>
                <w:color w:val="auto"/>
                <w:highlight w:val="none"/>
                <w:shd w:val="clear"/>
              </w:rPr>
              <w:t>3.8.1</w:t>
            </w:r>
          </w:p>
        </w:tc>
        <w:tc>
          <w:tcPr>
            <w:tcW w:w="1235" w:type="pct"/>
            <w:noWrap w:val="0"/>
            <w:tcMar>
              <w:left w:w="75" w:type="dxa"/>
            </w:tcMar>
            <w:vAlign w:val="center"/>
          </w:tcPr>
          <w:p w14:paraId="4C560B84">
            <w:pPr>
              <w:pStyle w:val="29"/>
              <w:rPr>
                <w:rFonts w:ascii="Times New Roman" w:hAnsi="Times New Roman"/>
                <w:color w:val="auto"/>
                <w:highlight w:val="none"/>
                <w:shd w:val="clear"/>
              </w:rPr>
            </w:pPr>
            <w:r>
              <w:rPr>
                <w:rFonts w:hint="eastAsia" w:ascii="Times New Roman" w:hAnsi="Times New Roman"/>
                <w:color w:val="auto"/>
                <w:highlight w:val="none"/>
                <w:shd w:val="clear"/>
              </w:rPr>
              <w:t>其他推荐中标候选人规则</w:t>
            </w:r>
          </w:p>
        </w:tc>
        <w:tc>
          <w:tcPr>
            <w:tcW w:w="3000" w:type="pct"/>
            <w:noWrap w:val="0"/>
            <w:vAlign w:val="center"/>
          </w:tcPr>
          <w:p w14:paraId="3D2D9044">
            <w:pPr>
              <w:pStyle w:val="30"/>
              <w:ind w:left="0" w:leftChars="0" w:firstLine="218" w:firstLineChars="104"/>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tr w14:paraId="3B5A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3" w:type="pct"/>
            <w:noWrap w:val="0"/>
            <w:vAlign w:val="center"/>
          </w:tcPr>
          <w:p w14:paraId="72A35B85">
            <w:pPr>
              <w:pStyle w:val="29"/>
              <w:rPr>
                <w:rFonts w:ascii="Times New Roman" w:hAnsi="Times New Roman"/>
                <w:color w:val="auto"/>
                <w:highlight w:val="none"/>
                <w:shd w:val="clear"/>
              </w:rPr>
            </w:pPr>
            <w:r>
              <w:rPr>
                <w:rFonts w:hint="eastAsia" w:ascii="Times New Roman" w:hAnsi="Times New Roman"/>
                <w:color w:val="auto"/>
                <w:highlight w:val="none"/>
                <w:shd w:val="clear"/>
              </w:rPr>
              <w:t>3.9.1</w:t>
            </w:r>
          </w:p>
        </w:tc>
        <w:tc>
          <w:tcPr>
            <w:tcW w:w="1235" w:type="pct"/>
            <w:noWrap w:val="0"/>
            <w:tcMar>
              <w:left w:w="75" w:type="dxa"/>
            </w:tcMar>
            <w:vAlign w:val="center"/>
          </w:tcPr>
          <w:p w14:paraId="27ED63D8">
            <w:pPr>
              <w:pStyle w:val="29"/>
              <w:rPr>
                <w:rFonts w:ascii="Times New Roman" w:hAnsi="Times New Roman"/>
                <w:color w:val="auto"/>
                <w:highlight w:val="none"/>
                <w:shd w:val="clear"/>
              </w:rPr>
            </w:pPr>
            <w:r>
              <w:rPr>
                <w:rFonts w:hint="eastAsia" w:ascii="Times New Roman" w:hAnsi="Times New Roman"/>
                <w:color w:val="auto"/>
                <w:highlight w:val="none"/>
                <w:shd w:val="clear"/>
              </w:rPr>
              <w:t>其他</w:t>
            </w:r>
          </w:p>
        </w:tc>
        <w:tc>
          <w:tcPr>
            <w:tcW w:w="3000" w:type="pct"/>
            <w:noWrap w:val="0"/>
            <w:vAlign w:val="center"/>
          </w:tcPr>
          <w:p w14:paraId="09C7A479">
            <w:pPr>
              <w:pStyle w:val="30"/>
              <w:numPr>
                <w:ilvl w:val="0"/>
                <w:numId w:val="2"/>
              </w:numPr>
              <w:rPr>
                <w:rFonts w:hint="eastAsia" w:ascii="Times New Roman" w:hAnsi="Times New Roman"/>
                <w:color w:val="auto"/>
                <w:highlight w:val="none"/>
                <w:shd w:val="clear"/>
              </w:rPr>
            </w:pPr>
            <w:bookmarkStart w:id="532" w:name="_Hlk179785548"/>
            <w:r>
              <w:rPr>
                <w:rFonts w:hint="eastAsia" w:ascii="Times New Roman" w:hAnsi="Times New Roman"/>
                <w:color w:val="auto"/>
                <w:highlight w:val="none"/>
                <w:shd w:val="clear"/>
              </w:rPr>
              <w:t>所有计算过程小数点后保留3位小数，第四位四舍五入，最终得分（综合评估得分）计算结果小数点后保留2位小数，第三位四舍五入</w:t>
            </w:r>
            <w:bookmarkEnd w:id="532"/>
            <w:r>
              <w:rPr>
                <w:rFonts w:hint="eastAsia" w:ascii="Times New Roman" w:hAnsi="Times New Roman"/>
                <w:color w:val="auto"/>
                <w:highlight w:val="none"/>
                <w:shd w:val="clear"/>
                <w:lang w:eastAsia="zh-CN"/>
              </w:rPr>
              <w:t>。</w:t>
            </w:r>
          </w:p>
          <w:p w14:paraId="30609C3E">
            <w:pPr>
              <w:pStyle w:val="30"/>
              <w:numPr>
                <w:ilvl w:val="0"/>
                <w:numId w:val="0"/>
              </w:numPr>
              <w:rPr>
                <w:rFonts w:hint="eastAsia" w:ascii="Times New Roman" w:hAnsi="Times New Roman"/>
                <w:color w:val="auto"/>
                <w:highlight w:val="none"/>
                <w:shd w:val="clear"/>
              </w:rPr>
            </w:pPr>
            <w:r>
              <w:rPr>
                <w:rFonts w:hint="eastAsia" w:ascii="Times New Roman" w:hAnsi="Times New Roman"/>
                <w:color w:val="auto"/>
                <w:highlight w:val="none"/>
                <w:shd w:val="clear"/>
              </w:rPr>
              <w:t>（2）根据第二章“投标人须知”第10.12款，如本项目执行《政府采购促进中小企业发展管理办法》政策：①对于经主管预算单位统筹后未预留份额专门面向中小企业采购的采购项目，以及预留份额项目中的非预留部分采购包，工程项目应当对小微企业报价给予【</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 xml:space="preserve"> 】的扣除，用扣除后的价格参加评审。适用招标投标法的政府采购工程建设项目，采用综合评估法但未采用低价优先法计算价格分的，评标时应当在采用原报价进行评分的基础上增加其价格得分的 【 </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】作为其价格分。②接受大中型企业与小微企业组成联合体或者允许大中型企业向一家或者多家小微企业分包的采购项目，对于联合协议或者分包意向协议约定小微企业的合同份额占到合同总金额 30%以上的，工程项目应当对联合体或者大中型企业的报价给予【</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 xml:space="preserve"> 】的扣除，用扣除后的价格参加评审。适用招标投标法的政府采购工程建设项目，采用综合评估法但未采用低价优先法计算价格分的，评标时应当在采用原报价进行评分的基础上增加其价格得分的【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 xml:space="preserve"> 】作为其价格分。组成联合体或者接受分包的小微企业与联合体内其他企业、分包企业之间存在直接控股、管理关系的，不享受价格扣除优惠政策。</w:t>
            </w:r>
          </w:p>
        </w:tc>
      </w:tr>
    </w:tbl>
    <w:p w14:paraId="7E1F0A80">
      <w:pPr>
        <w:widowControl/>
        <w:jc w:val="left"/>
        <w:rPr>
          <w:rFonts w:ascii="Times New Roman" w:hAnsi="Times New Roman" w:cs="宋体"/>
          <w:b/>
          <w:bCs/>
          <w:color w:val="auto"/>
          <w:sz w:val="24"/>
          <w:szCs w:val="24"/>
          <w:highlight w:val="none"/>
          <w:shd w:val="clear"/>
        </w:rPr>
      </w:pPr>
      <w:bookmarkStart w:id="533" w:name="_Toc8150"/>
      <w:bookmarkStart w:id="534" w:name="_Toc6746"/>
      <w:r>
        <w:rPr>
          <w:rFonts w:ascii="Times New Roman" w:hAnsi="Times New Roman" w:cs="宋体"/>
          <w:b/>
          <w:bCs/>
          <w:color w:val="auto"/>
          <w:sz w:val="24"/>
          <w:szCs w:val="24"/>
          <w:highlight w:val="none"/>
          <w:shd w:val="clear"/>
        </w:rPr>
        <w:br w:type="page"/>
      </w:r>
    </w:p>
    <w:p w14:paraId="2C8646B0">
      <w:pPr>
        <w:pStyle w:val="26"/>
        <w:jc w:val="both"/>
        <w:rPr>
          <w:rFonts w:ascii="Times New Roman" w:hAnsi="Times New Roman"/>
          <w:color w:val="auto"/>
          <w:highlight w:val="none"/>
          <w:shd w:val="clear"/>
        </w:rPr>
      </w:pPr>
      <w:bookmarkStart w:id="535" w:name="_Toc170803981"/>
      <w:bookmarkStart w:id="536" w:name="_Toc170805169"/>
      <w:bookmarkStart w:id="537" w:name="_Toc170805549"/>
      <w:r>
        <w:rPr>
          <w:rFonts w:hint="eastAsia" w:ascii="Times New Roman" w:hAnsi="Times New Roman"/>
          <w:color w:val="auto"/>
          <w:highlight w:val="none"/>
          <w:shd w:val="clear"/>
        </w:rPr>
        <w:t>商务文件初步评审标准</w:t>
      </w:r>
      <w:bookmarkEnd w:id="533"/>
      <w:bookmarkEnd w:id="534"/>
      <w:bookmarkEnd w:id="535"/>
      <w:bookmarkEnd w:id="536"/>
      <w:bookmarkEnd w:id="537"/>
    </w:p>
    <w:tbl>
      <w:tblPr>
        <w:tblStyle w:val="12"/>
        <w:tblW w:w="5300" w:type="pct"/>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0"/>
        <w:gridCol w:w="810"/>
        <w:gridCol w:w="1381"/>
        <w:gridCol w:w="5734"/>
      </w:tblGrid>
      <w:tr w14:paraId="60DF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4" w:type="pct"/>
            <w:gridSpan w:val="2"/>
            <w:noWrap w:val="0"/>
            <w:vAlign w:val="center"/>
          </w:tcPr>
          <w:p w14:paraId="276A3EDF">
            <w:pPr>
              <w:pStyle w:val="28"/>
              <w:rPr>
                <w:rFonts w:ascii="Times New Roman" w:hAnsi="Times New Roman"/>
                <w:color w:val="auto"/>
                <w:highlight w:val="none"/>
                <w:shd w:val="clear"/>
              </w:rPr>
            </w:pPr>
            <w:bookmarkStart w:id="538" w:name="_Toc170803982"/>
            <w:bookmarkStart w:id="539" w:name="_Toc3886"/>
            <w:bookmarkStart w:id="540" w:name="_Toc25113"/>
            <w:bookmarkStart w:id="541" w:name="_Toc170805550"/>
            <w:bookmarkStart w:id="542" w:name="_Toc170805170"/>
            <w:r>
              <w:rPr>
                <w:rFonts w:hint="eastAsia" w:ascii="Times New Roman" w:hAnsi="Times New Roman"/>
                <w:color w:val="auto"/>
                <w:highlight w:val="none"/>
                <w:shd w:val="clear"/>
              </w:rPr>
              <w:t>条款号</w:t>
            </w:r>
          </w:p>
        </w:tc>
        <w:tc>
          <w:tcPr>
            <w:tcW w:w="783" w:type="pct"/>
            <w:noWrap w:val="0"/>
            <w:vAlign w:val="center"/>
          </w:tcPr>
          <w:p w14:paraId="69C9D589">
            <w:pPr>
              <w:pStyle w:val="28"/>
              <w:rPr>
                <w:rFonts w:ascii="Times New Roman" w:hAnsi="Times New Roman"/>
                <w:color w:val="auto"/>
                <w:highlight w:val="none"/>
                <w:shd w:val="clear"/>
              </w:rPr>
            </w:pPr>
            <w:r>
              <w:rPr>
                <w:rFonts w:hint="eastAsia" w:ascii="Times New Roman" w:hAnsi="Times New Roman"/>
                <w:color w:val="auto"/>
                <w:highlight w:val="none"/>
                <w:shd w:val="clear"/>
              </w:rPr>
              <w:t>评审因素</w:t>
            </w:r>
          </w:p>
        </w:tc>
        <w:tc>
          <w:tcPr>
            <w:tcW w:w="3251" w:type="pct"/>
            <w:noWrap w:val="0"/>
            <w:vAlign w:val="center"/>
          </w:tcPr>
          <w:p w14:paraId="61A0A205">
            <w:pPr>
              <w:pStyle w:val="28"/>
              <w:rPr>
                <w:rFonts w:ascii="Times New Roman" w:hAnsi="Times New Roman"/>
                <w:color w:val="auto"/>
                <w:highlight w:val="none"/>
                <w:shd w:val="clear"/>
              </w:rPr>
            </w:pPr>
            <w:r>
              <w:rPr>
                <w:rFonts w:hint="eastAsia" w:ascii="Times New Roman" w:hAnsi="Times New Roman"/>
                <w:color w:val="auto"/>
                <w:highlight w:val="none"/>
                <w:shd w:val="clear"/>
              </w:rPr>
              <w:t>评审标准</w:t>
            </w:r>
          </w:p>
        </w:tc>
      </w:tr>
      <w:tr w14:paraId="6DAF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restart"/>
            <w:noWrap w:val="0"/>
            <w:vAlign w:val="center"/>
          </w:tcPr>
          <w:p w14:paraId="088287DB">
            <w:pPr>
              <w:pStyle w:val="29"/>
              <w:rPr>
                <w:rFonts w:ascii="Times New Roman" w:hAnsi="Times New Roman"/>
                <w:color w:val="auto"/>
                <w:highlight w:val="none"/>
                <w:shd w:val="clear"/>
              </w:rPr>
            </w:pPr>
            <w:r>
              <w:rPr>
                <w:rFonts w:hint="eastAsia" w:ascii="Times New Roman" w:hAnsi="Times New Roman"/>
                <w:color w:val="auto"/>
                <w:highlight w:val="none"/>
                <w:shd w:val="clear"/>
              </w:rPr>
              <w:t>2.1.1</w:t>
            </w:r>
          </w:p>
        </w:tc>
        <w:tc>
          <w:tcPr>
            <w:tcW w:w="459" w:type="pct"/>
            <w:vMerge w:val="restart"/>
            <w:noWrap w:val="0"/>
            <w:vAlign w:val="center"/>
          </w:tcPr>
          <w:p w14:paraId="31572B85">
            <w:pPr>
              <w:pStyle w:val="29"/>
              <w:rPr>
                <w:rFonts w:ascii="Times New Roman" w:hAnsi="Times New Roman"/>
                <w:color w:val="auto"/>
                <w:highlight w:val="none"/>
                <w:shd w:val="clear"/>
              </w:rPr>
            </w:pPr>
            <w:r>
              <w:rPr>
                <w:rFonts w:hint="eastAsia" w:ascii="Times New Roman" w:hAnsi="Times New Roman"/>
                <w:color w:val="auto"/>
                <w:highlight w:val="none"/>
                <w:shd w:val="clear"/>
              </w:rPr>
              <w:t>形式评审标准</w:t>
            </w:r>
          </w:p>
        </w:tc>
        <w:tc>
          <w:tcPr>
            <w:tcW w:w="783" w:type="pct"/>
            <w:noWrap w:val="0"/>
            <w:tcMar>
              <w:left w:w="75" w:type="dxa"/>
            </w:tcMar>
            <w:vAlign w:val="center"/>
          </w:tcPr>
          <w:p w14:paraId="182E265C">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投标人名称</w:t>
            </w:r>
          </w:p>
        </w:tc>
        <w:tc>
          <w:tcPr>
            <w:tcW w:w="3251" w:type="pct"/>
            <w:noWrap w:val="0"/>
            <w:tcMar>
              <w:left w:w="75" w:type="dxa"/>
            </w:tcMar>
            <w:vAlign w:val="center"/>
          </w:tcPr>
          <w:p w14:paraId="4C15B9F6">
            <w:pPr>
              <w:pStyle w:val="30"/>
              <w:rPr>
                <w:rFonts w:ascii="Times New Roman" w:hAnsi="Times New Roman"/>
                <w:color w:val="auto"/>
                <w:highlight w:val="none"/>
                <w:shd w:val="clear"/>
              </w:rPr>
            </w:pPr>
            <w:r>
              <w:rPr>
                <w:rFonts w:hint="eastAsia" w:ascii="Times New Roman" w:hAnsi="Times New Roman"/>
                <w:color w:val="auto"/>
                <w:highlight w:val="none"/>
                <w:shd w:val="clear"/>
              </w:rPr>
              <w:t>与营业执照、资质证书、安全生产许可证一致。</w:t>
            </w:r>
          </w:p>
        </w:tc>
      </w:tr>
      <w:tr w14:paraId="41F6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4D155669">
            <w:pPr>
              <w:pStyle w:val="29"/>
              <w:rPr>
                <w:rFonts w:ascii="Times New Roman" w:hAnsi="Times New Roman"/>
                <w:color w:val="auto"/>
                <w:highlight w:val="none"/>
                <w:shd w:val="clear"/>
              </w:rPr>
            </w:pPr>
          </w:p>
        </w:tc>
        <w:tc>
          <w:tcPr>
            <w:tcW w:w="459" w:type="pct"/>
            <w:vMerge w:val="continue"/>
            <w:noWrap w:val="0"/>
            <w:vAlign w:val="center"/>
          </w:tcPr>
          <w:p w14:paraId="4D7A5256">
            <w:pPr>
              <w:pStyle w:val="29"/>
              <w:rPr>
                <w:rFonts w:ascii="Times New Roman" w:hAnsi="Times New Roman"/>
                <w:color w:val="auto"/>
                <w:highlight w:val="none"/>
                <w:shd w:val="clear"/>
              </w:rPr>
            </w:pPr>
          </w:p>
        </w:tc>
        <w:tc>
          <w:tcPr>
            <w:tcW w:w="783" w:type="pct"/>
            <w:noWrap w:val="0"/>
            <w:tcMar>
              <w:left w:w="75" w:type="dxa"/>
            </w:tcMar>
            <w:vAlign w:val="center"/>
          </w:tcPr>
          <w:p w14:paraId="710A81AD">
            <w:pPr>
              <w:pStyle w:val="29"/>
              <w:rPr>
                <w:rFonts w:ascii="Times New Roman" w:hAnsi="Times New Roman"/>
                <w:color w:val="auto"/>
                <w:highlight w:val="none"/>
                <w:shd w:val="clear"/>
              </w:rPr>
            </w:pPr>
            <w:r>
              <w:rPr>
                <w:rFonts w:hint="eastAsia" w:ascii="Times New Roman" w:hAnsi="Times New Roman"/>
                <w:color w:val="auto"/>
                <w:highlight w:val="none"/>
                <w:shd w:val="clear"/>
              </w:rPr>
              <w:t>签字盖章</w:t>
            </w:r>
          </w:p>
        </w:tc>
        <w:tc>
          <w:tcPr>
            <w:tcW w:w="3251" w:type="pct"/>
            <w:noWrap w:val="0"/>
            <w:tcMar>
              <w:left w:w="75" w:type="dxa"/>
            </w:tcMar>
            <w:vAlign w:val="center"/>
          </w:tcPr>
          <w:p w14:paraId="66BCE0A7">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符合第二章“投标人须知”第3.7.3项规定。</w:t>
            </w:r>
          </w:p>
        </w:tc>
      </w:tr>
      <w:tr w14:paraId="6206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273E561D">
            <w:pPr>
              <w:pStyle w:val="29"/>
              <w:rPr>
                <w:rFonts w:ascii="Times New Roman" w:hAnsi="Times New Roman"/>
                <w:color w:val="auto"/>
                <w:highlight w:val="none"/>
                <w:shd w:val="clear"/>
              </w:rPr>
            </w:pPr>
          </w:p>
        </w:tc>
        <w:tc>
          <w:tcPr>
            <w:tcW w:w="459" w:type="pct"/>
            <w:vMerge w:val="continue"/>
            <w:noWrap w:val="0"/>
            <w:vAlign w:val="center"/>
          </w:tcPr>
          <w:p w14:paraId="3F75E364">
            <w:pPr>
              <w:pStyle w:val="29"/>
              <w:rPr>
                <w:rFonts w:ascii="Times New Roman" w:hAnsi="Times New Roman"/>
                <w:color w:val="auto"/>
                <w:highlight w:val="none"/>
                <w:shd w:val="clear"/>
              </w:rPr>
            </w:pPr>
          </w:p>
        </w:tc>
        <w:tc>
          <w:tcPr>
            <w:tcW w:w="783" w:type="pct"/>
            <w:noWrap w:val="0"/>
            <w:tcMar>
              <w:left w:w="75" w:type="dxa"/>
            </w:tcMar>
            <w:vAlign w:val="center"/>
          </w:tcPr>
          <w:p w14:paraId="0A522875">
            <w:pPr>
              <w:pStyle w:val="29"/>
              <w:rPr>
                <w:rFonts w:ascii="Times New Roman" w:hAnsi="Times New Roman"/>
                <w:color w:val="auto"/>
                <w:highlight w:val="none"/>
                <w:shd w:val="clear"/>
              </w:rPr>
            </w:pPr>
            <w:r>
              <w:rPr>
                <w:rFonts w:hint="eastAsia" w:ascii="Times New Roman" w:hAnsi="Times New Roman"/>
                <w:color w:val="auto"/>
                <w:highlight w:val="none"/>
                <w:shd w:val="clear"/>
              </w:rPr>
              <w:t>投标文件格式</w:t>
            </w:r>
          </w:p>
        </w:tc>
        <w:tc>
          <w:tcPr>
            <w:tcW w:w="3251" w:type="pct"/>
            <w:noWrap w:val="0"/>
            <w:tcMar>
              <w:left w:w="75" w:type="dxa"/>
            </w:tcMar>
            <w:vAlign w:val="center"/>
          </w:tcPr>
          <w:p w14:paraId="02AA93C3">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符合第八章“投标文件格式”的规定。</w:t>
            </w:r>
          </w:p>
        </w:tc>
      </w:tr>
      <w:tr w14:paraId="0112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5" w:type="pct"/>
            <w:vMerge w:val="continue"/>
            <w:noWrap w:val="0"/>
            <w:vAlign w:val="center"/>
          </w:tcPr>
          <w:p w14:paraId="4ED28AD6">
            <w:pPr>
              <w:pStyle w:val="29"/>
              <w:rPr>
                <w:rFonts w:ascii="Times New Roman" w:hAnsi="Times New Roman"/>
                <w:color w:val="auto"/>
                <w:highlight w:val="none"/>
                <w:shd w:val="clear"/>
              </w:rPr>
            </w:pPr>
          </w:p>
        </w:tc>
        <w:tc>
          <w:tcPr>
            <w:tcW w:w="459" w:type="pct"/>
            <w:vMerge w:val="continue"/>
            <w:noWrap w:val="0"/>
            <w:vAlign w:val="center"/>
          </w:tcPr>
          <w:p w14:paraId="7D56594D">
            <w:pPr>
              <w:pStyle w:val="29"/>
              <w:rPr>
                <w:rFonts w:ascii="Times New Roman" w:hAnsi="Times New Roman"/>
                <w:color w:val="auto"/>
                <w:highlight w:val="none"/>
                <w:shd w:val="clear"/>
              </w:rPr>
            </w:pPr>
          </w:p>
        </w:tc>
        <w:tc>
          <w:tcPr>
            <w:tcW w:w="783" w:type="pct"/>
            <w:noWrap w:val="0"/>
            <w:tcMar>
              <w:left w:w="75" w:type="dxa"/>
            </w:tcMar>
            <w:vAlign w:val="center"/>
          </w:tcPr>
          <w:p w14:paraId="441ED5B9">
            <w:pPr>
              <w:pStyle w:val="29"/>
              <w:rPr>
                <w:rFonts w:ascii="Times New Roman" w:hAnsi="Times New Roman"/>
                <w:color w:val="auto"/>
                <w:highlight w:val="none"/>
                <w:shd w:val="clear"/>
              </w:rPr>
            </w:pPr>
            <w:r>
              <w:rPr>
                <w:rFonts w:hint="eastAsia" w:ascii="Times New Roman" w:hAnsi="Times New Roman"/>
                <w:color w:val="auto"/>
                <w:highlight w:val="none"/>
                <w:shd w:val="clear"/>
              </w:rPr>
              <w:t>联合体投标人</w:t>
            </w:r>
          </w:p>
        </w:tc>
        <w:tc>
          <w:tcPr>
            <w:tcW w:w="3251" w:type="pct"/>
            <w:noWrap w:val="0"/>
            <w:tcMar>
              <w:left w:w="75" w:type="dxa"/>
            </w:tcMar>
            <w:vAlign w:val="center"/>
          </w:tcPr>
          <w:p w14:paraId="460006DF">
            <w:pPr>
              <w:pStyle w:val="30"/>
              <w:rPr>
                <w:rFonts w:ascii="Times New Roman" w:hAnsi="Times New Roman"/>
                <w:color w:val="auto"/>
                <w:highlight w:val="none"/>
                <w:shd w:val="clear"/>
              </w:rPr>
            </w:pPr>
            <w:r>
              <w:rPr>
                <w:rFonts w:hint="eastAsia" w:ascii="Times New Roman" w:hAnsi="Times New Roman"/>
                <w:color w:val="auto"/>
                <w:highlight w:val="none"/>
                <w:shd w:val="clear"/>
              </w:rPr>
              <w:t>提交符合招标文件要求的联合体协议书，明确各方承担连带责任，并明确联合体牵头人。</w:t>
            </w:r>
          </w:p>
        </w:tc>
      </w:tr>
      <w:tr w14:paraId="4695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0A9B623B">
            <w:pPr>
              <w:pStyle w:val="29"/>
              <w:rPr>
                <w:rFonts w:ascii="Times New Roman" w:hAnsi="Times New Roman"/>
                <w:color w:val="auto"/>
                <w:highlight w:val="none"/>
                <w:shd w:val="clear"/>
              </w:rPr>
            </w:pPr>
          </w:p>
        </w:tc>
        <w:tc>
          <w:tcPr>
            <w:tcW w:w="459" w:type="pct"/>
            <w:vMerge w:val="continue"/>
            <w:noWrap w:val="0"/>
            <w:vAlign w:val="center"/>
          </w:tcPr>
          <w:p w14:paraId="356D2F11">
            <w:pPr>
              <w:pStyle w:val="29"/>
              <w:rPr>
                <w:rFonts w:ascii="Times New Roman" w:hAnsi="Times New Roman"/>
                <w:color w:val="auto"/>
                <w:highlight w:val="none"/>
                <w:shd w:val="clear"/>
              </w:rPr>
            </w:pPr>
          </w:p>
        </w:tc>
        <w:tc>
          <w:tcPr>
            <w:tcW w:w="783" w:type="pct"/>
            <w:noWrap w:val="0"/>
            <w:tcMar>
              <w:left w:w="75" w:type="dxa"/>
            </w:tcMar>
            <w:vAlign w:val="center"/>
          </w:tcPr>
          <w:p w14:paraId="6DCBA9A6">
            <w:pPr>
              <w:pStyle w:val="29"/>
              <w:rPr>
                <w:rFonts w:ascii="Times New Roman" w:hAnsi="Times New Roman"/>
                <w:color w:val="auto"/>
                <w:highlight w:val="none"/>
                <w:shd w:val="clear"/>
              </w:rPr>
            </w:pPr>
            <w:r>
              <w:rPr>
                <w:rFonts w:hint="eastAsia" w:ascii="Times New Roman" w:hAnsi="Times New Roman"/>
                <w:color w:val="auto"/>
                <w:highlight w:val="none"/>
                <w:shd w:val="clear"/>
              </w:rPr>
              <w:t>备选投标方案</w:t>
            </w:r>
          </w:p>
        </w:tc>
        <w:tc>
          <w:tcPr>
            <w:tcW w:w="3251" w:type="pct"/>
            <w:noWrap w:val="0"/>
            <w:tcMar>
              <w:left w:w="75" w:type="dxa"/>
            </w:tcMar>
            <w:vAlign w:val="center"/>
          </w:tcPr>
          <w:p w14:paraId="58E581BB">
            <w:pPr>
              <w:pStyle w:val="30"/>
              <w:rPr>
                <w:rFonts w:ascii="Times New Roman" w:hAnsi="Times New Roman"/>
                <w:color w:val="auto"/>
                <w:highlight w:val="none"/>
                <w:shd w:val="clear"/>
              </w:rPr>
            </w:pPr>
            <w:r>
              <w:rPr>
                <w:rFonts w:hint="eastAsia" w:ascii="Times New Roman" w:hAnsi="Times New Roman"/>
                <w:color w:val="auto"/>
                <w:highlight w:val="none"/>
                <w:shd w:val="clear"/>
              </w:rPr>
              <w:t>除招标文件明确允许备选投标方案外，投标人不得提交备选投标方案。</w:t>
            </w:r>
          </w:p>
        </w:tc>
      </w:tr>
      <w:tr w14:paraId="4A64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06054634">
            <w:pPr>
              <w:pStyle w:val="29"/>
              <w:rPr>
                <w:rFonts w:ascii="Times New Roman" w:hAnsi="Times New Roman"/>
                <w:color w:val="auto"/>
                <w:highlight w:val="none"/>
                <w:shd w:val="clear"/>
              </w:rPr>
            </w:pPr>
          </w:p>
        </w:tc>
        <w:tc>
          <w:tcPr>
            <w:tcW w:w="459" w:type="pct"/>
            <w:vMerge w:val="continue"/>
            <w:noWrap w:val="0"/>
            <w:vAlign w:val="center"/>
          </w:tcPr>
          <w:p w14:paraId="4FA7F311">
            <w:pPr>
              <w:pStyle w:val="29"/>
              <w:rPr>
                <w:rFonts w:ascii="Times New Roman" w:hAnsi="Times New Roman"/>
                <w:color w:val="auto"/>
                <w:highlight w:val="none"/>
                <w:shd w:val="clear"/>
              </w:rPr>
            </w:pPr>
          </w:p>
        </w:tc>
        <w:tc>
          <w:tcPr>
            <w:tcW w:w="783" w:type="pct"/>
            <w:noWrap w:val="0"/>
            <w:tcMar>
              <w:left w:w="75" w:type="dxa"/>
            </w:tcMar>
            <w:vAlign w:val="center"/>
          </w:tcPr>
          <w:p w14:paraId="58F0CF7F">
            <w:pPr>
              <w:pStyle w:val="29"/>
              <w:rPr>
                <w:rFonts w:ascii="Times New Roman" w:hAnsi="Times New Roman"/>
                <w:color w:val="auto"/>
                <w:highlight w:val="none"/>
                <w:shd w:val="clear"/>
              </w:rPr>
            </w:pPr>
            <w:r>
              <w:rPr>
                <w:rFonts w:hint="eastAsia" w:ascii="Times New Roman" w:hAnsi="Times New Roman"/>
                <w:color w:val="auto"/>
                <w:highlight w:val="none"/>
                <w:shd w:val="clear"/>
              </w:rPr>
              <w:t>人脸识别（如有）</w:t>
            </w:r>
          </w:p>
        </w:tc>
        <w:tc>
          <w:tcPr>
            <w:tcW w:w="3251" w:type="pct"/>
            <w:noWrap w:val="0"/>
            <w:tcMar>
              <w:left w:w="75" w:type="dxa"/>
            </w:tcMar>
            <w:vAlign w:val="center"/>
          </w:tcPr>
          <w:p w14:paraId="6D61C0E4">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符合第二章“投标人须知”第5.2（3）项规定</w:t>
            </w:r>
          </w:p>
        </w:tc>
      </w:tr>
      <w:tr w14:paraId="6BA9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3B487CA2">
            <w:pPr>
              <w:pStyle w:val="29"/>
              <w:rPr>
                <w:rFonts w:ascii="Times New Roman" w:hAnsi="Times New Roman"/>
                <w:color w:val="auto"/>
                <w:highlight w:val="none"/>
                <w:shd w:val="clear"/>
              </w:rPr>
            </w:pPr>
          </w:p>
        </w:tc>
        <w:tc>
          <w:tcPr>
            <w:tcW w:w="459" w:type="pct"/>
            <w:vMerge w:val="continue"/>
            <w:noWrap w:val="0"/>
            <w:vAlign w:val="center"/>
          </w:tcPr>
          <w:p w14:paraId="0317F8D8">
            <w:pPr>
              <w:pStyle w:val="29"/>
              <w:rPr>
                <w:rFonts w:ascii="Times New Roman" w:hAnsi="Times New Roman"/>
                <w:color w:val="auto"/>
                <w:highlight w:val="none"/>
                <w:shd w:val="clear"/>
              </w:rPr>
            </w:pPr>
          </w:p>
        </w:tc>
        <w:tc>
          <w:tcPr>
            <w:tcW w:w="783" w:type="pct"/>
            <w:noWrap w:val="0"/>
            <w:tcMar>
              <w:left w:w="75" w:type="dxa"/>
            </w:tcMar>
            <w:vAlign w:val="center"/>
          </w:tcPr>
          <w:p w14:paraId="67FF9AA4">
            <w:pPr>
              <w:pStyle w:val="29"/>
              <w:rPr>
                <w:rFonts w:ascii="Times New Roman" w:hAnsi="Times New Roman"/>
                <w:color w:val="auto"/>
                <w:highlight w:val="none"/>
                <w:shd w:val="clear"/>
              </w:rPr>
            </w:pPr>
            <w:r>
              <w:rPr>
                <w:rFonts w:hint="eastAsia" w:ascii="Times New Roman" w:hAnsi="Times New Roman"/>
                <w:color w:val="auto"/>
                <w:highlight w:val="none"/>
                <w:shd w:val="clear"/>
              </w:rPr>
              <w:t>未出现异常情形</w:t>
            </w:r>
          </w:p>
        </w:tc>
        <w:tc>
          <w:tcPr>
            <w:tcW w:w="3251" w:type="pct"/>
            <w:noWrap w:val="0"/>
            <w:tcMar>
              <w:left w:w="75" w:type="dxa"/>
            </w:tcMar>
            <w:vAlign w:val="center"/>
          </w:tcPr>
          <w:p w14:paraId="2ED18199">
            <w:pPr>
              <w:pStyle w:val="30"/>
              <w:rPr>
                <w:rFonts w:ascii="Times New Roman" w:hAnsi="Times New Roman"/>
                <w:color w:val="auto"/>
                <w:highlight w:val="none"/>
                <w:shd w:val="clear"/>
              </w:rPr>
            </w:pPr>
            <w:r>
              <w:rPr>
                <w:rFonts w:hint="eastAsia" w:ascii="Times New Roman" w:hAnsi="Times New Roman"/>
                <w:color w:val="auto"/>
                <w:highlight w:val="none"/>
                <w:shd w:val="clear"/>
              </w:rPr>
              <w:t>不同投标人未出现使用相同的投标文件制作机器码进行投标的情形。</w:t>
            </w:r>
          </w:p>
        </w:tc>
      </w:tr>
      <w:tr w14:paraId="7D49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91BA2EE">
            <w:pPr>
              <w:pStyle w:val="29"/>
              <w:rPr>
                <w:rFonts w:ascii="Times New Roman" w:hAnsi="Times New Roman"/>
                <w:color w:val="auto"/>
                <w:highlight w:val="none"/>
                <w:shd w:val="clear"/>
              </w:rPr>
            </w:pPr>
          </w:p>
        </w:tc>
        <w:tc>
          <w:tcPr>
            <w:tcW w:w="459" w:type="pct"/>
            <w:vMerge w:val="continue"/>
            <w:noWrap w:val="0"/>
            <w:vAlign w:val="center"/>
          </w:tcPr>
          <w:p w14:paraId="0531914F">
            <w:pPr>
              <w:pStyle w:val="29"/>
              <w:rPr>
                <w:rFonts w:ascii="Times New Roman" w:hAnsi="Times New Roman"/>
                <w:color w:val="auto"/>
                <w:highlight w:val="none"/>
                <w:shd w:val="clear"/>
              </w:rPr>
            </w:pPr>
          </w:p>
        </w:tc>
        <w:tc>
          <w:tcPr>
            <w:tcW w:w="783" w:type="pct"/>
            <w:noWrap w:val="0"/>
            <w:tcMar>
              <w:left w:w="75" w:type="dxa"/>
            </w:tcMar>
            <w:vAlign w:val="center"/>
          </w:tcPr>
          <w:p w14:paraId="67614F7A">
            <w:pPr>
              <w:pStyle w:val="29"/>
              <w:rPr>
                <w:rFonts w:ascii="Times New Roman" w:hAnsi="Times New Roman"/>
                <w:color w:val="auto"/>
                <w:highlight w:val="none"/>
                <w:shd w:val="clear"/>
              </w:rPr>
            </w:pPr>
            <w:r>
              <w:rPr>
                <w:rFonts w:hint="eastAsia" w:ascii="Times New Roman" w:hAnsi="Times New Roman"/>
                <w:color w:val="auto"/>
                <w:highlight w:val="none"/>
                <w:shd w:val="clear"/>
              </w:rPr>
              <w:t>未出现投标报价</w:t>
            </w:r>
          </w:p>
        </w:tc>
        <w:tc>
          <w:tcPr>
            <w:tcW w:w="3251" w:type="pct"/>
            <w:noWrap w:val="0"/>
            <w:tcMar>
              <w:left w:w="75" w:type="dxa"/>
            </w:tcMar>
            <w:vAlign w:val="center"/>
          </w:tcPr>
          <w:p w14:paraId="10F485F8">
            <w:pPr>
              <w:pStyle w:val="30"/>
              <w:rPr>
                <w:rFonts w:ascii="Times New Roman" w:hAnsi="Times New Roman"/>
                <w:color w:val="auto"/>
                <w:highlight w:val="none"/>
                <w:shd w:val="clear"/>
              </w:rPr>
            </w:pPr>
            <w:r>
              <w:rPr>
                <w:rFonts w:hint="eastAsia" w:ascii="Times New Roman" w:hAnsi="Times New Roman"/>
                <w:color w:val="auto"/>
                <w:highlight w:val="none"/>
                <w:shd w:val="clear"/>
              </w:rPr>
              <w:t>商务文件中未出现有关投标报价的内容。</w:t>
            </w:r>
          </w:p>
        </w:tc>
      </w:tr>
      <w:tr w14:paraId="4B24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restart"/>
            <w:noWrap w:val="0"/>
            <w:vAlign w:val="center"/>
          </w:tcPr>
          <w:p w14:paraId="6FD46F8B">
            <w:pPr>
              <w:pStyle w:val="29"/>
              <w:rPr>
                <w:rFonts w:ascii="Times New Roman" w:hAnsi="Times New Roman"/>
                <w:color w:val="auto"/>
                <w:highlight w:val="none"/>
                <w:shd w:val="clear"/>
              </w:rPr>
            </w:pPr>
            <w:r>
              <w:rPr>
                <w:rFonts w:hint="eastAsia" w:ascii="Times New Roman" w:hAnsi="Times New Roman"/>
                <w:color w:val="auto"/>
                <w:highlight w:val="none"/>
                <w:shd w:val="clear"/>
              </w:rPr>
              <w:t>2.1.2</w:t>
            </w:r>
          </w:p>
        </w:tc>
        <w:tc>
          <w:tcPr>
            <w:tcW w:w="459" w:type="pct"/>
            <w:vMerge w:val="restart"/>
            <w:noWrap w:val="0"/>
            <w:vAlign w:val="center"/>
          </w:tcPr>
          <w:p w14:paraId="51AEBC20">
            <w:pPr>
              <w:pStyle w:val="29"/>
              <w:rPr>
                <w:rFonts w:ascii="Times New Roman" w:hAnsi="Times New Roman"/>
                <w:color w:val="auto"/>
                <w:highlight w:val="none"/>
                <w:shd w:val="clear"/>
              </w:rPr>
            </w:pPr>
            <w:r>
              <w:rPr>
                <w:rFonts w:hint="eastAsia" w:ascii="Times New Roman" w:hAnsi="Times New Roman"/>
                <w:color w:val="auto"/>
                <w:highlight w:val="none"/>
                <w:shd w:val="clear"/>
              </w:rPr>
              <w:t>资格评审标准</w:t>
            </w:r>
          </w:p>
        </w:tc>
        <w:tc>
          <w:tcPr>
            <w:tcW w:w="783" w:type="pct"/>
            <w:noWrap w:val="0"/>
            <w:tcMar>
              <w:left w:w="75" w:type="dxa"/>
            </w:tcMar>
            <w:vAlign w:val="center"/>
          </w:tcPr>
          <w:p w14:paraId="257BC7E7">
            <w:pPr>
              <w:pStyle w:val="29"/>
              <w:rPr>
                <w:rFonts w:ascii="Times New Roman" w:hAnsi="Times New Roman"/>
                <w:color w:val="auto"/>
                <w:highlight w:val="none"/>
                <w:shd w:val="clear"/>
              </w:rPr>
            </w:pPr>
            <w:r>
              <w:rPr>
                <w:rFonts w:hint="eastAsia" w:ascii="Times New Roman" w:hAnsi="Times New Roman"/>
                <w:color w:val="auto"/>
                <w:highlight w:val="none"/>
                <w:shd w:val="clear"/>
              </w:rPr>
              <w:t>营业执照</w:t>
            </w:r>
          </w:p>
        </w:tc>
        <w:tc>
          <w:tcPr>
            <w:tcW w:w="3251" w:type="pct"/>
            <w:noWrap w:val="0"/>
            <w:tcMar>
              <w:left w:w="75" w:type="dxa"/>
            </w:tcMar>
            <w:vAlign w:val="center"/>
          </w:tcPr>
          <w:p w14:paraId="7EDBAE74">
            <w:pPr>
              <w:pStyle w:val="30"/>
              <w:rPr>
                <w:rFonts w:ascii="Times New Roman" w:hAnsi="Times New Roman"/>
                <w:color w:val="auto"/>
                <w:highlight w:val="none"/>
                <w:shd w:val="clear"/>
              </w:rPr>
            </w:pPr>
            <w:r>
              <w:rPr>
                <w:rFonts w:hint="eastAsia" w:ascii="Times New Roman" w:hAnsi="Times New Roman"/>
                <w:color w:val="auto"/>
                <w:highlight w:val="none"/>
                <w:shd w:val="clear"/>
              </w:rPr>
              <w:t>具备有效的营业执照，如为联合体投标，联合体各方均须提供。</w:t>
            </w:r>
          </w:p>
        </w:tc>
      </w:tr>
      <w:tr w14:paraId="2F63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622271DF">
            <w:pPr>
              <w:pStyle w:val="29"/>
              <w:rPr>
                <w:rFonts w:ascii="Times New Roman" w:hAnsi="Times New Roman"/>
                <w:color w:val="auto"/>
                <w:highlight w:val="none"/>
                <w:shd w:val="clear"/>
              </w:rPr>
            </w:pPr>
          </w:p>
        </w:tc>
        <w:tc>
          <w:tcPr>
            <w:tcW w:w="459" w:type="pct"/>
            <w:vMerge w:val="continue"/>
            <w:noWrap w:val="0"/>
            <w:vAlign w:val="center"/>
          </w:tcPr>
          <w:p w14:paraId="2342A85E">
            <w:pPr>
              <w:pStyle w:val="29"/>
              <w:rPr>
                <w:rFonts w:ascii="Times New Roman" w:hAnsi="Times New Roman"/>
                <w:color w:val="auto"/>
                <w:highlight w:val="none"/>
                <w:shd w:val="clear"/>
              </w:rPr>
            </w:pPr>
          </w:p>
        </w:tc>
        <w:tc>
          <w:tcPr>
            <w:tcW w:w="783" w:type="pct"/>
            <w:noWrap w:val="0"/>
            <w:tcMar>
              <w:left w:w="75" w:type="dxa"/>
            </w:tcMar>
            <w:vAlign w:val="center"/>
          </w:tcPr>
          <w:p w14:paraId="1BCE2699">
            <w:pPr>
              <w:pStyle w:val="29"/>
              <w:rPr>
                <w:rFonts w:ascii="Times New Roman" w:hAnsi="Times New Roman"/>
                <w:color w:val="auto"/>
                <w:highlight w:val="none"/>
                <w:shd w:val="clear"/>
              </w:rPr>
            </w:pPr>
            <w:r>
              <w:rPr>
                <w:rFonts w:hint="eastAsia" w:ascii="Times New Roman" w:hAnsi="Times New Roman"/>
                <w:color w:val="auto"/>
                <w:highlight w:val="none"/>
                <w:shd w:val="clear"/>
              </w:rPr>
              <w:t>资质等级</w:t>
            </w:r>
          </w:p>
        </w:tc>
        <w:tc>
          <w:tcPr>
            <w:tcW w:w="3251" w:type="pct"/>
            <w:noWrap w:val="0"/>
            <w:tcMar>
              <w:left w:w="75" w:type="dxa"/>
            </w:tcMar>
            <w:vAlign w:val="center"/>
          </w:tcPr>
          <w:p w14:paraId="31F4F09F">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21C2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1D0EC8B5">
            <w:pPr>
              <w:pStyle w:val="29"/>
              <w:rPr>
                <w:rFonts w:ascii="Times New Roman" w:hAnsi="Times New Roman"/>
                <w:color w:val="auto"/>
                <w:highlight w:val="none"/>
                <w:shd w:val="clear"/>
              </w:rPr>
            </w:pPr>
          </w:p>
        </w:tc>
        <w:tc>
          <w:tcPr>
            <w:tcW w:w="459" w:type="pct"/>
            <w:vMerge w:val="continue"/>
            <w:noWrap w:val="0"/>
            <w:vAlign w:val="center"/>
          </w:tcPr>
          <w:p w14:paraId="26FF1432">
            <w:pPr>
              <w:pStyle w:val="29"/>
              <w:rPr>
                <w:rFonts w:ascii="Times New Roman" w:hAnsi="Times New Roman"/>
                <w:color w:val="auto"/>
                <w:highlight w:val="none"/>
                <w:shd w:val="clear"/>
              </w:rPr>
            </w:pPr>
          </w:p>
        </w:tc>
        <w:tc>
          <w:tcPr>
            <w:tcW w:w="783" w:type="pct"/>
            <w:noWrap w:val="0"/>
            <w:tcMar>
              <w:left w:w="75" w:type="dxa"/>
            </w:tcMar>
            <w:vAlign w:val="center"/>
          </w:tcPr>
          <w:p w14:paraId="0E2BA0AD">
            <w:pPr>
              <w:pStyle w:val="29"/>
              <w:rPr>
                <w:rFonts w:ascii="Times New Roman" w:hAnsi="Times New Roman"/>
                <w:color w:val="auto"/>
                <w:highlight w:val="none"/>
                <w:shd w:val="clear"/>
              </w:rPr>
            </w:pPr>
            <w:r>
              <w:rPr>
                <w:rFonts w:hint="eastAsia" w:ascii="Times New Roman" w:hAnsi="Times New Roman"/>
                <w:color w:val="auto"/>
                <w:highlight w:val="none"/>
                <w:shd w:val="clear"/>
              </w:rPr>
              <w:t>安全生产许可证</w:t>
            </w:r>
          </w:p>
        </w:tc>
        <w:tc>
          <w:tcPr>
            <w:tcW w:w="3251" w:type="pct"/>
            <w:noWrap w:val="0"/>
            <w:tcMar>
              <w:left w:w="75" w:type="dxa"/>
            </w:tcMar>
            <w:vAlign w:val="center"/>
          </w:tcPr>
          <w:p w14:paraId="3F0EF265">
            <w:pPr>
              <w:pStyle w:val="30"/>
              <w:rPr>
                <w:rFonts w:ascii="Times New Roman" w:hAnsi="Times New Roman"/>
                <w:color w:val="auto"/>
                <w:highlight w:val="none"/>
                <w:shd w:val="clear"/>
              </w:rPr>
            </w:pPr>
            <w:r>
              <w:rPr>
                <w:rFonts w:hint="eastAsia" w:ascii="Times New Roman" w:hAnsi="Times New Roman"/>
                <w:color w:val="auto"/>
                <w:highlight w:val="none"/>
                <w:shd w:val="clear"/>
              </w:rPr>
              <w:t>具备有效的安全生产许可证。</w:t>
            </w:r>
          </w:p>
        </w:tc>
      </w:tr>
      <w:tr w14:paraId="517F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E3FB887">
            <w:pPr>
              <w:pStyle w:val="29"/>
              <w:rPr>
                <w:rFonts w:ascii="Times New Roman" w:hAnsi="Times New Roman"/>
                <w:color w:val="auto"/>
                <w:highlight w:val="none"/>
                <w:shd w:val="clear"/>
              </w:rPr>
            </w:pPr>
          </w:p>
        </w:tc>
        <w:tc>
          <w:tcPr>
            <w:tcW w:w="459" w:type="pct"/>
            <w:vMerge w:val="continue"/>
            <w:noWrap w:val="0"/>
            <w:vAlign w:val="center"/>
          </w:tcPr>
          <w:p w14:paraId="02DD9888">
            <w:pPr>
              <w:pStyle w:val="29"/>
              <w:rPr>
                <w:rFonts w:ascii="Times New Roman" w:hAnsi="Times New Roman"/>
                <w:color w:val="auto"/>
                <w:highlight w:val="none"/>
                <w:shd w:val="clear"/>
              </w:rPr>
            </w:pPr>
          </w:p>
        </w:tc>
        <w:tc>
          <w:tcPr>
            <w:tcW w:w="783" w:type="pct"/>
            <w:noWrap w:val="0"/>
            <w:tcMar>
              <w:left w:w="75" w:type="dxa"/>
            </w:tcMar>
            <w:vAlign w:val="center"/>
          </w:tcPr>
          <w:p w14:paraId="321E73B7">
            <w:pPr>
              <w:pStyle w:val="29"/>
              <w:rPr>
                <w:rFonts w:ascii="Times New Roman" w:hAnsi="Times New Roman"/>
                <w:color w:val="auto"/>
                <w:highlight w:val="none"/>
                <w:shd w:val="clear"/>
              </w:rPr>
            </w:pPr>
            <w:r>
              <w:rPr>
                <w:rFonts w:hint="eastAsia" w:ascii="Times New Roman" w:hAnsi="Times New Roman"/>
                <w:color w:val="auto"/>
                <w:highlight w:val="none"/>
                <w:shd w:val="clear"/>
              </w:rPr>
              <w:t>财务要求</w:t>
            </w:r>
          </w:p>
        </w:tc>
        <w:tc>
          <w:tcPr>
            <w:tcW w:w="3251" w:type="pct"/>
            <w:noWrap w:val="0"/>
            <w:tcMar>
              <w:left w:w="75" w:type="dxa"/>
            </w:tcMar>
            <w:vAlign w:val="center"/>
          </w:tcPr>
          <w:p w14:paraId="47597AEC">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1F8D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BCFB1B4">
            <w:pPr>
              <w:pStyle w:val="29"/>
              <w:rPr>
                <w:rFonts w:ascii="Times New Roman" w:hAnsi="Times New Roman"/>
                <w:color w:val="auto"/>
                <w:highlight w:val="none"/>
                <w:shd w:val="clear"/>
              </w:rPr>
            </w:pPr>
          </w:p>
        </w:tc>
        <w:tc>
          <w:tcPr>
            <w:tcW w:w="459" w:type="pct"/>
            <w:vMerge w:val="continue"/>
            <w:noWrap w:val="0"/>
            <w:vAlign w:val="center"/>
          </w:tcPr>
          <w:p w14:paraId="650A1D48">
            <w:pPr>
              <w:pStyle w:val="29"/>
              <w:rPr>
                <w:rFonts w:ascii="Times New Roman" w:hAnsi="Times New Roman"/>
                <w:color w:val="auto"/>
                <w:highlight w:val="none"/>
                <w:shd w:val="clear"/>
              </w:rPr>
            </w:pPr>
          </w:p>
        </w:tc>
        <w:tc>
          <w:tcPr>
            <w:tcW w:w="783" w:type="pct"/>
            <w:noWrap w:val="0"/>
            <w:tcMar>
              <w:left w:w="75" w:type="dxa"/>
            </w:tcMar>
            <w:vAlign w:val="center"/>
          </w:tcPr>
          <w:p w14:paraId="0E038D1B">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投标人业绩要求</w:t>
            </w:r>
          </w:p>
        </w:tc>
        <w:tc>
          <w:tcPr>
            <w:tcW w:w="3251" w:type="pct"/>
            <w:noWrap w:val="0"/>
            <w:tcMar>
              <w:left w:w="75" w:type="dxa"/>
            </w:tcMar>
            <w:vAlign w:val="center"/>
          </w:tcPr>
          <w:p w14:paraId="5EA009C6">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1C15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40570269">
            <w:pPr>
              <w:pStyle w:val="29"/>
              <w:rPr>
                <w:rFonts w:ascii="Times New Roman" w:hAnsi="Times New Roman"/>
                <w:color w:val="auto"/>
                <w:highlight w:val="none"/>
                <w:shd w:val="clear"/>
              </w:rPr>
            </w:pPr>
          </w:p>
        </w:tc>
        <w:tc>
          <w:tcPr>
            <w:tcW w:w="459" w:type="pct"/>
            <w:vMerge w:val="continue"/>
            <w:noWrap w:val="0"/>
            <w:vAlign w:val="center"/>
          </w:tcPr>
          <w:p w14:paraId="0F9E3D73">
            <w:pPr>
              <w:pStyle w:val="29"/>
              <w:rPr>
                <w:rFonts w:ascii="Times New Roman" w:hAnsi="Times New Roman"/>
                <w:color w:val="auto"/>
                <w:highlight w:val="none"/>
                <w:shd w:val="clear"/>
              </w:rPr>
            </w:pPr>
          </w:p>
        </w:tc>
        <w:tc>
          <w:tcPr>
            <w:tcW w:w="783" w:type="pct"/>
            <w:noWrap w:val="0"/>
            <w:tcMar>
              <w:left w:w="75" w:type="dxa"/>
            </w:tcMar>
            <w:vAlign w:val="center"/>
          </w:tcPr>
          <w:p w14:paraId="4DF5444A">
            <w:pPr>
              <w:pStyle w:val="29"/>
              <w:rPr>
                <w:rFonts w:ascii="Times New Roman" w:hAnsi="Times New Roman"/>
                <w:color w:val="auto"/>
                <w:highlight w:val="none"/>
                <w:shd w:val="clear"/>
              </w:rPr>
            </w:pPr>
            <w:r>
              <w:rPr>
                <w:rFonts w:hint="eastAsia" w:ascii="Times New Roman" w:hAnsi="Times New Roman"/>
                <w:color w:val="auto"/>
                <w:highlight w:val="none"/>
                <w:shd w:val="clear"/>
              </w:rPr>
              <w:t>信誉要求</w:t>
            </w:r>
          </w:p>
        </w:tc>
        <w:tc>
          <w:tcPr>
            <w:tcW w:w="3251" w:type="pct"/>
            <w:noWrap w:val="0"/>
            <w:tcMar>
              <w:left w:w="75" w:type="dxa"/>
            </w:tcMar>
            <w:vAlign w:val="center"/>
          </w:tcPr>
          <w:p w14:paraId="0A5A564D">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23E1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3F4CBFA3">
            <w:pPr>
              <w:pStyle w:val="29"/>
              <w:rPr>
                <w:rFonts w:ascii="Times New Roman" w:hAnsi="Times New Roman"/>
                <w:color w:val="auto"/>
                <w:highlight w:val="none"/>
                <w:shd w:val="clear"/>
              </w:rPr>
            </w:pPr>
          </w:p>
        </w:tc>
        <w:tc>
          <w:tcPr>
            <w:tcW w:w="459" w:type="pct"/>
            <w:vMerge w:val="continue"/>
            <w:noWrap w:val="0"/>
            <w:vAlign w:val="center"/>
          </w:tcPr>
          <w:p w14:paraId="37316405">
            <w:pPr>
              <w:pStyle w:val="29"/>
              <w:rPr>
                <w:rFonts w:ascii="Times New Roman" w:hAnsi="Times New Roman"/>
                <w:color w:val="auto"/>
                <w:highlight w:val="none"/>
                <w:shd w:val="clear"/>
              </w:rPr>
            </w:pPr>
          </w:p>
        </w:tc>
        <w:tc>
          <w:tcPr>
            <w:tcW w:w="783" w:type="pct"/>
            <w:noWrap w:val="0"/>
            <w:tcMar>
              <w:left w:w="75" w:type="dxa"/>
            </w:tcMar>
            <w:vAlign w:val="center"/>
          </w:tcPr>
          <w:p w14:paraId="43AB2318">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w:t>
            </w:r>
          </w:p>
        </w:tc>
        <w:tc>
          <w:tcPr>
            <w:tcW w:w="3251" w:type="pct"/>
            <w:noWrap w:val="0"/>
            <w:tcMar>
              <w:left w:w="75" w:type="dxa"/>
            </w:tcMar>
            <w:vAlign w:val="center"/>
          </w:tcPr>
          <w:p w14:paraId="723A5BAE">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48CE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6C414EBC">
            <w:pPr>
              <w:pStyle w:val="29"/>
              <w:rPr>
                <w:rFonts w:ascii="Times New Roman" w:hAnsi="Times New Roman"/>
                <w:color w:val="auto"/>
                <w:highlight w:val="none"/>
                <w:shd w:val="clear"/>
              </w:rPr>
            </w:pPr>
          </w:p>
        </w:tc>
        <w:tc>
          <w:tcPr>
            <w:tcW w:w="459" w:type="pct"/>
            <w:vMerge w:val="continue"/>
            <w:noWrap w:val="0"/>
            <w:vAlign w:val="center"/>
          </w:tcPr>
          <w:p w14:paraId="3E80D347">
            <w:pPr>
              <w:pStyle w:val="29"/>
              <w:rPr>
                <w:rFonts w:ascii="Times New Roman" w:hAnsi="Times New Roman"/>
                <w:color w:val="auto"/>
                <w:highlight w:val="none"/>
                <w:shd w:val="clear"/>
              </w:rPr>
            </w:pPr>
          </w:p>
        </w:tc>
        <w:tc>
          <w:tcPr>
            <w:tcW w:w="783" w:type="pct"/>
            <w:noWrap w:val="0"/>
            <w:tcMar>
              <w:left w:w="75" w:type="dxa"/>
            </w:tcMar>
            <w:vAlign w:val="center"/>
          </w:tcPr>
          <w:p w14:paraId="543AD358">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项目经理业绩要求</w:t>
            </w:r>
          </w:p>
        </w:tc>
        <w:tc>
          <w:tcPr>
            <w:tcW w:w="3251" w:type="pct"/>
            <w:noWrap w:val="0"/>
            <w:tcMar>
              <w:left w:w="75" w:type="dxa"/>
            </w:tcMar>
            <w:vAlign w:val="center"/>
          </w:tcPr>
          <w:p w14:paraId="20B84799">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179E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53EC0E7F">
            <w:pPr>
              <w:pStyle w:val="29"/>
              <w:rPr>
                <w:rFonts w:ascii="Times New Roman" w:hAnsi="Times New Roman"/>
                <w:color w:val="auto"/>
                <w:highlight w:val="none"/>
                <w:shd w:val="clear"/>
              </w:rPr>
            </w:pPr>
          </w:p>
        </w:tc>
        <w:tc>
          <w:tcPr>
            <w:tcW w:w="459" w:type="pct"/>
            <w:vMerge w:val="continue"/>
            <w:noWrap w:val="0"/>
            <w:vAlign w:val="center"/>
          </w:tcPr>
          <w:p w14:paraId="48EC66F2">
            <w:pPr>
              <w:pStyle w:val="29"/>
              <w:rPr>
                <w:rFonts w:ascii="Times New Roman" w:hAnsi="Times New Roman"/>
                <w:color w:val="auto"/>
                <w:highlight w:val="none"/>
                <w:shd w:val="clear"/>
              </w:rPr>
            </w:pPr>
          </w:p>
        </w:tc>
        <w:tc>
          <w:tcPr>
            <w:tcW w:w="783" w:type="pct"/>
            <w:noWrap w:val="0"/>
            <w:tcMar>
              <w:left w:w="75" w:type="dxa"/>
            </w:tcMar>
            <w:vAlign w:val="center"/>
          </w:tcPr>
          <w:p w14:paraId="791FEFDB">
            <w:pPr>
              <w:pStyle w:val="29"/>
              <w:rPr>
                <w:rFonts w:ascii="Times New Roman" w:hAnsi="Times New Roman"/>
                <w:color w:val="auto"/>
                <w:highlight w:val="none"/>
                <w:shd w:val="clear"/>
              </w:rPr>
            </w:pPr>
            <w:r>
              <w:rPr>
                <w:rFonts w:hint="eastAsia" w:ascii="Times New Roman" w:hAnsi="Times New Roman"/>
                <w:color w:val="auto"/>
                <w:highlight w:val="none"/>
                <w:shd w:val="clear"/>
              </w:rPr>
              <w:t>其他主要管理人员和技术人员配备</w:t>
            </w:r>
          </w:p>
        </w:tc>
        <w:tc>
          <w:tcPr>
            <w:tcW w:w="3251" w:type="pct"/>
            <w:noWrap w:val="0"/>
            <w:tcMar>
              <w:left w:w="75" w:type="dxa"/>
            </w:tcMar>
            <w:vAlign w:val="center"/>
          </w:tcPr>
          <w:p w14:paraId="6511FC30">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236D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04E1D0F7">
            <w:pPr>
              <w:pStyle w:val="29"/>
              <w:rPr>
                <w:rFonts w:ascii="Times New Roman" w:hAnsi="Times New Roman"/>
                <w:color w:val="auto"/>
                <w:highlight w:val="none"/>
                <w:shd w:val="clear"/>
              </w:rPr>
            </w:pPr>
          </w:p>
        </w:tc>
        <w:tc>
          <w:tcPr>
            <w:tcW w:w="459" w:type="pct"/>
            <w:vMerge w:val="continue"/>
            <w:noWrap w:val="0"/>
            <w:vAlign w:val="center"/>
          </w:tcPr>
          <w:p w14:paraId="16A579E0">
            <w:pPr>
              <w:pStyle w:val="29"/>
              <w:rPr>
                <w:rFonts w:ascii="Times New Roman" w:hAnsi="Times New Roman"/>
                <w:color w:val="auto"/>
                <w:highlight w:val="none"/>
                <w:shd w:val="clear"/>
              </w:rPr>
            </w:pPr>
          </w:p>
        </w:tc>
        <w:tc>
          <w:tcPr>
            <w:tcW w:w="783" w:type="pct"/>
            <w:noWrap w:val="0"/>
            <w:tcMar>
              <w:left w:w="75" w:type="dxa"/>
            </w:tcMar>
            <w:vAlign w:val="center"/>
          </w:tcPr>
          <w:p w14:paraId="3751DF3E">
            <w:pPr>
              <w:pStyle w:val="29"/>
              <w:rPr>
                <w:rFonts w:ascii="Times New Roman" w:hAnsi="Times New Roman"/>
                <w:color w:val="auto"/>
                <w:highlight w:val="none"/>
                <w:shd w:val="clear"/>
              </w:rPr>
            </w:pPr>
            <w:r>
              <w:rPr>
                <w:rFonts w:hint="eastAsia" w:ascii="Times New Roman" w:hAnsi="Times New Roman"/>
                <w:color w:val="auto"/>
                <w:highlight w:val="none"/>
                <w:shd w:val="clear"/>
              </w:rPr>
              <w:t>联合体投标人</w:t>
            </w:r>
          </w:p>
        </w:tc>
        <w:tc>
          <w:tcPr>
            <w:tcW w:w="3251" w:type="pct"/>
            <w:noWrap w:val="0"/>
            <w:tcMar>
              <w:left w:w="75" w:type="dxa"/>
            </w:tcMar>
            <w:vAlign w:val="center"/>
          </w:tcPr>
          <w:p w14:paraId="1A735103">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符合第二章“投标人须知”第1.4.2项规定。</w:t>
            </w:r>
          </w:p>
        </w:tc>
      </w:tr>
      <w:tr w14:paraId="38B3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0289F498">
            <w:pPr>
              <w:pStyle w:val="29"/>
              <w:rPr>
                <w:rFonts w:ascii="Times New Roman" w:hAnsi="Times New Roman"/>
                <w:color w:val="auto"/>
                <w:highlight w:val="none"/>
                <w:shd w:val="clear"/>
              </w:rPr>
            </w:pPr>
          </w:p>
        </w:tc>
        <w:tc>
          <w:tcPr>
            <w:tcW w:w="459" w:type="pct"/>
            <w:vMerge w:val="continue"/>
            <w:noWrap w:val="0"/>
            <w:vAlign w:val="center"/>
          </w:tcPr>
          <w:p w14:paraId="4653079C">
            <w:pPr>
              <w:pStyle w:val="29"/>
              <w:rPr>
                <w:rFonts w:ascii="Times New Roman" w:hAnsi="Times New Roman"/>
                <w:color w:val="auto"/>
                <w:highlight w:val="none"/>
                <w:shd w:val="clear"/>
              </w:rPr>
            </w:pPr>
          </w:p>
        </w:tc>
        <w:tc>
          <w:tcPr>
            <w:tcW w:w="783" w:type="pct"/>
            <w:noWrap w:val="0"/>
            <w:tcMar>
              <w:left w:w="75" w:type="dxa"/>
            </w:tcMar>
            <w:vAlign w:val="center"/>
          </w:tcPr>
          <w:p w14:paraId="704E7712">
            <w:pPr>
              <w:pStyle w:val="29"/>
              <w:rPr>
                <w:rFonts w:ascii="Times New Roman" w:hAnsi="Times New Roman"/>
                <w:color w:val="auto"/>
                <w:highlight w:val="none"/>
                <w:shd w:val="clear"/>
              </w:rPr>
            </w:pPr>
            <w:r>
              <w:rPr>
                <w:rFonts w:hint="eastAsia" w:ascii="Times New Roman" w:hAnsi="Times New Roman"/>
                <w:color w:val="auto"/>
                <w:highlight w:val="none"/>
                <w:shd w:val="clear"/>
              </w:rPr>
              <w:t>不存在禁止投标的情形</w:t>
            </w:r>
          </w:p>
        </w:tc>
        <w:tc>
          <w:tcPr>
            <w:tcW w:w="3251" w:type="pct"/>
            <w:noWrap w:val="0"/>
            <w:tcMar>
              <w:left w:w="75" w:type="dxa"/>
            </w:tcMar>
            <w:vAlign w:val="center"/>
          </w:tcPr>
          <w:p w14:paraId="0A143A37">
            <w:pPr>
              <w:pStyle w:val="30"/>
              <w:rPr>
                <w:rFonts w:ascii="Times New Roman" w:hAnsi="Times New Roman"/>
                <w:color w:val="auto"/>
                <w:highlight w:val="none"/>
                <w:shd w:val="clear"/>
              </w:rPr>
            </w:pPr>
            <w:r>
              <w:rPr>
                <w:rFonts w:hint="eastAsia" w:ascii="Times New Roman" w:hAnsi="Times New Roman"/>
                <w:color w:val="auto"/>
                <w:highlight w:val="none"/>
                <w:shd w:val="clear"/>
              </w:rPr>
              <w:t>不存在第二章“投标人须知”第1.4.3项或第1.4.4项规定的任何一种情形。</w:t>
            </w:r>
          </w:p>
        </w:tc>
      </w:tr>
      <w:tr w14:paraId="0F9D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D6B84C3">
            <w:pPr>
              <w:pStyle w:val="29"/>
              <w:rPr>
                <w:rFonts w:ascii="Times New Roman" w:hAnsi="Times New Roman"/>
                <w:color w:val="auto"/>
                <w:highlight w:val="none"/>
                <w:shd w:val="clear"/>
              </w:rPr>
            </w:pPr>
          </w:p>
        </w:tc>
        <w:tc>
          <w:tcPr>
            <w:tcW w:w="459" w:type="pct"/>
            <w:vMerge w:val="continue"/>
            <w:noWrap w:val="0"/>
            <w:vAlign w:val="center"/>
          </w:tcPr>
          <w:p w14:paraId="5A85C0DE">
            <w:pPr>
              <w:pStyle w:val="29"/>
              <w:rPr>
                <w:rFonts w:ascii="Times New Roman" w:hAnsi="Times New Roman"/>
                <w:color w:val="auto"/>
                <w:highlight w:val="none"/>
                <w:shd w:val="clear"/>
              </w:rPr>
            </w:pPr>
          </w:p>
        </w:tc>
        <w:tc>
          <w:tcPr>
            <w:tcW w:w="783" w:type="pct"/>
            <w:noWrap w:val="0"/>
            <w:tcMar>
              <w:left w:w="75" w:type="dxa"/>
            </w:tcMar>
            <w:vAlign w:val="center"/>
          </w:tcPr>
          <w:p w14:paraId="00F35A84">
            <w:pPr>
              <w:pStyle w:val="29"/>
              <w:rPr>
                <w:rFonts w:hint="default" w:ascii="Times New Roman" w:hAnsi="Times New Roman" w:eastAsia="宋体"/>
                <w:color w:val="auto"/>
                <w:highlight w:val="none"/>
                <w:shd w:val="clear"/>
                <w:lang w:val="en-US" w:eastAsia="zh-CN"/>
              </w:rPr>
            </w:pPr>
            <w:r>
              <w:rPr>
                <w:rFonts w:hint="default" w:ascii="Times New Roman" w:hAnsi="Times New Roman" w:eastAsia="宋体"/>
                <w:color w:val="auto"/>
                <w:highlight w:val="none"/>
                <w:shd w:val="clear"/>
                <w:lang w:val="en-US" w:eastAsia="zh-CN"/>
              </w:rPr>
              <w:t xml:space="preserve">政府采购政策 </w:t>
            </w:r>
          </w:p>
          <w:p w14:paraId="0596774F">
            <w:pPr>
              <w:pStyle w:val="29"/>
              <w:rPr>
                <w:rFonts w:hint="default" w:ascii="Times New Roman" w:hAnsi="Times New Roman" w:eastAsia="宋体"/>
                <w:color w:val="auto"/>
                <w:highlight w:val="none"/>
                <w:shd w:val="clear"/>
                <w:lang w:val="en-US" w:eastAsia="zh-CN"/>
              </w:rPr>
            </w:pPr>
            <w:r>
              <w:rPr>
                <w:rFonts w:hint="default" w:ascii="Times New Roman" w:hAnsi="Times New Roman" w:eastAsia="宋体"/>
                <w:color w:val="auto"/>
                <w:highlight w:val="none"/>
                <w:shd w:val="clear"/>
                <w:lang w:val="en-US" w:eastAsia="zh-CN"/>
              </w:rPr>
              <w:t>要求</w:t>
            </w:r>
          </w:p>
        </w:tc>
        <w:tc>
          <w:tcPr>
            <w:tcW w:w="3251" w:type="pct"/>
            <w:noWrap w:val="0"/>
            <w:tcMar>
              <w:left w:w="75" w:type="dxa"/>
            </w:tcMar>
            <w:vAlign w:val="center"/>
          </w:tcPr>
          <w:p w14:paraId="5556704E">
            <w:pPr>
              <w:pStyle w:val="30"/>
              <w:rPr>
                <w:rFonts w:hint="default" w:ascii="Times New Roman" w:hAnsi="Times New Roman"/>
                <w:color w:val="auto"/>
                <w:highlight w:val="none"/>
                <w:shd w:val="clear"/>
                <w:lang w:val="en-US"/>
              </w:rPr>
            </w:pPr>
            <w:r>
              <w:rPr>
                <w:rFonts w:hint="eastAsia" w:ascii="宋体" w:hAnsi="宋体" w:eastAsia="宋体" w:cs="宋体"/>
                <w:bCs/>
                <w:color w:val="auto"/>
                <w:kern w:val="0"/>
                <w:sz w:val="21"/>
                <w:szCs w:val="21"/>
                <w:highlight w:val="none"/>
                <w:shd w:val="clear"/>
                <w:lang w:val="en-US" w:eastAsia="zh-CN" w:bidi="ar"/>
              </w:rPr>
              <w:t>符合</w:t>
            </w:r>
            <w:r>
              <w:rPr>
                <w:rFonts w:hint="eastAsia" w:cs="宋体"/>
                <w:bCs/>
                <w:color w:val="auto"/>
                <w:kern w:val="0"/>
                <w:sz w:val="21"/>
                <w:szCs w:val="21"/>
                <w:highlight w:val="none"/>
                <w:shd w:val="clear"/>
                <w:lang w:val="en-US" w:eastAsia="zh-CN" w:bidi="ar"/>
              </w:rPr>
              <w:t>招标公告及</w:t>
            </w:r>
            <w:r>
              <w:rPr>
                <w:rFonts w:hint="eastAsia" w:ascii="宋体" w:hAnsi="宋体" w:eastAsia="宋体" w:cs="宋体"/>
                <w:bCs/>
                <w:color w:val="auto"/>
                <w:kern w:val="0"/>
                <w:sz w:val="21"/>
                <w:szCs w:val="21"/>
                <w:highlight w:val="none"/>
                <w:shd w:val="clear"/>
                <w:lang w:val="en-US" w:eastAsia="zh-CN" w:bidi="ar"/>
              </w:rPr>
              <w:t xml:space="preserve">第二章“投标人须知”第 </w:t>
            </w:r>
            <w:r>
              <w:rPr>
                <w:rFonts w:hint="default" w:ascii="Times New Roman" w:hAnsi="Times New Roman" w:eastAsia="宋体" w:cs="Times New Roman"/>
                <w:bCs/>
                <w:color w:val="auto"/>
                <w:kern w:val="0"/>
                <w:sz w:val="21"/>
                <w:szCs w:val="21"/>
                <w:highlight w:val="none"/>
                <w:shd w:val="clear"/>
                <w:lang w:val="en-US" w:eastAsia="zh-CN" w:bidi="ar"/>
              </w:rPr>
              <w:t xml:space="preserve">10.12 </w:t>
            </w:r>
            <w:r>
              <w:rPr>
                <w:rFonts w:hint="eastAsia" w:ascii="宋体" w:hAnsi="宋体" w:eastAsia="宋体" w:cs="宋体"/>
                <w:bCs/>
                <w:color w:val="auto"/>
                <w:kern w:val="0"/>
                <w:sz w:val="21"/>
                <w:szCs w:val="21"/>
                <w:highlight w:val="none"/>
                <w:shd w:val="clear"/>
                <w:lang w:val="en-US" w:eastAsia="zh-CN" w:bidi="ar"/>
              </w:rPr>
              <w:t>项规定。</w:t>
            </w:r>
          </w:p>
        </w:tc>
      </w:tr>
      <w:tr w14:paraId="211A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restart"/>
            <w:noWrap w:val="0"/>
            <w:vAlign w:val="center"/>
          </w:tcPr>
          <w:p w14:paraId="7EC26B19">
            <w:pPr>
              <w:pStyle w:val="29"/>
              <w:rPr>
                <w:rFonts w:ascii="Times New Roman" w:hAnsi="Times New Roman"/>
                <w:color w:val="auto"/>
                <w:highlight w:val="none"/>
                <w:shd w:val="clear"/>
              </w:rPr>
            </w:pPr>
            <w:r>
              <w:rPr>
                <w:rFonts w:hint="eastAsia" w:ascii="Times New Roman" w:hAnsi="Times New Roman"/>
                <w:color w:val="auto"/>
                <w:highlight w:val="none"/>
                <w:shd w:val="clear"/>
              </w:rPr>
              <w:t>2.1.3</w:t>
            </w:r>
          </w:p>
        </w:tc>
        <w:tc>
          <w:tcPr>
            <w:tcW w:w="459" w:type="pct"/>
            <w:vMerge w:val="restart"/>
            <w:noWrap w:val="0"/>
            <w:vAlign w:val="center"/>
          </w:tcPr>
          <w:p w14:paraId="55A8106B">
            <w:pPr>
              <w:pStyle w:val="29"/>
              <w:rPr>
                <w:rFonts w:ascii="Times New Roman" w:hAnsi="Times New Roman"/>
                <w:color w:val="auto"/>
                <w:highlight w:val="none"/>
                <w:shd w:val="clear"/>
              </w:rPr>
            </w:pPr>
            <w:r>
              <w:rPr>
                <w:rFonts w:hint="eastAsia" w:ascii="Times New Roman" w:hAnsi="Times New Roman"/>
                <w:color w:val="auto"/>
                <w:highlight w:val="none"/>
                <w:shd w:val="clear"/>
              </w:rPr>
              <w:t>响应性评审标准</w:t>
            </w:r>
          </w:p>
        </w:tc>
        <w:tc>
          <w:tcPr>
            <w:tcW w:w="783" w:type="pct"/>
            <w:noWrap w:val="0"/>
            <w:tcMar>
              <w:left w:w="75" w:type="dxa"/>
            </w:tcMar>
            <w:vAlign w:val="center"/>
          </w:tcPr>
          <w:p w14:paraId="6E0FFEF6">
            <w:pPr>
              <w:pStyle w:val="29"/>
              <w:rPr>
                <w:rFonts w:ascii="Times New Roman" w:hAnsi="Times New Roman"/>
                <w:color w:val="auto"/>
                <w:highlight w:val="none"/>
                <w:shd w:val="clear"/>
              </w:rPr>
            </w:pPr>
            <w:r>
              <w:rPr>
                <w:rFonts w:hint="eastAsia" w:ascii="Times New Roman" w:hAnsi="Times New Roman"/>
                <w:color w:val="auto"/>
                <w:highlight w:val="none"/>
                <w:shd w:val="clear"/>
              </w:rPr>
              <w:t>投标内容</w:t>
            </w:r>
          </w:p>
        </w:tc>
        <w:tc>
          <w:tcPr>
            <w:tcW w:w="3251" w:type="pct"/>
            <w:noWrap w:val="0"/>
            <w:tcMar>
              <w:left w:w="75" w:type="dxa"/>
            </w:tcMar>
            <w:vAlign w:val="center"/>
          </w:tcPr>
          <w:p w14:paraId="49376CDD">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符合第二章“投标人须知”第1.3.1项规定。</w:t>
            </w:r>
          </w:p>
        </w:tc>
      </w:tr>
      <w:tr w14:paraId="15DA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247336D7">
            <w:pPr>
              <w:pStyle w:val="29"/>
              <w:rPr>
                <w:rFonts w:ascii="Times New Roman" w:hAnsi="Times New Roman"/>
                <w:color w:val="auto"/>
                <w:highlight w:val="none"/>
                <w:shd w:val="clear"/>
              </w:rPr>
            </w:pPr>
          </w:p>
        </w:tc>
        <w:tc>
          <w:tcPr>
            <w:tcW w:w="459" w:type="pct"/>
            <w:vMerge w:val="continue"/>
            <w:noWrap w:val="0"/>
            <w:vAlign w:val="center"/>
          </w:tcPr>
          <w:p w14:paraId="0897E98F">
            <w:pPr>
              <w:pStyle w:val="29"/>
              <w:rPr>
                <w:rFonts w:ascii="Times New Roman" w:hAnsi="Times New Roman"/>
                <w:color w:val="auto"/>
                <w:highlight w:val="none"/>
                <w:shd w:val="clear"/>
              </w:rPr>
            </w:pPr>
          </w:p>
        </w:tc>
        <w:tc>
          <w:tcPr>
            <w:tcW w:w="783" w:type="pct"/>
            <w:noWrap w:val="0"/>
            <w:tcMar>
              <w:left w:w="75" w:type="dxa"/>
            </w:tcMar>
            <w:vAlign w:val="center"/>
          </w:tcPr>
          <w:p w14:paraId="2BB3F0D9">
            <w:pPr>
              <w:pStyle w:val="29"/>
              <w:rPr>
                <w:rFonts w:ascii="Times New Roman" w:hAnsi="Times New Roman"/>
                <w:color w:val="auto"/>
                <w:highlight w:val="none"/>
                <w:shd w:val="clear"/>
              </w:rPr>
            </w:pPr>
            <w:r>
              <w:rPr>
                <w:rFonts w:hint="eastAsia" w:ascii="Times New Roman" w:hAnsi="Times New Roman"/>
                <w:color w:val="auto"/>
                <w:highlight w:val="none"/>
                <w:shd w:val="clear"/>
              </w:rPr>
              <w:t>工期</w:t>
            </w:r>
          </w:p>
        </w:tc>
        <w:tc>
          <w:tcPr>
            <w:tcW w:w="3251" w:type="pct"/>
            <w:noWrap w:val="0"/>
            <w:tcMar>
              <w:left w:w="75" w:type="dxa"/>
            </w:tcMar>
            <w:vAlign w:val="center"/>
          </w:tcPr>
          <w:p w14:paraId="365F0272">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符合第二章“投标人须知”第1.3.2项规定。</w:t>
            </w:r>
          </w:p>
        </w:tc>
      </w:tr>
      <w:tr w14:paraId="6EF4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62F2DD5D">
            <w:pPr>
              <w:pStyle w:val="29"/>
              <w:rPr>
                <w:rFonts w:ascii="Times New Roman" w:hAnsi="Times New Roman"/>
                <w:color w:val="auto"/>
                <w:highlight w:val="none"/>
                <w:shd w:val="clear"/>
              </w:rPr>
            </w:pPr>
          </w:p>
        </w:tc>
        <w:tc>
          <w:tcPr>
            <w:tcW w:w="459" w:type="pct"/>
            <w:vMerge w:val="continue"/>
            <w:noWrap w:val="0"/>
            <w:vAlign w:val="center"/>
          </w:tcPr>
          <w:p w14:paraId="09AF07B3">
            <w:pPr>
              <w:pStyle w:val="29"/>
              <w:rPr>
                <w:rFonts w:ascii="Times New Roman" w:hAnsi="Times New Roman"/>
                <w:color w:val="auto"/>
                <w:highlight w:val="none"/>
                <w:shd w:val="clear"/>
              </w:rPr>
            </w:pPr>
          </w:p>
        </w:tc>
        <w:tc>
          <w:tcPr>
            <w:tcW w:w="783" w:type="pct"/>
            <w:noWrap w:val="0"/>
            <w:tcMar>
              <w:left w:w="75" w:type="dxa"/>
            </w:tcMar>
            <w:vAlign w:val="center"/>
          </w:tcPr>
          <w:p w14:paraId="671DB5DF">
            <w:pPr>
              <w:pStyle w:val="29"/>
              <w:rPr>
                <w:rFonts w:ascii="Times New Roman" w:hAnsi="Times New Roman"/>
                <w:color w:val="auto"/>
                <w:highlight w:val="none"/>
                <w:shd w:val="clear"/>
              </w:rPr>
            </w:pPr>
            <w:r>
              <w:rPr>
                <w:rFonts w:hint="eastAsia" w:ascii="Times New Roman" w:hAnsi="Times New Roman"/>
                <w:color w:val="auto"/>
                <w:highlight w:val="none"/>
                <w:shd w:val="clear"/>
              </w:rPr>
              <w:t>质量标准</w:t>
            </w:r>
          </w:p>
        </w:tc>
        <w:tc>
          <w:tcPr>
            <w:tcW w:w="3251" w:type="pct"/>
            <w:noWrap w:val="0"/>
            <w:tcMar>
              <w:left w:w="75" w:type="dxa"/>
            </w:tcMar>
            <w:vAlign w:val="center"/>
          </w:tcPr>
          <w:p w14:paraId="5F717C17">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符合第二章“投标人须知”第1.3.3项规定。</w:t>
            </w:r>
          </w:p>
        </w:tc>
      </w:tr>
      <w:tr w14:paraId="7BB2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02B6156">
            <w:pPr>
              <w:pStyle w:val="29"/>
              <w:rPr>
                <w:rFonts w:ascii="Times New Roman" w:hAnsi="Times New Roman"/>
                <w:color w:val="auto"/>
                <w:highlight w:val="none"/>
                <w:shd w:val="clear"/>
              </w:rPr>
            </w:pPr>
          </w:p>
        </w:tc>
        <w:tc>
          <w:tcPr>
            <w:tcW w:w="459" w:type="pct"/>
            <w:vMerge w:val="continue"/>
            <w:noWrap w:val="0"/>
            <w:vAlign w:val="center"/>
          </w:tcPr>
          <w:p w14:paraId="36296C25">
            <w:pPr>
              <w:pStyle w:val="29"/>
              <w:rPr>
                <w:rFonts w:ascii="Times New Roman" w:hAnsi="Times New Roman"/>
                <w:color w:val="auto"/>
                <w:highlight w:val="none"/>
                <w:shd w:val="clear"/>
              </w:rPr>
            </w:pPr>
          </w:p>
        </w:tc>
        <w:tc>
          <w:tcPr>
            <w:tcW w:w="783" w:type="pct"/>
            <w:noWrap w:val="0"/>
            <w:tcMar>
              <w:left w:w="75" w:type="dxa"/>
            </w:tcMar>
            <w:vAlign w:val="center"/>
          </w:tcPr>
          <w:p w14:paraId="1D234D84">
            <w:pPr>
              <w:pStyle w:val="29"/>
              <w:rPr>
                <w:rFonts w:ascii="Times New Roman" w:hAnsi="Times New Roman"/>
                <w:color w:val="auto"/>
                <w:highlight w:val="none"/>
                <w:shd w:val="clear"/>
              </w:rPr>
            </w:pPr>
            <w:r>
              <w:rPr>
                <w:rFonts w:hint="eastAsia" w:ascii="Times New Roman" w:hAnsi="Times New Roman"/>
                <w:color w:val="auto"/>
                <w:highlight w:val="none"/>
                <w:shd w:val="clear"/>
              </w:rPr>
              <w:t>投标有效期</w:t>
            </w:r>
          </w:p>
        </w:tc>
        <w:tc>
          <w:tcPr>
            <w:tcW w:w="3251" w:type="pct"/>
            <w:noWrap w:val="0"/>
            <w:tcMar>
              <w:left w:w="75" w:type="dxa"/>
            </w:tcMar>
            <w:vAlign w:val="center"/>
          </w:tcPr>
          <w:p w14:paraId="44B626A4">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符合第二章“投标人须知”第3.3.1项规定。</w:t>
            </w:r>
          </w:p>
        </w:tc>
      </w:tr>
      <w:tr w14:paraId="05DD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5ACC57AE">
            <w:pPr>
              <w:pStyle w:val="29"/>
              <w:rPr>
                <w:rFonts w:ascii="Times New Roman" w:hAnsi="Times New Roman"/>
                <w:color w:val="auto"/>
                <w:highlight w:val="none"/>
                <w:shd w:val="clear"/>
              </w:rPr>
            </w:pPr>
          </w:p>
        </w:tc>
        <w:tc>
          <w:tcPr>
            <w:tcW w:w="459" w:type="pct"/>
            <w:vMerge w:val="continue"/>
            <w:noWrap w:val="0"/>
            <w:vAlign w:val="center"/>
          </w:tcPr>
          <w:p w14:paraId="087D5C1B">
            <w:pPr>
              <w:pStyle w:val="29"/>
              <w:rPr>
                <w:rFonts w:ascii="Times New Roman" w:hAnsi="Times New Roman"/>
                <w:color w:val="auto"/>
                <w:highlight w:val="none"/>
                <w:shd w:val="clear"/>
              </w:rPr>
            </w:pPr>
          </w:p>
        </w:tc>
        <w:tc>
          <w:tcPr>
            <w:tcW w:w="783" w:type="pct"/>
            <w:noWrap w:val="0"/>
            <w:tcMar>
              <w:left w:w="75" w:type="dxa"/>
            </w:tcMar>
            <w:vAlign w:val="center"/>
          </w:tcPr>
          <w:p w14:paraId="0F9ABB00">
            <w:pPr>
              <w:pStyle w:val="29"/>
              <w:rPr>
                <w:rFonts w:ascii="Times New Roman" w:hAnsi="Times New Roman"/>
                <w:color w:val="auto"/>
                <w:highlight w:val="none"/>
                <w:shd w:val="clear"/>
              </w:rPr>
            </w:pPr>
            <w:r>
              <w:rPr>
                <w:rFonts w:hint="eastAsia" w:ascii="Times New Roman" w:hAnsi="Times New Roman"/>
                <w:color w:val="auto"/>
                <w:highlight w:val="none"/>
                <w:shd w:val="clear"/>
              </w:rPr>
              <w:t>投标保证金</w:t>
            </w:r>
          </w:p>
        </w:tc>
        <w:tc>
          <w:tcPr>
            <w:tcW w:w="3251" w:type="pct"/>
            <w:noWrap w:val="0"/>
            <w:tcMar>
              <w:left w:w="75" w:type="dxa"/>
            </w:tcMar>
            <w:vAlign w:val="center"/>
          </w:tcPr>
          <w:p w14:paraId="08CEB052">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符合第二章“投标人须知”第3.4.1项规定。</w:t>
            </w:r>
          </w:p>
        </w:tc>
      </w:tr>
      <w:tr w14:paraId="7435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D1059D9">
            <w:pPr>
              <w:pStyle w:val="29"/>
              <w:rPr>
                <w:rFonts w:ascii="Times New Roman" w:hAnsi="Times New Roman"/>
                <w:color w:val="auto"/>
                <w:highlight w:val="none"/>
                <w:shd w:val="clear"/>
              </w:rPr>
            </w:pPr>
          </w:p>
        </w:tc>
        <w:tc>
          <w:tcPr>
            <w:tcW w:w="459" w:type="pct"/>
            <w:vMerge w:val="continue"/>
            <w:noWrap w:val="0"/>
            <w:vAlign w:val="center"/>
          </w:tcPr>
          <w:p w14:paraId="34C140B2">
            <w:pPr>
              <w:pStyle w:val="29"/>
              <w:rPr>
                <w:rFonts w:ascii="Times New Roman" w:hAnsi="Times New Roman"/>
                <w:color w:val="auto"/>
                <w:highlight w:val="none"/>
                <w:shd w:val="clear"/>
              </w:rPr>
            </w:pPr>
          </w:p>
        </w:tc>
        <w:tc>
          <w:tcPr>
            <w:tcW w:w="783" w:type="pct"/>
            <w:noWrap w:val="0"/>
            <w:tcMar>
              <w:left w:w="75" w:type="dxa"/>
            </w:tcMar>
            <w:vAlign w:val="center"/>
          </w:tcPr>
          <w:p w14:paraId="22B6EFEA">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项目经理承诺</w:t>
            </w:r>
          </w:p>
        </w:tc>
        <w:tc>
          <w:tcPr>
            <w:tcW w:w="3251" w:type="pct"/>
            <w:noWrap w:val="0"/>
            <w:tcMar>
              <w:left w:w="75" w:type="dxa"/>
            </w:tcMar>
            <w:vAlign w:val="center"/>
          </w:tcPr>
          <w:p w14:paraId="528EB4A3">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符合第二章“投标人须知”第1.4.1项规定。</w:t>
            </w:r>
          </w:p>
        </w:tc>
      </w:tr>
      <w:tr w14:paraId="20A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3C08E31F">
            <w:pPr>
              <w:pStyle w:val="29"/>
              <w:rPr>
                <w:rFonts w:ascii="Times New Roman" w:hAnsi="Times New Roman"/>
                <w:color w:val="auto"/>
                <w:highlight w:val="none"/>
                <w:shd w:val="clear"/>
              </w:rPr>
            </w:pPr>
          </w:p>
        </w:tc>
        <w:tc>
          <w:tcPr>
            <w:tcW w:w="459" w:type="pct"/>
            <w:vMerge w:val="continue"/>
            <w:noWrap w:val="0"/>
            <w:vAlign w:val="center"/>
          </w:tcPr>
          <w:p w14:paraId="5995B5D2">
            <w:pPr>
              <w:pStyle w:val="29"/>
              <w:rPr>
                <w:rFonts w:ascii="Times New Roman" w:hAnsi="Times New Roman"/>
                <w:color w:val="auto"/>
                <w:highlight w:val="none"/>
                <w:shd w:val="clear"/>
              </w:rPr>
            </w:pPr>
          </w:p>
        </w:tc>
        <w:tc>
          <w:tcPr>
            <w:tcW w:w="783" w:type="pct"/>
            <w:noWrap w:val="0"/>
            <w:tcMar>
              <w:left w:w="75" w:type="dxa"/>
            </w:tcMar>
            <w:vAlign w:val="center"/>
          </w:tcPr>
          <w:p w14:paraId="68B5C485">
            <w:pPr>
              <w:pStyle w:val="29"/>
              <w:rPr>
                <w:rFonts w:ascii="Times New Roman" w:hAnsi="Times New Roman"/>
                <w:color w:val="auto"/>
                <w:highlight w:val="none"/>
                <w:shd w:val="clear"/>
              </w:rPr>
            </w:pPr>
            <w:r>
              <w:rPr>
                <w:rFonts w:hint="eastAsia" w:ascii="Times New Roman" w:hAnsi="Times New Roman"/>
                <w:color w:val="auto"/>
                <w:highlight w:val="none"/>
                <w:shd w:val="clear"/>
              </w:rPr>
              <w:t>分包计划</w:t>
            </w:r>
          </w:p>
        </w:tc>
        <w:tc>
          <w:tcPr>
            <w:tcW w:w="3251" w:type="pct"/>
            <w:noWrap w:val="0"/>
            <w:tcMar>
              <w:left w:w="75" w:type="dxa"/>
            </w:tcMar>
            <w:vAlign w:val="center"/>
          </w:tcPr>
          <w:p w14:paraId="2BEA0B1C">
            <w:pPr>
              <w:pStyle w:val="30"/>
              <w:rPr>
                <w:rFonts w:ascii="Times New Roman" w:hAnsi="Times New Roman"/>
                <w:color w:val="auto"/>
                <w:highlight w:val="none"/>
                <w:shd w:val="clear"/>
              </w:rPr>
            </w:pPr>
            <w:r>
              <w:rPr>
                <w:rFonts w:hint="eastAsia" w:ascii="Times New Roman" w:hAnsi="Times New Roman"/>
                <w:color w:val="auto"/>
                <w:highlight w:val="none"/>
                <w:shd w:val="clear"/>
              </w:rPr>
              <w:t>投标人如有分包计划，符合招标文件第二章“投标人须知”第1.11款规定，且按照招标文件第八章“投标文件格式”的要求填写了“拟分包项目情况表”。</w:t>
            </w:r>
          </w:p>
        </w:tc>
      </w:tr>
      <w:tr w14:paraId="0BC7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5" w:type="pct"/>
            <w:vMerge w:val="continue"/>
            <w:noWrap w:val="0"/>
            <w:vAlign w:val="center"/>
          </w:tcPr>
          <w:p w14:paraId="7D2DA402">
            <w:pPr>
              <w:pStyle w:val="29"/>
              <w:rPr>
                <w:rFonts w:ascii="Times New Roman" w:hAnsi="Times New Roman"/>
                <w:color w:val="auto"/>
                <w:highlight w:val="none"/>
                <w:shd w:val="clear"/>
              </w:rPr>
            </w:pPr>
          </w:p>
        </w:tc>
        <w:tc>
          <w:tcPr>
            <w:tcW w:w="459" w:type="pct"/>
            <w:vMerge w:val="continue"/>
            <w:noWrap w:val="0"/>
            <w:vAlign w:val="center"/>
          </w:tcPr>
          <w:p w14:paraId="3DE96B38">
            <w:pPr>
              <w:pStyle w:val="29"/>
              <w:rPr>
                <w:rFonts w:ascii="Times New Roman" w:hAnsi="Times New Roman"/>
                <w:color w:val="auto"/>
                <w:highlight w:val="none"/>
                <w:shd w:val="clear"/>
              </w:rPr>
            </w:pPr>
          </w:p>
        </w:tc>
        <w:tc>
          <w:tcPr>
            <w:tcW w:w="783" w:type="pct"/>
            <w:noWrap w:val="0"/>
            <w:tcMar>
              <w:left w:w="75" w:type="dxa"/>
            </w:tcMar>
            <w:vAlign w:val="center"/>
          </w:tcPr>
          <w:p w14:paraId="008E5499">
            <w:pPr>
              <w:pStyle w:val="29"/>
              <w:rPr>
                <w:rFonts w:ascii="Times New Roman" w:hAnsi="Times New Roman"/>
                <w:color w:val="auto"/>
                <w:highlight w:val="none"/>
                <w:shd w:val="clear"/>
              </w:rPr>
            </w:pPr>
            <w:r>
              <w:rPr>
                <w:rFonts w:hint="eastAsia" w:ascii="Times New Roman" w:hAnsi="Times New Roman"/>
                <w:color w:val="auto"/>
                <w:highlight w:val="none"/>
                <w:shd w:val="clear"/>
              </w:rPr>
              <w:t>其他实质性要求</w:t>
            </w:r>
          </w:p>
        </w:tc>
        <w:tc>
          <w:tcPr>
            <w:tcW w:w="3251" w:type="pct"/>
            <w:noWrap w:val="0"/>
            <w:tcMar>
              <w:left w:w="75" w:type="dxa"/>
            </w:tcMar>
            <w:vAlign w:val="center"/>
          </w:tcPr>
          <w:p w14:paraId="1858A10C">
            <w:pPr>
              <w:pStyle w:val="30"/>
              <w:rPr>
                <w:rFonts w:ascii="Times New Roman" w:hAnsi="Times New Roman"/>
                <w:color w:val="auto"/>
                <w:highlight w:val="none"/>
                <w:shd w:val="clear"/>
              </w:rPr>
            </w:pPr>
            <w:r>
              <w:rPr>
                <w:rFonts w:hint="eastAsia" w:ascii="Times New Roman" w:hAnsi="Times New Roman"/>
                <w:color w:val="auto"/>
                <w:highlight w:val="none"/>
                <w:shd w:val="clear"/>
              </w:rPr>
              <w:t>符合招标文件的其他实质性要求和条件。</w:t>
            </w:r>
          </w:p>
        </w:tc>
      </w:tr>
    </w:tbl>
    <w:p w14:paraId="58536C3F">
      <w:pPr>
        <w:widowControl/>
        <w:jc w:val="left"/>
        <w:rPr>
          <w:rFonts w:ascii="Times New Roman" w:hAnsi="Times New Roman" w:cs="宋体"/>
          <w:b/>
          <w:bCs/>
          <w:color w:val="auto"/>
          <w:sz w:val="24"/>
          <w:szCs w:val="24"/>
          <w:highlight w:val="none"/>
          <w:shd w:val="clear"/>
        </w:rPr>
      </w:pPr>
    </w:p>
    <w:p w14:paraId="187617C7">
      <w:pPr>
        <w:pStyle w:val="26"/>
        <w:jc w:val="both"/>
        <w:rPr>
          <w:rFonts w:ascii="Times New Roman" w:hAnsi="Times New Roman"/>
          <w:color w:val="auto"/>
          <w:highlight w:val="none"/>
          <w:shd w:val="clear"/>
        </w:rPr>
      </w:pPr>
      <w:bookmarkStart w:id="543" w:name="_Hlk179376391"/>
      <w:r>
        <w:rPr>
          <w:rFonts w:ascii="Times New Roman" w:hAnsi="Times New Roman"/>
          <w:color w:val="auto"/>
          <w:highlight w:val="none"/>
          <w:shd w:val="clear"/>
        </w:rPr>
        <w:t>技术文件初步评审标准</w:t>
      </w:r>
    </w:p>
    <w:tbl>
      <w:tblPr>
        <w:tblStyle w:val="12"/>
        <w:tblW w:w="878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2"/>
        <w:gridCol w:w="909"/>
        <w:gridCol w:w="1266"/>
        <w:gridCol w:w="5904"/>
      </w:tblGrid>
      <w:tr w14:paraId="0CBC09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611" w:type="dxa"/>
            <w:gridSpan w:val="2"/>
            <w:tcBorders>
              <w:top w:val="outset" w:color="auto" w:sz="6" w:space="0"/>
              <w:left w:val="outset" w:color="auto" w:sz="6" w:space="0"/>
              <w:bottom w:val="outset" w:color="auto" w:sz="6" w:space="0"/>
              <w:right w:val="single" w:color="auto" w:sz="4" w:space="0"/>
            </w:tcBorders>
            <w:noWrap w:val="0"/>
            <w:vAlign w:val="center"/>
          </w:tcPr>
          <w:p w14:paraId="7FF8CC59">
            <w:pPr>
              <w:pStyle w:val="28"/>
              <w:rPr>
                <w:rFonts w:ascii="Times New Roman" w:hAnsi="Times New Roman"/>
                <w:color w:val="auto"/>
                <w:highlight w:val="none"/>
                <w:shd w:val="clear"/>
              </w:rPr>
            </w:pPr>
            <w:r>
              <w:rPr>
                <w:rFonts w:hint="eastAsia" w:ascii="Times New Roman" w:hAnsi="Times New Roman"/>
                <w:color w:val="auto"/>
                <w:highlight w:val="none"/>
                <w:shd w:val="clear"/>
              </w:rPr>
              <w:t>条款号</w:t>
            </w:r>
          </w:p>
        </w:tc>
        <w:tc>
          <w:tcPr>
            <w:tcW w:w="1266" w:type="dxa"/>
            <w:tcBorders>
              <w:top w:val="outset" w:color="auto" w:sz="6" w:space="0"/>
              <w:left w:val="single" w:color="auto" w:sz="4" w:space="0"/>
              <w:bottom w:val="outset" w:color="auto" w:sz="6" w:space="0"/>
              <w:right w:val="single" w:color="auto" w:sz="4" w:space="0"/>
            </w:tcBorders>
            <w:noWrap w:val="0"/>
            <w:vAlign w:val="center"/>
          </w:tcPr>
          <w:p w14:paraId="5D94F6B4">
            <w:pPr>
              <w:pStyle w:val="28"/>
              <w:rPr>
                <w:rFonts w:ascii="Times New Roman" w:hAnsi="Times New Roman"/>
                <w:color w:val="auto"/>
                <w:highlight w:val="none"/>
                <w:shd w:val="clear"/>
              </w:rPr>
            </w:pPr>
            <w:r>
              <w:rPr>
                <w:rFonts w:hint="eastAsia" w:ascii="Times New Roman" w:hAnsi="Times New Roman"/>
                <w:color w:val="auto"/>
                <w:highlight w:val="none"/>
                <w:shd w:val="clear"/>
              </w:rPr>
              <w:t>评审因素</w:t>
            </w:r>
          </w:p>
        </w:tc>
        <w:tc>
          <w:tcPr>
            <w:tcW w:w="5904" w:type="dxa"/>
            <w:tcBorders>
              <w:top w:val="outset" w:color="auto" w:sz="6" w:space="0"/>
              <w:left w:val="single" w:color="auto" w:sz="4" w:space="0"/>
              <w:bottom w:val="outset" w:color="auto" w:sz="6" w:space="0"/>
              <w:right w:val="outset" w:color="auto" w:sz="6" w:space="0"/>
            </w:tcBorders>
            <w:noWrap w:val="0"/>
            <w:vAlign w:val="center"/>
          </w:tcPr>
          <w:p w14:paraId="2AE3F222">
            <w:pPr>
              <w:pStyle w:val="28"/>
              <w:rPr>
                <w:rFonts w:ascii="Times New Roman" w:hAnsi="Times New Roman"/>
                <w:color w:val="auto"/>
                <w:highlight w:val="none"/>
                <w:shd w:val="clear"/>
              </w:rPr>
            </w:pPr>
            <w:r>
              <w:rPr>
                <w:rFonts w:hint="eastAsia" w:ascii="Times New Roman" w:hAnsi="Times New Roman"/>
                <w:color w:val="auto"/>
                <w:highlight w:val="none"/>
                <w:shd w:val="clear"/>
              </w:rPr>
              <w:t>评审标准</w:t>
            </w:r>
          </w:p>
        </w:tc>
      </w:tr>
      <w:tr w14:paraId="317BF69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702" w:type="dxa"/>
            <w:vMerge w:val="restart"/>
            <w:tcBorders>
              <w:top w:val="outset" w:color="auto" w:sz="6" w:space="0"/>
              <w:left w:val="outset" w:color="auto" w:sz="6" w:space="0"/>
              <w:bottom w:val="outset" w:color="auto" w:sz="6" w:space="0"/>
              <w:right w:val="outset" w:color="auto" w:sz="6" w:space="0"/>
            </w:tcBorders>
            <w:noWrap w:val="0"/>
            <w:vAlign w:val="center"/>
          </w:tcPr>
          <w:p w14:paraId="7AEFB5DF">
            <w:pPr>
              <w:pStyle w:val="29"/>
              <w:rPr>
                <w:rFonts w:ascii="Times New Roman" w:hAnsi="Times New Roman"/>
                <w:color w:val="auto"/>
                <w:highlight w:val="none"/>
                <w:shd w:val="clear"/>
              </w:rPr>
            </w:pPr>
            <w:r>
              <w:rPr>
                <w:rFonts w:hint="eastAsia" w:ascii="Times New Roman" w:hAnsi="Times New Roman"/>
                <w:color w:val="auto"/>
                <w:highlight w:val="none"/>
                <w:shd w:val="clear"/>
              </w:rPr>
              <w:t>2.1.1</w:t>
            </w:r>
          </w:p>
        </w:tc>
        <w:tc>
          <w:tcPr>
            <w:tcW w:w="909" w:type="dxa"/>
            <w:vMerge w:val="restart"/>
            <w:tcBorders>
              <w:top w:val="outset" w:color="auto" w:sz="6" w:space="0"/>
              <w:left w:val="outset" w:color="auto" w:sz="6" w:space="0"/>
              <w:bottom w:val="outset" w:color="auto" w:sz="6" w:space="0"/>
              <w:right w:val="single" w:color="auto" w:sz="4" w:space="0"/>
            </w:tcBorders>
            <w:noWrap w:val="0"/>
            <w:vAlign w:val="center"/>
          </w:tcPr>
          <w:p w14:paraId="4941A59C">
            <w:pPr>
              <w:pStyle w:val="29"/>
              <w:rPr>
                <w:rFonts w:ascii="Times New Roman" w:hAnsi="Times New Roman"/>
                <w:color w:val="auto"/>
                <w:highlight w:val="none"/>
                <w:shd w:val="clear"/>
              </w:rPr>
            </w:pPr>
            <w:r>
              <w:rPr>
                <w:rFonts w:hint="eastAsia" w:ascii="Times New Roman" w:hAnsi="Times New Roman"/>
                <w:color w:val="auto"/>
                <w:highlight w:val="none"/>
                <w:shd w:val="clear"/>
              </w:rPr>
              <w:t>形式评审标准</w:t>
            </w:r>
          </w:p>
        </w:tc>
        <w:tc>
          <w:tcPr>
            <w:tcW w:w="1266" w:type="dxa"/>
            <w:tcBorders>
              <w:top w:val="outset" w:color="auto" w:sz="6" w:space="0"/>
              <w:left w:val="single" w:color="auto" w:sz="4" w:space="0"/>
              <w:right w:val="single" w:color="auto" w:sz="4" w:space="0"/>
            </w:tcBorders>
            <w:noWrap w:val="0"/>
            <w:tcMar>
              <w:left w:w="75" w:type="dxa"/>
            </w:tcMar>
            <w:vAlign w:val="center"/>
          </w:tcPr>
          <w:p w14:paraId="3991FEA0">
            <w:pPr>
              <w:pStyle w:val="29"/>
              <w:rPr>
                <w:rFonts w:ascii="Times New Roman" w:hAnsi="Times New Roman"/>
                <w:color w:val="auto"/>
                <w:highlight w:val="none"/>
                <w:shd w:val="clear"/>
              </w:rPr>
            </w:pPr>
            <w:r>
              <w:rPr>
                <w:rFonts w:hint="eastAsia" w:ascii="Times New Roman" w:hAnsi="Times New Roman"/>
                <w:color w:val="auto"/>
                <w:highlight w:val="none"/>
                <w:shd w:val="clear"/>
              </w:rPr>
              <w:t>投标文件</w:t>
            </w:r>
          </w:p>
          <w:p w14:paraId="442CCC4F">
            <w:pPr>
              <w:pStyle w:val="29"/>
              <w:rPr>
                <w:rFonts w:ascii="Times New Roman" w:hAnsi="Times New Roman"/>
                <w:color w:val="auto"/>
                <w:highlight w:val="none"/>
                <w:shd w:val="clear"/>
              </w:rPr>
            </w:pPr>
            <w:r>
              <w:rPr>
                <w:rFonts w:hint="eastAsia" w:ascii="Times New Roman" w:hAnsi="Times New Roman"/>
                <w:color w:val="auto"/>
                <w:highlight w:val="none"/>
                <w:shd w:val="clear"/>
              </w:rPr>
              <w:t>格式</w:t>
            </w:r>
          </w:p>
        </w:tc>
        <w:tc>
          <w:tcPr>
            <w:tcW w:w="5904" w:type="dxa"/>
            <w:tcBorders>
              <w:top w:val="outset" w:color="auto" w:sz="6" w:space="0"/>
              <w:left w:val="single" w:color="auto" w:sz="4" w:space="0"/>
              <w:right w:val="outset" w:color="auto" w:sz="6" w:space="0"/>
            </w:tcBorders>
            <w:noWrap w:val="0"/>
            <w:vAlign w:val="center"/>
          </w:tcPr>
          <w:p w14:paraId="51E71A0A">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符合第八章“投标文件格式”的规定，关键字迹清晰可辨</w:t>
            </w:r>
          </w:p>
        </w:tc>
      </w:tr>
      <w:tr w14:paraId="271571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3" w:hRule="atLeast"/>
          <w:jc w:val="center"/>
        </w:trPr>
        <w:tc>
          <w:tcPr>
            <w:tcW w:w="702" w:type="dxa"/>
            <w:vMerge w:val="continue"/>
            <w:tcBorders>
              <w:top w:val="outset" w:color="auto" w:sz="6" w:space="0"/>
              <w:left w:val="outset" w:color="auto" w:sz="6" w:space="0"/>
              <w:bottom w:val="single" w:color="auto" w:sz="4" w:space="0"/>
              <w:right w:val="outset" w:color="auto" w:sz="6" w:space="0"/>
            </w:tcBorders>
            <w:noWrap w:val="0"/>
            <w:vAlign w:val="center"/>
          </w:tcPr>
          <w:p w14:paraId="5B14B528">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single" w:color="auto" w:sz="4" w:space="0"/>
              <w:right w:val="single" w:color="auto" w:sz="4" w:space="0"/>
            </w:tcBorders>
            <w:noWrap w:val="0"/>
            <w:vAlign w:val="center"/>
          </w:tcPr>
          <w:p w14:paraId="692E9B72">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single" w:color="auto" w:sz="4" w:space="0"/>
              <w:right w:val="single" w:color="auto" w:sz="4" w:space="0"/>
            </w:tcBorders>
            <w:noWrap w:val="0"/>
            <w:tcMar>
              <w:left w:w="75" w:type="dxa"/>
            </w:tcMar>
            <w:vAlign w:val="center"/>
          </w:tcPr>
          <w:p w14:paraId="58FE05B9">
            <w:pPr>
              <w:pStyle w:val="29"/>
              <w:rPr>
                <w:rFonts w:ascii="Times New Roman" w:hAnsi="Times New Roman"/>
                <w:color w:val="auto"/>
                <w:highlight w:val="none"/>
                <w:shd w:val="clear"/>
              </w:rPr>
            </w:pPr>
            <w:r>
              <w:rPr>
                <w:rFonts w:hint="eastAsia" w:ascii="Times New Roman" w:hAnsi="Times New Roman"/>
                <w:color w:val="auto"/>
                <w:highlight w:val="none"/>
                <w:shd w:val="clear"/>
              </w:rPr>
              <w:t>备选投标方案</w:t>
            </w:r>
          </w:p>
        </w:tc>
        <w:tc>
          <w:tcPr>
            <w:tcW w:w="5904" w:type="dxa"/>
            <w:tcBorders>
              <w:top w:val="outset" w:color="auto" w:sz="6" w:space="0"/>
              <w:left w:val="single" w:color="auto" w:sz="4" w:space="0"/>
              <w:right w:val="outset" w:color="auto" w:sz="6" w:space="0"/>
            </w:tcBorders>
            <w:noWrap w:val="0"/>
            <w:vAlign w:val="center"/>
          </w:tcPr>
          <w:p w14:paraId="765C9BBA">
            <w:pPr>
              <w:pStyle w:val="30"/>
              <w:rPr>
                <w:rFonts w:ascii="Times New Roman" w:hAnsi="Times New Roman"/>
                <w:color w:val="auto"/>
                <w:highlight w:val="none"/>
                <w:shd w:val="clear"/>
              </w:rPr>
            </w:pPr>
            <w:r>
              <w:rPr>
                <w:rFonts w:hint="eastAsia" w:ascii="Times New Roman" w:hAnsi="Times New Roman"/>
                <w:color w:val="auto"/>
                <w:highlight w:val="none"/>
                <w:shd w:val="clear"/>
              </w:rPr>
              <w:t>除招标文件明确允许备选投标方案外，投标人不得提交备选投标方案</w:t>
            </w:r>
          </w:p>
        </w:tc>
      </w:tr>
      <w:tr w14:paraId="448F5CE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restart"/>
            <w:tcBorders>
              <w:top w:val="single" w:color="auto" w:sz="4" w:space="0"/>
              <w:left w:val="outset" w:color="auto" w:sz="6" w:space="0"/>
              <w:bottom w:val="outset" w:color="auto" w:sz="6" w:space="0"/>
              <w:right w:val="outset" w:color="auto" w:sz="6" w:space="0"/>
            </w:tcBorders>
            <w:noWrap w:val="0"/>
            <w:vAlign w:val="center"/>
          </w:tcPr>
          <w:p w14:paraId="4280DA46">
            <w:pPr>
              <w:pStyle w:val="29"/>
              <w:rPr>
                <w:rFonts w:ascii="Times New Roman" w:hAnsi="Times New Roman"/>
                <w:color w:val="auto"/>
                <w:highlight w:val="none"/>
                <w:shd w:val="clear"/>
              </w:rPr>
            </w:pPr>
            <w:r>
              <w:rPr>
                <w:rFonts w:hint="eastAsia" w:ascii="Times New Roman" w:hAnsi="Times New Roman"/>
                <w:color w:val="auto"/>
                <w:highlight w:val="none"/>
                <w:shd w:val="clear"/>
              </w:rPr>
              <w:t>2.1.3</w:t>
            </w:r>
          </w:p>
        </w:tc>
        <w:tc>
          <w:tcPr>
            <w:tcW w:w="909" w:type="dxa"/>
            <w:vMerge w:val="restart"/>
            <w:tcBorders>
              <w:top w:val="single" w:color="auto" w:sz="4" w:space="0"/>
              <w:left w:val="outset" w:color="auto" w:sz="6" w:space="0"/>
              <w:bottom w:val="outset" w:color="auto" w:sz="6" w:space="0"/>
              <w:right w:val="single" w:color="auto" w:sz="4" w:space="0"/>
            </w:tcBorders>
            <w:noWrap w:val="0"/>
            <w:vAlign w:val="center"/>
          </w:tcPr>
          <w:p w14:paraId="34A1F232">
            <w:pPr>
              <w:pStyle w:val="29"/>
              <w:rPr>
                <w:rFonts w:ascii="Times New Roman" w:hAnsi="Times New Roman"/>
                <w:color w:val="auto"/>
                <w:highlight w:val="none"/>
                <w:shd w:val="clear"/>
              </w:rPr>
            </w:pPr>
            <w:r>
              <w:rPr>
                <w:rFonts w:hint="eastAsia" w:ascii="Times New Roman" w:hAnsi="Times New Roman"/>
                <w:color w:val="auto"/>
                <w:highlight w:val="none"/>
                <w:shd w:val="clear"/>
              </w:rPr>
              <w:t>响应性评审标准</w:t>
            </w:r>
          </w:p>
        </w:tc>
        <w:tc>
          <w:tcPr>
            <w:tcW w:w="1266" w:type="dxa"/>
            <w:tcBorders>
              <w:top w:val="single" w:color="auto" w:sz="4" w:space="0"/>
              <w:left w:val="single" w:color="auto" w:sz="4" w:space="0"/>
              <w:right w:val="single" w:color="auto" w:sz="4" w:space="0"/>
            </w:tcBorders>
            <w:noWrap w:val="0"/>
            <w:tcMar>
              <w:left w:w="75" w:type="dxa"/>
            </w:tcMar>
            <w:vAlign w:val="center"/>
          </w:tcPr>
          <w:p w14:paraId="174DEC5C">
            <w:pPr>
              <w:pStyle w:val="29"/>
              <w:rPr>
                <w:rFonts w:ascii="Times New Roman" w:hAnsi="Times New Roman"/>
                <w:color w:val="auto"/>
                <w:highlight w:val="none"/>
                <w:shd w:val="clear"/>
              </w:rPr>
            </w:pPr>
            <w:r>
              <w:rPr>
                <w:rFonts w:hint="eastAsia" w:ascii="Times New Roman" w:hAnsi="Times New Roman"/>
                <w:color w:val="auto"/>
                <w:highlight w:val="none"/>
                <w:shd w:val="clear"/>
              </w:rPr>
              <w:t>投标内容</w:t>
            </w:r>
          </w:p>
        </w:tc>
        <w:tc>
          <w:tcPr>
            <w:tcW w:w="5904" w:type="dxa"/>
            <w:tcBorders>
              <w:top w:val="outset" w:color="auto" w:sz="6" w:space="0"/>
              <w:left w:val="single" w:color="auto" w:sz="4" w:space="0"/>
              <w:right w:val="outset" w:color="auto" w:sz="6" w:space="0"/>
            </w:tcBorders>
            <w:noWrap w:val="0"/>
            <w:vAlign w:val="center"/>
          </w:tcPr>
          <w:p w14:paraId="48809825">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符合第二章“投标人须知”第1.3.1项规定</w:t>
            </w:r>
          </w:p>
        </w:tc>
      </w:tr>
      <w:tr w14:paraId="2FF77D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continue"/>
            <w:tcBorders>
              <w:top w:val="single" w:color="auto" w:sz="4" w:space="0"/>
              <w:left w:val="outset" w:color="auto" w:sz="6" w:space="0"/>
              <w:bottom w:val="outset" w:color="auto" w:sz="6" w:space="0"/>
              <w:right w:val="outset" w:color="auto" w:sz="6" w:space="0"/>
            </w:tcBorders>
            <w:noWrap w:val="0"/>
            <w:vAlign w:val="center"/>
          </w:tcPr>
          <w:p w14:paraId="5A1AB5FD">
            <w:pPr>
              <w:pStyle w:val="29"/>
              <w:rPr>
                <w:rFonts w:ascii="Times New Roman" w:hAnsi="Times New Roman"/>
                <w:color w:val="auto"/>
                <w:highlight w:val="none"/>
                <w:shd w:val="clear"/>
              </w:rPr>
            </w:pPr>
          </w:p>
        </w:tc>
        <w:tc>
          <w:tcPr>
            <w:tcW w:w="909" w:type="dxa"/>
            <w:vMerge w:val="continue"/>
            <w:tcBorders>
              <w:top w:val="single" w:color="auto" w:sz="4" w:space="0"/>
              <w:left w:val="outset" w:color="auto" w:sz="6" w:space="0"/>
              <w:bottom w:val="outset" w:color="auto" w:sz="6" w:space="0"/>
              <w:right w:val="single" w:color="auto" w:sz="4" w:space="0"/>
            </w:tcBorders>
            <w:noWrap w:val="0"/>
            <w:vAlign w:val="center"/>
          </w:tcPr>
          <w:p w14:paraId="72854B01">
            <w:pPr>
              <w:pStyle w:val="29"/>
              <w:rPr>
                <w:rFonts w:ascii="Times New Roman" w:hAnsi="Times New Roman"/>
                <w:color w:val="auto"/>
                <w:highlight w:val="none"/>
                <w:shd w:val="clear"/>
              </w:rPr>
            </w:pPr>
          </w:p>
        </w:tc>
        <w:tc>
          <w:tcPr>
            <w:tcW w:w="1266" w:type="dxa"/>
            <w:tcBorders>
              <w:top w:val="single" w:color="auto" w:sz="4" w:space="0"/>
              <w:left w:val="single" w:color="auto" w:sz="4" w:space="0"/>
              <w:right w:val="single" w:color="auto" w:sz="4" w:space="0"/>
            </w:tcBorders>
            <w:noWrap w:val="0"/>
            <w:tcMar>
              <w:left w:w="75" w:type="dxa"/>
            </w:tcMar>
            <w:vAlign w:val="center"/>
          </w:tcPr>
          <w:p w14:paraId="586F47D5">
            <w:pPr>
              <w:pStyle w:val="29"/>
              <w:rPr>
                <w:rFonts w:ascii="Times New Roman" w:hAnsi="Times New Roman"/>
                <w:color w:val="auto"/>
                <w:highlight w:val="none"/>
                <w:shd w:val="clear"/>
              </w:rPr>
            </w:pPr>
            <w:r>
              <w:rPr>
                <w:rFonts w:hint="eastAsia" w:ascii="Times New Roman" w:hAnsi="Times New Roman"/>
                <w:color w:val="auto"/>
                <w:highlight w:val="none"/>
                <w:shd w:val="clear"/>
              </w:rPr>
              <w:t>偏差</w:t>
            </w:r>
          </w:p>
        </w:tc>
        <w:tc>
          <w:tcPr>
            <w:tcW w:w="5904" w:type="dxa"/>
            <w:tcBorders>
              <w:top w:val="outset" w:color="auto" w:sz="6" w:space="0"/>
              <w:left w:val="single" w:color="auto" w:sz="4" w:space="0"/>
              <w:right w:val="outset" w:color="auto" w:sz="6" w:space="0"/>
            </w:tcBorders>
            <w:noWrap w:val="0"/>
            <w:vAlign w:val="center"/>
          </w:tcPr>
          <w:p w14:paraId="15465084">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符合第二章“投标人须知”第1.12.1项规定，投标文件中没有招标人不能接受的条件</w:t>
            </w:r>
          </w:p>
        </w:tc>
      </w:tr>
      <w:tr w14:paraId="5A1BB3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4B0FEA6C">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7128299D">
            <w:pPr>
              <w:pStyle w:val="29"/>
              <w:rPr>
                <w:rFonts w:ascii="Times New Roman" w:hAnsi="Times New Roman"/>
                <w:color w:val="auto"/>
                <w:highlight w:val="none"/>
                <w:shd w:val="clear"/>
              </w:rPr>
            </w:pPr>
          </w:p>
        </w:tc>
        <w:tc>
          <w:tcPr>
            <w:tcW w:w="1266" w:type="dxa"/>
            <w:tcBorders>
              <w:top w:val="outset" w:color="auto" w:sz="6" w:space="0"/>
              <w:left w:val="single" w:color="auto" w:sz="4" w:space="0"/>
              <w:right w:val="single" w:color="auto" w:sz="4" w:space="0"/>
            </w:tcBorders>
            <w:noWrap w:val="0"/>
            <w:tcMar>
              <w:left w:w="75" w:type="dxa"/>
            </w:tcMar>
            <w:vAlign w:val="center"/>
          </w:tcPr>
          <w:p w14:paraId="685741C3">
            <w:pPr>
              <w:pStyle w:val="29"/>
              <w:rPr>
                <w:rFonts w:ascii="Times New Roman" w:hAnsi="Times New Roman"/>
                <w:color w:val="auto"/>
                <w:highlight w:val="none"/>
                <w:shd w:val="clear"/>
              </w:rPr>
            </w:pPr>
            <w:r>
              <w:rPr>
                <w:rFonts w:hint="eastAsia" w:ascii="Times New Roman" w:hAnsi="Times New Roman"/>
                <w:color w:val="auto"/>
                <w:highlight w:val="none"/>
                <w:shd w:val="clear"/>
              </w:rPr>
              <w:t>其他实质</w:t>
            </w:r>
          </w:p>
          <w:p w14:paraId="716F2B63">
            <w:pPr>
              <w:pStyle w:val="29"/>
              <w:rPr>
                <w:rFonts w:ascii="Times New Roman" w:hAnsi="Times New Roman"/>
                <w:color w:val="auto"/>
                <w:highlight w:val="none"/>
                <w:shd w:val="clear"/>
              </w:rPr>
            </w:pPr>
            <w:r>
              <w:rPr>
                <w:rFonts w:hint="eastAsia" w:ascii="Times New Roman" w:hAnsi="Times New Roman"/>
                <w:color w:val="auto"/>
                <w:highlight w:val="none"/>
                <w:shd w:val="clear"/>
              </w:rPr>
              <w:t>性要求</w:t>
            </w:r>
          </w:p>
        </w:tc>
        <w:tc>
          <w:tcPr>
            <w:tcW w:w="5904" w:type="dxa"/>
            <w:tcBorders>
              <w:top w:val="outset" w:color="auto" w:sz="6" w:space="0"/>
              <w:left w:val="single" w:color="auto" w:sz="4" w:space="0"/>
              <w:right w:val="outset" w:color="auto" w:sz="6" w:space="0"/>
            </w:tcBorders>
            <w:noWrap w:val="0"/>
            <w:vAlign w:val="center"/>
          </w:tcPr>
          <w:p w14:paraId="797FCACB">
            <w:pPr>
              <w:pStyle w:val="30"/>
              <w:rPr>
                <w:rFonts w:ascii="Times New Roman" w:hAnsi="Times New Roman"/>
                <w:color w:val="auto"/>
                <w:highlight w:val="none"/>
                <w:shd w:val="clear"/>
              </w:rPr>
            </w:pPr>
            <w:r>
              <w:rPr>
                <w:rFonts w:hint="eastAsia" w:ascii="Times New Roman" w:hAnsi="Times New Roman"/>
                <w:color w:val="auto"/>
                <w:highlight w:val="none"/>
                <w:shd w:val="clear"/>
              </w:rPr>
              <w:t>符合招标文件的其他实质性要求和条件</w:t>
            </w:r>
          </w:p>
        </w:tc>
      </w:tr>
      <w:tr w14:paraId="7007C8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702" w:type="dxa"/>
            <w:vMerge w:val="restart"/>
            <w:tcBorders>
              <w:top w:val="single" w:color="auto" w:sz="4" w:space="0"/>
              <w:left w:val="outset" w:color="auto" w:sz="6" w:space="0"/>
              <w:bottom w:val="outset" w:color="auto" w:sz="6" w:space="0"/>
              <w:right w:val="outset" w:color="auto" w:sz="6" w:space="0"/>
            </w:tcBorders>
            <w:noWrap w:val="0"/>
            <w:vAlign w:val="center"/>
          </w:tcPr>
          <w:p w14:paraId="3DE08E57">
            <w:pPr>
              <w:pStyle w:val="29"/>
              <w:rPr>
                <w:rFonts w:ascii="Times New Roman" w:hAnsi="Times New Roman"/>
                <w:color w:val="auto"/>
                <w:highlight w:val="none"/>
                <w:shd w:val="clear"/>
              </w:rPr>
            </w:pPr>
            <w:r>
              <w:rPr>
                <w:rFonts w:hint="eastAsia" w:ascii="Times New Roman" w:hAnsi="Times New Roman"/>
                <w:color w:val="auto"/>
                <w:highlight w:val="none"/>
                <w:shd w:val="clear"/>
              </w:rPr>
              <w:t>2.1.4</w:t>
            </w:r>
          </w:p>
        </w:tc>
        <w:tc>
          <w:tcPr>
            <w:tcW w:w="909" w:type="dxa"/>
            <w:vMerge w:val="restart"/>
            <w:tcBorders>
              <w:top w:val="single" w:color="auto" w:sz="4" w:space="0"/>
              <w:left w:val="outset" w:color="auto" w:sz="6" w:space="0"/>
              <w:bottom w:val="outset" w:color="auto" w:sz="6" w:space="0"/>
              <w:right w:val="single" w:color="auto" w:sz="4" w:space="0"/>
            </w:tcBorders>
            <w:noWrap w:val="0"/>
            <w:vAlign w:val="center"/>
          </w:tcPr>
          <w:p w14:paraId="27023CC5">
            <w:pPr>
              <w:pStyle w:val="29"/>
              <w:rPr>
                <w:rFonts w:ascii="Times New Roman" w:hAnsi="Times New Roman"/>
                <w:color w:val="auto"/>
                <w:highlight w:val="none"/>
                <w:shd w:val="clear"/>
              </w:rPr>
            </w:pPr>
            <w:r>
              <w:rPr>
                <w:rFonts w:hint="eastAsia" w:ascii="Times New Roman" w:hAnsi="Times New Roman"/>
                <w:color w:val="auto"/>
                <w:highlight w:val="none"/>
                <w:shd w:val="clear"/>
              </w:rPr>
              <w:t>施工组织设计评审标准</w:t>
            </w:r>
          </w:p>
        </w:tc>
        <w:tc>
          <w:tcPr>
            <w:tcW w:w="1266" w:type="dxa"/>
            <w:tcBorders>
              <w:top w:val="outset" w:color="auto" w:sz="6" w:space="0"/>
              <w:left w:val="single" w:color="auto" w:sz="4" w:space="0"/>
              <w:right w:val="single" w:color="auto" w:sz="4" w:space="0"/>
            </w:tcBorders>
            <w:noWrap w:val="0"/>
            <w:tcMar>
              <w:left w:w="75" w:type="dxa"/>
            </w:tcMar>
            <w:vAlign w:val="center"/>
          </w:tcPr>
          <w:p w14:paraId="0CF549B9">
            <w:pPr>
              <w:pStyle w:val="29"/>
              <w:rPr>
                <w:rFonts w:ascii="Times New Roman" w:hAnsi="Times New Roman"/>
                <w:color w:val="auto"/>
                <w:highlight w:val="none"/>
                <w:shd w:val="clear"/>
              </w:rPr>
            </w:pPr>
            <w:r>
              <w:rPr>
                <w:rFonts w:hint="eastAsia" w:ascii="Times New Roman" w:hAnsi="Times New Roman"/>
                <w:color w:val="auto"/>
                <w:highlight w:val="none"/>
                <w:shd w:val="clear"/>
              </w:rPr>
              <w:t>主要施工方案与技术措施</w:t>
            </w:r>
          </w:p>
        </w:tc>
        <w:tc>
          <w:tcPr>
            <w:tcW w:w="5904" w:type="dxa"/>
            <w:tcBorders>
              <w:top w:val="outset" w:color="auto" w:sz="6" w:space="0"/>
              <w:left w:val="single" w:color="auto" w:sz="4" w:space="0"/>
              <w:right w:val="outset" w:color="auto" w:sz="6" w:space="0"/>
            </w:tcBorders>
            <w:noWrap w:val="0"/>
            <w:tcMar>
              <w:left w:w="75" w:type="dxa"/>
            </w:tcMar>
            <w:vAlign w:val="center"/>
          </w:tcPr>
          <w:p w14:paraId="73F31040">
            <w:pPr>
              <w:pStyle w:val="30"/>
              <w:rPr>
                <w:rFonts w:ascii="Times New Roman" w:hAnsi="Times New Roman"/>
                <w:color w:val="auto"/>
                <w:highlight w:val="none"/>
                <w:shd w:val="clear"/>
              </w:rPr>
            </w:pPr>
            <w:r>
              <w:rPr>
                <w:rFonts w:hint="eastAsia" w:ascii="Times New Roman" w:hAnsi="Times New Roman"/>
                <w:color w:val="auto"/>
                <w:highlight w:val="none"/>
                <w:shd w:val="clear"/>
              </w:rPr>
              <w:t>各主要分部施工方法符合项目实际，须有详尽的施工方案与技术措施，工艺先进、方法科学合理、可行，能指导具体施工并确保安全。</w:t>
            </w:r>
          </w:p>
        </w:tc>
      </w:tr>
      <w:tr w14:paraId="1EC7C50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23992C48">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14C51338">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0A846C08">
            <w:pPr>
              <w:pStyle w:val="29"/>
              <w:rPr>
                <w:rFonts w:ascii="Times New Roman" w:hAnsi="Times New Roman"/>
                <w:color w:val="auto"/>
                <w:highlight w:val="none"/>
                <w:shd w:val="clear"/>
              </w:rPr>
            </w:pPr>
            <w:r>
              <w:rPr>
                <w:rFonts w:hint="eastAsia" w:ascii="Times New Roman" w:hAnsi="Times New Roman"/>
                <w:color w:val="auto"/>
                <w:highlight w:val="none"/>
                <w:shd w:val="clear"/>
              </w:rPr>
              <w:t>主要施工机械、设备进场计划</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508AA0E">
            <w:pPr>
              <w:pStyle w:val="30"/>
              <w:rPr>
                <w:rFonts w:ascii="Times New Roman" w:hAnsi="Times New Roman"/>
                <w:color w:val="auto"/>
                <w:highlight w:val="none"/>
                <w:shd w:val="clear"/>
              </w:rPr>
            </w:pPr>
            <w:r>
              <w:rPr>
                <w:rFonts w:hint="eastAsia" w:ascii="Times New Roman" w:hAnsi="Times New Roman"/>
                <w:color w:val="auto"/>
                <w:highlight w:val="none"/>
                <w:shd w:val="clear"/>
              </w:rPr>
              <w:t>投入的施工机械、设备、机具有详细计划且计划周密，设备数量、选型配置、进场数量、时间安排合理，满足施工需要。</w:t>
            </w:r>
          </w:p>
        </w:tc>
      </w:tr>
      <w:tr w14:paraId="2778683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61DC6CF8">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76366C8F">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37BEBB3F">
            <w:pPr>
              <w:pStyle w:val="29"/>
              <w:rPr>
                <w:rFonts w:ascii="Times New Roman" w:hAnsi="Times New Roman"/>
                <w:color w:val="auto"/>
                <w:highlight w:val="none"/>
                <w:shd w:val="clear"/>
              </w:rPr>
            </w:pPr>
            <w:r>
              <w:rPr>
                <w:rFonts w:hint="eastAsia" w:ascii="Times New Roman" w:hAnsi="Times New Roman"/>
                <w:color w:val="auto"/>
                <w:highlight w:val="none"/>
                <w:shd w:val="clear"/>
              </w:rPr>
              <w:t>劳动力安排计划</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8C55F86">
            <w:pPr>
              <w:pStyle w:val="30"/>
              <w:rPr>
                <w:rFonts w:ascii="Times New Roman" w:hAnsi="Times New Roman"/>
                <w:color w:val="auto"/>
                <w:highlight w:val="none"/>
                <w:shd w:val="clear"/>
              </w:rPr>
            </w:pPr>
            <w:r>
              <w:rPr>
                <w:rFonts w:hint="eastAsia" w:ascii="Times New Roman" w:hAnsi="Times New Roman"/>
                <w:color w:val="auto"/>
                <w:highlight w:val="none"/>
                <w:shd w:val="clear"/>
              </w:rPr>
              <w:t>各主要施工工序应有详细周密的劳动力安排计划明细，有各工种劳动力安排计划，劳动力投入经济合理，满足施工需要。</w:t>
            </w:r>
          </w:p>
        </w:tc>
      </w:tr>
      <w:tr w14:paraId="507FED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05DAA575">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03A0B4D4">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3EB894F8">
            <w:pPr>
              <w:pStyle w:val="29"/>
              <w:rPr>
                <w:rFonts w:ascii="Times New Roman" w:hAnsi="Times New Roman"/>
                <w:color w:val="auto"/>
                <w:highlight w:val="none"/>
                <w:shd w:val="clear"/>
              </w:rPr>
            </w:pPr>
            <w:r>
              <w:rPr>
                <w:rFonts w:hint="eastAsia" w:ascii="Times New Roman" w:hAnsi="Times New Roman"/>
                <w:color w:val="auto"/>
                <w:highlight w:val="none"/>
                <w:shd w:val="clear"/>
              </w:rPr>
              <w:t>确保工程质量的管理体系与措施</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D40AFFC">
            <w:pPr>
              <w:pStyle w:val="30"/>
              <w:rPr>
                <w:rFonts w:ascii="Times New Roman" w:hAnsi="Times New Roman"/>
                <w:color w:val="auto"/>
                <w:highlight w:val="none"/>
                <w:shd w:val="clear"/>
              </w:rPr>
            </w:pPr>
            <w:r>
              <w:rPr>
                <w:rFonts w:hint="eastAsia" w:ascii="Times New Roman" w:hAnsi="Times New Roman"/>
                <w:color w:val="auto"/>
                <w:highlight w:val="none"/>
                <w:shd w:val="clear"/>
              </w:rPr>
              <w:t>施工项目应有专门的质量技术管理班子和制度，且人员配备合理，制度健全。主要工序应有质量技术保证措施和手段，自控体系完整，能有效保证技术质量，达到承诺的质量标准。</w:t>
            </w:r>
          </w:p>
        </w:tc>
      </w:tr>
      <w:tr w14:paraId="6601854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53600618">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36AB80DA">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70CFE749">
            <w:pPr>
              <w:pStyle w:val="29"/>
              <w:rPr>
                <w:rFonts w:ascii="Times New Roman" w:hAnsi="Times New Roman"/>
                <w:color w:val="auto"/>
                <w:highlight w:val="none"/>
                <w:shd w:val="clear"/>
              </w:rPr>
            </w:pPr>
            <w:r>
              <w:rPr>
                <w:rFonts w:hint="eastAsia" w:ascii="Times New Roman" w:hAnsi="Times New Roman"/>
                <w:color w:val="auto"/>
                <w:highlight w:val="none"/>
                <w:shd w:val="clear"/>
              </w:rPr>
              <w:t>确保安全生产的管理体系与措施</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72294A0">
            <w:pPr>
              <w:pStyle w:val="30"/>
              <w:rPr>
                <w:rFonts w:ascii="Times New Roman" w:hAnsi="Times New Roman"/>
                <w:color w:val="auto"/>
                <w:highlight w:val="none"/>
                <w:shd w:val="clear"/>
              </w:rPr>
            </w:pPr>
            <w:r>
              <w:rPr>
                <w:rFonts w:hint="eastAsia" w:ascii="Times New Roman" w:hAnsi="Times New Roman"/>
                <w:color w:val="auto"/>
                <w:highlight w:val="none"/>
                <w:shd w:val="clear"/>
              </w:rPr>
              <w:t>施工项目应有专门的安全管理人员和制度，且人员配备合理，制度健全，各道工序安全技术措施针对性强，符合实际且满足有关安全技术标准要求。现场防火、社会治安安全措施得力。</w:t>
            </w:r>
          </w:p>
        </w:tc>
      </w:tr>
      <w:tr w14:paraId="7051D42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79EF9FC8">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1B985FE4">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63980A50">
            <w:pPr>
              <w:pStyle w:val="29"/>
              <w:rPr>
                <w:rFonts w:ascii="Times New Roman" w:hAnsi="Times New Roman"/>
                <w:color w:val="auto"/>
                <w:highlight w:val="none"/>
                <w:shd w:val="clear"/>
              </w:rPr>
            </w:pPr>
            <w:r>
              <w:rPr>
                <w:rFonts w:hint="eastAsia" w:ascii="Times New Roman" w:hAnsi="Times New Roman"/>
                <w:color w:val="auto"/>
                <w:highlight w:val="none"/>
                <w:shd w:val="clear"/>
              </w:rPr>
              <w:t>工程进度计划与措施及施工网络图</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C3D4983">
            <w:pPr>
              <w:pStyle w:val="30"/>
              <w:rPr>
                <w:rFonts w:ascii="Times New Roman" w:hAnsi="Times New Roman"/>
                <w:color w:val="auto"/>
                <w:highlight w:val="none"/>
                <w:shd w:val="clear"/>
              </w:rPr>
            </w:pPr>
            <w:r>
              <w:rPr>
                <w:rFonts w:hint="eastAsia" w:ascii="Times New Roman" w:hAnsi="Times New Roman"/>
                <w:color w:val="auto"/>
                <w:highlight w:val="none"/>
                <w:shd w:val="cle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07A2B99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13D7FE35">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4A047B70">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54C2A90F">
            <w:pPr>
              <w:pStyle w:val="29"/>
              <w:rPr>
                <w:rFonts w:ascii="Times New Roman" w:hAnsi="Times New Roman"/>
                <w:color w:val="auto"/>
                <w:highlight w:val="none"/>
                <w:shd w:val="clear"/>
              </w:rPr>
            </w:pPr>
            <w:r>
              <w:rPr>
                <w:rFonts w:hint="eastAsia" w:ascii="Times New Roman" w:hAnsi="Times New Roman"/>
                <w:color w:val="auto"/>
                <w:highlight w:val="none"/>
                <w:shd w:val="clear"/>
              </w:rPr>
              <w:t>确保文明施工的管理体系与措施</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FE8955D">
            <w:pPr>
              <w:pStyle w:val="30"/>
              <w:rPr>
                <w:rFonts w:ascii="Times New Roman" w:hAnsi="Times New Roman"/>
                <w:color w:val="auto"/>
                <w:highlight w:val="none"/>
                <w:shd w:val="clear"/>
              </w:rPr>
            </w:pPr>
            <w:r>
              <w:rPr>
                <w:rFonts w:hint="eastAsia" w:ascii="Times New Roman" w:hAnsi="Times New Roman"/>
                <w:color w:val="auto"/>
                <w:highlight w:val="none"/>
                <w:shd w:val="clear"/>
              </w:rPr>
              <w:t>针对本工程项目特点，应有现场文明施工计划，环境保护措施，且计划措施内容应达到“安全文明示范工地”标准。各项措施周全、具体、有效。有具体实现现场文明施工目标的承诺。</w:t>
            </w:r>
          </w:p>
        </w:tc>
      </w:tr>
      <w:tr w14:paraId="60560CE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51D12259">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07FB2FA6">
            <w:pPr>
              <w:pStyle w:val="29"/>
              <w:rPr>
                <w:rFonts w:ascii="Times New Roman" w:hAnsi="Times New Roman"/>
                <w:color w:val="auto"/>
                <w:highlight w:val="none"/>
                <w:shd w:val="clear"/>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0D72653F">
            <w:pPr>
              <w:pStyle w:val="29"/>
              <w:rPr>
                <w:rFonts w:ascii="Times New Roman" w:hAnsi="Times New Roman"/>
                <w:color w:val="auto"/>
                <w:highlight w:val="none"/>
                <w:shd w:val="clear"/>
              </w:rPr>
            </w:pPr>
            <w:r>
              <w:rPr>
                <w:rFonts w:hint="eastAsia" w:ascii="Times New Roman" w:hAnsi="Times New Roman"/>
                <w:color w:val="auto"/>
                <w:highlight w:val="none"/>
                <w:shd w:val="clear"/>
              </w:rPr>
              <w:t>总体筹划与总平面布置</w:t>
            </w:r>
          </w:p>
        </w:tc>
        <w:tc>
          <w:tcPr>
            <w:tcW w:w="59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4C1A618">
            <w:pPr>
              <w:pStyle w:val="30"/>
              <w:rPr>
                <w:rFonts w:ascii="Times New Roman" w:hAnsi="Times New Roman"/>
                <w:color w:val="auto"/>
                <w:highlight w:val="none"/>
                <w:shd w:val="clear"/>
              </w:rPr>
            </w:pPr>
            <w:r>
              <w:rPr>
                <w:rFonts w:hint="eastAsia" w:ascii="Times New Roman" w:hAnsi="Times New Roman"/>
                <w:color w:val="auto"/>
                <w:highlight w:val="none"/>
                <w:shd w:val="clear"/>
              </w:rPr>
              <w:t>应有施工总平面布置图，安排科学合理，符合本项目施工实际要求。</w:t>
            </w:r>
          </w:p>
        </w:tc>
      </w:tr>
      <w:tr w14:paraId="7A92E9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2" w:hRule="atLeast"/>
          <w:jc w:val="center"/>
        </w:trPr>
        <w:tc>
          <w:tcPr>
            <w:tcW w:w="702" w:type="dxa"/>
            <w:vMerge w:val="continue"/>
            <w:tcBorders>
              <w:top w:val="outset" w:color="auto" w:sz="6" w:space="0"/>
              <w:left w:val="outset" w:color="auto" w:sz="6" w:space="0"/>
              <w:bottom w:val="outset" w:color="auto" w:sz="6" w:space="0"/>
              <w:right w:val="outset" w:color="auto" w:sz="6" w:space="0"/>
            </w:tcBorders>
            <w:noWrap w:val="0"/>
            <w:vAlign w:val="center"/>
          </w:tcPr>
          <w:p w14:paraId="711AE451">
            <w:pPr>
              <w:pStyle w:val="29"/>
              <w:rPr>
                <w:rFonts w:ascii="Times New Roman" w:hAnsi="Times New Roman"/>
                <w:color w:val="auto"/>
                <w:highlight w:val="none"/>
                <w:shd w:val="clear"/>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14:paraId="22968053">
            <w:pPr>
              <w:pStyle w:val="29"/>
              <w:rPr>
                <w:rFonts w:ascii="Times New Roman" w:hAnsi="Times New Roman"/>
                <w:color w:val="auto"/>
                <w:highlight w:val="none"/>
                <w:shd w:val="clear"/>
              </w:rPr>
            </w:pPr>
          </w:p>
        </w:tc>
        <w:tc>
          <w:tcPr>
            <w:tcW w:w="7170" w:type="dxa"/>
            <w:gridSpan w:val="2"/>
            <w:tcBorders>
              <w:top w:val="outset" w:color="auto" w:sz="6" w:space="0"/>
              <w:left w:val="single" w:color="auto" w:sz="4" w:space="0"/>
              <w:bottom w:val="outset" w:color="auto" w:sz="6" w:space="0"/>
              <w:right w:val="outset" w:color="auto" w:sz="6" w:space="0"/>
            </w:tcBorders>
            <w:noWrap w:val="0"/>
            <w:tcMar>
              <w:left w:w="75" w:type="dxa"/>
            </w:tcMar>
            <w:vAlign w:val="center"/>
          </w:tcPr>
          <w:p w14:paraId="0D31F5A0">
            <w:pPr>
              <w:pStyle w:val="30"/>
              <w:rPr>
                <w:rFonts w:ascii="Times New Roman" w:hAnsi="Times New Roman"/>
                <w:color w:val="auto"/>
                <w:highlight w:val="none"/>
                <w:shd w:val="clear"/>
              </w:rPr>
            </w:pPr>
            <w:r>
              <w:rPr>
                <w:rFonts w:hint="eastAsia" w:ascii="Times New Roman" w:hAnsi="Times New Roman"/>
                <w:color w:val="auto"/>
                <w:highlight w:val="none"/>
                <w:shd w:val="clear"/>
              </w:rPr>
              <w:t>以上评审因素中必须全部通过，技术文件方为通过。</w:t>
            </w:r>
          </w:p>
        </w:tc>
      </w:tr>
      <w:bookmarkEnd w:id="543"/>
    </w:tbl>
    <w:p w14:paraId="36F22032">
      <w:pPr>
        <w:rPr>
          <w:rFonts w:ascii="Times New Roman" w:hAnsi="Times New Roman"/>
          <w:color w:val="auto"/>
          <w:highlight w:val="none"/>
          <w:shd w:val="clear"/>
        </w:rPr>
      </w:pPr>
    </w:p>
    <w:p w14:paraId="4E5A90A9">
      <w:pPr>
        <w:pStyle w:val="26"/>
        <w:jc w:val="both"/>
        <w:rPr>
          <w:rFonts w:ascii="Times New Roman" w:hAnsi="Times New Roman"/>
          <w:color w:val="auto"/>
          <w:highlight w:val="none"/>
          <w:shd w:val="clear"/>
        </w:rPr>
      </w:pPr>
      <w:r>
        <w:rPr>
          <w:rFonts w:hint="eastAsia" w:ascii="Times New Roman" w:hAnsi="Times New Roman"/>
          <w:color w:val="auto"/>
          <w:highlight w:val="none"/>
          <w:shd w:val="clear"/>
        </w:rPr>
        <w:t>报价文件初步评审标准</w:t>
      </w:r>
      <w:bookmarkEnd w:id="538"/>
      <w:bookmarkEnd w:id="539"/>
      <w:bookmarkEnd w:id="540"/>
      <w:bookmarkEnd w:id="541"/>
      <w:bookmarkEnd w:id="542"/>
    </w:p>
    <w:tbl>
      <w:tblPr>
        <w:tblStyle w:val="1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993"/>
        <w:gridCol w:w="1968"/>
        <w:gridCol w:w="5245"/>
      </w:tblGrid>
      <w:tr w14:paraId="6631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Header/>
          <w:jc w:val="center"/>
        </w:trPr>
        <w:tc>
          <w:tcPr>
            <w:tcW w:w="1560" w:type="dxa"/>
            <w:gridSpan w:val="2"/>
            <w:noWrap w:val="0"/>
            <w:vAlign w:val="center"/>
          </w:tcPr>
          <w:p w14:paraId="02A0DF65">
            <w:pPr>
              <w:pStyle w:val="28"/>
              <w:rPr>
                <w:rFonts w:ascii="Times New Roman" w:hAnsi="Times New Roman"/>
                <w:color w:val="auto"/>
                <w:highlight w:val="none"/>
                <w:shd w:val="clear"/>
              </w:rPr>
            </w:pPr>
            <w:bookmarkStart w:id="544" w:name="_Hlk170119065"/>
            <w:r>
              <w:rPr>
                <w:rFonts w:hint="eastAsia" w:ascii="Times New Roman" w:hAnsi="Times New Roman"/>
                <w:color w:val="auto"/>
                <w:highlight w:val="none"/>
                <w:shd w:val="clear"/>
              </w:rPr>
              <w:t>条款号</w:t>
            </w:r>
          </w:p>
        </w:tc>
        <w:tc>
          <w:tcPr>
            <w:tcW w:w="1968" w:type="dxa"/>
            <w:noWrap w:val="0"/>
            <w:vAlign w:val="center"/>
          </w:tcPr>
          <w:p w14:paraId="6613A8AD">
            <w:pPr>
              <w:pStyle w:val="28"/>
              <w:rPr>
                <w:rFonts w:ascii="Times New Roman" w:hAnsi="Times New Roman"/>
                <w:color w:val="auto"/>
                <w:highlight w:val="none"/>
                <w:shd w:val="clear"/>
              </w:rPr>
            </w:pPr>
            <w:r>
              <w:rPr>
                <w:rFonts w:hint="eastAsia" w:ascii="Times New Roman" w:hAnsi="Times New Roman"/>
                <w:color w:val="auto"/>
                <w:highlight w:val="none"/>
                <w:shd w:val="clear"/>
              </w:rPr>
              <w:t>评审因素</w:t>
            </w:r>
          </w:p>
        </w:tc>
        <w:tc>
          <w:tcPr>
            <w:tcW w:w="5245" w:type="dxa"/>
            <w:noWrap w:val="0"/>
            <w:vAlign w:val="center"/>
          </w:tcPr>
          <w:p w14:paraId="0E0E84A3">
            <w:pPr>
              <w:pStyle w:val="28"/>
              <w:rPr>
                <w:rFonts w:ascii="Times New Roman" w:hAnsi="Times New Roman"/>
                <w:color w:val="auto"/>
                <w:highlight w:val="none"/>
                <w:shd w:val="clear"/>
              </w:rPr>
            </w:pPr>
            <w:r>
              <w:rPr>
                <w:rFonts w:hint="eastAsia" w:ascii="Times New Roman" w:hAnsi="Times New Roman"/>
                <w:color w:val="auto"/>
                <w:highlight w:val="none"/>
                <w:shd w:val="clear"/>
              </w:rPr>
              <w:t>评审标准</w:t>
            </w:r>
          </w:p>
        </w:tc>
      </w:tr>
      <w:tr w14:paraId="503C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restart"/>
            <w:noWrap w:val="0"/>
            <w:vAlign w:val="center"/>
          </w:tcPr>
          <w:p w14:paraId="00AA5169">
            <w:pPr>
              <w:pStyle w:val="29"/>
              <w:rPr>
                <w:rFonts w:ascii="Times New Roman" w:hAnsi="Times New Roman"/>
                <w:color w:val="auto"/>
                <w:highlight w:val="none"/>
                <w:shd w:val="clear"/>
              </w:rPr>
            </w:pPr>
            <w:r>
              <w:rPr>
                <w:rFonts w:hint="eastAsia" w:ascii="Times New Roman" w:hAnsi="Times New Roman"/>
                <w:color w:val="auto"/>
                <w:highlight w:val="none"/>
                <w:shd w:val="clear"/>
              </w:rPr>
              <w:t>2.1.1</w:t>
            </w:r>
          </w:p>
        </w:tc>
        <w:tc>
          <w:tcPr>
            <w:tcW w:w="993" w:type="dxa"/>
            <w:vMerge w:val="restart"/>
            <w:noWrap w:val="0"/>
            <w:vAlign w:val="center"/>
          </w:tcPr>
          <w:p w14:paraId="45CCFB9C">
            <w:pPr>
              <w:pStyle w:val="29"/>
              <w:rPr>
                <w:rFonts w:ascii="Times New Roman" w:hAnsi="Times New Roman"/>
                <w:color w:val="auto"/>
                <w:highlight w:val="none"/>
                <w:shd w:val="clear"/>
              </w:rPr>
            </w:pPr>
            <w:r>
              <w:rPr>
                <w:rFonts w:hint="eastAsia" w:ascii="Times New Roman" w:hAnsi="Times New Roman"/>
                <w:color w:val="auto"/>
                <w:highlight w:val="none"/>
                <w:shd w:val="clear"/>
              </w:rPr>
              <w:t>形式评审标准</w:t>
            </w:r>
          </w:p>
        </w:tc>
        <w:tc>
          <w:tcPr>
            <w:tcW w:w="1968" w:type="dxa"/>
            <w:noWrap w:val="0"/>
            <w:tcMar>
              <w:left w:w="75" w:type="dxa"/>
            </w:tcMar>
            <w:vAlign w:val="center"/>
          </w:tcPr>
          <w:p w14:paraId="65CCF0D3">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投标人名称</w:t>
            </w:r>
          </w:p>
        </w:tc>
        <w:tc>
          <w:tcPr>
            <w:tcW w:w="5245" w:type="dxa"/>
            <w:noWrap w:val="0"/>
            <w:tcMar>
              <w:left w:w="75" w:type="dxa"/>
            </w:tcMar>
            <w:vAlign w:val="center"/>
          </w:tcPr>
          <w:p w14:paraId="2DFCDC95">
            <w:pPr>
              <w:pStyle w:val="30"/>
              <w:rPr>
                <w:rFonts w:ascii="Times New Roman" w:hAnsi="Times New Roman"/>
                <w:color w:val="auto"/>
                <w:highlight w:val="none"/>
                <w:shd w:val="clear"/>
              </w:rPr>
            </w:pPr>
            <w:r>
              <w:rPr>
                <w:rFonts w:hint="eastAsia" w:ascii="Times New Roman" w:hAnsi="Times New Roman"/>
                <w:color w:val="auto"/>
                <w:highlight w:val="none"/>
                <w:shd w:val="clear"/>
              </w:rPr>
              <w:t>与营业执照、资质证书、安全生产许可证一致</w:t>
            </w:r>
          </w:p>
        </w:tc>
      </w:tr>
      <w:tr w14:paraId="04A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3ABD09A9">
            <w:pPr>
              <w:pStyle w:val="29"/>
              <w:rPr>
                <w:rFonts w:ascii="Times New Roman" w:hAnsi="Times New Roman"/>
                <w:color w:val="auto"/>
                <w:highlight w:val="none"/>
                <w:shd w:val="clear"/>
              </w:rPr>
            </w:pPr>
          </w:p>
        </w:tc>
        <w:tc>
          <w:tcPr>
            <w:tcW w:w="993" w:type="dxa"/>
            <w:vMerge w:val="continue"/>
            <w:noWrap w:val="0"/>
            <w:vAlign w:val="center"/>
          </w:tcPr>
          <w:p w14:paraId="29DB61C7">
            <w:pPr>
              <w:pStyle w:val="29"/>
              <w:rPr>
                <w:rFonts w:ascii="Times New Roman" w:hAnsi="Times New Roman"/>
                <w:color w:val="auto"/>
                <w:highlight w:val="none"/>
                <w:shd w:val="clear"/>
              </w:rPr>
            </w:pPr>
          </w:p>
        </w:tc>
        <w:tc>
          <w:tcPr>
            <w:tcW w:w="1968" w:type="dxa"/>
            <w:noWrap w:val="0"/>
            <w:tcMar>
              <w:left w:w="75" w:type="dxa"/>
            </w:tcMar>
            <w:vAlign w:val="center"/>
          </w:tcPr>
          <w:p w14:paraId="73EF5E07">
            <w:pPr>
              <w:pStyle w:val="29"/>
              <w:rPr>
                <w:rFonts w:ascii="Times New Roman" w:hAnsi="Times New Roman"/>
                <w:color w:val="auto"/>
                <w:highlight w:val="none"/>
                <w:shd w:val="clear"/>
              </w:rPr>
            </w:pPr>
            <w:r>
              <w:rPr>
                <w:rFonts w:hint="eastAsia" w:ascii="Times New Roman" w:hAnsi="Times New Roman"/>
                <w:color w:val="auto"/>
                <w:highlight w:val="none"/>
                <w:shd w:val="clear"/>
              </w:rPr>
              <w:t>签字盖章</w:t>
            </w:r>
          </w:p>
        </w:tc>
        <w:tc>
          <w:tcPr>
            <w:tcW w:w="5245" w:type="dxa"/>
            <w:noWrap w:val="0"/>
            <w:tcMar>
              <w:left w:w="75" w:type="dxa"/>
            </w:tcMar>
            <w:vAlign w:val="center"/>
          </w:tcPr>
          <w:p w14:paraId="7BCE43D4">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符合第二章“投标人须知”第3.7.3项规定</w:t>
            </w:r>
          </w:p>
        </w:tc>
      </w:tr>
      <w:tr w14:paraId="728D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4C598DEB">
            <w:pPr>
              <w:pStyle w:val="29"/>
              <w:rPr>
                <w:rFonts w:ascii="Times New Roman" w:hAnsi="Times New Roman"/>
                <w:color w:val="auto"/>
                <w:highlight w:val="none"/>
                <w:shd w:val="clear"/>
              </w:rPr>
            </w:pPr>
          </w:p>
        </w:tc>
        <w:tc>
          <w:tcPr>
            <w:tcW w:w="993" w:type="dxa"/>
            <w:vMerge w:val="continue"/>
            <w:noWrap w:val="0"/>
            <w:vAlign w:val="center"/>
          </w:tcPr>
          <w:p w14:paraId="52620998">
            <w:pPr>
              <w:pStyle w:val="29"/>
              <w:rPr>
                <w:rFonts w:ascii="Times New Roman" w:hAnsi="Times New Roman"/>
                <w:color w:val="auto"/>
                <w:highlight w:val="none"/>
                <w:shd w:val="clear"/>
              </w:rPr>
            </w:pPr>
          </w:p>
        </w:tc>
        <w:tc>
          <w:tcPr>
            <w:tcW w:w="1968" w:type="dxa"/>
            <w:noWrap w:val="0"/>
            <w:tcMar>
              <w:left w:w="75" w:type="dxa"/>
            </w:tcMar>
            <w:vAlign w:val="center"/>
          </w:tcPr>
          <w:p w14:paraId="0D1D6510">
            <w:pPr>
              <w:pStyle w:val="29"/>
              <w:rPr>
                <w:rFonts w:ascii="Times New Roman" w:hAnsi="Times New Roman"/>
                <w:color w:val="auto"/>
                <w:highlight w:val="none"/>
                <w:shd w:val="clear"/>
              </w:rPr>
            </w:pPr>
            <w:r>
              <w:rPr>
                <w:rFonts w:hint="eastAsia" w:ascii="Times New Roman" w:hAnsi="Times New Roman"/>
                <w:color w:val="auto"/>
                <w:highlight w:val="none"/>
                <w:shd w:val="clear"/>
              </w:rPr>
              <w:t>投标文件格式</w:t>
            </w:r>
          </w:p>
        </w:tc>
        <w:tc>
          <w:tcPr>
            <w:tcW w:w="5245" w:type="dxa"/>
            <w:noWrap w:val="0"/>
            <w:tcMar>
              <w:left w:w="75" w:type="dxa"/>
            </w:tcMar>
            <w:vAlign w:val="center"/>
          </w:tcPr>
          <w:p w14:paraId="60DE06BB">
            <w:pPr>
              <w:pStyle w:val="30"/>
              <w:rPr>
                <w:rFonts w:ascii="Times New Roman" w:hAnsi="Times New Roman"/>
                <w:color w:val="auto"/>
                <w:highlight w:val="none"/>
                <w:shd w:val="clear"/>
              </w:rPr>
            </w:pPr>
            <w:r>
              <w:rPr>
                <w:rFonts w:hint="eastAsia" w:ascii="Times New Roman" w:hAnsi="Times New Roman"/>
                <w:color w:val="auto"/>
                <w:highlight w:val="none"/>
                <w:shd w:val="clear"/>
              </w:rPr>
              <w:t>（1）报价文件电子文件可以正常读取；</w:t>
            </w:r>
          </w:p>
          <w:p w14:paraId="45A0E5A8">
            <w:pPr>
              <w:pStyle w:val="30"/>
              <w:rPr>
                <w:rFonts w:ascii="Times New Roman" w:hAnsi="Times New Roman"/>
                <w:color w:val="auto"/>
                <w:highlight w:val="none"/>
                <w:shd w:val="clear"/>
              </w:rPr>
            </w:pPr>
            <w:r>
              <w:rPr>
                <w:rFonts w:hint="eastAsia" w:ascii="Times New Roman" w:hAnsi="Times New Roman"/>
                <w:color w:val="auto"/>
                <w:highlight w:val="none"/>
                <w:shd w:val="clear"/>
              </w:rPr>
              <w:t>（2）符合第八章“投标文件格式”的规定，关键字迹清晰可辨</w:t>
            </w:r>
          </w:p>
        </w:tc>
      </w:tr>
      <w:tr w14:paraId="7FE7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63DBD4C2">
            <w:pPr>
              <w:pStyle w:val="29"/>
              <w:rPr>
                <w:rFonts w:ascii="Times New Roman" w:hAnsi="Times New Roman"/>
                <w:color w:val="auto"/>
                <w:highlight w:val="none"/>
                <w:shd w:val="clear"/>
              </w:rPr>
            </w:pPr>
          </w:p>
        </w:tc>
        <w:tc>
          <w:tcPr>
            <w:tcW w:w="993" w:type="dxa"/>
            <w:vMerge w:val="continue"/>
            <w:noWrap w:val="0"/>
            <w:vAlign w:val="center"/>
          </w:tcPr>
          <w:p w14:paraId="5D03EF2E">
            <w:pPr>
              <w:pStyle w:val="29"/>
              <w:rPr>
                <w:rFonts w:ascii="Times New Roman" w:hAnsi="Times New Roman"/>
                <w:color w:val="auto"/>
                <w:highlight w:val="none"/>
                <w:shd w:val="clear"/>
              </w:rPr>
            </w:pPr>
          </w:p>
        </w:tc>
        <w:tc>
          <w:tcPr>
            <w:tcW w:w="1968" w:type="dxa"/>
            <w:noWrap w:val="0"/>
            <w:tcMar>
              <w:left w:w="75" w:type="dxa"/>
            </w:tcMar>
            <w:vAlign w:val="center"/>
          </w:tcPr>
          <w:p w14:paraId="0BFF9913">
            <w:pPr>
              <w:pStyle w:val="29"/>
              <w:rPr>
                <w:rFonts w:ascii="Times New Roman" w:hAnsi="Times New Roman"/>
                <w:color w:val="auto"/>
                <w:highlight w:val="none"/>
                <w:shd w:val="clear"/>
              </w:rPr>
            </w:pPr>
            <w:r>
              <w:rPr>
                <w:rFonts w:hint="eastAsia" w:ascii="Times New Roman" w:hAnsi="Times New Roman"/>
                <w:color w:val="auto"/>
                <w:highlight w:val="none"/>
                <w:shd w:val="clear"/>
              </w:rPr>
              <w:t>备选投标方案</w:t>
            </w:r>
          </w:p>
        </w:tc>
        <w:tc>
          <w:tcPr>
            <w:tcW w:w="5245" w:type="dxa"/>
            <w:noWrap w:val="0"/>
            <w:tcMar>
              <w:left w:w="75" w:type="dxa"/>
            </w:tcMar>
            <w:vAlign w:val="center"/>
          </w:tcPr>
          <w:p w14:paraId="554B93E3">
            <w:pPr>
              <w:pStyle w:val="30"/>
              <w:rPr>
                <w:rFonts w:ascii="Times New Roman" w:hAnsi="Times New Roman"/>
                <w:color w:val="auto"/>
                <w:highlight w:val="none"/>
                <w:shd w:val="clear"/>
              </w:rPr>
            </w:pPr>
            <w:r>
              <w:rPr>
                <w:rFonts w:hint="eastAsia" w:ascii="Times New Roman" w:hAnsi="Times New Roman"/>
                <w:color w:val="auto"/>
                <w:highlight w:val="none"/>
                <w:shd w:val="clear"/>
              </w:rPr>
              <w:t>除招标文件明确允许备选投标方案外，投标人不得提交备选投标方案</w:t>
            </w:r>
          </w:p>
        </w:tc>
      </w:tr>
      <w:tr w14:paraId="7323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0F6A775A">
            <w:pPr>
              <w:pStyle w:val="29"/>
              <w:rPr>
                <w:rFonts w:ascii="Times New Roman" w:hAnsi="Times New Roman"/>
                <w:color w:val="auto"/>
                <w:highlight w:val="none"/>
                <w:shd w:val="clear"/>
              </w:rPr>
            </w:pPr>
          </w:p>
        </w:tc>
        <w:tc>
          <w:tcPr>
            <w:tcW w:w="993" w:type="dxa"/>
            <w:vMerge w:val="continue"/>
            <w:noWrap w:val="0"/>
            <w:vAlign w:val="center"/>
          </w:tcPr>
          <w:p w14:paraId="61C49851">
            <w:pPr>
              <w:pStyle w:val="29"/>
              <w:rPr>
                <w:rFonts w:ascii="Times New Roman" w:hAnsi="Times New Roman"/>
                <w:color w:val="auto"/>
                <w:highlight w:val="none"/>
                <w:shd w:val="clear"/>
              </w:rPr>
            </w:pPr>
          </w:p>
        </w:tc>
        <w:tc>
          <w:tcPr>
            <w:tcW w:w="1968" w:type="dxa"/>
            <w:noWrap w:val="0"/>
            <w:tcMar>
              <w:left w:w="75" w:type="dxa"/>
            </w:tcMar>
            <w:vAlign w:val="center"/>
          </w:tcPr>
          <w:p w14:paraId="4DE07913">
            <w:pPr>
              <w:pStyle w:val="29"/>
              <w:rPr>
                <w:rFonts w:ascii="Times New Roman" w:hAnsi="Times New Roman"/>
                <w:color w:val="auto"/>
                <w:highlight w:val="none"/>
                <w:shd w:val="clear"/>
              </w:rPr>
            </w:pPr>
            <w:r>
              <w:rPr>
                <w:rFonts w:hint="eastAsia" w:ascii="Times New Roman" w:hAnsi="Times New Roman"/>
                <w:color w:val="auto"/>
                <w:highlight w:val="none"/>
                <w:shd w:val="clear"/>
              </w:rPr>
              <w:t>未出现异常情形</w:t>
            </w:r>
          </w:p>
        </w:tc>
        <w:tc>
          <w:tcPr>
            <w:tcW w:w="5245" w:type="dxa"/>
            <w:noWrap w:val="0"/>
            <w:tcMar>
              <w:left w:w="75" w:type="dxa"/>
            </w:tcMar>
            <w:vAlign w:val="top"/>
          </w:tcPr>
          <w:p w14:paraId="46240CDF">
            <w:pPr>
              <w:pStyle w:val="30"/>
              <w:rPr>
                <w:rFonts w:ascii="Times New Roman" w:hAnsi="Times New Roman"/>
                <w:color w:val="auto"/>
                <w:highlight w:val="none"/>
                <w:shd w:val="clear"/>
              </w:rPr>
            </w:pPr>
            <w:r>
              <w:rPr>
                <w:rFonts w:hint="eastAsia" w:ascii="Times New Roman" w:hAnsi="Times New Roman"/>
                <w:color w:val="auto"/>
                <w:highlight w:val="none"/>
                <w:shd w:val="clear"/>
              </w:rPr>
              <w:t>不同投标人未出现使用相同的机器识别码进行投标或使用相同加密锁号的造价软件的情形</w:t>
            </w:r>
          </w:p>
        </w:tc>
      </w:tr>
      <w:tr w14:paraId="357C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restart"/>
            <w:noWrap w:val="0"/>
            <w:vAlign w:val="center"/>
          </w:tcPr>
          <w:p w14:paraId="45A133C1">
            <w:pPr>
              <w:pStyle w:val="29"/>
              <w:rPr>
                <w:rFonts w:ascii="Times New Roman" w:hAnsi="Times New Roman"/>
                <w:color w:val="auto"/>
                <w:highlight w:val="none"/>
                <w:shd w:val="clear"/>
              </w:rPr>
            </w:pPr>
            <w:r>
              <w:rPr>
                <w:rFonts w:hint="eastAsia" w:ascii="Times New Roman" w:hAnsi="Times New Roman"/>
                <w:color w:val="auto"/>
                <w:highlight w:val="none"/>
                <w:shd w:val="clear"/>
              </w:rPr>
              <w:t>2.1.3</w:t>
            </w:r>
          </w:p>
        </w:tc>
        <w:tc>
          <w:tcPr>
            <w:tcW w:w="993" w:type="dxa"/>
            <w:vMerge w:val="restart"/>
            <w:noWrap w:val="0"/>
            <w:vAlign w:val="center"/>
          </w:tcPr>
          <w:p w14:paraId="02FCB5C7">
            <w:pPr>
              <w:pStyle w:val="29"/>
              <w:rPr>
                <w:rFonts w:ascii="Times New Roman" w:hAnsi="Times New Roman"/>
                <w:color w:val="auto"/>
                <w:highlight w:val="none"/>
                <w:shd w:val="clear"/>
              </w:rPr>
            </w:pPr>
            <w:r>
              <w:rPr>
                <w:rFonts w:hint="eastAsia" w:ascii="Times New Roman" w:hAnsi="Times New Roman"/>
                <w:color w:val="auto"/>
                <w:highlight w:val="none"/>
                <w:shd w:val="clear"/>
              </w:rPr>
              <w:t>响应性评审标准</w:t>
            </w:r>
          </w:p>
        </w:tc>
        <w:tc>
          <w:tcPr>
            <w:tcW w:w="1968" w:type="dxa"/>
            <w:noWrap w:val="0"/>
            <w:tcMar>
              <w:left w:w="75" w:type="dxa"/>
            </w:tcMar>
            <w:vAlign w:val="center"/>
          </w:tcPr>
          <w:p w14:paraId="231CBB84">
            <w:pPr>
              <w:pStyle w:val="29"/>
              <w:rPr>
                <w:rFonts w:ascii="Times New Roman" w:hAnsi="Times New Roman"/>
                <w:color w:val="auto"/>
                <w:highlight w:val="none"/>
                <w:shd w:val="clear"/>
              </w:rPr>
            </w:pPr>
            <w:r>
              <w:rPr>
                <w:rFonts w:hint="eastAsia" w:ascii="Times New Roman" w:hAnsi="Times New Roman"/>
                <w:color w:val="auto"/>
                <w:highlight w:val="none"/>
                <w:shd w:val="clear"/>
              </w:rPr>
              <w:t>投标内容</w:t>
            </w:r>
          </w:p>
        </w:tc>
        <w:tc>
          <w:tcPr>
            <w:tcW w:w="5245" w:type="dxa"/>
            <w:noWrap w:val="0"/>
            <w:tcMar>
              <w:left w:w="75" w:type="dxa"/>
            </w:tcMar>
            <w:vAlign w:val="center"/>
          </w:tcPr>
          <w:p w14:paraId="2EC51927">
            <w:pPr>
              <w:pStyle w:val="30"/>
              <w:rPr>
                <w:rFonts w:ascii="Times New Roman" w:hAnsi="Times New Roman"/>
                <w:color w:val="auto"/>
                <w:highlight w:val="none"/>
                <w:shd w:val="clear"/>
              </w:rPr>
            </w:pPr>
            <w:r>
              <w:rPr>
                <w:rFonts w:hint="eastAsia" w:ascii="Times New Roman" w:hAnsi="Times New Roman"/>
                <w:color w:val="auto"/>
                <w:highlight w:val="none"/>
                <w:shd w:val="clear"/>
              </w:rPr>
              <w:t>符合第二章“投标人须知”第1.3.1项规定</w:t>
            </w:r>
          </w:p>
        </w:tc>
      </w:tr>
      <w:tr w14:paraId="0122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33F4335D">
            <w:pPr>
              <w:pStyle w:val="29"/>
              <w:rPr>
                <w:rFonts w:ascii="Times New Roman" w:hAnsi="Times New Roman"/>
                <w:color w:val="auto"/>
                <w:highlight w:val="none"/>
                <w:shd w:val="clear"/>
              </w:rPr>
            </w:pPr>
          </w:p>
        </w:tc>
        <w:tc>
          <w:tcPr>
            <w:tcW w:w="993" w:type="dxa"/>
            <w:vMerge w:val="continue"/>
            <w:noWrap w:val="0"/>
            <w:vAlign w:val="center"/>
          </w:tcPr>
          <w:p w14:paraId="58DF337E">
            <w:pPr>
              <w:pStyle w:val="29"/>
              <w:rPr>
                <w:rFonts w:ascii="Times New Roman" w:hAnsi="Times New Roman"/>
                <w:color w:val="auto"/>
                <w:highlight w:val="none"/>
                <w:shd w:val="clear"/>
              </w:rPr>
            </w:pPr>
          </w:p>
        </w:tc>
        <w:tc>
          <w:tcPr>
            <w:tcW w:w="1968" w:type="dxa"/>
            <w:noWrap w:val="0"/>
            <w:tcMar>
              <w:left w:w="75" w:type="dxa"/>
            </w:tcMar>
            <w:vAlign w:val="center"/>
          </w:tcPr>
          <w:p w14:paraId="7CB4CF66">
            <w:pPr>
              <w:pStyle w:val="29"/>
              <w:rPr>
                <w:rFonts w:ascii="Times New Roman" w:hAnsi="Times New Roman"/>
                <w:color w:val="auto"/>
                <w:highlight w:val="none"/>
                <w:shd w:val="clear"/>
              </w:rPr>
            </w:pPr>
            <w:r>
              <w:rPr>
                <w:rFonts w:hint="eastAsia" w:ascii="Times New Roman" w:hAnsi="Times New Roman"/>
                <w:color w:val="auto"/>
                <w:highlight w:val="none"/>
                <w:shd w:val="clear"/>
              </w:rPr>
              <w:t>投标报价</w:t>
            </w:r>
          </w:p>
        </w:tc>
        <w:tc>
          <w:tcPr>
            <w:tcW w:w="5245" w:type="dxa"/>
            <w:noWrap w:val="0"/>
            <w:tcMar>
              <w:left w:w="75" w:type="dxa"/>
            </w:tcMar>
            <w:vAlign w:val="center"/>
          </w:tcPr>
          <w:p w14:paraId="1222DFDE">
            <w:pPr>
              <w:pStyle w:val="30"/>
              <w:rPr>
                <w:rFonts w:ascii="Times New Roman" w:hAnsi="Times New Roman"/>
                <w:color w:val="auto"/>
                <w:highlight w:val="none"/>
                <w:shd w:val="clear"/>
              </w:rPr>
            </w:pPr>
            <w:r>
              <w:rPr>
                <w:rFonts w:hint="eastAsia" w:ascii="Times New Roman" w:hAnsi="Times New Roman"/>
                <w:color w:val="auto"/>
                <w:highlight w:val="none"/>
                <w:shd w:val="clear"/>
              </w:rPr>
              <w:t>（1）投标报价未超过招标文件设定的最高投标限价。</w:t>
            </w:r>
          </w:p>
          <w:p w14:paraId="1BF31914">
            <w:pPr>
              <w:pStyle w:val="30"/>
              <w:rPr>
                <w:rFonts w:ascii="Times New Roman" w:hAnsi="Times New Roman"/>
                <w:color w:val="auto"/>
                <w:highlight w:val="none"/>
                <w:shd w:val="clear"/>
              </w:rPr>
            </w:pPr>
            <w:r>
              <w:rPr>
                <w:rFonts w:hint="eastAsia" w:ascii="Times New Roman" w:hAnsi="Times New Roman"/>
                <w:color w:val="auto"/>
                <w:highlight w:val="none"/>
                <w:shd w:val="clear"/>
              </w:rPr>
              <w:t>（2）投标报价的大写数值能确定具体数值，未出现数量级错误、报价金额单位错误。</w:t>
            </w:r>
          </w:p>
          <w:p w14:paraId="06D02B2A">
            <w:pPr>
              <w:pStyle w:val="30"/>
              <w:rPr>
                <w:rFonts w:ascii="Times New Roman" w:hAnsi="Times New Roman"/>
                <w:color w:val="auto"/>
                <w:highlight w:val="none"/>
                <w:shd w:val="clear"/>
              </w:rPr>
            </w:pPr>
            <w:r>
              <w:rPr>
                <w:rFonts w:hint="eastAsia" w:ascii="Times New Roman" w:hAnsi="Times New Roman"/>
                <w:color w:val="auto"/>
                <w:highlight w:val="none"/>
                <w:shd w:val="clear"/>
              </w:rPr>
              <w:t>（3）同一投标人未递交两个以上不同的投标报价，但招标文件要求提交备选投标的除外。</w:t>
            </w:r>
          </w:p>
          <w:p w14:paraId="6D24A2D9">
            <w:pPr>
              <w:pStyle w:val="30"/>
              <w:rPr>
                <w:rFonts w:ascii="Times New Roman" w:hAnsi="Times New Roman"/>
                <w:color w:val="auto"/>
                <w:highlight w:val="none"/>
                <w:shd w:val="clear"/>
              </w:rPr>
            </w:pPr>
            <w:r>
              <w:rPr>
                <w:rFonts w:hint="eastAsia" w:ascii="Times New Roman" w:hAnsi="Times New Roman"/>
                <w:color w:val="auto"/>
                <w:highlight w:val="none"/>
                <w:shd w:val="clear"/>
              </w:rPr>
              <w:t>（4）已标价工程量清单的分部分项工程的项目名称、计量单位及工程量与招标人提供的工程量清单未出现实质性内容不一致。</w:t>
            </w:r>
          </w:p>
          <w:p w14:paraId="180ED61E">
            <w:pPr>
              <w:pStyle w:val="30"/>
              <w:rPr>
                <w:rFonts w:ascii="Times New Roman" w:hAnsi="Times New Roman"/>
                <w:color w:val="auto"/>
                <w:highlight w:val="none"/>
                <w:shd w:val="clear"/>
              </w:rPr>
            </w:pPr>
            <w:r>
              <w:rPr>
                <w:rFonts w:hint="eastAsia" w:ascii="Times New Roman" w:hAnsi="Times New Roman"/>
                <w:color w:val="auto"/>
                <w:highlight w:val="none"/>
                <w:shd w:val="clear"/>
              </w:rPr>
              <w:t>（5）按清单计价规范要求不应为负值的，已标价工程量清单中的数据未出现该情形。</w:t>
            </w:r>
          </w:p>
          <w:p w14:paraId="4428780D">
            <w:pPr>
              <w:pStyle w:val="30"/>
              <w:rPr>
                <w:rFonts w:ascii="Times New Roman" w:hAnsi="Times New Roman"/>
                <w:color w:val="auto"/>
                <w:highlight w:val="none"/>
                <w:shd w:val="clear"/>
              </w:rPr>
            </w:pPr>
            <w:r>
              <w:rPr>
                <w:rFonts w:hint="eastAsia" w:ascii="Times New Roman" w:hAnsi="Times New Roman"/>
                <w:color w:val="auto"/>
                <w:highlight w:val="none"/>
                <w:shd w:val="clear"/>
              </w:rPr>
              <w:t>（6）已标价工程量清单的各分部分项工程清单项目综合单价均不得高于招标文件设定的各分部分项工程清单项目综合单价。</w:t>
            </w:r>
          </w:p>
        </w:tc>
      </w:tr>
      <w:tr w14:paraId="564B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388069CC">
            <w:pPr>
              <w:pStyle w:val="29"/>
              <w:rPr>
                <w:rFonts w:ascii="Times New Roman" w:hAnsi="Times New Roman"/>
                <w:color w:val="auto"/>
                <w:highlight w:val="none"/>
                <w:shd w:val="clear"/>
              </w:rPr>
            </w:pPr>
          </w:p>
        </w:tc>
        <w:tc>
          <w:tcPr>
            <w:tcW w:w="993" w:type="dxa"/>
            <w:vMerge w:val="continue"/>
            <w:noWrap w:val="0"/>
            <w:vAlign w:val="center"/>
          </w:tcPr>
          <w:p w14:paraId="319401B5">
            <w:pPr>
              <w:pStyle w:val="29"/>
              <w:rPr>
                <w:rFonts w:ascii="Times New Roman" w:hAnsi="Times New Roman"/>
                <w:color w:val="auto"/>
                <w:highlight w:val="none"/>
                <w:shd w:val="clear"/>
              </w:rPr>
            </w:pPr>
          </w:p>
        </w:tc>
        <w:tc>
          <w:tcPr>
            <w:tcW w:w="1968" w:type="dxa"/>
            <w:noWrap w:val="0"/>
            <w:tcMar>
              <w:left w:w="75" w:type="dxa"/>
            </w:tcMar>
            <w:vAlign w:val="center"/>
          </w:tcPr>
          <w:p w14:paraId="3FFD474E">
            <w:pPr>
              <w:pStyle w:val="29"/>
              <w:rPr>
                <w:rFonts w:ascii="Times New Roman" w:hAnsi="Times New Roman"/>
                <w:color w:val="auto"/>
                <w:highlight w:val="none"/>
                <w:shd w:val="clear"/>
              </w:rPr>
            </w:pPr>
            <w:r>
              <w:rPr>
                <w:rFonts w:hint="eastAsia" w:ascii="Times New Roman" w:hAnsi="Times New Roman"/>
                <w:color w:val="auto"/>
                <w:highlight w:val="none"/>
                <w:shd w:val="clear"/>
              </w:rPr>
              <w:t>投标报价不可竞争内容</w:t>
            </w:r>
          </w:p>
        </w:tc>
        <w:tc>
          <w:tcPr>
            <w:tcW w:w="5245" w:type="dxa"/>
            <w:noWrap w:val="0"/>
            <w:tcMar>
              <w:left w:w="75" w:type="dxa"/>
            </w:tcMar>
            <w:vAlign w:val="center"/>
          </w:tcPr>
          <w:p w14:paraId="67CCCD01">
            <w:pPr>
              <w:pStyle w:val="30"/>
              <w:rPr>
                <w:rFonts w:ascii="Times New Roman" w:hAnsi="Times New Roman"/>
                <w:color w:val="auto"/>
                <w:highlight w:val="none"/>
                <w:shd w:val="clear"/>
              </w:rPr>
            </w:pPr>
            <w:r>
              <w:rPr>
                <w:rFonts w:hint="eastAsia" w:ascii="Times New Roman" w:hAnsi="Times New Roman"/>
                <w:color w:val="auto"/>
                <w:highlight w:val="none"/>
                <w:shd w:val="clear"/>
              </w:rPr>
              <w:t>（1）安全文明施工费报价符合招标文件要求。</w:t>
            </w:r>
          </w:p>
          <w:p w14:paraId="7A19BD18">
            <w:pPr>
              <w:pStyle w:val="30"/>
              <w:rPr>
                <w:rFonts w:hint="eastAsia" w:ascii="Times New Roman" w:hAnsi="Times New Roman"/>
                <w:color w:val="auto"/>
                <w:highlight w:val="none"/>
                <w:shd w:val="clear"/>
              </w:rPr>
            </w:pPr>
            <w:r>
              <w:rPr>
                <w:rFonts w:hint="eastAsia" w:ascii="Times New Roman" w:hAnsi="Times New Roman"/>
                <w:color w:val="auto"/>
                <w:highlight w:val="none"/>
                <w:shd w:val="clear"/>
              </w:rPr>
              <w:t>（2）人工费工日单价符合招标文件规定</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rPr>
              <w:t>人工工日单价：</w:t>
            </w:r>
          </w:p>
          <w:p w14:paraId="1A30C1DD">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不低于</w:t>
            </w:r>
            <w:r>
              <w:rPr>
                <w:rFonts w:hint="eastAsia" w:ascii="Times New Roman" w:hAnsi="Times New Roman"/>
                <w:color w:val="auto"/>
                <w:highlight w:val="none"/>
                <w:shd w:val="clear"/>
              </w:rPr>
              <w:t>157.</w:t>
            </w:r>
            <w:r>
              <w:rPr>
                <w:rFonts w:hint="eastAsia" w:ascii="Times New Roman" w:hAnsi="Times New Roman"/>
                <w:color w:val="auto"/>
                <w:highlight w:val="none"/>
                <w:shd w:val="clear"/>
                <w:lang w:val="en-US" w:eastAsia="zh-CN"/>
              </w:rPr>
              <w:t>32</w:t>
            </w:r>
            <w:r>
              <w:rPr>
                <w:rFonts w:hint="eastAsia" w:ascii="Times New Roman" w:hAnsi="Times New Roman"/>
                <w:color w:val="auto"/>
                <w:highlight w:val="none"/>
                <w:shd w:val="clear"/>
              </w:rPr>
              <w:t>元/工日。</w:t>
            </w:r>
          </w:p>
          <w:p w14:paraId="5C305F9B">
            <w:pPr>
              <w:pStyle w:val="30"/>
              <w:rPr>
                <w:rFonts w:ascii="Times New Roman" w:hAnsi="Times New Roman"/>
                <w:color w:val="auto"/>
                <w:highlight w:val="none"/>
                <w:shd w:val="clear"/>
              </w:rPr>
            </w:pPr>
            <w:r>
              <w:rPr>
                <w:rFonts w:hint="eastAsia" w:ascii="Times New Roman" w:hAnsi="Times New Roman"/>
                <w:color w:val="auto"/>
                <w:highlight w:val="none"/>
                <w:shd w:val="clear"/>
              </w:rPr>
              <w:t>（3）已标价工程量清单中未更改招标文件确定的暂列金额、暂估价。</w:t>
            </w:r>
          </w:p>
          <w:p w14:paraId="6C94128F">
            <w:pPr>
              <w:pStyle w:val="30"/>
              <w:rPr>
                <w:rFonts w:ascii="Times New Roman" w:hAnsi="Times New Roman"/>
                <w:color w:val="auto"/>
                <w:highlight w:val="none"/>
                <w:shd w:val="clear"/>
              </w:rPr>
            </w:pPr>
            <w:r>
              <w:rPr>
                <w:rFonts w:hint="eastAsia" w:ascii="Times New Roman" w:hAnsi="Times New Roman"/>
                <w:color w:val="auto"/>
                <w:highlight w:val="none"/>
                <w:shd w:val="clear"/>
              </w:rPr>
              <w:t>（4）税率符合招标文件规定。</w:t>
            </w:r>
          </w:p>
        </w:tc>
      </w:tr>
      <w:tr w14:paraId="0526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5431BA68">
            <w:pPr>
              <w:pStyle w:val="29"/>
              <w:rPr>
                <w:rFonts w:ascii="Times New Roman" w:hAnsi="Times New Roman"/>
                <w:color w:val="auto"/>
                <w:highlight w:val="none"/>
                <w:shd w:val="clear"/>
              </w:rPr>
            </w:pPr>
          </w:p>
        </w:tc>
        <w:tc>
          <w:tcPr>
            <w:tcW w:w="993" w:type="dxa"/>
            <w:vMerge w:val="continue"/>
            <w:noWrap w:val="0"/>
            <w:vAlign w:val="center"/>
          </w:tcPr>
          <w:p w14:paraId="1D9CB441">
            <w:pPr>
              <w:pStyle w:val="29"/>
              <w:rPr>
                <w:rFonts w:ascii="Times New Roman" w:hAnsi="Times New Roman"/>
                <w:color w:val="auto"/>
                <w:highlight w:val="none"/>
                <w:shd w:val="clear"/>
              </w:rPr>
            </w:pPr>
          </w:p>
        </w:tc>
        <w:tc>
          <w:tcPr>
            <w:tcW w:w="1968" w:type="dxa"/>
            <w:noWrap w:val="0"/>
            <w:tcMar>
              <w:left w:w="75" w:type="dxa"/>
            </w:tcMar>
            <w:vAlign w:val="center"/>
          </w:tcPr>
          <w:p w14:paraId="73AEE027">
            <w:pPr>
              <w:pStyle w:val="29"/>
              <w:rPr>
                <w:rFonts w:ascii="Times New Roman" w:hAnsi="Times New Roman"/>
                <w:color w:val="auto"/>
                <w:highlight w:val="none"/>
                <w:shd w:val="clear"/>
              </w:rPr>
            </w:pPr>
            <w:r>
              <w:rPr>
                <w:rFonts w:hint="eastAsia" w:ascii="Times New Roman" w:hAnsi="Times New Roman"/>
                <w:color w:val="auto"/>
                <w:highlight w:val="none"/>
                <w:shd w:val="clear"/>
              </w:rPr>
              <w:t>总人工费</w:t>
            </w:r>
          </w:p>
        </w:tc>
        <w:tc>
          <w:tcPr>
            <w:tcW w:w="5245" w:type="dxa"/>
            <w:noWrap w:val="0"/>
            <w:tcMar>
              <w:left w:w="75" w:type="dxa"/>
            </w:tcMar>
            <w:vAlign w:val="center"/>
          </w:tcPr>
          <w:p w14:paraId="6C3D0E36">
            <w:pPr>
              <w:pStyle w:val="30"/>
              <w:rPr>
                <w:rFonts w:ascii="Times New Roman" w:hAnsi="Times New Roman"/>
                <w:color w:val="auto"/>
                <w:highlight w:val="none"/>
                <w:shd w:val="clear"/>
              </w:rPr>
            </w:pPr>
            <w:r>
              <w:rPr>
                <w:rFonts w:hint="eastAsia" w:ascii="Times New Roman" w:hAnsi="Times New Roman"/>
                <w:color w:val="auto"/>
                <w:highlight w:val="none"/>
                <w:shd w:val="clear"/>
              </w:rPr>
              <w:t>投标报价中的总人工费与技术文件中的劳动力安排计划相比，不得明显过低。</w:t>
            </w:r>
          </w:p>
        </w:tc>
      </w:tr>
      <w:tr w14:paraId="0293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159D6F9D">
            <w:pPr>
              <w:pStyle w:val="29"/>
              <w:rPr>
                <w:rFonts w:ascii="Times New Roman" w:hAnsi="Times New Roman"/>
                <w:color w:val="auto"/>
                <w:highlight w:val="none"/>
                <w:shd w:val="clear"/>
              </w:rPr>
            </w:pPr>
          </w:p>
        </w:tc>
        <w:tc>
          <w:tcPr>
            <w:tcW w:w="993" w:type="dxa"/>
            <w:vMerge w:val="continue"/>
            <w:noWrap w:val="0"/>
            <w:vAlign w:val="center"/>
          </w:tcPr>
          <w:p w14:paraId="3E088133">
            <w:pPr>
              <w:pStyle w:val="29"/>
              <w:rPr>
                <w:rFonts w:ascii="Times New Roman" w:hAnsi="Times New Roman"/>
                <w:color w:val="auto"/>
                <w:highlight w:val="none"/>
                <w:shd w:val="clear"/>
              </w:rPr>
            </w:pPr>
          </w:p>
        </w:tc>
        <w:tc>
          <w:tcPr>
            <w:tcW w:w="1968" w:type="dxa"/>
            <w:noWrap w:val="0"/>
            <w:tcMar>
              <w:left w:w="75" w:type="dxa"/>
            </w:tcMar>
            <w:vAlign w:val="center"/>
          </w:tcPr>
          <w:p w14:paraId="38354845">
            <w:pPr>
              <w:pStyle w:val="29"/>
              <w:rPr>
                <w:rFonts w:ascii="Times New Roman" w:hAnsi="Times New Roman"/>
                <w:color w:val="auto"/>
                <w:highlight w:val="none"/>
                <w:shd w:val="clear"/>
              </w:rPr>
            </w:pPr>
            <w:r>
              <w:rPr>
                <w:rFonts w:hint="eastAsia" w:ascii="Times New Roman" w:hAnsi="Times New Roman"/>
                <w:color w:val="auto"/>
                <w:highlight w:val="none"/>
                <w:shd w:val="clear"/>
              </w:rPr>
              <w:t>投标报价偏差</w:t>
            </w:r>
          </w:p>
        </w:tc>
        <w:tc>
          <w:tcPr>
            <w:tcW w:w="5245" w:type="dxa"/>
            <w:noWrap w:val="0"/>
            <w:tcMar>
              <w:left w:w="75" w:type="dxa"/>
            </w:tcMar>
            <w:vAlign w:val="center"/>
          </w:tcPr>
          <w:p w14:paraId="0B4D110C">
            <w:pPr>
              <w:pStyle w:val="30"/>
              <w:rPr>
                <w:rFonts w:ascii="Times New Roman" w:hAnsi="Times New Roman"/>
                <w:color w:val="auto"/>
                <w:highlight w:val="none"/>
                <w:shd w:val="clear"/>
              </w:rPr>
            </w:pPr>
            <w:r>
              <w:rPr>
                <w:rFonts w:hint="eastAsia" w:ascii="Times New Roman" w:hAnsi="Times New Roman"/>
                <w:color w:val="auto"/>
                <w:highlight w:val="none"/>
                <w:shd w:val="clear"/>
              </w:rPr>
              <w:t>（1）因投标人原因造成投标报价缺漏的价格累计缺漏总额（高估冒算、多报价格不得抵消缺漏费用，缺漏金额计算时按照最高投标限价相应数据计算）占投标报价未超过3%，也未影响各投标人报价金额大小排序。</w:t>
            </w:r>
          </w:p>
          <w:p w14:paraId="388EF8CB">
            <w:pPr>
              <w:pStyle w:val="30"/>
              <w:rPr>
                <w:rFonts w:ascii="Times New Roman" w:hAnsi="Times New Roman"/>
                <w:color w:val="auto"/>
                <w:highlight w:val="none"/>
                <w:shd w:val="clear"/>
              </w:rPr>
            </w:pPr>
            <w:r>
              <w:rPr>
                <w:rFonts w:hint="eastAsia" w:ascii="Times New Roman" w:hAnsi="Times New Roman"/>
                <w:color w:val="auto"/>
                <w:highlight w:val="none"/>
                <w:shd w:val="clear"/>
              </w:rPr>
              <w:t>凡招标文件要求或者工程量清单计价规范规定应计算的费用而投标人未报，且投标文件未阐明充分理由，并不能提供足够证据的，均视为缺漏项目或费用。</w:t>
            </w:r>
          </w:p>
          <w:p w14:paraId="510CE705">
            <w:pPr>
              <w:pStyle w:val="30"/>
              <w:rPr>
                <w:rFonts w:ascii="Times New Roman" w:hAnsi="Times New Roman"/>
                <w:color w:val="auto"/>
                <w:highlight w:val="none"/>
                <w:shd w:val="clear"/>
              </w:rPr>
            </w:pPr>
            <w:r>
              <w:rPr>
                <w:rFonts w:hint="eastAsia" w:ascii="Times New Roman" w:hAnsi="Times New Roman"/>
                <w:color w:val="auto"/>
                <w:highlight w:val="none"/>
                <w:shd w:val="clear"/>
              </w:rPr>
              <w:t>（2）对投标报价存在计算错误的，按本章第3.4.4项规定的标准对投标报价进行修正，修正后的投标报价与修正前投标报价的偏差未超过3%，也未影响各投标人报价金额大小排序。</w:t>
            </w:r>
          </w:p>
          <w:p w14:paraId="5C8D54E2">
            <w:pPr>
              <w:pStyle w:val="30"/>
              <w:rPr>
                <w:rFonts w:ascii="Times New Roman" w:hAnsi="Times New Roman"/>
                <w:color w:val="auto"/>
                <w:highlight w:val="none"/>
                <w:shd w:val="clear"/>
              </w:rPr>
            </w:pPr>
            <w:r>
              <w:rPr>
                <w:rFonts w:hint="eastAsia" w:ascii="Times New Roman" w:hAnsi="Times New Roman"/>
                <w:color w:val="auto"/>
                <w:highlight w:val="none"/>
                <w:shd w:val="clear"/>
              </w:rPr>
              <w:t>（3）投标报价中减少实体材料消耗量指标的，符合计量计价规范或实际情况。</w:t>
            </w:r>
          </w:p>
        </w:tc>
      </w:tr>
      <w:tr w14:paraId="1977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08A2233E">
            <w:pPr>
              <w:pStyle w:val="29"/>
              <w:rPr>
                <w:rFonts w:ascii="Times New Roman" w:hAnsi="Times New Roman"/>
                <w:color w:val="auto"/>
                <w:highlight w:val="none"/>
                <w:shd w:val="clear"/>
              </w:rPr>
            </w:pPr>
          </w:p>
        </w:tc>
        <w:tc>
          <w:tcPr>
            <w:tcW w:w="993" w:type="dxa"/>
            <w:vMerge w:val="continue"/>
            <w:noWrap w:val="0"/>
            <w:vAlign w:val="center"/>
          </w:tcPr>
          <w:p w14:paraId="0291CD0C">
            <w:pPr>
              <w:pStyle w:val="29"/>
              <w:rPr>
                <w:rFonts w:ascii="Times New Roman" w:hAnsi="Times New Roman"/>
                <w:color w:val="auto"/>
                <w:highlight w:val="none"/>
                <w:shd w:val="clear"/>
              </w:rPr>
            </w:pPr>
          </w:p>
        </w:tc>
        <w:tc>
          <w:tcPr>
            <w:tcW w:w="1968" w:type="dxa"/>
            <w:noWrap w:val="0"/>
            <w:tcMar>
              <w:left w:w="75" w:type="dxa"/>
            </w:tcMar>
            <w:vAlign w:val="center"/>
          </w:tcPr>
          <w:p w14:paraId="0C28C642">
            <w:pPr>
              <w:pStyle w:val="29"/>
              <w:rPr>
                <w:rFonts w:ascii="Times New Roman" w:hAnsi="Times New Roman"/>
                <w:color w:val="auto"/>
                <w:highlight w:val="none"/>
                <w:shd w:val="clear"/>
              </w:rPr>
            </w:pPr>
            <w:r>
              <w:rPr>
                <w:rFonts w:hint="eastAsia" w:ascii="Times New Roman" w:hAnsi="Times New Roman"/>
                <w:color w:val="auto"/>
                <w:highlight w:val="none"/>
                <w:shd w:val="clear"/>
              </w:rPr>
              <w:t>报价规范性评审</w:t>
            </w:r>
          </w:p>
        </w:tc>
        <w:tc>
          <w:tcPr>
            <w:tcW w:w="5245" w:type="dxa"/>
            <w:noWrap w:val="0"/>
            <w:tcMar>
              <w:left w:w="75" w:type="dxa"/>
            </w:tcMar>
            <w:vAlign w:val="center"/>
          </w:tcPr>
          <w:p w14:paraId="515BA24C">
            <w:pPr>
              <w:pStyle w:val="30"/>
              <w:rPr>
                <w:rFonts w:ascii="Times New Roman" w:hAnsi="Times New Roman"/>
                <w:color w:val="auto"/>
                <w:highlight w:val="none"/>
                <w:shd w:val="clear"/>
              </w:rPr>
            </w:pPr>
            <w:r>
              <w:rPr>
                <w:rFonts w:hint="eastAsia" w:ascii="Times New Roman" w:hAnsi="Times New Roman"/>
                <w:color w:val="auto"/>
                <w:highlight w:val="none"/>
                <w:shd w:val="clear"/>
              </w:rPr>
              <w:t>对已标价工程量清单“分部分项工程量清单综合单价分析表”中的综合单价、主要材料价格、人工费（含工日数量及工日单价）、机械费，“措施项目清单与计价表”中的措施费及“不可竞争项目清单与计价表”的不可竞争费等进行规范性评审，对明显相互冲突、自相矛盾或不合理的，或未按照工程量清单计价规范要求计价的，可否决其投标（如：“分部分项工程量清单综合单价分析表”中的综合单价低于主材价格等情况）。</w:t>
            </w:r>
          </w:p>
        </w:tc>
      </w:tr>
      <w:tr w14:paraId="2602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51FD53E4">
            <w:pPr>
              <w:pStyle w:val="29"/>
              <w:rPr>
                <w:rFonts w:ascii="Times New Roman" w:hAnsi="Times New Roman"/>
                <w:color w:val="auto"/>
                <w:highlight w:val="none"/>
                <w:shd w:val="clear"/>
              </w:rPr>
            </w:pPr>
          </w:p>
        </w:tc>
        <w:tc>
          <w:tcPr>
            <w:tcW w:w="993" w:type="dxa"/>
            <w:vMerge w:val="continue"/>
            <w:noWrap w:val="0"/>
            <w:vAlign w:val="center"/>
          </w:tcPr>
          <w:p w14:paraId="5986F190">
            <w:pPr>
              <w:pStyle w:val="29"/>
              <w:rPr>
                <w:rFonts w:ascii="Times New Roman" w:hAnsi="Times New Roman"/>
                <w:color w:val="auto"/>
                <w:highlight w:val="none"/>
                <w:shd w:val="clear"/>
              </w:rPr>
            </w:pPr>
          </w:p>
        </w:tc>
        <w:tc>
          <w:tcPr>
            <w:tcW w:w="1968" w:type="dxa"/>
            <w:noWrap w:val="0"/>
            <w:tcMar>
              <w:left w:w="75" w:type="dxa"/>
            </w:tcMar>
            <w:vAlign w:val="center"/>
          </w:tcPr>
          <w:p w14:paraId="7D583359">
            <w:pPr>
              <w:pStyle w:val="29"/>
              <w:rPr>
                <w:rFonts w:ascii="Times New Roman" w:hAnsi="Times New Roman"/>
                <w:color w:val="auto"/>
                <w:highlight w:val="none"/>
                <w:shd w:val="clear"/>
              </w:rPr>
            </w:pPr>
            <w:r>
              <w:rPr>
                <w:rFonts w:hint="eastAsia" w:ascii="Times New Roman" w:hAnsi="Times New Roman"/>
                <w:color w:val="auto"/>
                <w:highlight w:val="none"/>
                <w:shd w:val="clear"/>
              </w:rPr>
              <w:t>不平衡报价评审</w:t>
            </w:r>
          </w:p>
        </w:tc>
        <w:tc>
          <w:tcPr>
            <w:tcW w:w="5245" w:type="dxa"/>
            <w:noWrap w:val="0"/>
            <w:tcMar>
              <w:left w:w="75" w:type="dxa"/>
            </w:tcMar>
            <w:vAlign w:val="center"/>
          </w:tcPr>
          <w:p w14:paraId="03170B49">
            <w:pPr>
              <w:pStyle w:val="30"/>
              <w:rPr>
                <w:rFonts w:ascii="Times New Roman" w:hAnsi="Times New Roman"/>
                <w:color w:val="auto"/>
                <w:highlight w:val="none"/>
                <w:shd w:val="clear"/>
              </w:rPr>
            </w:pPr>
            <w:r>
              <w:rPr>
                <w:rFonts w:hint="eastAsia" w:ascii="Times New Roman" w:hAnsi="Times New Roman"/>
                <w:color w:val="auto"/>
                <w:highlight w:val="none"/>
                <w:shd w:val="clear"/>
              </w:rPr>
              <w:t>对已标价工程量清单“分部分项工程量清单综合单价分析表”中的综合单价、主要材料价格、人工费（含工日数量及工日单价）、机械费，“措施项目清单与计价表”中的措施费与最高投标限价对应部分相比明显降幅过大的情况，或“措施项目清单与计价表”中的措施费明显高出最高投标限价对应部分，评标委员会可认定为恶意不平衡报价，否决其投标。</w:t>
            </w:r>
          </w:p>
        </w:tc>
      </w:tr>
      <w:tr w14:paraId="3335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7" w:type="dxa"/>
            <w:vMerge w:val="continue"/>
            <w:noWrap w:val="0"/>
            <w:vAlign w:val="center"/>
          </w:tcPr>
          <w:p w14:paraId="036F2182">
            <w:pPr>
              <w:pStyle w:val="29"/>
              <w:rPr>
                <w:rFonts w:ascii="Times New Roman" w:hAnsi="Times New Roman"/>
                <w:color w:val="auto"/>
                <w:highlight w:val="none"/>
                <w:shd w:val="clear"/>
              </w:rPr>
            </w:pPr>
          </w:p>
        </w:tc>
        <w:tc>
          <w:tcPr>
            <w:tcW w:w="993" w:type="dxa"/>
            <w:vMerge w:val="continue"/>
            <w:noWrap w:val="0"/>
            <w:vAlign w:val="center"/>
          </w:tcPr>
          <w:p w14:paraId="1965188D">
            <w:pPr>
              <w:pStyle w:val="29"/>
              <w:rPr>
                <w:rFonts w:ascii="Times New Roman" w:hAnsi="Times New Roman"/>
                <w:color w:val="auto"/>
                <w:highlight w:val="none"/>
                <w:shd w:val="clear"/>
              </w:rPr>
            </w:pPr>
          </w:p>
        </w:tc>
        <w:tc>
          <w:tcPr>
            <w:tcW w:w="1968" w:type="dxa"/>
            <w:noWrap w:val="0"/>
            <w:tcMar>
              <w:left w:w="75" w:type="dxa"/>
            </w:tcMar>
            <w:vAlign w:val="center"/>
          </w:tcPr>
          <w:p w14:paraId="2D6507BD">
            <w:pPr>
              <w:pStyle w:val="29"/>
              <w:rPr>
                <w:rFonts w:ascii="Times New Roman" w:hAnsi="Times New Roman"/>
                <w:color w:val="auto"/>
                <w:highlight w:val="none"/>
                <w:shd w:val="clear"/>
              </w:rPr>
            </w:pPr>
            <w:r>
              <w:rPr>
                <w:rFonts w:hint="eastAsia" w:ascii="Times New Roman" w:hAnsi="Times New Roman"/>
                <w:color w:val="auto"/>
                <w:highlight w:val="none"/>
                <w:shd w:val="clear"/>
              </w:rPr>
              <w:t>其他情形</w:t>
            </w:r>
          </w:p>
        </w:tc>
        <w:tc>
          <w:tcPr>
            <w:tcW w:w="5245" w:type="dxa"/>
            <w:noWrap w:val="0"/>
            <w:tcMar>
              <w:left w:w="75" w:type="dxa"/>
            </w:tcMar>
            <w:vAlign w:val="center"/>
          </w:tcPr>
          <w:p w14:paraId="50756A88">
            <w:pPr>
              <w:pStyle w:val="30"/>
              <w:rPr>
                <w:rFonts w:ascii="Times New Roman" w:hAnsi="Times New Roman"/>
                <w:color w:val="auto"/>
                <w:highlight w:val="none"/>
                <w:shd w:val="clear"/>
              </w:rPr>
            </w:pPr>
            <w:r>
              <w:rPr>
                <w:rFonts w:hint="eastAsia" w:ascii="Times New Roman" w:hAnsi="Times New Roman"/>
                <w:color w:val="auto"/>
                <w:highlight w:val="none"/>
                <w:shd w:val="clear"/>
              </w:rPr>
              <w:t>（1）清标结果未显示投标人的投标文件存在以下情形之一：</w:t>
            </w:r>
          </w:p>
          <w:p w14:paraId="127F2144">
            <w:pPr>
              <w:pStyle w:val="30"/>
              <w:rPr>
                <w:rFonts w:ascii="Times New Roman" w:hAnsi="Times New Roman"/>
                <w:color w:val="auto"/>
                <w:highlight w:val="none"/>
                <w:shd w:val="clear"/>
              </w:rPr>
            </w:pPr>
            <w:r>
              <w:rPr>
                <w:rFonts w:hint="eastAsia" w:ascii="Times New Roman" w:hAnsi="Times New Roman"/>
                <w:color w:val="auto"/>
                <w:highlight w:val="none"/>
                <w:shd w:val="clear"/>
              </w:rPr>
              <w:t>①不同投标人的投标文件存在异常一致的情形；</w:t>
            </w:r>
          </w:p>
          <w:p w14:paraId="15BD9D74">
            <w:pPr>
              <w:pStyle w:val="30"/>
              <w:rPr>
                <w:rFonts w:ascii="Times New Roman" w:hAnsi="Times New Roman"/>
                <w:color w:val="auto"/>
                <w:highlight w:val="none"/>
                <w:shd w:val="clear"/>
              </w:rPr>
            </w:pPr>
            <w:r>
              <w:rPr>
                <w:rFonts w:hint="eastAsia" w:ascii="Times New Roman" w:hAnsi="Times New Roman"/>
                <w:color w:val="auto"/>
                <w:highlight w:val="none"/>
                <w:shd w:val="clear"/>
              </w:rPr>
              <w:t>②投标报价呈规律性差异等招投标相关法律法规明确规定为串通投标的情形；</w:t>
            </w:r>
          </w:p>
          <w:p w14:paraId="509F41F2">
            <w:pPr>
              <w:pStyle w:val="30"/>
              <w:rPr>
                <w:rFonts w:ascii="Times New Roman" w:hAnsi="Times New Roman"/>
                <w:color w:val="auto"/>
                <w:highlight w:val="none"/>
                <w:shd w:val="clear"/>
              </w:rPr>
            </w:pPr>
            <w:r>
              <w:rPr>
                <w:rFonts w:hint="eastAsia" w:ascii="Times New Roman" w:hAnsi="Times New Roman"/>
                <w:color w:val="auto"/>
                <w:highlight w:val="none"/>
                <w:shd w:val="clear"/>
              </w:rPr>
              <w:t>③弄虚作假的情形；</w:t>
            </w:r>
          </w:p>
          <w:p w14:paraId="1E51C154">
            <w:pPr>
              <w:pStyle w:val="30"/>
              <w:rPr>
                <w:rFonts w:ascii="Times New Roman" w:hAnsi="Times New Roman"/>
                <w:color w:val="auto"/>
                <w:highlight w:val="none"/>
                <w:shd w:val="clear"/>
              </w:rPr>
            </w:pPr>
            <w:r>
              <w:rPr>
                <w:rFonts w:hint="eastAsia" w:ascii="Times New Roman" w:hAnsi="Times New Roman"/>
                <w:color w:val="auto"/>
                <w:highlight w:val="none"/>
                <w:shd w:val="clear"/>
              </w:rPr>
              <w:t>④有其他违法行为的情形。</w:t>
            </w:r>
          </w:p>
          <w:p w14:paraId="58BA5158">
            <w:pPr>
              <w:pStyle w:val="30"/>
              <w:rPr>
                <w:rFonts w:ascii="Times New Roman" w:hAnsi="Times New Roman"/>
                <w:color w:val="auto"/>
                <w:highlight w:val="none"/>
                <w:shd w:val="clear"/>
              </w:rPr>
            </w:pPr>
            <w:r>
              <w:rPr>
                <w:rFonts w:hint="eastAsia" w:ascii="Times New Roman" w:hAnsi="Times New Roman"/>
                <w:color w:val="auto"/>
                <w:highlight w:val="none"/>
                <w:shd w:val="clear"/>
              </w:rPr>
              <w:t>（2）投标文件中不得存在招标人不能接受的其他实质性条件。</w:t>
            </w:r>
          </w:p>
          <w:p w14:paraId="12B84C9A">
            <w:pPr>
              <w:pStyle w:val="30"/>
              <w:rPr>
                <w:rFonts w:ascii="Times New Roman" w:hAnsi="Times New Roman"/>
                <w:color w:val="auto"/>
                <w:highlight w:val="none"/>
                <w:shd w:val="clear"/>
              </w:rPr>
            </w:pPr>
            <w:r>
              <w:rPr>
                <w:rFonts w:hint="eastAsia" w:ascii="Times New Roman" w:hAnsi="Times New Roman"/>
                <w:color w:val="auto"/>
                <w:highlight w:val="none"/>
                <w:shd w:val="clear"/>
              </w:rPr>
              <w:t>（3）法律、法规规定的其他情形。</w:t>
            </w:r>
          </w:p>
        </w:tc>
      </w:tr>
      <w:bookmarkEnd w:id="544"/>
    </w:tbl>
    <w:p w14:paraId="759013D8">
      <w:pPr>
        <w:pStyle w:val="20"/>
        <w:rPr>
          <w:rFonts w:ascii="Times New Roman" w:hAnsi="Times New Roman"/>
          <w:color w:val="auto"/>
          <w:highlight w:val="none"/>
          <w:shd w:val="clear"/>
        </w:rPr>
      </w:pPr>
      <w:bookmarkStart w:id="545" w:name="_Toc170803983"/>
      <w:bookmarkStart w:id="546" w:name="_Toc170805551"/>
      <w:bookmarkStart w:id="547" w:name="_Toc170805171"/>
    </w:p>
    <w:p w14:paraId="1862E043">
      <w:pPr>
        <w:widowControl/>
        <w:jc w:val="left"/>
        <w:rPr>
          <w:rFonts w:ascii="Times New Roman" w:hAnsi="Times New Roman" w:eastAsia="黑体" w:cs="仿宋"/>
          <w:snapToGrid w:val="0"/>
          <w:color w:val="auto"/>
          <w:sz w:val="28"/>
          <w:szCs w:val="28"/>
          <w:highlight w:val="none"/>
          <w:shd w:val="clear"/>
        </w:rPr>
      </w:pPr>
      <w:r>
        <w:rPr>
          <w:rFonts w:ascii="Times New Roman" w:hAnsi="Times New Roman"/>
          <w:color w:val="auto"/>
          <w:highlight w:val="none"/>
          <w:shd w:val="clear"/>
        </w:rPr>
        <w:br w:type="page"/>
      </w:r>
    </w:p>
    <w:p w14:paraId="255AEBB2">
      <w:pPr>
        <w:pStyle w:val="26"/>
        <w:jc w:val="left"/>
        <w:rPr>
          <w:rFonts w:ascii="Times New Roman" w:hAnsi="Times New Roman"/>
          <w:color w:val="auto"/>
          <w:highlight w:val="none"/>
          <w:shd w:val="clear"/>
        </w:rPr>
      </w:pPr>
      <w:r>
        <w:rPr>
          <w:rFonts w:ascii="Times New Roman" w:hAnsi="Times New Roman"/>
          <w:color w:val="auto"/>
          <w:highlight w:val="none"/>
          <w:shd w:val="clear"/>
        </w:rPr>
        <w:t>详细评审标准表</w:t>
      </w:r>
      <w:bookmarkEnd w:id="545"/>
      <w:bookmarkEnd w:id="546"/>
      <w:bookmarkEnd w:id="547"/>
    </w:p>
    <w:tbl>
      <w:tblPr>
        <w:tblStyle w:val="12"/>
        <w:tblpPr w:leftFromText="180" w:rightFromText="180" w:vertAnchor="text" w:horzAnchor="page" w:tblpX="1805" w:tblpY="391"/>
        <w:tblOverlap w:val="never"/>
        <w:tblW w:w="51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896"/>
        <w:gridCol w:w="1286"/>
        <w:gridCol w:w="781"/>
        <w:gridCol w:w="4980"/>
      </w:tblGrid>
      <w:tr w14:paraId="6E3E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48" w:type="pct"/>
            <w:gridSpan w:val="2"/>
            <w:noWrap w:val="0"/>
            <w:vAlign w:val="center"/>
          </w:tcPr>
          <w:p w14:paraId="0A8B77D8">
            <w:pPr>
              <w:pStyle w:val="28"/>
              <w:rPr>
                <w:rFonts w:ascii="Times New Roman" w:hAnsi="Times New Roman"/>
                <w:color w:val="auto"/>
                <w:highlight w:val="none"/>
                <w:shd w:val="clear"/>
              </w:rPr>
            </w:pPr>
            <w:r>
              <w:rPr>
                <w:rFonts w:hint="eastAsia" w:ascii="Times New Roman" w:hAnsi="Times New Roman"/>
                <w:color w:val="auto"/>
                <w:highlight w:val="none"/>
                <w:shd w:val="clear"/>
              </w:rPr>
              <w:t>条款号</w:t>
            </w:r>
          </w:p>
        </w:tc>
        <w:tc>
          <w:tcPr>
            <w:tcW w:w="758" w:type="pct"/>
            <w:noWrap w:val="0"/>
            <w:tcMar>
              <w:left w:w="75" w:type="dxa"/>
            </w:tcMar>
            <w:vAlign w:val="center"/>
          </w:tcPr>
          <w:p w14:paraId="55534A47">
            <w:pPr>
              <w:pStyle w:val="28"/>
              <w:rPr>
                <w:rFonts w:ascii="Times New Roman" w:hAnsi="Times New Roman"/>
                <w:color w:val="auto"/>
                <w:highlight w:val="none"/>
                <w:shd w:val="clear"/>
              </w:rPr>
            </w:pPr>
            <w:r>
              <w:rPr>
                <w:rFonts w:hint="eastAsia" w:ascii="Times New Roman" w:hAnsi="Times New Roman"/>
                <w:color w:val="auto"/>
                <w:highlight w:val="none"/>
                <w:shd w:val="clear"/>
              </w:rPr>
              <w:t>评审因素</w:t>
            </w:r>
          </w:p>
        </w:tc>
        <w:tc>
          <w:tcPr>
            <w:tcW w:w="460" w:type="pct"/>
            <w:noWrap w:val="0"/>
            <w:vAlign w:val="center"/>
          </w:tcPr>
          <w:p w14:paraId="5FF94A37">
            <w:pPr>
              <w:pStyle w:val="28"/>
              <w:rPr>
                <w:rFonts w:ascii="Times New Roman" w:hAnsi="Times New Roman"/>
                <w:color w:val="auto"/>
                <w:highlight w:val="none"/>
                <w:shd w:val="clear"/>
              </w:rPr>
            </w:pPr>
            <w:r>
              <w:rPr>
                <w:rFonts w:hint="eastAsia" w:ascii="Times New Roman" w:hAnsi="Times New Roman"/>
                <w:color w:val="auto"/>
                <w:highlight w:val="none"/>
                <w:shd w:val="clear"/>
              </w:rPr>
              <w:t>分值</w:t>
            </w:r>
          </w:p>
        </w:tc>
        <w:tc>
          <w:tcPr>
            <w:tcW w:w="2932" w:type="pct"/>
            <w:noWrap w:val="0"/>
            <w:vAlign w:val="center"/>
          </w:tcPr>
          <w:p w14:paraId="37E71397">
            <w:pPr>
              <w:pStyle w:val="28"/>
              <w:rPr>
                <w:rFonts w:ascii="Times New Roman" w:hAnsi="Times New Roman"/>
                <w:color w:val="auto"/>
                <w:highlight w:val="none"/>
                <w:shd w:val="clear"/>
              </w:rPr>
            </w:pPr>
            <w:r>
              <w:rPr>
                <w:rFonts w:hint="eastAsia" w:ascii="Times New Roman" w:hAnsi="Times New Roman"/>
                <w:color w:val="auto"/>
                <w:highlight w:val="none"/>
                <w:shd w:val="clear"/>
              </w:rPr>
              <w:t>评审标准</w:t>
            </w:r>
          </w:p>
        </w:tc>
      </w:tr>
      <w:tr w14:paraId="2F5D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restart"/>
            <w:noWrap w:val="0"/>
            <w:vAlign w:val="center"/>
          </w:tcPr>
          <w:p w14:paraId="47814A18">
            <w:pPr>
              <w:pStyle w:val="29"/>
              <w:rPr>
                <w:rFonts w:ascii="Times New Roman" w:hAnsi="Times New Roman"/>
                <w:b/>
                <w:color w:val="auto"/>
                <w:highlight w:val="none"/>
                <w:shd w:val="clear"/>
              </w:rPr>
            </w:pPr>
            <w:r>
              <w:rPr>
                <w:rFonts w:hint="eastAsia" w:ascii="Times New Roman" w:hAnsi="Times New Roman"/>
                <w:color w:val="auto"/>
                <w:highlight w:val="none"/>
                <w:shd w:val="clear"/>
              </w:rPr>
              <w:t>2.2.2（1）</w:t>
            </w:r>
          </w:p>
        </w:tc>
        <w:tc>
          <w:tcPr>
            <w:tcW w:w="527" w:type="pct"/>
            <w:vMerge w:val="restart"/>
            <w:noWrap w:val="0"/>
            <w:vAlign w:val="center"/>
          </w:tcPr>
          <w:p w14:paraId="1E356AA0">
            <w:pPr>
              <w:pStyle w:val="29"/>
              <w:rPr>
                <w:rFonts w:ascii="Times New Roman" w:hAnsi="Times New Roman"/>
                <w:b/>
                <w:color w:val="auto"/>
                <w:highlight w:val="none"/>
                <w:shd w:val="clear"/>
              </w:rPr>
            </w:pPr>
            <w:r>
              <w:rPr>
                <w:rFonts w:hint="eastAsia" w:ascii="Times New Roman" w:hAnsi="Times New Roman"/>
                <w:color w:val="auto"/>
                <w:highlight w:val="none"/>
                <w:shd w:val="clear"/>
              </w:rPr>
              <w:t>技术文件评分标准</w:t>
            </w:r>
          </w:p>
        </w:tc>
        <w:tc>
          <w:tcPr>
            <w:tcW w:w="758" w:type="pct"/>
            <w:shd w:val="clear" w:color="auto" w:fill="auto"/>
            <w:noWrap w:val="0"/>
            <w:tcMar>
              <w:left w:w="75" w:type="dxa"/>
            </w:tcMar>
            <w:vAlign w:val="center"/>
          </w:tcPr>
          <w:p w14:paraId="2B53C0C0">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主要施工方案与技术措施</w:t>
            </w:r>
          </w:p>
        </w:tc>
        <w:tc>
          <w:tcPr>
            <w:tcW w:w="460" w:type="pct"/>
            <w:shd w:val="clear" w:color="auto" w:fill="auto"/>
            <w:noWrap w:val="0"/>
            <w:vAlign w:val="center"/>
          </w:tcPr>
          <w:p w14:paraId="120C0276">
            <w:pPr>
              <w:pStyle w:val="29"/>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lang w:val="en-US" w:eastAsia="zh-CN"/>
              </w:rPr>
              <w:t>4</w:t>
            </w:r>
          </w:p>
        </w:tc>
        <w:tc>
          <w:tcPr>
            <w:tcW w:w="2932" w:type="pct"/>
            <w:shd w:val="clear" w:color="auto" w:fill="auto"/>
            <w:noWrap w:val="0"/>
            <w:vAlign w:val="center"/>
          </w:tcPr>
          <w:p w14:paraId="155B78CF">
            <w:pPr>
              <w:pStyle w:val="29"/>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依据各分部分项工程的主要</w:t>
            </w:r>
            <w:r>
              <w:rPr>
                <w:rFonts w:hint="eastAsia" w:ascii="Times New Roman" w:hAnsi="Times New Roman"/>
                <w:color w:val="auto"/>
                <w:highlight w:val="none"/>
                <w:shd w:val="clear"/>
                <w:lang w:eastAsia="ar-SA"/>
              </w:rPr>
              <w:t>施工方案与技术措施</w:t>
            </w:r>
            <w:r>
              <w:rPr>
                <w:rFonts w:hint="eastAsia" w:ascii="Times New Roman" w:hAnsi="Times New Roman"/>
                <w:color w:val="auto"/>
                <w:highlight w:val="none"/>
                <w:shd w:val="clear"/>
              </w:rPr>
              <w:t>进行评审。优良得</w:t>
            </w:r>
            <w:r>
              <w:rPr>
                <w:rFonts w:hint="eastAsia" w:ascii="Times New Roman" w:hAnsi="Times New Roman"/>
                <w:color w:val="auto"/>
                <w:highlight w:val="none"/>
                <w:shd w:val="clear"/>
                <w:lang w:val="en-US" w:eastAsia="zh-CN"/>
              </w:rPr>
              <w:t>2.8（不含）-4（含）</w:t>
            </w:r>
            <w:r>
              <w:rPr>
                <w:rFonts w:hint="eastAsia" w:ascii="Times New Roman" w:hAnsi="Times New Roman"/>
                <w:color w:val="auto"/>
                <w:highlight w:val="none"/>
                <w:shd w:val="clear"/>
              </w:rPr>
              <w:t>分，一般得</w:t>
            </w:r>
            <w:r>
              <w:rPr>
                <w:rFonts w:hint="eastAsia" w:ascii="Times New Roman" w:hAnsi="Times New Roman"/>
                <w:color w:val="auto"/>
                <w:highlight w:val="none"/>
                <w:shd w:val="clear"/>
                <w:lang w:val="en-US" w:eastAsia="zh-CN"/>
              </w:rPr>
              <w:t>1.6（不含）-2.8（含）</w:t>
            </w:r>
            <w:r>
              <w:rPr>
                <w:rFonts w:hint="eastAsia" w:ascii="Times New Roman" w:hAnsi="Times New Roman"/>
                <w:color w:val="auto"/>
                <w:highlight w:val="none"/>
                <w:shd w:val="clear"/>
              </w:rPr>
              <w:t>分，差的得</w:t>
            </w:r>
            <w:r>
              <w:rPr>
                <w:rFonts w:hint="eastAsia" w:ascii="Times New Roman" w:hAnsi="Times New Roman"/>
                <w:color w:val="auto"/>
                <w:highlight w:val="none"/>
                <w:shd w:val="clear"/>
                <w:lang w:val="en-US" w:eastAsia="zh-CN"/>
              </w:rPr>
              <w:t>0-1.6（含）</w:t>
            </w:r>
            <w:r>
              <w:rPr>
                <w:rFonts w:hint="eastAsia" w:ascii="Times New Roman" w:hAnsi="Times New Roman"/>
                <w:color w:val="auto"/>
                <w:highlight w:val="none"/>
                <w:shd w:val="clear"/>
              </w:rPr>
              <w:t>分。</w:t>
            </w:r>
          </w:p>
        </w:tc>
      </w:tr>
      <w:tr w14:paraId="5418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7EED3D27">
            <w:pPr>
              <w:pStyle w:val="29"/>
              <w:rPr>
                <w:rFonts w:ascii="Times New Roman" w:hAnsi="Times New Roman"/>
                <w:color w:val="auto"/>
                <w:highlight w:val="none"/>
                <w:shd w:val="clear"/>
              </w:rPr>
            </w:pPr>
          </w:p>
        </w:tc>
        <w:tc>
          <w:tcPr>
            <w:tcW w:w="527" w:type="pct"/>
            <w:vMerge w:val="continue"/>
            <w:noWrap w:val="0"/>
            <w:vAlign w:val="center"/>
          </w:tcPr>
          <w:p w14:paraId="240CC6DA">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3E60614C">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主要施工机械、设备进场计划</w:t>
            </w:r>
          </w:p>
        </w:tc>
        <w:tc>
          <w:tcPr>
            <w:tcW w:w="460" w:type="pct"/>
            <w:shd w:val="clear" w:color="auto" w:fill="auto"/>
            <w:noWrap w:val="0"/>
            <w:vAlign w:val="center"/>
          </w:tcPr>
          <w:p w14:paraId="348C8DB2">
            <w:pPr>
              <w:pStyle w:val="29"/>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lang w:val="en-US" w:eastAsia="zh-CN"/>
              </w:rPr>
              <w:t>4</w:t>
            </w:r>
          </w:p>
        </w:tc>
        <w:tc>
          <w:tcPr>
            <w:tcW w:w="2932" w:type="pct"/>
            <w:shd w:val="clear" w:color="auto" w:fill="auto"/>
            <w:noWrap w:val="0"/>
            <w:vAlign w:val="center"/>
          </w:tcPr>
          <w:p w14:paraId="6CF62493">
            <w:pPr>
              <w:pStyle w:val="29"/>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结合本工程特点，投入的施工机械、设备、机具有详细计划且计划周密，设备数量、选型配置、进场数量、时间安排合理，满足施工需要。优良得</w:t>
            </w:r>
            <w:r>
              <w:rPr>
                <w:rFonts w:hint="eastAsia" w:ascii="Times New Roman" w:hAnsi="Times New Roman"/>
                <w:color w:val="auto"/>
                <w:highlight w:val="none"/>
                <w:shd w:val="clear"/>
                <w:lang w:val="en-US" w:eastAsia="zh-CN"/>
              </w:rPr>
              <w:t>2.8（不含）-4（含）</w:t>
            </w:r>
            <w:r>
              <w:rPr>
                <w:rFonts w:hint="eastAsia" w:ascii="Times New Roman" w:hAnsi="Times New Roman"/>
                <w:color w:val="auto"/>
                <w:highlight w:val="none"/>
                <w:shd w:val="clear"/>
              </w:rPr>
              <w:t>分，一般得</w:t>
            </w:r>
            <w:r>
              <w:rPr>
                <w:rFonts w:hint="eastAsia" w:ascii="Times New Roman" w:hAnsi="Times New Roman"/>
                <w:color w:val="auto"/>
                <w:highlight w:val="none"/>
                <w:shd w:val="clear"/>
                <w:lang w:val="en-US" w:eastAsia="zh-CN"/>
              </w:rPr>
              <w:t>1.6（不含）-2.8（含）</w:t>
            </w:r>
            <w:r>
              <w:rPr>
                <w:rFonts w:hint="eastAsia" w:ascii="Times New Roman" w:hAnsi="Times New Roman"/>
                <w:color w:val="auto"/>
                <w:highlight w:val="none"/>
                <w:shd w:val="clear"/>
              </w:rPr>
              <w:t>分，差的得</w:t>
            </w:r>
            <w:r>
              <w:rPr>
                <w:rFonts w:hint="eastAsia" w:ascii="Times New Roman" w:hAnsi="Times New Roman"/>
                <w:color w:val="auto"/>
                <w:highlight w:val="none"/>
                <w:shd w:val="clear"/>
                <w:lang w:val="en-US" w:eastAsia="zh-CN"/>
              </w:rPr>
              <w:t>0-1.6（含）</w:t>
            </w:r>
            <w:r>
              <w:rPr>
                <w:rFonts w:hint="eastAsia" w:ascii="Times New Roman" w:hAnsi="Times New Roman"/>
                <w:color w:val="auto"/>
                <w:highlight w:val="none"/>
                <w:shd w:val="clear"/>
              </w:rPr>
              <w:t>分</w:t>
            </w:r>
          </w:p>
        </w:tc>
      </w:tr>
      <w:tr w14:paraId="014C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270F1831">
            <w:pPr>
              <w:pStyle w:val="29"/>
              <w:rPr>
                <w:rFonts w:ascii="Times New Roman" w:hAnsi="Times New Roman"/>
                <w:color w:val="auto"/>
                <w:highlight w:val="none"/>
                <w:shd w:val="clear"/>
              </w:rPr>
            </w:pPr>
          </w:p>
        </w:tc>
        <w:tc>
          <w:tcPr>
            <w:tcW w:w="527" w:type="pct"/>
            <w:vMerge w:val="continue"/>
            <w:noWrap w:val="0"/>
            <w:vAlign w:val="center"/>
          </w:tcPr>
          <w:p w14:paraId="3948EC59">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229A1240">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劳动力安排计划</w:t>
            </w:r>
          </w:p>
        </w:tc>
        <w:tc>
          <w:tcPr>
            <w:tcW w:w="460" w:type="pct"/>
            <w:shd w:val="clear" w:color="auto" w:fill="auto"/>
            <w:noWrap w:val="0"/>
            <w:vAlign w:val="center"/>
          </w:tcPr>
          <w:p w14:paraId="19BACC90">
            <w:pPr>
              <w:pStyle w:val="30"/>
              <w:framePr w:hSpace="0" w:wrap="auto" w:vAnchor="margin" w:hAnchor="text" w:xAlign="left" w:yAlign="inline"/>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s="仿宋"/>
                <w:bCs/>
                <w:color w:val="auto"/>
                <w:kern w:val="2"/>
                <w:sz w:val="21"/>
                <w:szCs w:val="24"/>
                <w:highlight w:val="none"/>
                <w:shd w:val="clear"/>
                <w:lang w:val="en-US" w:eastAsia="zh-CN" w:bidi="ar-SA"/>
              </w:rPr>
              <w:t>4</w:t>
            </w:r>
          </w:p>
        </w:tc>
        <w:tc>
          <w:tcPr>
            <w:tcW w:w="2932" w:type="pct"/>
            <w:shd w:val="clear" w:color="auto" w:fill="auto"/>
            <w:noWrap w:val="0"/>
            <w:vAlign w:val="center"/>
          </w:tcPr>
          <w:p w14:paraId="62693D3B">
            <w:pPr>
              <w:pStyle w:val="30"/>
              <w:framePr w:hSpace="0" w:wrap="auto" w:vAnchor="margin" w:hAnchor="text" w:xAlign="left" w:yAlign="inline"/>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结合本工程特点，各主要施工工序应有详细周密的劳动力安排计划明细，有各工种劳动力安排计划，劳动力投入经济合理，满足施工需要。</w:t>
            </w:r>
            <w:r>
              <w:rPr>
                <w:rFonts w:hint="eastAsia" w:ascii="Times New Roman" w:hAnsi="Times New Roman"/>
                <w:color w:val="auto"/>
                <w:highlight w:val="none"/>
                <w:shd w:val="clear"/>
              </w:rPr>
              <w:t>优良得</w:t>
            </w:r>
            <w:r>
              <w:rPr>
                <w:rFonts w:hint="eastAsia" w:ascii="Times New Roman" w:hAnsi="Times New Roman"/>
                <w:color w:val="auto"/>
                <w:highlight w:val="none"/>
                <w:shd w:val="clear"/>
                <w:lang w:val="en-US" w:eastAsia="zh-CN"/>
              </w:rPr>
              <w:t>2.8（不含）-4（含）</w:t>
            </w:r>
            <w:r>
              <w:rPr>
                <w:rFonts w:hint="eastAsia" w:ascii="Times New Roman" w:hAnsi="Times New Roman"/>
                <w:color w:val="auto"/>
                <w:highlight w:val="none"/>
                <w:shd w:val="clear"/>
              </w:rPr>
              <w:t>分，一般得</w:t>
            </w:r>
            <w:r>
              <w:rPr>
                <w:rFonts w:hint="eastAsia" w:ascii="Times New Roman" w:hAnsi="Times New Roman"/>
                <w:color w:val="auto"/>
                <w:highlight w:val="none"/>
                <w:shd w:val="clear"/>
                <w:lang w:val="en-US" w:eastAsia="zh-CN"/>
              </w:rPr>
              <w:t>1.6（不含）-2.8（含）</w:t>
            </w:r>
            <w:r>
              <w:rPr>
                <w:rFonts w:hint="eastAsia" w:ascii="Times New Roman" w:hAnsi="Times New Roman"/>
                <w:color w:val="auto"/>
                <w:highlight w:val="none"/>
                <w:shd w:val="clear"/>
              </w:rPr>
              <w:t>分，差的得</w:t>
            </w:r>
            <w:r>
              <w:rPr>
                <w:rFonts w:hint="eastAsia" w:ascii="Times New Roman" w:hAnsi="Times New Roman"/>
                <w:color w:val="auto"/>
                <w:highlight w:val="none"/>
                <w:shd w:val="clear"/>
                <w:lang w:val="en-US" w:eastAsia="zh-CN"/>
              </w:rPr>
              <w:t>0-1.6（含）</w:t>
            </w:r>
            <w:r>
              <w:rPr>
                <w:rFonts w:hint="eastAsia" w:ascii="Times New Roman" w:hAnsi="Times New Roman"/>
                <w:color w:val="auto"/>
                <w:highlight w:val="none"/>
                <w:shd w:val="clear"/>
              </w:rPr>
              <w:t>分</w:t>
            </w:r>
            <w:r>
              <w:rPr>
                <w:rFonts w:hint="eastAsia" w:ascii="Times New Roman" w:hAnsi="Times New Roman"/>
                <w:color w:val="auto"/>
                <w:highlight w:val="none"/>
                <w:shd w:val="clear"/>
                <w:lang w:eastAsia="zh-CN"/>
              </w:rPr>
              <w:t>。</w:t>
            </w:r>
          </w:p>
        </w:tc>
      </w:tr>
      <w:tr w14:paraId="187E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1C93C7A4">
            <w:pPr>
              <w:pStyle w:val="29"/>
              <w:rPr>
                <w:rFonts w:ascii="Times New Roman" w:hAnsi="Times New Roman"/>
                <w:color w:val="auto"/>
                <w:highlight w:val="none"/>
                <w:shd w:val="clear"/>
              </w:rPr>
            </w:pPr>
          </w:p>
        </w:tc>
        <w:tc>
          <w:tcPr>
            <w:tcW w:w="527" w:type="pct"/>
            <w:vMerge w:val="continue"/>
            <w:noWrap w:val="0"/>
            <w:vAlign w:val="center"/>
          </w:tcPr>
          <w:p w14:paraId="6548CFD8">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159EA9F3">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确保工程质量的管理体系与措施</w:t>
            </w:r>
          </w:p>
        </w:tc>
        <w:tc>
          <w:tcPr>
            <w:tcW w:w="460" w:type="pct"/>
            <w:shd w:val="clear" w:color="auto" w:fill="auto"/>
            <w:noWrap w:val="0"/>
            <w:vAlign w:val="center"/>
          </w:tcPr>
          <w:p w14:paraId="0CE8CCDA">
            <w:pPr>
              <w:pStyle w:val="30"/>
              <w:framePr w:hSpace="0" w:wrap="auto" w:vAnchor="margin" w:hAnchor="text" w:xAlign="left" w:yAlign="inline"/>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s="仿宋"/>
                <w:bCs/>
                <w:color w:val="auto"/>
                <w:kern w:val="2"/>
                <w:sz w:val="21"/>
                <w:szCs w:val="24"/>
                <w:highlight w:val="none"/>
                <w:shd w:val="clear"/>
                <w:lang w:val="en-US" w:eastAsia="zh-CN" w:bidi="ar-SA"/>
              </w:rPr>
              <w:t>4</w:t>
            </w:r>
          </w:p>
        </w:tc>
        <w:tc>
          <w:tcPr>
            <w:tcW w:w="2932" w:type="pct"/>
            <w:shd w:val="clear" w:color="auto" w:fill="auto"/>
            <w:noWrap w:val="0"/>
            <w:vAlign w:val="center"/>
          </w:tcPr>
          <w:p w14:paraId="3F1F47D2">
            <w:pPr>
              <w:pStyle w:val="30"/>
              <w:framePr w:hSpace="0" w:wrap="auto" w:vAnchor="margin" w:hAnchor="text" w:xAlign="left" w:yAlign="inline"/>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结合本工程特点，依据投标人提出的确保工程质量的管理体系与措施进行评审</w:t>
            </w:r>
            <w:r>
              <w:rPr>
                <w:rFonts w:hint="eastAsia" w:ascii="Times New Roman" w:hAnsi="Times New Roman" w:eastAsia="宋体" w:cs="仿宋"/>
                <w:bCs/>
                <w:color w:val="auto"/>
                <w:kern w:val="2"/>
                <w:sz w:val="21"/>
                <w:szCs w:val="24"/>
                <w:highlight w:val="none"/>
                <w:shd w:val="clear"/>
                <w:lang w:val="en-US" w:eastAsia="ar-SA" w:bidi="ar-SA"/>
              </w:rPr>
              <w:t>。</w:t>
            </w:r>
            <w:r>
              <w:rPr>
                <w:rFonts w:hint="eastAsia" w:ascii="Times New Roman" w:hAnsi="Times New Roman"/>
                <w:color w:val="auto"/>
                <w:highlight w:val="none"/>
                <w:shd w:val="clear"/>
              </w:rPr>
              <w:t>优良得</w:t>
            </w:r>
            <w:r>
              <w:rPr>
                <w:rFonts w:hint="eastAsia" w:ascii="Times New Roman" w:hAnsi="Times New Roman"/>
                <w:color w:val="auto"/>
                <w:highlight w:val="none"/>
                <w:shd w:val="clear"/>
                <w:lang w:val="en-US" w:eastAsia="zh-CN"/>
              </w:rPr>
              <w:t>2.8（不含）-4（含）</w:t>
            </w:r>
            <w:r>
              <w:rPr>
                <w:rFonts w:hint="eastAsia" w:ascii="Times New Roman" w:hAnsi="Times New Roman"/>
                <w:color w:val="auto"/>
                <w:highlight w:val="none"/>
                <w:shd w:val="clear"/>
              </w:rPr>
              <w:t>分，一般得</w:t>
            </w:r>
            <w:r>
              <w:rPr>
                <w:rFonts w:hint="eastAsia" w:ascii="Times New Roman" w:hAnsi="Times New Roman"/>
                <w:color w:val="auto"/>
                <w:highlight w:val="none"/>
                <w:shd w:val="clear"/>
                <w:lang w:val="en-US" w:eastAsia="zh-CN"/>
              </w:rPr>
              <w:t>1.6（不含）-2.8（含）</w:t>
            </w:r>
            <w:r>
              <w:rPr>
                <w:rFonts w:hint="eastAsia" w:ascii="Times New Roman" w:hAnsi="Times New Roman"/>
                <w:color w:val="auto"/>
                <w:highlight w:val="none"/>
                <w:shd w:val="clear"/>
              </w:rPr>
              <w:t>分，差的得</w:t>
            </w:r>
            <w:r>
              <w:rPr>
                <w:rFonts w:hint="eastAsia" w:ascii="Times New Roman" w:hAnsi="Times New Roman"/>
                <w:color w:val="auto"/>
                <w:highlight w:val="none"/>
                <w:shd w:val="clear"/>
                <w:lang w:val="en-US" w:eastAsia="zh-CN"/>
              </w:rPr>
              <w:t>0-1.6（含）</w:t>
            </w:r>
            <w:r>
              <w:rPr>
                <w:rFonts w:hint="eastAsia" w:ascii="Times New Roman" w:hAnsi="Times New Roman"/>
                <w:color w:val="auto"/>
                <w:highlight w:val="none"/>
                <w:shd w:val="clear"/>
              </w:rPr>
              <w:t>分</w:t>
            </w:r>
            <w:r>
              <w:rPr>
                <w:rFonts w:hint="eastAsia" w:ascii="Times New Roman" w:hAnsi="Times New Roman"/>
                <w:color w:val="auto"/>
                <w:highlight w:val="none"/>
                <w:shd w:val="clear"/>
                <w:lang w:eastAsia="zh-CN"/>
              </w:rPr>
              <w:t>。</w:t>
            </w:r>
          </w:p>
        </w:tc>
      </w:tr>
      <w:tr w14:paraId="6AA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499F36AA">
            <w:pPr>
              <w:pStyle w:val="29"/>
              <w:rPr>
                <w:rFonts w:ascii="Times New Roman" w:hAnsi="Times New Roman"/>
                <w:color w:val="auto"/>
                <w:highlight w:val="none"/>
                <w:shd w:val="clear"/>
              </w:rPr>
            </w:pPr>
          </w:p>
        </w:tc>
        <w:tc>
          <w:tcPr>
            <w:tcW w:w="527" w:type="pct"/>
            <w:vMerge w:val="continue"/>
            <w:noWrap w:val="0"/>
            <w:vAlign w:val="center"/>
          </w:tcPr>
          <w:p w14:paraId="124ACB03">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356E2E84">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确保安全生产的管理体系与措施</w:t>
            </w:r>
          </w:p>
        </w:tc>
        <w:tc>
          <w:tcPr>
            <w:tcW w:w="460" w:type="pct"/>
            <w:shd w:val="clear" w:color="auto" w:fill="auto"/>
            <w:noWrap w:val="0"/>
            <w:vAlign w:val="center"/>
          </w:tcPr>
          <w:p w14:paraId="5798BB5F">
            <w:pPr>
              <w:pStyle w:val="30"/>
              <w:framePr w:hSpace="0" w:wrap="auto" w:vAnchor="margin" w:hAnchor="text" w:xAlign="left" w:yAlign="inline"/>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3</w:t>
            </w:r>
          </w:p>
        </w:tc>
        <w:tc>
          <w:tcPr>
            <w:tcW w:w="2932" w:type="pct"/>
            <w:shd w:val="clear" w:color="auto" w:fill="auto"/>
            <w:noWrap w:val="0"/>
            <w:vAlign w:val="center"/>
          </w:tcPr>
          <w:p w14:paraId="75A636FB">
            <w:pPr>
              <w:pStyle w:val="30"/>
              <w:framePr w:hSpace="0" w:wrap="auto" w:vAnchor="margin" w:hAnchor="text" w:xAlign="left" w:yAlign="inline"/>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结合本工程特点，依据投标人提出的确保安全生产的管理体系与措施进行评审</w:t>
            </w:r>
            <w:r>
              <w:rPr>
                <w:rFonts w:hint="eastAsia" w:ascii="Times New Roman" w:hAnsi="Times New Roman" w:eastAsia="宋体" w:cs="仿宋"/>
                <w:bCs/>
                <w:color w:val="auto"/>
                <w:kern w:val="2"/>
                <w:sz w:val="21"/>
                <w:szCs w:val="24"/>
                <w:highlight w:val="none"/>
                <w:shd w:val="clear"/>
                <w:lang w:val="en-US" w:eastAsia="ar-SA" w:bidi="ar-SA"/>
              </w:rPr>
              <w:t>。</w:t>
            </w:r>
            <w:r>
              <w:rPr>
                <w:rFonts w:hint="eastAsia" w:ascii="Times New Roman" w:hAnsi="Times New Roman" w:eastAsia="宋体" w:cs="仿宋"/>
                <w:bCs/>
                <w:color w:val="auto"/>
                <w:kern w:val="2"/>
                <w:sz w:val="21"/>
                <w:szCs w:val="24"/>
                <w:highlight w:val="none"/>
                <w:shd w:val="clear"/>
                <w:lang w:val="en-US" w:eastAsia="zh-CN" w:bidi="ar-SA"/>
              </w:rPr>
              <w:t>优良得2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-3</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分，一般得1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分，差的得0-1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w:t>
            </w:r>
          </w:p>
        </w:tc>
      </w:tr>
      <w:tr w14:paraId="4263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2CA386BF">
            <w:pPr>
              <w:pStyle w:val="29"/>
              <w:rPr>
                <w:rFonts w:ascii="Times New Roman" w:hAnsi="Times New Roman"/>
                <w:color w:val="auto"/>
                <w:highlight w:val="none"/>
                <w:shd w:val="clear"/>
              </w:rPr>
            </w:pPr>
          </w:p>
        </w:tc>
        <w:tc>
          <w:tcPr>
            <w:tcW w:w="527" w:type="pct"/>
            <w:vMerge w:val="continue"/>
            <w:noWrap w:val="0"/>
            <w:vAlign w:val="center"/>
          </w:tcPr>
          <w:p w14:paraId="53ADD2FA">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5A1A594E">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lang w:eastAsia="ar-SA"/>
              </w:rPr>
              <w:t>工程进度计划与措施及施工网络图</w:t>
            </w:r>
          </w:p>
        </w:tc>
        <w:tc>
          <w:tcPr>
            <w:tcW w:w="460" w:type="pct"/>
            <w:shd w:val="clear" w:color="auto" w:fill="auto"/>
            <w:noWrap w:val="0"/>
            <w:vAlign w:val="center"/>
          </w:tcPr>
          <w:p w14:paraId="60050656">
            <w:pPr>
              <w:pStyle w:val="30"/>
              <w:framePr w:hSpace="0" w:wrap="auto" w:vAnchor="margin" w:hAnchor="text" w:xAlign="left" w:yAlign="inline"/>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3</w:t>
            </w:r>
          </w:p>
        </w:tc>
        <w:tc>
          <w:tcPr>
            <w:tcW w:w="2932" w:type="pct"/>
            <w:shd w:val="clear" w:color="auto" w:fill="auto"/>
            <w:noWrap w:val="0"/>
            <w:vAlign w:val="center"/>
          </w:tcPr>
          <w:p w14:paraId="220B72E0">
            <w:pPr>
              <w:pStyle w:val="30"/>
              <w:framePr w:hSpace="0" w:wrap="auto" w:vAnchor="margin" w:hAnchor="text" w:xAlign="left" w:yAlign="inline"/>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结合本工程特点，</w:t>
            </w:r>
            <w:r>
              <w:rPr>
                <w:rFonts w:hint="eastAsia" w:ascii="Times New Roman" w:hAnsi="Times New Roman" w:eastAsia="宋体" w:cs="仿宋"/>
                <w:bCs/>
                <w:color w:val="auto"/>
                <w:kern w:val="2"/>
                <w:sz w:val="21"/>
                <w:szCs w:val="24"/>
                <w:highlight w:val="none"/>
                <w:shd w:val="clear"/>
                <w:lang w:val="en-US" w:eastAsia="ar-SA" w:bidi="ar-SA"/>
              </w:rPr>
              <w:t>依据投标人提出的工程进度网络计划及保证措施进行评审。</w:t>
            </w:r>
            <w:r>
              <w:rPr>
                <w:rFonts w:hint="eastAsia" w:ascii="Times New Roman" w:hAnsi="Times New Roman" w:eastAsia="宋体" w:cs="仿宋"/>
                <w:bCs/>
                <w:color w:val="auto"/>
                <w:kern w:val="2"/>
                <w:sz w:val="21"/>
                <w:szCs w:val="24"/>
                <w:highlight w:val="none"/>
                <w:shd w:val="clear"/>
                <w:lang w:val="en-US" w:eastAsia="zh-CN" w:bidi="ar-SA"/>
              </w:rPr>
              <w:t>优良得2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-3</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分，一般得1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分，差的得0-1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w:t>
            </w:r>
          </w:p>
        </w:tc>
      </w:tr>
      <w:tr w14:paraId="0216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2BC0CFE2">
            <w:pPr>
              <w:pStyle w:val="29"/>
              <w:rPr>
                <w:rFonts w:ascii="Times New Roman" w:hAnsi="Times New Roman"/>
                <w:color w:val="auto"/>
                <w:highlight w:val="none"/>
                <w:shd w:val="clear"/>
              </w:rPr>
            </w:pPr>
          </w:p>
        </w:tc>
        <w:tc>
          <w:tcPr>
            <w:tcW w:w="527" w:type="pct"/>
            <w:vMerge w:val="continue"/>
            <w:noWrap w:val="0"/>
            <w:vAlign w:val="center"/>
          </w:tcPr>
          <w:p w14:paraId="4419C23B">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262EC88F">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确保</w:t>
            </w:r>
            <w:r>
              <w:rPr>
                <w:rFonts w:hint="eastAsia" w:ascii="Times New Roman" w:hAnsi="Times New Roman"/>
                <w:color w:val="auto"/>
                <w:highlight w:val="none"/>
                <w:shd w:val="clear"/>
                <w:lang w:eastAsia="ar-SA"/>
              </w:rPr>
              <w:t>文明</w:t>
            </w:r>
            <w:r>
              <w:rPr>
                <w:rFonts w:hint="eastAsia" w:ascii="Times New Roman" w:hAnsi="Times New Roman"/>
                <w:color w:val="auto"/>
                <w:highlight w:val="none"/>
                <w:shd w:val="clear"/>
              </w:rPr>
              <w:t>施工的管理体系与措施</w:t>
            </w:r>
          </w:p>
        </w:tc>
        <w:tc>
          <w:tcPr>
            <w:tcW w:w="460" w:type="pct"/>
            <w:shd w:val="clear" w:color="auto" w:fill="auto"/>
            <w:noWrap w:val="0"/>
            <w:vAlign w:val="center"/>
          </w:tcPr>
          <w:p w14:paraId="38107BD8">
            <w:pPr>
              <w:pStyle w:val="29"/>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3</w:t>
            </w:r>
          </w:p>
        </w:tc>
        <w:tc>
          <w:tcPr>
            <w:tcW w:w="2932" w:type="pct"/>
            <w:shd w:val="clear" w:color="auto" w:fill="auto"/>
            <w:noWrap w:val="0"/>
            <w:vAlign w:val="center"/>
          </w:tcPr>
          <w:p w14:paraId="45FA67E2">
            <w:pPr>
              <w:pStyle w:val="29"/>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结合本工程特点，依据投标人提出的确保文明施工的管理体系与措施进行评审</w:t>
            </w:r>
            <w:r>
              <w:rPr>
                <w:rFonts w:hint="eastAsia" w:ascii="Times New Roman" w:hAnsi="Times New Roman" w:eastAsia="宋体" w:cs="仿宋"/>
                <w:bCs/>
                <w:color w:val="auto"/>
                <w:kern w:val="2"/>
                <w:sz w:val="21"/>
                <w:szCs w:val="24"/>
                <w:highlight w:val="none"/>
                <w:shd w:val="clear"/>
                <w:lang w:val="en-US" w:eastAsia="ar-SA" w:bidi="ar-SA"/>
              </w:rPr>
              <w:t>。</w:t>
            </w:r>
            <w:r>
              <w:rPr>
                <w:rFonts w:hint="eastAsia" w:ascii="Times New Roman" w:hAnsi="Times New Roman" w:eastAsia="宋体" w:cs="仿宋"/>
                <w:bCs/>
                <w:color w:val="auto"/>
                <w:kern w:val="2"/>
                <w:sz w:val="21"/>
                <w:szCs w:val="24"/>
                <w:highlight w:val="none"/>
                <w:shd w:val="clear"/>
                <w:lang w:val="en-US" w:eastAsia="zh-CN" w:bidi="ar-SA"/>
              </w:rPr>
              <w:t>优良得2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-3</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分，一般得1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分，差的得0-1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w:t>
            </w:r>
          </w:p>
        </w:tc>
      </w:tr>
      <w:tr w14:paraId="623E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5C7992D0">
            <w:pPr>
              <w:pStyle w:val="29"/>
              <w:rPr>
                <w:rFonts w:ascii="Times New Roman" w:hAnsi="Times New Roman"/>
                <w:color w:val="auto"/>
                <w:highlight w:val="none"/>
                <w:shd w:val="clear"/>
              </w:rPr>
            </w:pPr>
          </w:p>
        </w:tc>
        <w:tc>
          <w:tcPr>
            <w:tcW w:w="527" w:type="pct"/>
            <w:vMerge w:val="continue"/>
            <w:noWrap w:val="0"/>
            <w:vAlign w:val="center"/>
          </w:tcPr>
          <w:p w14:paraId="7244254C">
            <w:pPr>
              <w:pStyle w:val="29"/>
              <w:rPr>
                <w:rFonts w:ascii="Times New Roman" w:hAnsi="Times New Roman"/>
                <w:color w:val="auto"/>
                <w:highlight w:val="none"/>
                <w:shd w:val="clear"/>
              </w:rPr>
            </w:pPr>
          </w:p>
        </w:tc>
        <w:tc>
          <w:tcPr>
            <w:tcW w:w="758" w:type="pct"/>
            <w:shd w:val="clear" w:color="auto" w:fill="auto"/>
            <w:noWrap w:val="0"/>
            <w:tcMar>
              <w:left w:w="75" w:type="dxa"/>
            </w:tcMar>
            <w:vAlign w:val="center"/>
          </w:tcPr>
          <w:p w14:paraId="5434664B">
            <w:pPr>
              <w:pStyle w:val="29"/>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color w:val="auto"/>
                <w:highlight w:val="none"/>
                <w:shd w:val="clear"/>
              </w:rPr>
              <w:t>总体筹划与总平面</w:t>
            </w:r>
            <w:r>
              <w:rPr>
                <w:rFonts w:hint="eastAsia" w:ascii="Times New Roman" w:hAnsi="Times New Roman"/>
                <w:color w:val="auto"/>
                <w:highlight w:val="none"/>
                <w:shd w:val="clear"/>
                <w:lang w:eastAsia="ar-SA"/>
              </w:rPr>
              <w:t>布置</w:t>
            </w:r>
          </w:p>
        </w:tc>
        <w:tc>
          <w:tcPr>
            <w:tcW w:w="460" w:type="pct"/>
            <w:shd w:val="clear" w:color="auto" w:fill="auto"/>
            <w:noWrap w:val="0"/>
            <w:vAlign w:val="center"/>
          </w:tcPr>
          <w:p w14:paraId="2CA4D9BB">
            <w:pPr>
              <w:pStyle w:val="29"/>
              <w:jc w:val="center"/>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3</w:t>
            </w:r>
          </w:p>
        </w:tc>
        <w:tc>
          <w:tcPr>
            <w:tcW w:w="2932" w:type="pct"/>
            <w:shd w:val="clear" w:color="auto" w:fill="auto"/>
            <w:noWrap w:val="0"/>
            <w:vAlign w:val="center"/>
          </w:tcPr>
          <w:p w14:paraId="1A9092DC">
            <w:pPr>
              <w:pStyle w:val="29"/>
              <w:jc w:val="left"/>
              <w:rPr>
                <w:rFonts w:ascii="Times New Roman" w:hAnsi="Times New Roman" w:eastAsia="宋体" w:cs="仿宋"/>
                <w:b/>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结合本工程特点，依据投标人提出的施工总体筹划、目标、</w:t>
            </w:r>
            <w:r>
              <w:rPr>
                <w:rFonts w:hint="eastAsia" w:ascii="Times New Roman" w:hAnsi="Times New Roman" w:eastAsia="宋体" w:cs="仿宋"/>
                <w:bCs/>
                <w:color w:val="auto"/>
                <w:kern w:val="2"/>
                <w:sz w:val="21"/>
                <w:szCs w:val="24"/>
                <w:highlight w:val="none"/>
                <w:shd w:val="clear"/>
                <w:lang w:val="en-US" w:eastAsia="ar-SA" w:bidi="ar-SA"/>
              </w:rPr>
              <w:t>节点</w:t>
            </w:r>
            <w:r>
              <w:rPr>
                <w:rFonts w:hint="eastAsia" w:ascii="Times New Roman" w:hAnsi="Times New Roman" w:eastAsia="宋体" w:cs="仿宋"/>
                <w:bCs/>
                <w:color w:val="auto"/>
                <w:kern w:val="2"/>
                <w:sz w:val="21"/>
                <w:szCs w:val="24"/>
                <w:highlight w:val="none"/>
                <w:shd w:val="clear"/>
                <w:lang w:val="en-US" w:eastAsia="zh-CN" w:bidi="ar-SA"/>
              </w:rPr>
              <w:t>、关键工序及工期保障，施工场地布置等进行评审。优良得2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-3</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分，一般得1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（不含）</w:t>
            </w:r>
            <w:r>
              <w:rPr>
                <w:rFonts w:hint="eastAsia" w:ascii="Times New Roman" w:hAnsi="Times New Roman" w:eastAsia="宋体" w:cs="仿宋"/>
                <w:bCs/>
                <w:color w:val="auto"/>
                <w:kern w:val="2"/>
                <w:sz w:val="21"/>
                <w:szCs w:val="24"/>
                <w:highlight w:val="none"/>
                <w:shd w:val="clear"/>
                <w:lang w:val="en-US" w:eastAsia="zh-CN" w:bidi="ar-SA"/>
              </w:rPr>
              <w:t>-2</w:t>
            </w:r>
            <w:r>
              <w:rPr>
                <w:rFonts w:hint="eastAsia" w:ascii="Times New Roman" w:hAnsi="Times New Roman" w:cs="仿宋"/>
                <w:bCs/>
                <w:color w:val="auto"/>
                <w:kern w:val="2"/>
                <w:sz w:val="21"/>
                <w:szCs w:val="24"/>
                <w:highlight w:val="none"/>
                <w:shd w:val="clear"/>
                <w:lang w:val="en-US" w:eastAsia="zh-CN" w:bidi="ar-SA"/>
              </w:rPr>
              <w:t>.1</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分，差的得0-1</w:t>
            </w:r>
            <w:r>
              <w:rPr>
                <w:rFonts w:hint="eastAsia" w:ascii="Times New Roman" w:hAnsi="Times New Roman" w:cs="仿宋"/>
                <w:bCs/>
                <w:color w:val="auto"/>
                <w:kern w:val="2"/>
                <w:sz w:val="21"/>
                <w:szCs w:val="24"/>
                <w:highlight w:val="none"/>
                <w:shd w:val="clear"/>
                <w:lang w:val="en-US" w:eastAsia="zh-CN" w:bidi="ar-SA"/>
              </w:rPr>
              <w:t>.2</w:t>
            </w:r>
            <w:r>
              <w:rPr>
                <w:rFonts w:hint="eastAsia" w:ascii="Times New Roman" w:hAnsi="Times New Roman"/>
                <w:color w:val="auto"/>
                <w:highlight w:val="none"/>
                <w:shd w:val="clear"/>
                <w:lang w:val="en-US" w:eastAsia="zh-CN"/>
              </w:rPr>
              <w:t>（含）</w:t>
            </w:r>
            <w:r>
              <w:rPr>
                <w:rFonts w:hint="eastAsia" w:ascii="Times New Roman" w:hAnsi="Times New Roman" w:eastAsia="宋体" w:cs="仿宋"/>
                <w:bCs/>
                <w:color w:val="auto"/>
                <w:kern w:val="2"/>
                <w:sz w:val="21"/>
                <w:szCs w:val="24"/>
                <w:highlight w:val="none"/>
                <w:shd w:val="clear"/>
                <w:lang w:val="en-US" w:eastAsia="zh-CN" w:bidi="ar-SA"/>
              </w:rPr>
              <w:t>分。</w:t>
            </w:r>
          </w:p>
        </w:tc>
      </w:tr>
      <w:tr w14:paraId="681A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4089EFE5">
            <w:pPr>
              <w:pStyle w:val="29"/>
              <w:rPr>
                <w:rFonts w:ascii="Times New Roman" w:hAnsi="Times New Roman"/>
                <w:color w:val="auto"/>
                <w:highlight w:val="none"/>
                <w:shd w:val="clear"/>
              </w:rPr>
            </w:pPr>
          </w:p>
        </w:tc>
        <w:tc>
          <w:tcPr>
            <w:tcW w:w="527" w:type="pct"/>
            <w:vMerge w:val="continue"/>
            <w:noWrap w:val="0"/>
            <w:vAlign w:val="center"/>
          </w:tcPr>
          <w:p w14:paraId="099FFDF1">
            <w:pPr>
              <w:pStyle w:val="29"/>
              <w:rPr>
                <w:rFonts w:ascii="Times New Roman" w:hAnsi="Times New Roman"/>
                <w:color w:val="auto"/>
                <w:highlight w:val="none"/>
                <w:shd w:val="clear"/>
              </w:rPr>
            </w:pPr>
          </w:p>
        </w:tc>
        <w:tc>
          <w:tcPr>
            <w:tcW w:w="758" w:type="pct"/>
            <w:noWrap w:val="0"/>
            <w:tcMar>
              <w:left w:w="75" w:type="dxa"/>
            </w:tcMar>
            <w:vAlign w:val="center"/>
          </w:tcPr>
          <w:p w14:paraId="206036E8">
            <w:pPr>
              <w:pStyle w:val="29"/>
              <w:rPr>
                <w:rFonts w:ascii="Times New Roman" w:hAnsi="Times New Roman"/>
                <w:color w:val="auto"/>
                <w:highlight w:val="none"/>
                <w:shd w:val="clear"/>
              </w:rPr>
            </w:pPr>
            <w:r>
              <w:rPr>
                <w:rFonts w:hint="eastAsia" w:ascii="Times New Roman" w:hAnsi="Times New Roman"/>
                <w:color w:val="auto"/>
                <w:highlight w:val="none"/>
                <w:shd w:val="clear"/>
              </w:rPr>
              <w:t>技术文件（横向暗标）格式扣分</w:t>
            </w:r>
          </w:p>
        </w:tc>
        <w:tc>
          <w:tcPr>
            <w:tcW w:w="460" w:type="pct"/>
            <w:noWrap w:val="0"/>
            <w:vAlign w:val="center"/>
          </w:tcPr>
          <w:p w14:paraId="0A3814D9">
            <w:pPr>
              <w:pStyle w:val="29"/>
              <w:rPr>
                <w:rFonts w:ascii="Times New Roman" w:hAnsi="Times New Roman"/>
                <w:b/>
                <w:color w:val="auto"/>
                <w:highlight w:val="none"/>
                <w:shd w:val="clear"/>
              </w:rPr>
            </w:pPr>
          </w:p>
        </w:tc>
        <w:tc>
          <w:tcPr>
            <w:tcW w:w="2932" w:type="pct"/>
            <w:noWrap w:val="0"/>
            <w:vAlign w:val="center"/>
          </w:tcPr>
          <w:p w14:paraId="27817AA5">
            <w:pPr>
              <w:pStyle w:val="30"/>
              <w:framePr w:hSpace="0" w:wrap="auto" w:vAnchor="margin" w:hAnchor="text" w:xAlign="left" w:yAlign="inline"/>
              <w:jc w:val="left"/>
              <w:rPr>
                <w:rFonts w:hint="eastAsia" w:ascii="Times New Roman" w:hAnsi="Times New Roman" w:eastAsia="宋体" w:cs="仿宋"/>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（1）投标人制作的技术文件的格式、制作不符合招标文件要求的，该部分对应的评审因素扣0.2分。</w:t>
            </w:r>
          </w:p>
          <w:p w14:paraId="1C0251FB">
            <w:pPr>
              <w:pStyle w:val="30"/>
              <w:framePr w:hSpace="0" w:wrap="auto" w:vAnchor="margin" w:hAnchor="text" w:xAlign="left" w:yAlign="inline"/>
              <w:jc w:val="left"/>
              <w:rPr>
                <w:rFonts w:hint="eastAsia" w:ascii="Times New Roman" w:hAnsi="Times New Roman" w:eastAsia="宋体" w:cs="仿宋"/>
                <w:bCs/>
                <w:color w:val="auto"/>
                <w:kern w:val="2"/>
                <w:sz w:val="21"/>
                <w:szCs w:val="24"/>
                <w:highlight w:val="none"/>
                <w:shd w:val="clear"/>
                <w:lang w:val="en-US" w:eastAsia="zh-CN" w:bidi="ar-SA"/>
              </w:rPr>
            </w:pPr>
            <w:r>
              <w:rPr>
                <w:rFonts w:hint="eastAsia" w:ascii="Times New Roman" w:hAnsi="Times New Roman" w:eastAsia="宋体" w:cs="仿宋"/>
                <w:bCs/>
                <w:color w:val="auto"/>
                <w:kern w:val="2"/>
                <w:sz w:val="21"/>
                <w:szCs w:val="24"/>
                <w:highlight w:val="none"/>
                <w:shd w:val="clear"/>
                <w:lang w:val="en-US" w:eastAsia="zh-CN" w:bidi="ar-SA"/>
              </w:rPr>
              <w:t>（2）投标人制作的技术文件页数超过招标文件要求的，该部分对应的评审因素扣0.3分。</w:t>
            </w:r>
          </w:p>
          <w:p w14:paraId="076B95FC">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eastAsia="宋体" w:cs="仿宋"/>
                <w:bCs/>
                <w:color w:val="auto"/>
                <w:kern w:val="2"/>
                <w:sz w:val="21"/>
                <w:szCs w:val="24"/>
                <w:highlight w:val="none"/>
                <w:shd w:val="clear"/>
                <w:lang w:val="en-US" w:eastAsia="zh-CN" w:bidi="ar-SA"/>
              </w:rPr>
              <w:t>（3）投标人制作的技术文件出现泄露投标人及个人信息的文字、图片、图表、音视频等资料，该部分对应的评审因素作零分处理。</w:t>
            </w:r>
          </w:p>
        </w:tc>
      </w:tr>
      <w:tr w14:paraId="361D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restart"/>
            <w:shd w:val="clear" w:color="auto" w:fill="auto"/>
            <w:noWrap w:val="0"/>
            <w:vAlign w:val="center"/>
          </w:tcPr>
          <w:p w14:paraId="22351E84">
            <w:pPr>
              <w:pStyle w:val="29"/>
              <w:rPr>
                <w:rFonts w:ascii="Times New Roman" w:hAnsi="Times New Roman" w:eastAsia="宋体" w:cs="仿宋"/>
                <w:bCs/>
                <w:color w:val="auto"/>
                <w:kern w:val="2"/>
                <w:sz w:val="21"/>
                <w:szCs w:val="24"/>
                <w:highlight w:val="none"/>
                <w:shd w:val="clear"/>
                <w:lang w:val="en-US" w:eastAsia="zh-CN" w:bidi="ar-SA"/>
              </w:rPr>
            </w:pPr>
            <w:r>
              <w:rPr>
                <w:rFonts w:hint="eastAsia" w:ascii="Times New Roman" w:hAnsi="Times New Roman"/>
                <w:color w:val="auto"/>
                <w:highlight w:val="none"/>
                <w:shd w:val="clear"/>
              </w:rPr>
              <w:t>2.2.2（2）</w:t>
            </w:r>
          </w:p>
        </w:tc>
        <w:tc>
          <w:tcPr>
            <w:tcW w:w="527" w:type="pct"/>
            <w:vMerge w:val="restart"/>
            <w:shd w:val="clear" w:color="auto" w:fill="auto"/>
            <w:noWrap w:val="0"/>
            <w:vAlign w:val="center"/>
          </w:tcPr>
          <w:p w14:paraId="7C2E71E8">
            <w:pPr>
              <w:pStyle w:val="29"/>
              <w:rPr>
                <w:rFonts w:ascii="Times New Roman" w:hAnsi="Times New Roman" w:eastAsia="宋体" w:cs="仿宋"/>
                <w:bCs/>
                <w:color w:val="auto"/>
                <w:kern w:val="2"/>
                <w:sz w:val="21"/>
                <w:szCs w:val="24"/>
                <w:highlight w:val="none"/>
                <w:shd w:val="clear"/>
                <w:lang w:val="en-US" w:eastAsia="zh-CN" w:bidi="ar-SA"/>
              </w:rPr>
            </w:pPr>
            <w:r>
              <w:rPr>
                <w:rFonts w:hint="eastAsia" w:ascii="Times New Roman" w:hAnsi="Times New Roman"/>
                <w:color w:val="auto"/>
                <w:highlight w:val="none"/>
                <w:shd w:val="clear"/>
              </w:rPr>
              <w:t>商务文件评分标准</w:t>
            </w:r>
          </w:p>
        </w:tc>
        <w:tc>
          <w:tcPr>
            <w:tcW w:w="758" w:type="pct"/>
            <w:noWrap w:val="0"/>
            <w:tcMar>
              <w:left w:w="75" w:type="dxa"/>
            </w:tcMar>
            <w:vAlign w:val="center"/>
          </w:tcPr>
          <w:p w14:paraId="42C21B28">
            <w:pPr>
              <w:pStyle w:val="29"/>
              <w:rPr>
                <w:rFonts w:ascii="Times New Roman" w:hAnsi="Times New Roman"/>
                <w:b/>
                <w:color w:val="auto"/>
                <w:highlight w:val="none"/>
                <w:shd w:val="clear"/>
              </w:rPr>
            </w:pPr>
            <w:r>
              <w:rPr>
                <w:rFonts w:hint="eastAsia" w:ascii="Times New Roman" w:hAnsi="Times New Roman"/>
                <w:color w:val="auto"/>
                <w:highlight w:val="none"/>
                <w:shd w:val="clear"/>
              </w:rPr>
              <w:t>项目经理</w:t>
            </w:r>
          </w:p>
          <w:p w14:paraId="08B42B82">
            <w:pPr>
              <w:pStyle w:val="29"/>
              <w:rPr>
                <w:rFonts w:ascii="Times New Roman" w:hAnsi="Times New Roman"/>
                <w:b/>
                <w:color w:val="auto"/>
                <w:highlight w:val="none"/>
                <w:shd w:val="clear"/>
              </w:rPr>
            </w:pPr>
            <w:r>
              <w:rPr>
                <w:rFonts w:hint="eastAsia" w:ascii="Times New Roman" w:hAnsi="Times New Roman"/>
                <w:color w:val="auto"/>
                <w:highlight w:val="none"/>
                <w:shd w:val="clear"/>
              </w:rPr>
              <w:t>业绩</w:t>
            </w:r>
          </w:p>
        </w:tc>
        <w:tc>
          <w:tcPr>
            <w:tcW w:w="460" w:type="pct"/>
            <w:noWrap w:val="0"/>
            <w:vAlign w:val="center"/>
          </w:tcPr>
          <w:p w14:paraId="61368DFF">
            <w:pPr>
              <w:pStyle w:val="29"/>
              <w:rPr>
                <w:rFonts w:ascii="Times New Roman" w:hAnsi="Times New Roman"/>
                <w:b/>
                <w:color w:val="auto"/>
                <w:highlight w:val="none"/>
                <w:shd w:val="clear"/>
              </w:rPr>
            </w:pPr>
            <w:r>
              <w:rPr>
                <w:rFonts w:hint="eastAsia" w:ascii="Times New Roman" w:hAnsi="Times New Roman"/>
                <w:b w:val="0"/>
                <w:bCs w:val="0"/>
                <w:color w:val="auto"/>
                <w:highlight w:val="none"/>
                <w:shd w:val="clear"/>
                <w:lang w:val="en-US" w:eastAsia="zh-CN"/>
              </w:rPr>
              <w:t>8</w:t>
            </w:r>
          </w:p>
        </w:tc>
        <w:tc>
          <w:tcPr>
            <w:tcW w:w="2932" w:type="pct"/>
            <w:noWrap w:val="0"/>
            <w:vAlign w:val="center"/>
          </w:tcPr>
          <w:p w14:paraId="2579AA75">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202</w:t>
            </w:r>
            <w:r>
              <w:rPr>
                <w:rFonts w:hint="eastAsia" w:ascii="Times New Roman" w:hAnsi="Times New Roman"/>
                <w:color w:val="auto"/>
                <w:highlight w:val="none"/>
                <w:shd w:val="clear"/>
                <w:lang w:val="en-US" w:eastAsia="zh-CN"/>
              </w:rPr>
              <w:t>1</w:t>
            </w:r>
            <w:r>
              <w:rPr>
                <w:rFonts w:hint="eastAsia" w:ascii="Times New Roman" w:hAnsi="Times New Roman"/>
                <w:color w:val="auto"/>
                <w:highlight w:val="none"/>
                <w:shd w:val="clear"/>
              </w:rPr>
              <w:t>年1月1日以来，每提供一个作为项目经理负责完成的单项合同金额不低于</w:t>
            </w:r>
            <w:r>
              <w:rPr>
                <w:rFonts w:hint="eastAsia" w:ascii="Times New Roman" w:hAnsi="Times New Roman"/>
                <w:color w:val="auto"/>
                <w:highlight w:val="none"/>
                <w:shd w:val="clear"/>
                <w:lang w:val="en-US" w:eastAsia="zh-CN"/>
              </w:rPr>
              <w:t>600</w:t>
            </w:r>
            <w:r>
              <w:rPr>
                <w:rFonts w:hint="eastAsia" w:ascii="Times New Roman" w:hAnsi="Times New Roman"/>
                <w:color w:val="auto"/>
                <w:highlight w:val="none"/>
                <w:shd w:val="clear"/>
                <w:lang w:val="en-US" w:eastAsia="zh-CN"/>
              </w:rPr>
              <w:t>万元</w:t>
            </w:r>
            <w:r>
              <w:rPr>
                <w:rFonts w:hint="eastAsia" w:ascii="Times New Roman" w:hAnsi="Times New Roman"/>
                <w:color w:val="auto"/>
                <w:highlight w:val="none"/>
                <w:shd w:val="clear"/>
              </w:rPr>
              <w:t>的</w:t>
            </w:r>
            <w:r>
              <w:rPr>
                <w:rFonts w:hint="eastAsia" w:ascii="Times New Roman" w:hAnsi="Times New Roman"/>
                <w:color w:val="auto"/>
                <w:highlight w:val="none"/>
                <w:shd w:val="clear"/>
                <w:lang w:val="en-US" w:eastAsia="zh-CN"/>
              </w:rPr>
              <w:t>市政工程</w:t>
            </w:r>
            <w:r>
              <w:rPr>
                <w:rFonts w:hint="eastAsia" w:ascii="Times New Roman" w:hAnsi="Times New Roman"/>
                <w:color w:val="auto"/>
                <w:highlight w:val="none"/>
                <w:shd w:val="clear"/>
              </w:rPr>
              <w:t>项目施工业绩，得</w:t>
            </w:r>
            <w:r>
              <w:rPr>
                <w:rFonts w:hint="eastAsia" w:ascii="Times New Roman" w:hAnsi="Times New Roman"/>
                <w:color w:val="auto"/>
                <w:highlight w:val="none"/>
                <w:shd w:val="clear"/>
                <w:lang w:val="en-US" w:eastAsia="zh-CN"/>
              </w:rPr>
              <w:t>8</w:t>
            </w:r>
            <w:r>
              <w:rPr>
                <w:rFonts w:hint="eastAsia" w:ascii="Times New Roman" w:hAnsi="Times New Roman"/>
                <w:color w:val="auto"/>
                <w:highlight w:val="none"/>
                <w:shd w:val="clear"/>
              </w:rPr>
              <w:t>分，本项满分</w:t>
            </w:r>
            <w:r>
              <w:rPr>
                <w:rFonts w:hint="eastAsia" w:ascii="Times New Roman" w:hAnsi="Times New Roman"/>
                <w:color w:val="auto"/>
                <w:highlight w:val="none"/>
                <w:shd w:val="clear"/>
                <w:lang w:val="en-US" w:eastAsia="zh-CN"/>
              </w:rPr>
              <w:t>8</w:t>
            </w:r>
            <w:r>
              <w:rPr>
                <w:rFonts w:hint="eastAsia" w:ascii="Times New Roman" w:hAnsi="Times New Roman"/>
                <w:color w:val="auto"/>
                <w:highlight w:val="none"/>
                <w:shd w:val="clear"/>
              </w:rPr>
              <w:t>分。</w:t>
            </w:r>
          </w:p>
          <w:p w14:paraId="56ABB83B">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b/>
                <w:bCs w:val="0"/>
                <w:color w:val="auto"/>
                <w:highlight w:val="none"/>
                <w:shd w:val="clear"/>
              </w:rPr>
              <w:t>注：提供</w:t>
            </w:r>
            <w:r>
              <w:rPr>
                <w:rFonts w:hint="eastAsia" w:ascii="Times New Roman" w:hAnsi="Times New Roman"/>
                <w:b/>
                <w:bCs w:val="0"/>
                <w:color w:val="auto"/>
                <w:highlight w:val="none"/>
                <w:shd w:val="clear"/>
                <w:lang w:val="en-US" w:eastAsia="zh-CN"/>
              </w:rPr>
              <w:t>相关证明材料具体详见第二章“投标人须知”中附录5资格审查条件（项目经理最低要求）中项目经理业绩证明材料。</w:t>
            </w:r>
          </w:p>
        </w:tc>
      </w:tr>
      <w:tr w14:paraId="6A2B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43837D9B">
            <w:pPr>
              <w:pStyle w:val="29"/>
              <w:rPr>
                <w:rFonts w:ascii="Times New Roman" w:hAnsi="Times New Roman"/>
                <w:color w:val="auto"/>
                <w:highlight w:val="none"/>
                <w:shd w:val="clear"/>
              </w:rPr>
            </w:pPr>
          </w:p>
        </w:tc>
        <w:tc>
          <w:tcPr>
            <w:tcW w:w="527" w:type="pct"/>
            <w:vMerge w:val="continue"/>
            <w:noWrap w:val="0"/>
            <w:vAlign w:val="center"/>
          </w:tcPr>
          <w:p w14:paraId="7AE70C39">
            <w:pPr>
              <w:pStyle w:val="29"/>
              <w:rPr>
                <w:rFonts w:ascii="Times New Roman" w:hAnsi="Times New Roman"/>
                <w:color w:val="auto"/>
                <w:highlight w:val="none"/>
                <w:shd w:val="clear"/>
              </w:rPr>
            </w:pPr>
          </w:p>
        </w:tc>
        <w:tc>
          <w:tcPr>
            <w:tcW w:w="758" w:type="pct"/>
            <w:noWrap w:val="0"/>
            <w:tcMar>
              <w:left w:w="75" w:type="dxa"/>
            </w:tcMar>
            <w:vAlign w:val="center"/>
          </w:tcPr>
          <w:p w14:paraId="4E745EAA">
            <w:pPr>
              <w:pStyle w:val="29"/>
              <w:rPr>
                <w:rFonts w:ascii="Times New Roman" w:hAnsi="Times New Roman"/>
                <w:b/>
                <w:color w:val="auto"/>
                <w:highlight w:val="none"/>
                <w:shd w:val="clear"/>
              </w:rPr>
            </w:pPr>
            <w:r>
              <w:rPr>
                <w:rFonts w:hint="eastAsia" w:ascii="Times New Roman" w:hAnsi="Times New Roman"/>
                <w:color w:val="auto"/>
                <w:highlight w:val="none"/>
                <w:shd w:val="clear"/>
              </w:rPr>
              <w:t>拟任项目经理资历</w:t>
            </w:r>
          </w:p>
        </w:tc>
        <w:tc>
          <w:tcPr>
            <w:tcW w:w="460" w:type="pct"/>
            <w:noWrap w:val="0"/>
            <w:vAlign w:val="center"/>
          </w:tcPr>
          <w:p w14:paraId="44C8FC1F">
            <w:pPr>
              <w:pStyle w:val="30"/>
              <w:framePr w:hSpace="0" w:wrap="auto" w:vAnchor="margin" w:hAnchor="text" w:xAlign="left" w:yAlign="inline"/>
              <w:jc w:val="center"/>
              <w:rPr>
                <w:rFonts w:ascii="Times New Roman" w:hAnsi="Times New Roman"/>
                <w:b/>
                <w:color w:val="auto"/>
                <w:highlight w:val="none"/>
                <w:shd w:val="clear"/>
              </w:rPr>
            </w:pPr>
            <w:r>
              <w:rPr>
                <w:rFonts w:hint="eastAsia" w:ascii="Times New Roman" w:hAnsi="Times New Roman"/>
                <w:color w:val="auto"/>
                <w:highlight w:val="none"/>
                <w:shd w:val="clear"/>
                <w:lang w:val="en-US" w:eastAsia="zh-CN"/>
              </w:rPr>
              <w:t>4</w:t>
            </w:r>
          </w:p>
        </w:tc>
        <w:tc>
          <w:tcPr>
            <w:tcW w:w="2932" w:type="pct"/>
            <w:noWrap w:val="0"/>
            <w:vAlign w:val="center"/>
          </w:tcPr>
          <w:p w14:paraId="66D01C56">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投标人拟任项目经理具有</w:t>
            </w:r>
            <w:r>
              <w:rPr>
                <w:rFonts w:hint="eastAsia" w:ascii="Times New Roman" w:hAnsi="Times New Roman"/>
                <w:color w:val="auto"/>
                <w:highlight w:val="none"/>
                <w:shd w:val="clear"/>
                <w:lang w:val="en-US" w:eastAsia="zh-CN"/>
              </w:rPr>
              <w:t>市政</w:t>
            </w:r>
            <w:r>
              <w:rPr>
                <w:rFonts w:hint="eastAsia" w:ascii="Times New Roman" w:hAnsi="Times New Roman"/>
                <w:color w:val="auto"/>
                <w:highlight w:val="none"/>
                <w:shd w:val="clear"/>
              </w:rPr>
              <w:t>工程相关专业</w:t>
            </w:r>
            <w:r>
              <w:rPr>
                <w:rFonts w:hint="eastAsia" w:ascii="Times New Roman" w:hAnsi="Times New Roman"/>
                <w:color w:val="auto"/>
                <w:highlight w:val="none"/>
                <w:shd w:val="clear"/>
                <w:lang w:val="en-US" w:eastAsia="zh-CN"/>
              </w:rPr>
              <w:t>中级及以上技术职称的得4分</w:t>
            </w:r>
            <w:r>
              <w:rPr>
                <w:rFonts w:hint="eastAsia" w:ascii="Times New Roman" w:hAnsi="Times New Roman"/>
                <w:color w:val="auto"/>
                <w:highlight w:val="none"/>
                <w:shd w:val="clear"/>
                <w:lang w:eastAsia="zh-CN"/>
              </w:rPr>
              <w:t>，</w:t>
            </w:r>
            <w:r>
              <w:rPr>
                <w:rFonts w:hint="eastAsia" w:ascii="Times New Roman" w:hAnsi="Times New Roman"/>
                <w:color w:val="auto"/>
                <w:highlight w:val="none"/>
                <w:shd w:val="clear"/>
              </w:rPr>
              <w:t>本项满分</w:t>
            </w:r>
            <w:r>
              <w:rPr>
                <w:rFonts w:hint="eastAsia" w:ascii="Times New Roman" w:hAnsi="Times New Roman"/>
                <w:color w:val="auto"/>
                <w:highlight w:val="none"/>
                <w:shd w:val="clear"/>
                <w:lang w:val="en-US" w:eastAsia="zh-CN"/>
              </w:rPr>
              <w:t>4</w:t>
            </w:r>
            <w:r>
              <w:rPr>
                <w:rFonts w:hint="eastAsia" w:ascii="Times New Roman" w:hAnsi="Times New Roman"/>
                <w:color w:val="auto"/>
                <w:highlight w:val="none"/>
                <w:shd w:val="clear"/>
              </w:rPr>
              <w:t>分。须提供职称证书。</w:t>
            </w:r>
          </w:p>
          <w:p w14:paraId="27077D13">
            <w:pPr>
              <w:pStyle w:val="30"/>
              <w:framePr w:hSpace="0" w:wrap="auto" w:vAnchor="margin" w:hAnchor="text" w:xAlign="left" w:yAlign="inline"/>
              <w:rPr>
                <w:rFonts w:hint="eastAsia" w:ascii="Times New Roman" w:hAnsi="Times New Roman"/>
                <w:color w:val="auto"/>
                <w:highlight w:val="none"/>
                <w:shd w:val="clear"/>
              </w:rPr>
            </w:pPr>
          </w:p>
        </w:tc>
      </w:tr>
      <w:tr w14:paraId="5987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vMerge w:val="continue"/>
            <w:noWrap w:val="0"/>
            <w:vAlign w:val="center"/>
          </w:tcPr>
          <w:p w14:paraId="6C177F6F">
            <w:pPr>
              <w:pStyle w:val="29"/>
              <w:rPr>
                <w:rFonts w:ascii="Times New Roman" w:hAnsi="Times New Roman"/>
                <w:color w:val="auto"/>
                <w:highlight w:val="none"/>
                <w:shd w:val="clear"/>
              </w:rPr>
            </w:pPr>
          </w:p>
        </w:tc>
        <w:tc>
          <w:tcPr>
            <w:tcW w:w="527" w:type="pct"/>
            <w:vMerge w:val="continue"/>
            <w:noWrap w:val="0"/>
            <w:vAlign w:val="center"/>
          </w:tcPr>
          <w:p w14:paraId="52AEE267">
            <w:pPr>
              <w:pStyle w:val="29"/>
              <w:rPr>
                <w:rFonts w:ascii="Times New Roman" w:hAnsi="Times New Roman"/>
                <w:color w:val="auto"/>
                <w:highlight w:val="none"/>
                <w:shd w:val="clear"/>
              </w:rPr>
            </w:pPr>
          </w:p>
        </w:tc>
        <w:tc>
          <w:tcPr>
            <w:tcW w:w="758" w:type="pct"/>
            <w:noWrap w:val="0"/>
            <w:tcMar>
              <w:left w:w="75" w:type="dxa"/>
            </w:tcMar>
            <w:vAlign w:val="center"/>
          </w:tcPr>
          <w:p w14:paraId="708F9C8D">
            <w:pPr>
              <w:pStyle w:val="29"/>
              <w:rPr>
                <w:rFonts w:ascii="Times New Roman" w:hAnsi="Times New Roman"/>
                <w:b/>
                <w:color w:val="auto"/>
                <w:highlight w:val="none"/>
                <w:shd w:val="clear"/>
              </w:rPr>
            </w:pPr>
            <w:r>
              <w:rPr>
                <w:rFonts w:hint="eastAsia" w:ascii="Times New Roman" w:hAnsi="Times New Roman"/>
                <w:color w:val="auto"/>
                <w:highlight w:val="none"/>
                <w:shd w:val="clear"/>
              </w:rPr>
              <w:t>信用评审</w:t>
            </w:r>
          </w:p>
        </w:tc>
        <w:tc>
          <w:tcPr>
            <w:tcW w:w="460" w:type="pct"/>
            <w:noWrap w:val="0"/>
            <w:vAlign w:val="center"/>
          </w:tcPr>
          <w:p w14:paraId="1C998A77">
            <w:pPr>
              <w:pStyle w:val="29"/>
              <w:rPr>
                <w:rFonts w:ascii="Times New Roman" w:hAnsi="Times New Roman"/>
                <w:b/>
                <w:color w:val="auto"/>
                <w:highlight w:val="none"/>
                <w:shd w:val="clear"/>
              </w:rPr>
            </w:pPr>
            <w:r>
              <w:rPr>
                <w:rFonts w:hint="eastAsia" w:ascii="Times New Roman" w:hAnsi="Times New Roman"/>
                <w:color w:val="auto"/>
                <w:highlight w:val="none"/>
                <w:shd w:val="clear"/>
              </w:rPr>
              <w:t>不良行为记录扣分</w:t>
            </w:r>
          </w:p>
        </w:tc>
        <w:tc>
          <w:tcPr>
            <w:tcW w:w="2932" w:type="pct"/>
            <w:noWrap w:val="0"/>
            <w:vAlign w:val="center"/>
          </w:tcPr>
          <w:p w14:paraId="7ECF778D">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sym w:font="Wingdings 2" w:char="0052"/>
            </w:r>
            <w:r>
              <w:rPr>
                <w:rFonts w:hint="eastAsia" w:ascii="Times New Roman" w:hAnsi="Times New Roman"/>
                <w:color w:val="auto"/>
                <w:highlight w:val="none"/>
                <w:shd w:val="clear"/>
              </w:rPr>
              <w:t>是</w:t>
            </w:r>
          </w:p>
          <w:p w14:paraId="561F317A">
            <w:pPr>
              <w:pStyle w:val="30"/>
              <w:framePr w:hSpace="0" w:wrap="auto" w:vAnchor="margin" w:hAnchor="text" w:xAlign="left" w:yAlign="inline"/>
              <w:rPr>
                <w:rFonts w:ascii="Times New Roman" w:hAnsi="Times New Roman"/>
                <w:color w:val="auto"/>
                <w:highlight w:val="none"/>
                <w:shd w:val="clear"/>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否</w:t>
            </w:r>
          </w:p>
          <w:p w14:paraId="04F18349">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投标截止前，投标人不良行为在公示（披露）期内，按以下方式处理（评标委员会通过“评标系统”查询，并在评标报告中记录）：</w:t>
            </w:r>
          </w:p>
          <w:p w14:paraId="66CEF9A3">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w:t>
            </w:r>
            <w:r>
              <w:rPr>
                <w:rFonts w:ascii="Times New Roman" w:hAnsi="Times New Roman"/>
                <w:color w:val="auto"/>
                <w:highlight w:val="none"/>
                <w:shd w:val="clear"/>
              </w:rPr>
              <w:t>1）在</w:t>
            </w:r>
            <w:r>
              <w:rPr>
                <w:rFonts w:hint="eastAsia" w:ascii="Times New Roman" w:hAnsi="Times New Roman"/>
                <w:color w:val="auto"/>
                <w:highlight w:val="none"/>
                <w:shd w:val="clear"/>
              </w:rPr>
              <w:t>商务文件评审</w:t>
            </w:r>
            <w:r>
              <w:rPr>
                <w:rFonts w:ascii="Times New Roman" w:hAnsi="Times New Roman"/>
                <w:color w:val="auto"/>
                <w:highlight w:val="none"/>
                <w:shd w:val="clear"/>
              </w:rPr>
              <w:t>中，扣除其不良行为的累计扣分值。</w:t>
            </w:r>
          </w:p>
          <w:p w14:paraId="2ABB4CA1">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（2</w:t>
            </w:r>
            <w:r>
              <w:rPr>
                <w:rFonts w:ascii="Times New Roman" w:hAnsi="Times New Roman"/>
                <w:color w:val="auto"/>
                <w:highlight w:val="none"/>
                <w:shd w:val="clear"/>
              </w:rPr>
              <w:t>）</w:t>
            </w:r>
            <w:r>
              <w:rPr>
                <w:rFonts w:hint="eastAsia" w:ascii="Times New Roman" w:hAnsi="Times New Roman"/>
                <w:color w:val="auto"/>
                <w:highlight w:val="none"/>
                <w:shd w:val="clear"/>
              </w:rPr>
              <w:t>扣分以《蚌埠市公共资源交易市场竞争主体不良行为管理办法》认定标准记录为准。</w:t>
            </w:r>
          </w:p>
          <w:p w14:paraId="7CF0DD67">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（3）联合体投标的，以各联合体成员中不良行为被蚌埠市及其所辖县招标投标行政监督部门累计扣分最高的为准。</w:t>
            </w:r>
          </w:p>
        </w:tc>
      </w:tr>
      <w:tr w14:paraId="2F95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0" w:type="pct"/>
            <w:noWrap w:val="0"/>
            <w:vAlign w:val="center"/>
          </w:tcPr>
          <w:p w14:paraId="2E9B818A">
            <w:pPr>
              <w:pStyle w:val="29"/>
              <w:rPr>
                <w:rFonts w:ascii="Times New Roman" w:hAnsi="Times New Roman"/>
                <w:b/>
                <w:color w:val="auto"/>
                <w:highlight w:val="none"/>
                <w:shd w:val="clear"/>
              </w:rPr>
            </w:pPr>
            <w:r>
              <w:rPr>
                <w:rFonts w:hint="eastAsia" w:ascii="Times New Roman" w:hAnsi="Times New Roman"/>
                <w:color w:val="auto"/>
                <w:highlight w:val="none"/>
                <w:shd w:val="clear"/>
              </w:rPr>
              <w:t>2.2.2（3）</w:t>
            </w:r>
          </w:p>
        </w:tc>
        <w:tc>
          <w:tcPr>
            <w:tcW w:w="527" w:type="pct"/>
            <w:noWrap w:val="0"/>
            <w:vAlign w:val="center"/>
          </w:tcPr>
          <w:p w14:paraId="66762C8B">
            <w:pPr>
              <w:pStyle w:val="29"/>
              <w:rPr>
                <w:rFonts w:ascii="Times New Roman" w:hAnsi="Times New Roman"/>
                <w:b/>
                <w:color w:val="auto"/>
                <w:highlight w:val="none"/>
                <w:shd w:val="clear"/>
              </w:rPr>
            </w:pPr>
            <w:r>
              <w:rPr>
                <w:rFonts w:hint="eastAsia" w:ascii="Times New Roman" w:hAnsi="Times New Roman"/>
                <w:color w:val="auto"/>
                <w:highlight w:val="none"/>
                <w:shd w:val="clear"/>
              </w:rPr>
              <w:t>报价文件评分标准</w:t>
            </w:r>
          </w:p>
        </w:tc>
        <w:tc>
          <w:tcPr>
            <w:tcW w:w="758" w:type="pct"/>
            <w:noWrap w:val="0"/>
            <w:vAlign w:val="center"/>
          </w:tcPr>
          <w:p w14:paraId="1D9DA09F">
            <w:pPr>
              <w:pStyle w:val="29"/>
              <w:rPr>
                <w:rFonts w:ascii="Times New Roman" w:hAnsi="Times New Roman"/>
                <w:b/>
                <w:color w:val="auto"/>
                <w:highlight w:val="none"/>
                <w:shd w:val="clear"/>
              </w:rPr>
            </w:pPr>
            <w:r>
              <w:rPr>
                <w:rFonts w:hint="eastAsia" w:ascii="Times New Roman" w:hAnsi="Times New Roman"/>
                <w:color w:val="auto"/>
                <w:highlight w:val="none"/>
                <w:shd w:val="clear"/>
              </w:rPr>
              <w:t>评标价</w:t>
            </w:r>
          </w:p>
        </w:tc>
        <w:tc>
          <w:tcPr>
            <w:tcW w:w="460" w:type="pct"/>
            <w:noWrap w:val="0"/>
            <w:vAlign w:val="center"/>
          </w:tcPr>
          <w:p w14:paraId="300367B8">
            <w:pPr>
              <w:pStyle w:val="29"/>
              <w:rPr>
                <w:rFonts w:ascii="Times New Roman" w:hAnsi="Times New Roman"/>
                <w:b/>
                <w:color w:val="auto"/>
                <w:highlight w:val="none"/>
                <w:shd w:val="clear"/>
              </w:rPr>
            </w:pPr>
            <w:r>
              <w:rPr>
                <w:rFonts w:hint="eastAsia" w:ascii="Times New Roman" w:hAnsi="Times New Roman"/>
                <w:color w:val="auto"/>
                <w:highlight w:val="none"/>
                <w:shd w:val="clear"/>
                <w:lang w:val="en-US" w:eastAsia="zh-CN"/>
              </w:rPr>
              <w:t>60</w:t>
            </w:r>
          </w:p>
        </w:tc>
        <w:tc>
          <w:tcPr>
            <w:tcW w:w="2932" w:type="pct"/>
            <w:noWrap w:val="0"/>
            <w:vAlign w:val="center"/>
          </w:tcPr>
          <w:p w14:paraId="1684B2CD">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评标基准价J=A×K×（1-C）+B×C</w:t>
            </w:r>
          </w:p>
          <w:p w14:paraId="0CDF54DD">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A为</w:t>
            </w:r>
            <w:r>
              <w:rPr>
                <w:rFonts w:hint="eastAsia" w:ascii="Times New Roman" w:hAnsi="Times New Roman"/>
                <w:color w:val="auto"/>
                <w:highlight w:val="none"/>
                <w:shd w:val="clear"/>
                <w:lang w:val="en-US" w:eastAsia="zh-CN"/>
              </w:rPr>
              <w:t>最高投标限价</w:t>
            </w:r>
            <w:r>
              <w:rPr>
                <w:rFonts w:hint="eastAsia" w:ascii="Times New Roman" w:hAnsi="Times New Roman"/>
                <w:color w:val="auto"/>
                <w:highlight w:val="none"/>
                <w:shd w:val="clear"/>
              </w:rPr>
              <w:t>（不含暂列金和专业工程暂估价）。</w:t>
            </w:r>
          </w:p>
          <w:p w14:paraId="51E03307">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B为所有通过报价文件初步评审的投标人在评标基准价计算取值范围内的投标报价（不含暂列金和专业工程暂估价）的算术平均值。评标基准价计算取值范围为</w:t>
            </w:r>
            <w:r>
              <w:rPr>
                <w:rFonts w:hint="eastAsia" w:ascii="Times New Roman" w:hAnsi="Times New Roman"/>
                <w:color w:val="auto"/>
                <w:highlight w:val="none"/>
                <w:shd w:val="clear"/>
                <w:lang w:val="en-US" w:eastAsia="zh-CN"/>
              </w:rPr>
              <w:t>最高投标限价</w:t>
            </w:r>
            <w:r>
              <w:rPr>
                <w:rFonts w:hint="eastAsia" w:ascii="Times New Roman" w:hAnsi="Times New Roman"/>
                <w:color w:val="auto"/>
                <w:highlight w:val="none"/>
                <w:shd w:val="clear"/>
              </w:rPr>
              <w:t>（不含暂列金和专业工程暂估价）的</w:t>
            </w:r>
            <w:r>
              <w:rPr>
                <w:rFonts w:hint="eastAsia" w:ascii="Times New Roman" w:hAnsi="Times New Roman"/>
                <w:color w:val="auto"/>
                <w:highlight w:val="none"/>
                <w:shd w:val="clear"/>
                <w:lang w:val="en-US" w:eastAsia="zh-CN"/>
              </w:rPr>
              <w:t>75</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80</w:t>
            </w:r>
            <w:r>
              <w:rPr>
                <w:rFonts w:hint="eastAsia" w:ascii="Times New Roman" w:hAnsi="Times New Roman"/>
                <w:color w:val="auto"/>
                <w:highlight w:val="none"/>
                <w:shd w:val="clear"/>
              </w:rPr>
              <w:t>%。投标报价（不含暂列金和专业工程暂估价）</w:t>
            </w:r>
            <w:r>
              <w:rPr>
                <w:rFonts w:hint="eastAsia" w:ascii="Times New Roman" w:hAnsi="Times New Roman"/>
                <w:color w:val="auto"/>
                <w:highlight w:val="none"/>
                <w:shd w:val="clear"/>
                <w:lang w:val="en-US" w:eastAsia="zh-CN"/>
              </w:rPr>
              <w:t>在</w:t>
            </w:r>
            <w:r>
              <w:rPr>
                <w:rFonts w:hint="eastAsia" w:ascii="Times New Roman" w:hAnsi="Times New Roman"/>
                <w:color w:val="auto"/>
                <w:highlight w:val="none"/>
                <w:shd w:val="clear"/>
              </w:rPr>
              <w:t>评标基准价计算取值范围</w:t>
            </w:r>
            <w:r>
              <w:rPr>
                <w:rFonts w:hint="eastAsia" w:ascii="Times New Roman" w:hAnsi="Times New Roman"/>
                <w:color w:val="auto"/>
                <w:highlight w:val="none"/>
                <w:shd w:val="clear"/>
                <w:lang w:val="en-US" w:eastAsia="zh-CN"/>
              </w:rPr>
              <w:t>以外的</w:t>
            </w:r>
            <w:r>
              <w:rPr>
                <w:rFonts w:hint="eastAsia" w:ascii="Times New Roman" w:hAnsi="Times New Roman"/>
                <w:color w:val="auto"/>
                <w:highlight w:val="none"/>
                <w:shd w:val="clear"/>
              </w:rPr>
              <w:t>,不参与本工程评标基准价的计算,但可参与投标报价得分的计算。</w:t>
            </w:r>
          </w:p>
          <w:p w14:paraId="796E524B">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C为B值的权重，C值的范围为：0.4、0.45、0.5、0.55、0.6，当所有的合格投标人的投标报价（不含暂列金和专业工程暂估价）均在招标文件规定的评标基准价计算取值范围以外的，则C=0。</w:t>
            </w:r>
          </w:p>
          <w:p w14:paraId="019DDD04">
            <w:pPr>
              <w:pStyle w:val="30"/>
              <w:framePr w:hSpace="0" w:wrap="auto" w:vAnchor="margin" w:hAnchor="text" w:xAlign="left" w:yAlign="inline"/>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K为招标工程评标基准价的计算参数，K值的范围为: </w:t>
            </w:r>
            <w:r>
              <w:rPr>
                <w:rFonts w:hint="eastAsia" w:ascii="Times New Roman" w:hAnsi="Times New Roman"/>
                <w:color w:val="auto"/>
                <w:highlight w:val="none"/>
                <w:shd w:val="clear"/>
                <w:lang w:val="en-US" w:eastAsia="zh-CN"/>
              </w:rPr>
              <w:t>76</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77</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78</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79</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80</w:t>
            </w:r>
            <w:r>
              <w:rPr>
                <w:rFonts w:hint="eastAsia" w:ascii="Times New Roman" w:hAnsi="Times New Roman"/>
                <w:color w:val="auto"/>
                <w:highlight w:val="none"/>
                <w:shd w:val="clear"/>
              </w:rPr>
              <w:t>% ；C=0时，K值应当减小，其范围为:</w:t>
            </w:r>
            <w:r>
              <w:rPr>
                <w:rFonts w:hint="eastAsia" w:ascii="Times New Roman" w:hAnsi="Times New Roman"/>
                <w:color w:val="auto"/>
                <w:highlight w:val="none"/>
                <w:shd w:val="clear"/>
                <w:lang w:val="en-US" w:eastAsia="zh-CN"/>
              </w:rPr>
              <w:t>75</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76</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77</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78</w:t>
            </w:r>
            <w:r>
              <w:rPr>
                <w:rFonts w:hint="eastAsia" w:ascii="Times New Roman" w:hAnsi="Times New Roman"/>
                <w:color w:val="auto"/>
                <w:highlight w:val="none"/>
                <w:shd w:val="clear"/>
              </w:rPr>
              <w:t>%、</w:t>
            </w:r>
            <w:r>
              <w:rPr>
                <w:rFonts w:hint="eastAsia" w:ascii="Times New Roman" w:hAnsi="Times New Roman"/>
                <w:color w:val="auto"/>
                <w:highlight w:val="none"/>
                <w:shd w:val="clear"/>
                <w:lang w:val="en-US" w:eastAsia="zh-CN"/>
              </w:rPr>
              <w:t>79</w:t>
            </w:r>
            <w:r>
              <w:rPr>
                <w:rFonts w:hint="eastAsia" w:ascii="Times New Roman" w:hAnsi="Times New Roman"/>
                <w:color w:val="auto"/>
                <w:highlight w:val="none"/>
                <w:shd w:val="clear"/>
              </w:rPr>
              <w:t>% 。评标委员会完成</w:t>
            </w:r>
            <w:r>
              <w:rPr>
                <w:rFonts w:hint="eastAsia" w:ascii="Times New Roman" w:hAnsi="Times New Roman"/>
                <w:color w:val="auto"/>
                <w:highlight w:val="none"/>
                <w:shd w:val="clear"/>
                <w:lang w:val="en-US" w:eastAsia="zh-CN"/>
              </w:rPr>
              <w:t>报价文件</w:t>
            </w:r>
            <w:r>
              <w:rPr>
                <w:rFonts w:hint="eastAsia" w:ascii="Times New Roman" w:hAnsi="Times New Roman"/>
                <w:color w:val="auto"/>
                <w:highlight w:val="none"/>
                <w:shd w:val="clear"/>
              </w:rPr>
              <w:t>初步评审后，K、C由系统随机抽取，投标人参与投标，即视同接受由系统随机抽取。</w:t>
            </w:r>
          </w:p>
          <w:p w14:paraId="59F791C7">
            <w:pPr>
              <w:pStyle w:val="30"/>
              <w:framePr w:hSpace="0" w:wrap="auto" w:vAnchor="margin" w:hAnchor="text" w:xAlign="left" w:yAlign="inline"/>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投标报价得分计算式：</w:t>
            </w:r>
          </w:p>
          <w:p w14:paraId="34962DE9">
            <w:pPr>
              <w:pStyle w:val="30"/>
              <w:framePr w:hSpace="0" w:wrap="auto" w:vAnchor="margin" w:hAnchor="text" w:xAlign="left" w:yAlign="inline"/>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投标报价得分=投标报价分值满分（60）-（|Ai-评标基准价|÷评标基准价）×100×1。</w:t>
            </w:r>
          </w:p>
          <w:p w14:paraId="117717AB">
            <w:pPr>
              <w:pStyle w:val="30"/>
              <w:framePr w:hSpace="0" w:wrap="auto" w:vAnchor="margin" w:hAnchor="text" w:xAlign="left" w:yAlign="inline"/>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其中，Ai为各投标人的报价（不含暂列金和专业工程暂估价）；</w:t>
            </w:r>
          </w:p>
          <w:p w14:paraId="7948C27A">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lang w:val="en-US" w:eastAsia="zh-CN"/>
              </w:rPr>
              <w:t>（即投标报价每偏离本工程评标基准价1%扣1分，偏离不足1%的，按插入法计算。）</w:t>
            </w:r>
          </w:p>
        </w:tc>
      </w:tr>
      <w:tr w14:paraId="5358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gridSpan w:val="5"/>
            <w:noWrap w:val="0"/>
            <w:vAlign w:val="center"/>
          </w:tcPr>
          <w:p w14:paraId="41FC90CD">
            <w:pPr>
              <w:pStyle w:val="29"/>
              <w:rPr>
                <w:rFonts w:ascii="Times New Roman" w:hAnsi="Times New Roman"/>
                <w:b/>
                <w:color w:val="auto"/>
                <w:highlight w:val="none"/>
                <w:shd w:val="clear"/>
              </w:rPr>
            </w:pPr>
            <w:r>
              <w:rPr>
                <w:rFonts w:hint="eastAsia" w:ascii="Times New Roman" w:hAnsi="Times New Roman"/>
                <w:color w:val="auto"/>
                <w:highlight w:val="none"/>
                <w:shd w:val="clear"/>
              </w:rPr>
              <w:t>需要补充的其他内容</w:t>
            </w:r>
          </w:p>
        </w:tc>
      </w:tr>
      <w:tr w14:paraId="2D10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06" w:type="pct"/>
            <w:gridSpan w:val="3"/>
            <w:noWrap w:val="0"/>
            <w:vAlign w:val="center"/>
          </w:tcPr>
          <w:p w14:paraId="0B86A902">
            <w:pPr>
              <w:pStyle w:val="29"/>
              <w:rPr>
                <w:rFonts w:ascii="Times New Roman" w:hAnsi="Times New Roman"/>
                <w:b/>
                <w:color w:val="auto"/>
                <w:highlight w:val="none"/>
                <w:shd w:val="clear"/>
              </w:rPr>
            </w:pPr>
            <w:r>
              <w:rPr>
                <w:rFonts w:hint="eastAsia" w:ascii="Times New Roman" w:hAnsi="Times New Roman"/>
                <w:color w:val="auto"/>
                <w:highlight w:val="none"/>
                <w:shd w:val="clear"/>
              </w:rPr>
              <w:t>商务及技术文件评分要求</w:t>
            </w:r>
          </w:p>
        </w:tc>
        <w:tc>
          <w:tcPr>
            <w:tcW w:w="3393" w:type="pct"/>
            <w:gridSpan w:val="2"/>
            <w:noWrap w:val="0"/>
            <w:vAlign w:val="center"/>
          </w:tcPr>
          <w:p w14:paraId="6A91530D">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（1）对于主观评分项，以0.1分为分割点，即评分依次为0、0.1、0.2、0.3、0.4等。评审内容缺项的该项得0分。</w:t>
            </w:r>
          </w:p>
        </w:tc>
      </w:tr>
      <w:tr w14:paraId="10EE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06" w:type="pct"/>
            <w:gridSpan w:val="3"/>
            <w:noWrap w:val="0"/>
            <w:vAlign w:val="center"/>
          </w:tcPr>
          <w:p w14:paraId="1232EEE2">
            <w:pPr>
              <w:pStyle w:val="29"/>
              <w:rPr>
                <w:rFonts w:ascii="Times New Roman" w:hAnsi="Times New Roman"/>
                <w:b/>
                <w:color w:val="auto"/>
                <w:highlight w:val="none"/>
                <w:shd w:val="clear"/>
              </w:rPr>
            </w:pPr>
            <w:r>
              <w:rPr>
                <w:rFonts w:hint="eastAsia" w:ascii="Times New Roman" w:hAnsi="Times New Roman"/>
                <w:color w:val="auto"/>
                <w:highlight w:val="none"/>
                <w:shd w:val="clear"/>
              </w:rPr>
              <w:t>商务及技术文件评审所需证明材料</w:t>
            </w:r>
          </w:p>
        </w:tc>
        <w:tc>
          <w:tcPr>
            <w:tcW w:w="3393" w:type="pct"/>
            <w:gridSpan w:val="2"/>
            <w:noWrap w:val="0"/>
            <w:vAlign w:val="center"/>
          </w:tcPr>
          <w:p w14:paraId="1935DA9A">
            <w:pPr>
              <w:pStyle w:val="30"/>
              <w:framePr w:hSpace="0" w:wrap="auto" w:vAnchor="margin" w:hAnchor="text" w:xAlign="left" w:yAlign="inline"/>
              <w:rPr>
                <w:rFonts w:ascii="Times New Roman" w:hAnsi="Times New Roman"/>
                <w:color w:val="auto"/>
                <w:highlight w:val="none"/>
                <w:shd w:val="clear"/>
              </w:rPr>
            </w:pPr>
            <w:bookmarkStart w:id="548" w:name="_Toc170803984"/>
            <w:bookmarkStart w:id="549" w:name="_Toc170805172"/>
            <w:bookmarkStart w:id="550" w:name="_Toc170805552"/>
            <w:r>
              <w:rPr>
                <w:rFonts w:hint="eastAsia" w:ascii="Times New Roman" w:hAnsi="Times New Roman" w:eastAsia="宋体" w:cs="仿宋"/>
                <w:bCs/>
                <w:color w:val="auto"/>
                <w:kern w:val="2"/>
                <w:sz w:val="21"/>
                <w:szCs w:val="24"/>
                <w:highlight w:val="none"/>
                <w:shd w:val="clear"/>
                <w:lang w:val="en-US" w:eastAsia="zh-CN" w:bidi="ar-SA"/>
              </w:rPr>
              <w:t>提供的证明材料详见详细评审标准表</w:t>
            </w:r>
            <w:bookmarkEnd w:id="548"/>
            <w:bookmarkEnd w:id="549"/>
            <w:bookmarkEnd w:id="550"/>
          </w:p>
        </w:tc>
      </w:tr>
    </w:tbl>
    <w:p w14:paraId="6BAE40EB">
      <w:pPr>
        <w:rPr>
          <w:rFonts w:ascii="Times New Roman" w:hAnsi="Times New Roman" w:cs="宋体"/>
          <w:b/>
          <w:bCs/>
          <w:color w:val="auto"/>
          <w:sz w:val="30"/>
          <w:szCs w:val="30"/>
          <w:highlight w:val="none"/>
          <w:shd w:val="clear"/>
        </w:rPr>
      </w:pPr>
      <w:r>
        <w:rPr>
          <w:rFonts w:hint="eastAsia" w:ascii="Times New Roman" w:hAnsi="Times New Roman" w:cs="宋体"/>
          <w:b/>
          <w:bCs/>
          <w:color w:val="auto"/>
          <w:sz w:val="30"/>
          <w:szCs w:val="30"/>
          <w:highlight w:val="none"/>
          <w:shd w:val="clear"/>
        </w:rPr>
        <w:br w:type="page"/>
      </w:r>
    </w:p>
    <w:p w14:paraId="2A94BF90">
      <w:pPr>
        <w:pStyle w:val="26"/>
        <w:jc w:val="left"/>
        <w:rPr>
          <w:rFonts w:ascii="Times New Roman" w:hAnsi="Times New Roman"/>
          <w:color w:val="auto"/>
          <w:highlight w:val="none"/>
          <w:shd w:val="clear"/>
        </w:rPr>
      </w:pPr>
      <w:bookmarkStart w:id="551" w:name="_Hlk177738961"/>
      <w:r>
        <w:rPr>
          <w:rFonts w:hint="eastAsia" w:ascii="Times New Roman" w:hAnsi="Times New Roman"/>
          <w:color w:val="auto"/>
          <w:highlight w:val="none"/>
          <w:shd w:val="clear"/>
        </w:rPr>
        <w:t>附件1：主观分异常评审情形</w:t>
      </w:r>
    </w:p>
    <w:bookmarkEnd w:id="551"/>
    <w:p w14:paraId="0F7A4A6A">
      <w:pPr>
        <w:pStyle w:val="22"/>
        <w:ind w:firstLine="420"/>
        <w:rPr>
          <w:rFonts w:ascii="Times New Roman" w:hAnsi="Times New Roman"/>
          <w:color w:val="auto"/>
          <w:highlight w:val="none"/>
          <w:shd w:val="clear"/>
        </w:rPr>
      </w:pPr>
      <w:bookmarkStart w:id="552" w:name="_Toc170805555"/>
      <w:bookmarkStart w:id="553" w:name="_Toc170805175"/>
      <w:bookmarkStart w:id="554" w:name="_Toc170803987"/>
      <w:r>
        <w:rPr>
          <w:rFonts w:hint="eastAsia" w:ascii="Times New Roman" w:hAnsi="Times New Roman"/>
          <w:color w:val="auto"/>
          <w:highlight w:val="none"/>
          <w:shd w:val="clear"/>
        </w:rPr>
        <w:t>根据评委主观分打分汇总（以下简称“主观分打分”，即技术文件打分+履职方案和承诺打分），计算偏差率。</w:t>
      </w:r>
    </w:p>
    <w:p w14:paraId="0C6474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根据评委对其评审的各投标人的主观分打分进行排序，计算该评委最高与最低主观分打分的纵向偏差率（该评委最高与最低主观分打分的差值占该评委最高主观分打分的百分比）；</w:t>
      </w:r>
    </w:p>
    <w:p w14:paraId="7C3689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针对上述评委确定的最高主观分打分的投标人，计算该投标人最高主观分打分与其他评委对该投标人平均主观分打分（主观分打分的算术平均值）的横向偏差率（该投标人最高主观分打分与其他评委对该投标人平均主观分打分的差值占其他评委对该投标人平均主观分打分的百分比；出现同一评委不同投标人的最高主观分打分相同时，分别计算确定）；</w:t>
      </w:r>
    </w:p>
    <w:p w14:paraId="482887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1）纵向偏差率不得超过30%，否则，评标委员会应进行重点复核，并记入评标报告。</w:t>
      </w:r>
    </w:p>
    <w:p w14:paraId="3AE3366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2）横向偏差率超过15%的，属于异常评审行为，必须提出充分理由，经评标委员会集体讨论、确认后记入评标报告；理由不够充分的，该评标委员会成员的评审无效，不予支付评标劳务费用并记入不良行为记录。</w:t>
      </w:r>
    </w:p>
    <w:p w14:paraId="4119F8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示例：如某项目的投标人共6家，共有5位评委参与评审，评委进行主观分打分分值见下表，现列举其中1位评委相关计算，具体如下：</w:t>
      </w:r>
    </w:p>
    <w:tbl>
      <w:tblPr>
        <w:tblStyle w:val="12"/>
        <w:tblW w:w="8566" w:type="dxa"/>
        <w:jc w:val="center"/>
        <w:tblLayout w:type="fixed"/>
        <w:tblCellMar>
          <w:top w:w="0" w:type="dxa"/>
          <w:left w:w="108" w:type="dxa"/>
          <w:bottom w:w="0" w:type="dxa"/>
          <w:right w:w="108" w:type="dxa"/>
        </w:tblCellMar>
      </w:tblPr>
      <w:tblGrid>
        <w:gridCol w:w="1253"/>
        <w:gridCol w:w="129"/>
        <w:gridCol w:w="1358"/>
        <w:gridCol w:w="1550"/>
        <w:gridCol w:w="1475"/>
        <w:gridCol w:w="1450"/>
        <w:gridCol w:w="1351"/>
      </w:tblGrid>
      <w:tr w14:paraId="033BC952">
        <w:trPr>
          <w:trHeight w:val="387" w:hRule="atLeast"/>
          <w:jc w:val="center"/>
        </w:trPr>
        <w:tc>
          <w:tcPr>
            <w:tcW w:w="8566" w:type="dxa"/>
            <w:gridSpan w:val="7"/>
            <w:tcBorders>
              <w:top w:val="single" w:color="000000" w:sz="8" w:space="0"/>
              <w:left w:val="single" w:color="000000" w:sz="8" w:space="0"/>
              <w:bottom w:val="single" w:color="000000" w:sz="8" w:space="0"/>
              <w:right w:val="single" w:color="000000" w:sz="8" w:space="0"/>
            </w:tcBorders>
            <w:shd w:val="clear" w:color="auto" w:fill="BEBEBE"/>
            <w:noWrap/>
            <w:vAlign w:val="center"/>
          </w:tcPr>
          <w:p w14:paraId="453E7C29">
            <w:pPr>
              <w:pStyle w:val="28"/>
              <w:rPr>
                <w:rFonts w:ascii="Times New Roman" w:hAnsi="Times New Roman"/>
                <w:bCs/>
                <w:color w:val="auto"/>
                <w:kern w:val="0"/>
                <w:szCs w:val="18"/>
                <w:highlight w:val="none"/>
                <w:shd w:val="clear"/>
              </w:rPr>
            </w:pPr>
            <w:r>
              <w:rPr>
                <w:rFonts w:hint="eastAsia" w:ascii="Times New Roman" w:hAnsi="Times New Roman"/>
                <w:color w:val="auto"/>
                <w:highlight w:val="none"/>
                <w:shd w:val="clear"/>
              </w:rPr>
              <w:t>主观分打分分值</w:t>
            </w:r>
          </w:p>
        </w:tc>
      </w:tr>
      <w:tr w14:paraId="2DA175A8">
        <w:tblPrEx>
          <w:tblCellMar>
            <w:top w:w="0" w:type="dxa"/>
            <w:left w:w="108" w:type="dxa"/>
            <w:bottom w:w="0" w:type="dxa"/>
            <w:right w:w="108" w:type="dxa"/>
          </w:tblCellMar>
        </w:tblPrEx>
        <w:trPr>
          <w:trHeight w:val="387" w:hRule="atLeast"/>
          <w:jc w:val="center"/>
        </w:trPr>
        <w:tc>
          <w:tcPr>
            <w:tcW w:w="1253" w:type="dxa"/>
            <w:tcBorders>
              <w:top w:val="single" w:color="000000" w:sz="8" w:space="0"/>
              <w:left w:val="single" w:color="auto" w:sz="4" w:space="0"/>
              <w:bottom w:val="single" w:color="auto" w:sz="4" w:space="0"/>
              <w:right w:val="single" w:color="auto" w:sz="4" w:space="0"/>
            </w:tcBorders>
            <w:noWrap/>
            <w:vAlign w:val="center"/>
          </w:tcPr>
          <w:p w14:paraId="4A4E5E01">
            <w:pPr>
              <w:pStyle w:val="28"/>
              <w:rPr>
                <w:rFonts w:ascii="Times New Roman" w:hAnsi="Times New Roman"/>
                <w:color w:val="auto"/>
                <w:highlight w:val="none"/>
                <w:shd w:val="clear"/>
              </w:rPr>
            </w:pPr>
            <w:r>
              <w:rPr>
                <w:rFonts w:hint="eastAsia" w:ascii="Times New Roman" w:hAnsi="Times New Roman"/>
                <w:color w:val="auto"/>
                <w:highlight w:val="none"/>
                <w:shd w:val="clear"/>
              </w:rPr>
              <w:t>评委名称</w:t>
            </w:r>
          </w:p>
        </w:tc>
        <w:tc>
          <w:tcPr>
            <w:tcW w:w="1487" w:type="dxa"/>
            <w:gridSpan w:val="2"/>
            <w:tcBorders>
              <w:top w:val="single" w:color="000000" w:sz="8" w:space="0"/>
              <w:left w:val="single" w:color="auto" w:sz="4" w:space="0"/>
              <w:bottom w:val="single" w:color="auto" w:sz="4" w:space="0"/>
              <w:right w:val="single" w:color="auto" w:sz="4" w:space="0"/>
            </w:tcBorders>
            <w:noWrap/>
            <w:vAlign w:val="center"/>
          </w:tcPr>
          <w:p w14:paraId="118952A6">
            <w:pPr>
              <w:pStyle w:val="28"/>
              <w:rPr>
                <w:rFonts w:ascii="Times New Roman" w:hAnsi="Times New Roman"/>
                <w:color w:val="auto"/>
                <w:highlight w:val="none"/>
                <w:shd w:val="clear"/>
              </w:rPr>
            </w:pPr>
            <w:r>
              <w:rPr>
                <w:rFonts w:hint="eastAsia" w:ascii="Times New Roman" w:hAnsi="Times New Roman"/>
                <w:color w:val="auto"/>
                <w:highlight w:val="none"/>
                <w:shd w:val="clear"/>
              </w:rPr>
              <w:t>评委1</w:t>
            </w:r>
          </w:p>
        </w:tc>
        <w:tc>
          <w:tcPr>
            <w:tcW w:w="1550" w:type="dxa"/>
            <w:tcBorders>
              <w:top w:val="single" w:color="000000" w:sz="8" w:space="0"/>
              <w:left w:val="single" w:color="auto" w:sz="4" w:space="0"/>
              <w:bottom w:val="single" w:color="auto" w:sz="4" w:space="0"/>
              <w:right w:val="single" w:color="auto" w:sz="4" w:space="0"/>
            </w:tcBorders>
            <w:noWrap/>
            <w:vAlign w:val="center"/>
          </w:tcPr>
          <w:p w14:paraId="79192FEB">
            <w:pPr>
              <w:pStyle w:val="28"/>
              <w:rPr>
                <w:rFonts w:ascii="Times New Roman" w:hAnsi="Times New Roman"/>
                <w:color w:val="auto"/>
                <w:highlight w:val="none"/>
                <w:shd w:val="clear"/>
              </w:rPr>
            </w:pPr>
            <w:r>
              <w:rPr>
                <w:rFonts w:hint="eastAsia" w:ascii="Times New Roman" w:hAnsi="Times New Roman"/>
                <w:color w:val="auto"/>
                <w:highlight w:val="none"/>
                <w:shd w:val="clear"/>
              </w:rPr>
              <w:t>评委2</w:t>
            </w:r>
          </w:p>
        </w:tc>
        <w:tc>
          <w:tcPr>
            <w:tcW w:w="1475" w:type="dxa"/>
            <w:tcBorders>
              <w:top w:val="single" w:color="000000" w:sz="8" w:space="0"/>
              <w:left w:val="single" w:color="auto" w:sz="4" w:space="0"/>
              <w:bottom w:val="single" w:color="auto" w:sz="4" w:space="0"/>
              <w:right w:val="single" w:color="auto" w:sz="4" w:space="0"/>
            </w:tcBorders>
            <w:noWrap/>
            <w:vAlign w:val="center"/>
          </w:tcPr>
          <w:p w14:paraId="7113AC87">
            <w:pPr>
              <w:pStyle w:val="28"/>
              <w:rPr>
                <w:rFonts w:ascii="Times New Roman" w:hAnsi="Times New Roman"/>
                <w:color w:val="auto"/>
                <w:highlight w:val="none"/>
                <w:shd w:val="clear"/>
              </w:rPr>
            </w:pPr>
            <w:r>
              <w:rPr>
                <w:rFonts w:hint="eastAsia" w:ascii="Times New Roman" w:hAnsi="Times New Roman"/>
                <w:color w:val="auto"/>
                <w:highlight w:val="none"/>
                <w:shd w:val="clear"/>
              </w:rPr>
              <w:t>评委3</w:t>
            </w:r>
          </w:p>
        </w:tc>
        <w:tc>
          <w:tcPr>
            <w:tcW w:w="1450" w:type="dxa"/>
            <w:tcBorders>
              <w:top w:val="single" w:color="000000" w:sz="8" w:space="0"/>
              <w:left w:val="single" w:color="auto" w:sz="4" w:space="0"/>
              <w:bottom w:val="single" w:color="auto" w:sz="4" w:space="0"/>
              <w:right w:val="single" w:color="auto" w:sz="4" w:space="0"/>
            </w:tcBorders>
            <w:noWrap/>
            <w:vAlign w:val="center"/>
          </w:tcPr>
          <w:p w14:paraId="558290C5">
            <w:pPr>
              <w:pStyle w:val="28"/>
              <w:rPr>
                <w:rFonts w:ascii="Times New Roman" w:hAnsi="Times New Roman"/>
                <w:color w:val="auto"/>
                <w:highlight w:val="none"/>
                <w:shd w:val="clear"/>
              </w:rPr>
            </w:pPr>
            <w:r>
              <w:rPr>
                <w:rFonts w:hint="eastAsia" w:ascii="Times New Roman" w:hAnsi="Times New Roman"/>
                <w:color w:val="auto"/>
                <w:highlight w:val="none"/>
                <w:shd w:val="clear"/>
              </w:rPr>
              <w:t>评委4</w:t>
            </w:r>
          </w:p>
        </w:tc>
        <w:tc>
          <w:tcPr>
            <w:tcW w:w="1351" w:type="dxa"/>
            <w:tcBorders>
              <w:top w:val="single" w:color="000000" w:sz="8" w:space="0"/>
              <w:left w:val="single" w:color="auto" w:sz="4" w:space="0"/>
              <w:bottom w:val="single" w:color="auto" w:sz="4" w:space="0"/>
              <w:right w:val="single" w:color="auto" w:sz="4" w:space="0"/>
            </w:tcBorders>
            <w:noWrap/>
            <w:vAlign w:val="center"/>
          </w:tcPr>
          <w:p w14:paraId="0FA4AFD9">
            <w:pPr>
              <w:pStyle w:val="28"/>
              <w:rPr>
                <w:rFonts w:ascii="Times New Roman" w:hAnsi="Times New Roman"/>
                <w:color w:val="auto"/>
                <w:highlight w:val="none"/>
                <w:shd w:val="clear"/>
              </w:rPr>
            </w:pPr>
            <w:r>
              <w:rPr>
                <w:rFonts w:hint="eastAsia" w:ascii="Times New Roman" w:hAnsi="Times New Roman"/>
                <w:color w:val="auto"/>
                <w:highlight w:val="none"/>
                <w:shd w:val="clear"/>
              </w:rPr>
              <w:t>评委5</w:t>
            </w:r>
          </w:p>
        </w:tc>
      </w:tr>
      <w:tr w14:paraId="08D46ED1">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9F9BBE">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投标人1</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A86177">
            <w:pPr>
              <w:pStyle w:val="29"/>
              <w:rPr>
                <w:rFonts w:ascii="Times New Roman" w:hAnsi="Times New Roman"/>
                <w:color w:val="auto"/>
                <w:highlight w:val="none"/>
                <w:shd w:val="clear"/>
              </w:rPr>
            </w:pPr>
            <w:r>
              <w:rPr>
                <w:rFonts w:hint="eastAsia" w:ascii="Times New Roman" w:hAnsi="Times New Roman"/>
                <w:color w:val="auto"/>
                <w:highlight w:val="none"/>
                <w:shd w:val="clear"/>
              </w:rPr>
              <w:t>28.0分</w:t>
            </w:r>
          </w:p>
          <w:p w14:paraId="61C915D1">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18F02F">
            <w:pPr>
              <w:pStyle w:val="29"/>
              <w:rPr>
                <w:rFonts w:ascii="Times New Roman" w:hAnsi="Times New Roman"/>
                <w:color w:val="auto"/>
                <w:highlight w:val="none"/>
                <w:shd w:val="clear"/>
              </w:rPr>
            </w:pPr>
            <w:r>
              <w:rPr>
                <w:rFonts w:hint="eastAsia" w:ascii="Times New Roman" w:hAnsi="Times New Roman"/>
                <w:color w:val="auto"/>
                <w:highlight w:val="none"/>
                <w:shd w:val="clear"/>
              </w:rPr>
              <w:t>30.0分</w:t>
            </w:r>
          </w:p>
          <w:p w14:paraId="0FA31CD9">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B6A5E5">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528AFF70">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372D63">
            <w:pPr>
              <w:pStyle w:val="29"/>
              <w:rPr>
                <w:rFonts w:ascii="Times New Roman" w:hAnsi="Times New Roman"/>
                <w:color w:val="auto"/>
                <w:highlight w:val="none"/>
                <w:shd w:val="clear"/>
              </w:rPr>
            </w:pPr>
            <w:r>
              <w:rPr>
                <w:rFonts w:hint="eastAsia" w:ascii="Times New Roman" w:hAnsi="Times New Roman"/>
                <w:color w:val="auto"/>
                <w:highlight w:val="none"/>
                <w:shd w:val="clear"/>
              </w:rPr>
              <w:t>25.0分</w:t>
            </w:r>
          </w:p>
          <w:p w14:paraId="48AC921B">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A6247C">
            <w:pPr>
              <w:pStyle w:val="29"/>
              <w:rPr>
                <w:rFonts w:ascii="Times New Roman" w:hAnsi="Times New Roman"/>
                <w:color w:val="auto"/>
                <w:highlight w:val="none"/>
                <w:shd w:val="clear"/>
              </w:rPr>
            </w:pPr>
            <w:r>
              <w:rPr>
                <w:rFonts w:hint="eastAsia" w:ascii="Times New Roman" w:hAnsi="Times New Roman"/>
                <w:color w:val="auto"/>
                <w:highlight w:val="none"/>
                <w:shd w:val="clear"/>
              </w:rPr>
              <w:t>20.0分</w:t>
            </w:r>
          </w:p>
          <w:p w14:paraId="437C7F05">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r>
      <w:tr w14:paraId="498D193B">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161954">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投标人2</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D89CF1">
            <w:pPr>
              <w:pStyle w:val="29"/>
              <w:rPr>
                <w:rFonts w:ascii="Times New Roman" w:hAnsi="Times New Roman"/>
                <w:color w:val="auto"/>
                <w:highlight w:val="none"/>
                <w:shd w:val="clear"/>
              </w:rPr>
            </w:pPr>
            <w:r>
              <w:rPr>
                <w:rFonts w:hint="eastAsia" w:ascii="Times New Roman" w:hAnsi="Times New Roman"/>
                <w:color w:val="auto"/>
                <w:highlight w:val="none"/>
                <w:shd w:val="clear"/>
              </w:rPr>
              <w:t>28.0分</w:t>
            </w:r>
          </w:p>
          <w:p w14:paraId="46E25896">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D89BBA">
            <w:pPr>
              <w:pStyle w:val="29"/>
              <w:rPr>
                <w:rFonts w:ascii="Times New Roman" w:hAnsi="Times New Roman"/>
                <w:color w:val="auto"/>
                <w:highlight w:val="none"/>
                <w:shd w:val="clear"/>
              </w:rPr>
            </w:pPr>
            <w:r>
              <w:rPr>
                <w:rFonts w:hint="eastAsia" w:ascii="Times New Roman" w:hAnsi="Times New Roman"/>
                <w:color w:val="auto"/>
                <w:highlight w:val="none"/>
                <w:shd w:val="clear"/>
              </w:rPr>
              <w:t>28.0分</w:t>
            </w:r>
          </w:p>
          <w:p w14:paraId="397BC29D">
            <w:pPr>
              <w:pStyle w:val="29"/>
              <w:rPr>
                <w:rFonts w:ascii="Times New Roman" w:hAnsi="Times New Roman"/>
                <w:color w:val="auto"/>
                <w:highlight w:val="none"/>
                <w:shd w:val="clear"/>
              </w:rPr>
            </w:pPr>
            <w:r>
              <w:rPr>
                <w:rFonts w:hint="eastAsia" w:ascii="Times New Roman" w:hAnsi="Times New Roman"/>
                <w:color w:val="auto"/>
                <w:highlight w:val="none"/>
                <w:shd w:val="clear"/>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F897EC">
            <w:pPr>
              <w:pStyle w:val="29"/>
              <w:rPr>
                <w:rFonts w:ascii="Times New Roman" w:hAnsi="Times New Roman"/>
                <w:color w:val="auto"/>
                <w:highlight w:val="none"/>
                <w:shd w:val="clear"/>
              </w:rPr>
            </w:pPr>
            <w:r>
              <w:rPr>
                <w:rFonts w:hint="eastAsia" w:ascii="Times New Roman" w:hAnsi="Times New Roman"/>
                <w:color w:val="auto"/>
                <w:highlight w:val="none"/>
                <w:shd w:val="clear"/>
              </w:rPr>
              <w:t>28.0分</w:t>
            </w:r>
          </w:p>
          <w:p w14:paraId="0C9594AE">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3407D6">
            <w:pPr>
              <w:pStyle w:val="29"/>
              <w:rPr>
                <w:rFonts w:ascii="Times New Roman" w:hAnsi="Times New Roman"/>
                <w:color w:val="auto"/>
                <w:highlight w:val="none"/>
                <w:shd w:val="clear"/>
              </w:rPr>
            </w:pPr>
            <w:r>
              <w:rPr>
                <w:rFonts w:hint="eastAsia" w:ascii="Times New Roman" w:hAnsi="Times New Roman"/>
                <w:color w:val="auto"/>
                <w:highlight w:val="none"/>
                <w:shd w:val="clear"/>
              </w:rPr>
              <w:t>24.0分</w:t>
            </w:r>
          </w:p>
          <w:p w14:paraId="1928C17C">
            <w:pPr>
              <w:pStyle w:val="29"/>
              <w:rPr>
                <w:rFonts w:ascii="Times New Roman" w:hAnsi="Times New Roman"/>
                <w:color w:val="auto"/>
                <w:highlight w:val="none"/>
                <w:shd w:val="clear"/>
              </w:rPr>
            </w:pPr>
            <w:r>
              <w:rPr>
                <w:rFonts w:hint="eastAsia" w:ascii="Times New Roman" w:hAnsi="Times New Roman"/>
                <w:color w:val="auto"/>
                <w:highlight w:val="none"/>
                <w:shd w:val="clear"/>
              </w:rPr>
              <w:t>（次高分）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DB6B4C">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04A77302">
            <w:pPr>
              <w:pStyle w:val="29"/>
              <w:rPr>
                <w:rFonts w:ascii="Times New Roman" w:hAnsi="Times New Roman"/>
                <w:color w:val="auto"/>
                <w:highlight w:val="none"/>
                <w:shd w:val="clear"/>
              </w:rPr>
            </w:pPr>
            <w:r>
              <w:rPr>
                <w:rFonts w:hint="eastAsia" w:ascii="Times New Roman" w:hAnsi="Times New Roman"/>
                <w:color w:val="auto"/>
                <w:highlight w:val="none"/>
                <w:shd w:val="clear"/>
              </w:rPr>
              <w:t>（次次高分）</w:t>
            </w:r>
          </w:p>
        </w:tc>
      </w:tr>
      <w:tr w14:paraId="784A5DD3">
        <w:tblPrEx>
          <w:tblCellMar>
            <w:top w:w="0" w:type="dxa"/>
            <w:left w:w="108" w:type="dxa"/>
            <w:bottom w:w="0" w:type="dxa"/>
            <w:right w:w="108" w:type="dxa"/>
          </w:tblCellMar>
        </w:tblPrEx>
        <w:trPr>
          <w:trHeight w:val="545"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1C84CE">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投标人3</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C94D42">
            <w:pPr>
              <w:pStyle w:val="29"/>
              <w:rPr>
                <w:rFonts w:ascii="Times New Roman" w:hAnsi="Times New Roman"/>
                <w:color w:val="auto"/>
                <w:highlight w:val="none"/>
                <w:shd w:val="clear"/>
              </w:rPr>
            </w:pPr>
            <w:r>
              <w:rPr>
                <w:rFonts w:hint="eastAsia" w:ascii="Times New Roman" w:hAnsi="Times New Roman"/>
                <w:color w:val="auto"/>
                <w:highlight w:val="none"/>
                <w:shd w:val="clear"/>
              </w:rPr>
              <w:t>26.0分</w:t>
            </w:r>
          </w:p>
          <w:p w14:paraId="15C775B9">
            <w:pPr>
              <w:pStyle w:val="29"/>
              <w:rPr>
                <w:rFonts w:ascii="Times New Roman" w:hAnsi="Times New Roman"/>
                <w:color w:val="auto"/>
                <w:highlight w:val="none"/>
                <w:shd w:val="clear"/>
              </w:rPr>
            </w:pPr>
            <w:r>
              <w:rPr>
                <w:rFonts w:hint="eastAsia" w:ascii="Times New Roman" w:hAnsi="Times New Roman"/>
                <w:color w:val="auto"/>
                <w:highlight w:val="none"/>
                <w:shd w:val="clear"/>
              </w:rPr>
              <w:t>（次高分）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62D77D">
            <w:pPr>
              <w:pStyle w:val="29"/>
              <w:rPr>
                <w:rFonts w:ascii="Times New Roman" w:hAnsi="Times New Roman"/>
                <w:color w:val="auto"/>
                <w:highlight w:val="none"/>
                <w:shd w:val="clear"/>
              </w:rPr>
            </w:pPr>
            <w:r>
              <w:rPr>
                <w:rFonts w:hint="eastAsia" w:ascii="Times New Roman" w:hAnsi="Times New Roman"/>
                <w:color w:val="auto"/>
                <w:highlight w:val="none"/>
                <w:shd w:val="clear"/>
              </w:rPr>
              <w:t>28.0分</w:t>
            </w:r>
          </w:p>
          <w:p w14:paraId="33497D4D">
            <w:pPr>
              <w:pStyle w:val="29"/>
              <w:rPr>
                <w:rFonts w:ascii="Times New Roman" w:hAnsi="Times New Roman"/>
                <w:color w:val="auto"/>
                <w:highlight w:val="none"/>
                <w:shd w:val="clear"/>
              </w:rPr>
            </w:pPr>
            <w:r>
              <w:rPr>
                <w:rFonts w:hint="eastAsia" w:ascii="Times New Roman" w:hAnsi="Times New Roman"/>
                <w:color w:val="auto"/>
                <w:highlight w:val="none"/>
                <w:shd w:val="clear"/>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BDD59B">
            <w:pPr>
              <w:pStyle w:val="29"/>
              <w:rPr>
                <w:rFonts w:ascii="Times New Roman" w:hAnsi="Times New Roman"/>
                <w:color w:val="auto"/>
                <w:highlight w:val="none"/>
                <w:shd w:val="clear"/>
              </w:rPr>
            </w:pPr>
            <w:r>
              <w:rPr>
                <w:rFonts w:hint="eastAsia" w:ascii="Times New Roman" w:hAnsi="Times New Roman"/>
                <w:color w:val="auto"/>
                <w:highlight w:val="none"/>
                <w:shd w:val="clear"/>
              </w:rPr>
              <w:t>25.0分</w:t>
            </w:r>
          </w:p>
          <w:p w14:paraId="5CC266BC">
            <w:pPr>
              <w:pStyle w:val="29"/>
              <w:rPr>
                <w:rFonts w:ascii="Times New Roman" w:hAnsi="Times New Roman"/>
                <w:color w:val="auto"/>
                <w:highlight w:val="none"/>
                <w:shd w:val="clear"/>
              </w:rPr>
            </w:pPr>
            <w:r>
              <w:rPr>
                <w:rFonts w:hint="eastAsia" w:ascii="Times New Roman" w:hAnsi="Times New Roman"/>
                <w:color w:val="auto"/>
                <w:highlight w:val="none"/>
                <w:shd w:val="clear"/>
              </w:rPr>
              <w:t>（次高分）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8B5170">
            <w:pPr>
              <w:pStyle w:val="29"/>
              <w:rPr>
                <w:rFonts w:ascii="Times New Roman" w:hAnsi="Times New Roman"/>
                <w:color w:val="auto"/>
                <w:highlight w:val="none"/>
                <w:shd w:val="clear"/>
              </w:rPr>
            </w:pPr>
            <w:r>
              <w:rPr>
                <w:rFonts w:hint="eastAsia" w:ascii="Times New Roman" w:hAnsi="Times New Roman"/>
                <w:color w:val="auto"/>
                <w:highlight w:val="none"/>
                <w:shd w:val="clear"/>
              </w:rPr>
              <w:t>25.0分</w:t>
            </w:r>
          </w:p>
          <w:p w14:paraId="1EE3304C">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A5ED8B">
            <w:pPr>
              <w:pStyle w:val="29"/>
              <w:rPr>
                <w:rFonts w:ascii="Times New Roman" w:hAnsi="Times New Roman"/>
                <w:color w:val="auto"/>
                <w:highlight w:val="none"/>
                <w:shd w:val="clear"/>
              </w:rPr>
            </w:pPr>
            <w:r>
              <w:rPr>
                <w:rFonts w:hint="eastAsia" w:ascii="Times New Roman" w:hAnsi="Times New Roman"/>
                <w:color w:val="auto"/>
                <w:highlight w:val="none"/>
                <w:shd w:val="clear"/>
              </w:rPr>
              <w:t>23.0分</w:t>
            </w:r>
          </w:p>
          <w:p w14:paraId="7C5DD700">
            <w:pPr>
              <w:pStyle w:val="29"/>
              <w:rPr>
                <w:rFonts w:ascii="Times New Roman" w:hAnsi="Times New Roman"/>
                <w:color w:val="auto"/>
                <w:highlight w:val="none"/>
                <w:shd w:val="clear"/>
              </w:rPr>
            </w:pPr>
            <w:r>
              <w:rPr>
                <w:rFonts w:hint="eastAsia" w:ascii="Times New Roman" w:hAnsi="Times New Roman"/>
                <w:color w:val="auto"/>
                <w:highlight w:val="none"/>
                <w:shd w:val="clear"/>
              </w:rPr>
              <w:t>（次高分）</w:t>
            </w:r>
          </w:p>
        </w:tc>
      </w:tr>
      <w:tr w14:paraId="767A8675">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3C5B61">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投标人4</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A459F5">
            <w:pPr>
              <w:pStyle w:val="29"/>
              <w:rPr>
                <w:rFonts w:ascii="Times New Roman" w:hAnsi="Times New Roman"/>
                <w:color w:val="auto"/>
                <w:highlight w:val="none"/>
                <w:shd w:val="clear"/>
              </w:rPr>
            </w:pPr>
            <w:r>
              <w:rPr>
                <w:rFonts w:hint="eastAsia" w:ascii="Times New Roman" w:hAnsi="Times New Roman"/>
                <w:color w:val="auto"/>
                <w:highlight w:val="none"/>
                <w:shd w:val="clear"/>
              </w:rPr>
              <w:t>24.0 分</w:t>
            </w:r>
          </w:p>
          <w:p w14:paraId="3BD3F11F">
            <w:pPr>
              <w:pStyle w:val="29"/>
              <w:rPr>
                <w:rFonts w:ascii="Times New Roman" w:hAnsi="Times New Roman"/>
                <w:color w:val="auto"/>
                <w:highlight w:val="none"/>
                <w:shd w:val="clear"/>
              </w:rPr>
            </w:pPr>
            <w:r>
              <w:rPr>
                <w:rFonts w:hint="eastAsia" w:ascii="Times New Roman" w:hAnsi="Times New Roman"/>
                <w:color w:val="auto"/>
                <w:highlight w:val="none"/>
                <w:shd w:val="clear"/>
              </w:rPr>
              <w:t>（次次高分）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7A6D7A">
            <w:pPr>
              <w:pStyle w:val="29"/>
              <w:rPr>
                <w:rFonts w:ascii="Times New Roman" w:hAnsi="Times New Roman"/>
                <w:color w:val="auto"/>
                <w:highlight w:val="none"/>
                <w:shd w:val="clear"/>
              </w:rPr>
            </w:pPr>
            <w:r>
              <w:rPr>
                <w:rFonts w:hint="eastAsia" w:ascii="Times New Roman" w:hAnsi="Times New Roman"/>
                <w:color w:val="auto"/>
                <w:highlight w:val="none"/>
                <w:shd w:val="clear"/>
              </w:rPr>
              <w:t>24.0 分</w:t>
            </w:r>
          </w:p>
          <w:p w14:paraId="081820FB">
            <w:pPr>
              <w:pStyle w:val="29"/>
              <w:rPr>
                <w:rFonts w:ascii="Times New Roman" w:hAnsi="Times New Roman"/>
                <w:color w:val="auto"/>
                <w:highlight w:val="none"/>
                <w:shd w:val="clear"/>
              </w:rPr>
            </w:pPr>
            <w:r>
              <w:rPr>
                <w:rFonts w:hint="eastAsia" w:ascii="Times New Roman" w:hAnsi="Times New Roman"/>
                <w:color w:val="auto"/>
                <w:highlight w:val="none"/>
                <w:shd w:val="clear"/>
              </w:rPr>
              <w:t>（次次高分）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20F5F4">
            <w:pPr>
              <w:pStyle w:val="29"/>
              <w:rPr>
                <w:rFonts w:ascii="Times New Roman" w:hAnsi="Times New Roman"/>
                <w:color w:val="auto"/>
                <w:highlight w:val="none"/>
                <w:shd w:val="clear"/>
              </w:rPr>
            </w:pPr>
            <w:r>
              <w:rPr>
                <w:rFonts w:hint="eastAsia" w:ascii="Times New Roman" w:hAnsi="Times New Roman"/>
                <w:color w:val="auto"/>
                <w:highlight w:val="none"/>
                <w:shd w:val="clear"/>
              </w:rPr>
              <w:t>28.0 分</w:t>
            </w:r>
          </w:p>
          <w:p w14:paraId="7C112BF4">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38CE55">
            <w:pPr>
              <w:pStyle w:val="29"/>
              <w:rPr>
                <w:rFonts w:ascii="Times New Roman" w:hAnsi="Times New Roman"/>
                <w:color w:val="auto"/>
                <w:highlight w:val="none"/>
                <w:shd w:val="clear"/>
              </w:rPr>
            </w:pPr>
            <w:r>
              <w:rPr>
                <w:rFonts w:hint="eastAsia" w:ascii="Times New Roman" w:hAnsi="Times New Roman"/>
                <w:color w:val="auto"/>
                <w:highlight w:val="none"/>
                <w:shd w:val="clear"/>
              </w:rPr>
              <w:t>23.0 分</w:t>
            </w:r>
          </w:p>
          <w:p w14:paraId="58F41707">
            <w:pPr>
              <w:pStyle w:val="29"/>
              <w:rPr>
                <w:rFonts w:ascii="Times New Roman" w:hAnsi="Times New Roman"/>
                <w:color w:val="auto"/>
                <w:highlight w:val="none"/>
                <w:shd w:val="clear"/>
              </w:rPr>
            </w:pPr>
            <w:r>
              <w:rPr>
                <w:rFonts w:hint="eastAsia" w:ascii="Times New Roman" w:hAnsi="Times New Roman"/>
                <w:color w:val="auto"/>
                <w:highlight w:val="none"/>
                <w:shd w:val="clear"/>
              </w:rPr>
              <w:t>（次次高分）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361575">
            <w:pPr>
              <w:pStyle w:val="29"/>
              <w:rPr>
                <w:rFonts w:ascii="Times New Roman" w:hAnsi="Times New Roman"/>
                <w:color w:val="auto"/>
                <w:highlight w:val="none"/>
                <w:shd w:val="clear"/>
              </w:rPr>
            </w:pPr>
            <w:r>
              <w:rPr>
                <w:rFonts w:hint="eastAsia" w:ascii="Times New Roman" w:hAnsi="Times New Roman"/>
                <w:color w:val="auto"/>
                <w:highlight w:val="none"/>
                <w:shd w:val="clear"/>
              </w:rPr>
              <w:t>20.0 分</w:t>
            </w:r>
          </w:p>
          <w:p w14:paraId="0D73B6BC">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r>
      <w:tr w14:paraId="6A513413">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9F593D">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投标人5</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7225D3">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0BE00FC3">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5AF2D5">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3643E296">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D57C5F">
            <w:pPr>
              <w:pStyle w:val="29"/>
              <w:rPr>
                <w:rFonts w:ascii="Times New Roman" w:hAnsi="Times New Roman"/>
                <w:color w:val="auto"/>
                <w:highlight w:val="none"/>
                <w:shd w:val="clear"/>
              </w:rPr>
            </w:pPr>
            <w:r>
              <w:rPr>
                <w:rFonts w:hint="eastAsia" w:ascii="Times New Roman" w:hAnsi="Times New Roman"/>
                <w:color w:val="auto"/>
                <w:highlight w:val="none"/>
                <w:shd w:val="clear"/>
              </w:rPr>
              <w:t>24.0分</w:t>
            </w:r>
          </w:p>
          <w:p w14:paraId="41A43EF8">
            <w:pPr>
              <w:pStyle w:val="29"/>
              <w:rPr>
                <w:rFonts w:ascii="Times New Roman" w:hAnsi="Times New Roman"/>
                <w:color w:val="auto"/>
                <w:highlight w:val="none"/>
                <w:shd w:val="clear"/>
              </w:rPr>
            </w:pPr>
            <w:r>
              <w:rPr>
                <w:rFonts w:hint="eastAsia" w:ascii="Times New Roman" w:hAnsi="Times New Roman"/>
                <w:color w:val="auto"/>
                <w:highlight w:val="none"/>
                <w:shd w:val="clear"/>
              </w:rPr>
              <w:t>（次次高分）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95E949">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1CF96876">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C796F5">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09FD0DC6">
            <w:pPr>
              <w:pStyle w:val="29"/>
              <w:rPr>
                <w:rFonts w:ascii="Times New Roman" w:hAnsi="Times New Roman"/>
                <w:color w:val="auto"/>
                <w:highlight w:val="none"/>
                <w:shd w:val="clear"/>
              </w:rPr>
            </w:pPr>
            <w:r>
              <w:rPr>
                <w:rFonts w:hint="eastAsia" w:ascii="Times New Roman" w:hAnsi="Times New Roman"/>
                <w:color w:val="auto"/>
                <w:highlight w:val="none"/>
                <w:shd w:val="clear"/>
              </w:rPr>
              <w:t>（次次高分）</w:t>
            </w:r>
          </w:p>
        </w:tc>
      </w:tr>
      <w:tr w14:paraId="10232A6B">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805290">
            <w:pPr>
              <w:pStyle w:val="29"/>
              <w:rPr>
                <w:rFonts w:ascii="Times New Roman" w:hAnsi="Times New Roman" w:cs="宋体"/>
                <w:color w:val="auto"/>
                <w:kern w:val="0"/>
                <w:highlight w:val="none"/>
                <w:shd w:val="clear"/>
              </w:rPr>
            </w:pPr>
            <w:r>
              <w:rPr>
                <w:rFonts w:hint="eastAsia" w:ascii="Times New Roman" w:hAnsi="Times New Roman"/>
                <w:color w:val="auto"/>
                <w:highlight w:val="none"/>
                <w:shd w:val="clear"/>
              </w:rPr>
              <w:t>投标人6</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408FFA">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70F11DD5">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801975">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48BD6159">
            <w:pPr>
              <w:pStyle w:val="29"/>
              <w:rPr>
                <w:rFonts w:ascii="Times New Roman" w:hAnsi="Times New Roman"/>
                <w:color w:val="auto"/>
                <w:highlight w:val="none"/>
                <w:shd w:val="clear"/>
              </w:rPr>
            </w:pPr>
            <w:r>
              <w:rPr>
                <w:rFonts w:hint="eastAsia" w:ascii="Times New Roman" w:hAnsi="Times New Roman"/>
                <w:color w:val="auto"/>
                <w:highlight w:val="none"/>
                <w:shd w:val="clear"/>
              </w:rPr>
              <w:t>（</w:t>
            </w:r>
            <w:r>
              <w:rPr>
                <w:rStyle w:val="27"/>
                <w:rFonts w:hint="eastAsia" w:ascii="Times New Roman" w:hAnsi="Times New Roman"/>
                <w:color w:val="auto"/>
                <w:highlight w:val="none"/>
                <w:shd w:val="clear"/>
              </w:rPr>
              <w:t>最低</w:t>
            </w:r>
            <w:r>
              <w:rPr>
                <w:rFonts w:hint="eastAsia" w:ascii="Times New Roman" w:hAnsi="Times New Roman"/>
                <w:color w:val="auto"/>
                <w:highlight w:val="none"/>
                <w:shd w:val="clear"/>
              </w:rPr>
              <w:t>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B4AA4B">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73DE2350">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DC7D85">
            <w:pPr>
              <w:pStyle w:val="29"/>
              <w:rPr>
                <w:rFonts w:ascii="Times New Roman" w:hAnsi="Times New Roman"/>
                <w:color w:val="auto"/>
                <w:highlight w:val="none"/>
                <w:shd w:val="clear"/>
              </w:rPr>
            </w:pPr>
            <w:r>
              <w:rPr>
                <w:rFonts w:hint="eastAsia" w:ascii="Times New Roman" w:hAnsi="Times New Roman"/>
                <w:color w:val="auto"/>
                <w:highlight w:val="none"/>
                <w:shd w:val="clear"/>
              </w:rPr>
              <w:t>22.0分</w:t>
            </w:r>
          </w:p>
          <w:p w14:paraId="72FCD38E">
            <w:pPr>
              <w:pStyle w:val="29"/>
              <w:rPr>
                <w:rFonts w:ascii="Times New Roman" w:hAnsi="Times New Roman"/>
                <w:color w:val="auto"/>
                <w:highlight w:val="none"/>
                <w:shd w:val="clear"/>
              </w:rPr>
            </w:pPr>
            <w:r>
              <w:rPr>
                <w:rFonts w:hint="eastAsia" w:ascii="Times New Roman" w:hAnsi="Times New Roman"/>
                <w:color w:val="auto"/>
                <w:highlight w:val="none"/>
                <w:shd w:val="clear"/>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D5361F">
            <w:pPr>
              <w:pStyle w:val="29"/>
              <w:rPr>
                <w:rFonts w:ascii="Times New Roman" w:hAnsi="Times New Roman"/>
                <w:color w:val="auto"/>
                <w:highlight w:val="none"/>
                <w:shd w:val="clear"/>
              </w:rPr>
            </w:pPr>
            <w:r>
              <w:rPr>
                <w:rFonts w:hint="eastAsia" w:ascii="Times New Roman" w:hAnsi="Times New Roman"/>
                <w:color w:val="auto"/>
                <w:highlight w:val="none"/>
                <w:shd w:val="clear"/>
              </w:rPr>
              <w:t>30.0分</w:t>
            </w:r>
          </w:p>
          <w:p w14:paraId="54258D6B">
            <w:pPr>
              <w:pStyle w:val="29"/>
              <w:rPr>
                <w:rFonts w:ascii="Times New Roman" w:hAnsi="Times New Roman"/>
                <w:color w:val="auto"/>
                <w:highlight w:val="none"/>
                <w:shd w:val="clear"/>
              </w:rPr>
            </w:pPr>
            <w:r>
              <w:rPr>
                <w:rFonts w:hint="eastAsia" w:ascii="Times New Roman" w:hAnsi="Times New Roman"/>
                <w:color w:val="auto"/>
                <w:highlight w:val="none"/>
                <w:shd w:val="clear"/>
              </w:rPr>
              <w:t>（最高分）</w:t>
            </w:r>
          </w:p>
        </w:tc>
      </w:tr>
      <w:tr w14:paraId="75614168">
        <w:tblPrEx>
          <w:tblCellMar>
            <w:top w:w="0" w:type="dxa"/>
            <w:left w:w="108" w:type="dxa"/>
            <w:bottom w:w="0" w:type="dxa"/>
            <w:right w:w="108" w:type="dxa"/>
          </w:tblCellMar>
        </w:tblPrEx>
        <w:trPr>
          <w:trHeight w:val="415" w:hRule="atLeast"/>
          <w:jc w:val="center"/>
        </w:trPr>
        <w:tc>
          <w:tcPr>
            <w:tcW w:w="8566"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46861B70">
            <w:pPr>
              <w:pStyle w:val="28"/>
              <w:rPr>
                <w:rFonts w:ascii="Times New Roman" w:hAnsi="Times New Roman"/>
                <w:bCs/>
                <w:color w:val="auto"/>
                <w:kern w:val="0"/>
                <w:szCs w:val="20"/>
                <w:highlight w:val="none"/>
                <w:shd w:val="clear"/>
              </w:rPr>
            </w:pPr>
            <w:r>
              <w:rPr>
                <w:rFonts w:hint="eastAsia" w:ascii="Times New Roman" w:hAnsi="Times New Roman"/>
                <w:color w:val="auto"/>
                <w:highlight w:val="none"/>
                <w:shd w:val="clear"/>
              </w:rPr>
              <w:t>列举评委1纵向偏差率计算</w:t>
            </w:r>
          </w:p>
        </w:tc>
      </w:tr>
      <w:tr w14:paraId="74BA92F1">
        <w:tblPrEx>
          <w:tblCellMar>
            <w:top w:w="0" w:type="dxa"/>
            <w:left w:w="108" w:type="dxa"/>
            <w:bottom w:w="0" w:type="dxa"/>
            <w:right w:w="108" w:type="dxa"/>
          </w:tblCellMar>
        </w:tblPrEx>
        <w:trPr>
          <w:trHeight w:val="472" w:hRule="atLeast"/>
          <w:jc w:val="center"/>
        </w:trPr>
        <w:tc>
          <w:tcPr>
            <w:tcW w:w="27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9B8B6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评委1的纵向偏差率</w:t>
            </w:r>
          </w:p>
        </w:tc>
        <w:tc>
          <w:tcPr>
            <w:tcW w:w="5826"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D5161BA">
            <w:pPr>
              <w:pStyle w:val="22"/>
              <w:ind w:firstLine="420"/>
              <w:rPr>
                <w:rFonts w:ascii="Times New Roman" w:hAnsi="Times New Roman"/>
                <w:color w:val="auto"/>
                <w:highlight w:val="none"/>
                <w:shd w:val="clear"/>
              </w:rPr>
            </w:pPr>
            <w:r>
              <w:rPr>
                <w:rFonts w:hint="eastAsia" w:ascii="Times New Roman" w:hAnsi="Times New Roman" w:eastAsia="宋体" w:cs="宋体"/>
                <w:color w:val="auto"/>
                <w:highlight w:val="none"/>
                <w:shd w:val="clear"/>
              </w:rPr>
              <w:t>（28.0-22.0）÷28.0×</w:t>
            </w:r>
            <w:r>
              <w:rPr>
                <w:rFonts w:hint="eastAsia" w:ascii="Times New Roman" w:hAnsi="Times New Roman"/>
                <w:color w:val="auto"/>
                <w:highlight w:val="none"/>
                <w:shd w:val="clear"/>
              </w:rPr>
              <w:t xml:space="preserve">100%=21.429% </w:t>
            </w:r>
          </w:p>
        </w:tc>
      </w:tr>
      <w:tr w14:paraId="5F00372D">
        <w:tblPrEx>
          <w:tblCellMar>
            <w:top w:w="0" w:type="dxa"/>
            <w:left w:w="108" w:type="dxa"/>
            <w:bottom w:w="0" w:type="dxa"/>
            <w:right w:w="108" w:type="dxa"/>
          </w:tblCellMar>
        </w:tblPrEx>
        <w:trPr>
          <w:trHeight w:val="412" w:hRule="atLeast"/>
          <w:jc w:val="center"/>
        </w:trPr>
        <w:tc>
          <w:tcPr>
            <w:tcW w:w="8566"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58524E63">
            <w:pPr>
              <w:pStyle w:val="28"/>
              <w:rPr>
                <w:rFonts w:ascii="Times New Roman" w:hAnsi="Times New Roman"/>
                <w:bCs/>
                <w:color w:val="auto"/>
                <w:kern w:val="0"/>
                <w:szCs w:val="20"/>
                <w:highlight w:val="none"/>
                <w:shd w:val="clear"/>
              </w:rPr>
            </w:pPr>
            <w:r>
              <w:rPr>
                <w:rFonts w:hint="eastAsia" w:ascii="Times New Roman" w:hAnsi="Times New Roman"/>
                <w:color w:val="auto"/>
                <w:highlight w:val="none"/>
                <w:shd w:val="clear"/>
              </w:rPr>
              <w:t>列举评委1横向偏差率计算</w:t>
            </w:r>
          </w:p>
        </w:tc>
      </w:tr>
      <w:tr w14:paraId="21015E69">
        <w:tblPrEx>
          <w:tblCellMar>
            <w:top w:w="0" w:type="dxa"/>
            <w:left w:w="108" w:type="dxa"/>
            <w:bottom w:w="0" w:type="dxa"/>
            <w:right w:w="108" w:type="dxa"/>
          </w:tblCellMar>
        </w:tblPrEx>
        <w:trPr>
          <w:trHeight w:val="1017" w:hRule="atLeast"/>
          <w:jc w:val="center"/>
        </w:trPr>
        <w:tc>
          <w:tcPr>
            <w:tcW w:w="1382" w:type="dxa"/>
            <w:gridSpan w:val="2"/>
            <w:vMerge w:val="restart"/>
            <w:tcBorders>
              <w:top w:val="single" w:color="auto" w:sz="4" w:space="0"/>
              <w:left w:val="single" w:color="auto" w:sz="4" w:space="0"/>
              <w:right w:val="single" w:color="auto" w:sz="4" w:space="0"/>
            </w:tcBorders>
            <w:shd w:val="clear" w:color="auto" w:fill="FFFFFF"/>
            <w:noWrap/>
            <w:vAlign w:val="center"/>
          </w:tcPr>
          <w:p w14:paraId="6E24BFC7">
            <w:pPr>
              <w:pStyle w:val="29"/>
              <w:rPr>
                <w:rFonts w:ascii="Times New Roman" w:hAnsi="Times New Roman"/>
                <w:color w:val="auto"/>
                <w:highlight w:val="none"/>
                <w:shd w:val="clear"/>
              </w:rPr>
            </w:pPr>
            <w:r>
              <w:rPr>
                <w:rFonts w:hint="eastAsia" w:ascii="Times New Roman" w:hAnsi="Times New Roman"/>
                <w:color w:val="auto"/>
                <w:highlight w:val="none"/>
                <w:shd w:val="clear"/>
              </w:rPr>
              <w:t>评委1的横向偏差</w:t>
            </w:r>
          </w:p>
        </w:tc>
        <w:tc>
          <w:tcPr>
            <w:tcW w:w="718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001637CE">
            <w:pPr>
              <w:pStyle w:val="30"/>
              <w:rPr>
                <w:rFonts w:ascii="Times New Roman" w:hAnsi="Times New Roman"/>
                <w:color w:val="auto"/>
                <w:highlight w:val="none"/>
                <w:shd w:val="clear"/>
              </w:rPr>
            </w:pPr>
            <w:r>
              <w:rPr>
                <w:rFonts w:hint="eastAsia" w:ascii="Times New Roman" w:hAnsi="Times New Roman"/>
                <w:color w:val="auto"/>
                <w:highlight w:val="none"/>
                <w:shd w:val="clear"/>
              </w:rPr>
              <w:t>对投标人1计算横向偏差={28.0-[（30.0+22.0+25.0+20.0）÷4]}÷[（30.0+22.0+25.0+20.0）÷4]×100%={28.0-24.25}÷[24.25]×100%=15.464%</w:t>
            </w:r>
          </w:p>
        </w:tc>
      </w:tr>
      <w:tr w14:paraId="75F02B3F">
        <w:tblPrEx>
          <w:tblCellMar>
            <w:top w:w="0" w:type="dxa"/>
            <w:left w:w="108" w:type="dxa"/>
            <w:bottom w:w="0" w:type="dxa"/>
            <w:right w:w="108" w:type="dxa"/>
          </w:tblCellMar>
        </w:tblPrEx>
        <w:trPr>
          <w:trHeight w:val="905" w:hRule="atLeast"/>
          <w:jc w:val="center"/>
        </w:trPr>
        <w:tc>
          <w:tcPr>
            <w:tcW w:w="1382" w:type="dxa"/>
            <w:gridSpan w:val="2"/>
            <w:vMerge w:val="continue"/>
            <w:tcBorders>
              <w:left w:val="single" w:color="auto" w:sz="4" w:space="0"/>
              <w:bottom w:val="single" w:color="auto" w:sz="4" w:space="0"/>
              <w:right w:val="single" w:color="auto" w:sz="4" w:space="0"/>
            </w:tcBorders>
            <w:shd w:val="clear" w:color="auto" w:fill="FFFFFF"/>
            <w:noWrap/>
            <w:vAlign w:val="center"/>
          </w:tcPr>
          <w:p w14:paraId="71F82DEF">
            <w:pPr>
              <w:pStyle w:val="22"/>
              <w:ind w:firstLine="420"/>
              <w:rPr>
                <w:rFonts w:ascii="Times New Roman" w:hAnsi="Times New Roman"/>
                <w:color w:val="auto"/>
                <w:highlight w:val="none"/>
                <w:shd w:val="clear"/>
              </w:rPr>
            </w:pPr>
          </w:p>
        </w:tc>
        <w:tc>
          <w:tcPr>
            <w:tcW w:w="718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0A3A6D23">
            <w:pPr>
              <w:pStyle w:val="30"/>
              <w:rPr>
                <w:rFonts w:ascii="Times New Roman" w:hAnsi="Times New Roman"/>
                <w:color w:val="auto"/>
                <w:highlight w:val="none"/>
                <w:shd w:val="clear"/>
              </w:rPr>
            </w:pPr>
            <w:r>
              <w:rPr>
                <w:rFonts w:hint="eastAsia" w:ascii="Times New Roman" w:hAnsi="Times New Roman"/>
                <w:color w:val="auto"/>
                <w:highlight w:val="none"/>
                <w:shd w:val="clear"/>
              </w:rPr>
              <w:t>对投标人2计算横向偏差={28.0-[（28.0+28.0+24.0+22.0）÷4]}÷[（28.0+28.0+24.0+22.0）÷4]×100%={28.0-25.50}÷[25.50]×100%=9.804%</w:t>
            </w:r>
          </w:p>
        </w:tc>
      </w:tr>
    </w:tbl>
    <w:p w14:paraId="6191AB6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br w:type="page"/>
      </w:r>
    </w:p>
    <w:p w14:paraId="698C61C3">
      <w:pPr>
        <w:pStyle w:val="26"/>
        <w:jc w:val="left"/>
        <w:rPr>
          <w:rFonts w:ascii="Times New Roman" w:hAnsi="Times New Roman"/>
          <w:color w:val="auto"/>
          <w:highlight w:val="none"/>
          <w:shd w:val="clear"/>
        </w:rPr>
      </w:pPr>
      <w:r>
        <w:rPr>
          <w:rStyle w:val="31"/>
          <w:rFonts w:hint="eastAsia" w:ascii="Times New Roman" w:hAnsi="Times New Roman"/>
          <w:snapToGrid w:val="0"/>
          <w:color w:val="auto"/>
          <w:highlight w:val="none"/>
          <w:shd w:val="clear"/>
        </w:rPr>
        <w:t>附件2：确定入围第三阶段报价文件评审的规定</w:t>
      </w:r>
      <w:bookmarkEnd w:id="552"/>
      <w:bookmarkEnd w:id="553"/>
      <w:bookmarkEnd w:id="554"/>
    </w:p>
    <w:p w14:paraId="53E99E8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按商务及技术文件评审得分由高到低的顺序，确定得分</w:t>
      </w:r>
      <w:r>
        <w:rPr>
          <w:rFonts w:hint="eastAsia" w:ascii="Times New Roman" w:hAnsi="Times New Roman" w:eastAsia="宋体" w:cs="宋体"/>
          <w:color w:val="auto"/>
          <w:highlight w:val="none"/>
          <w:shd w:val="clear"/>
        </w:rPr>
        <w:t>前</w:t>
      </w:r>
      <w:r>
        <w:rPr>
          <w:rFonts w:hint="eastAsia" w:ascii="Times New Roman" w:hAnsi="Times New Roman" w:eastAsia="宋体" w:cs="宋体"/>
          <w:b/>
          <w:bCs/>
          <w:color w:val="auto"/>
          <w:highlight w:val="none"/>
          <w:shd w:val="clear"/>
          <w:lang w:val="en-US" w:eastAsia="zh-CN"/>
        </w:rPr>
        <w:t>6</w:t>
      </w:r>
      <w:r>
        <w:rPr>
          <w:rFonts w:hint="eastAsia" w:ascii="Times New Roman" w:hAnsi="Times New Roman" w:eastAsia="宋体" w:cs="宋体"/>
          <w:color w:val="auto"/>
          <w:highlight w:val="none"/>
          <w:shd w:val="clear"/>
        </w:rPr>
        <w:t>家</w:t>
      </w:r>
      <w:r>
        <w:rPr>
          <w:rFonts w:hint="eastAsia" w:ascii="Times New Roman" w:hAnsi="Times New Roman"/>
          <w:color w:val="auto"/>
          <w:highlight w:val="none"/>
          <w:shd w:val="clear"/>
        </w:rPr>
        <w:t>投标人进入第三阶段报价文件评审；</w:t>
      </w:r>
    </w:p>
    <w:p w14:paraId="6ED3ED8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符合上述原则得分相同且排序最末的投标人均进入第三阶段报价文件评审。当参与商务及技术文件评审不足规定数量时，全部入围第三阶段报价文件评审。</w:t>
      </w:r>
    </w:p>
    <w:p w14:paraId="77C602E5">
      <w:pPr>
        <w:pStyle w:val="22"/>
        <w:ind w:firstLine="420"/>
        <w:rPr>
          <w:rFonts w:ascii="Times New Roman" w:hAnsi="Times New Roman"/>
          <w:color w:val="auto"/>
          <w:highlight w:val="none"/>
          <w:shd w:val="clear"/>
        </w:rPr>
      </w:pPr>
      <w:r>
        <w:rPr>
          <w:rFonts w:ascii="Times New Roman" w:hAnsi="Times New Roman" w:cs="Times New Roman"/>
          <w:color w:val="auto"/>
          <w:highlight w:val="none"/>
          <w:shd w:val="clear"/>
        </w:rPr>
        <w:t>当进入第</w:t>
      </w:r>
      <w:r>
        <w:rPr>
          <w:rFonts w:hint="eastAsia" w:ascii="Times New Roman" w:hAnsi="Times New Roman" w:cs="Times New Roman"/>
          <w:color w:val="auto"/>
          <w:highlight w:val="none"/>
          <w:shd w:val="clear"/>
        </w:rPr>
        <w:t>三</w:t>
      </w:r>
      <w:r>
        <w:rPr>
          <w:rFonts w:ascii="Times New Roman" w:hAnsi="Times New Roman" w:cs="Times New Roman"/>
          <w:color w:val="auto"/>
          <w:highlight w:val="none"/>
          <w:shd w:val="clear"/>
        </w:rPr>
        <w:t>阶段的</w:t>
      </w:r>
      <w:r>
        <w:rPr>
          <w:rFonts w:hint="eastAsia" w:ascii="Times New Roman" w:hAnsi="Times New Roman" w:cs="Times New Roman"/>
          <w:color w:val="auto"/>
          <w:highlight w:val="none"/>
          <w:shd w:val="clear"/>
        </w:rPr>
        <w:t>部分</w:t>
      </w:r>
      <w:r>
        <w:rPr>
          <w:rFonts w:ascii="Times New Roman" w:hAnsi="Times New Roman" w:cs="Times New Roman"/>
          <w:color w:val="auto"/>
          <w:highlight w:val="none"/>
          <w:shd w:val="clear"/>
        </w:rPr>
        <w:t>投标人未通过</w:t>
      </w:r>
      <w:r>
        <w:rPr>
          <w:rFonts w:hint="eastAsia" w:ascii="Times New Roman" w:hAnsi="Times New Roman" w:cs="Times New Roman"/>
          <w:color w:val="auto"/>
          <w:highlight w:val="none"/>
          <w:shd w:val="clear"/>
        </w:rPr>
        <w:t>报价文件初步</w:t>
      </w:r>
      <w:r>
        <w:rPr>
          <w:rFonts w:ascii="Times New Roman" w:hAnsi="Times New Roman" w:cs="Times New Roman"/>
          <w:color w:val="auto"/>
          <w:highlight w:val="none"/>
          <w:shd w:val="clear"/>
        </w:rPr>
        <w:t>评审，</w:t>
      </w:r>
      <w:r>
        <w:rPr>
          <w:rFonts w:hint="eastAsia" w:ascii="Times New Roman" w:hAnsi="Times New Roman" w:cs="Times New Roman"/>
          <w:color w:val="auto"/>
          <w:highlight w:val="none"/>
          <w:shd w:val="clear"/>
        </w:rPr>
        <w:t>导致入围第三阶段的投标人数量小于规定的入围数量，按照上述原则进行递补</w:t>
      </w:r>
      <w:r>
        <w:rPr>
          <w:rFonts w:ascii="Times New Roman" w:hAnsi="Times New Roman" w:cs="Times New Roman"/>
          <w:color w:val="auto"/>
          <w:highlight w:val="none"/>
          <w:shd w:val="clear"/>
        </w:rPr>
        <w:t>。</w:t>
      </w:r>
    </w:p>
    <w:p w14:paraId="2010ADB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例：如项目确定得分前6名进入第三阶段报价文件评审，共9家单位，得分如下：</w:t>
      </w:r>
    </w:p>
    <w:tbl>
      <w:tblPr>
        <w:tblStyle w:val="1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29"/>
        <w:gridCol w:w="829"/>
        <w:gridCol w:w="829"/>
        <w:gridCol w:w="830"/>
        <w:gridCol w:w="830"/>
        <w:gridCol w:w="830"/>
        <w:gridCol w:w="830"/>
        <w:gridCol w:w="830"/>
        <w:gridCol w:w="830"/>
      </w:tblGrid>
      <w:tr w14:paraId="486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365DF53D">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投标人</w:t>
            </w:r>
          </w:p>
        </w:tc>
        <w:tc>
          <w:tcPr>
            <w:tcW w:w="829" w:type="dxa"/>
            <w:noWrap w:val="0"/>
            <w:vAlign w:val="top"/>
          </w:tcPr>
          <w:p w14:paraId="207041DE">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w:t>
            </w:r>
          </w:p>
        </w:tc>
        <w:tc>
          <w:tcPr>
            <w:tcW w:w="829" w:type="dxa"/>
            <w:noWrap w:val="0"/>
            <w:vAlign w:val="top"/>
          </w:tcPr>
          <w:p w14:paraId="105392C7">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2</w:t>
            </w:r>
          </w:p>
        </w:tc>
        <w:tc>
          <w:tcPr>
            <w:tcW w:w="829" w:type="dxa"/>
            <w:noWrap w:val="0"/>
            <w:vAlign w:val="top"/>
          </w:tcPr>
          <w:p w14:paraId="587F1888">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3</w:t>
            </w:r>
          </w:p>
        </w:tc>
        <w:tc>
          <w:tcPr>
            <w:tcW w:w="830" w:type="dxa"/>
            <w:noWrap w:val="0"/>
            <w:vAlign w:val="top"/>
          </w:tcPr>
          <w:p w14:paraId="24F4B185">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4</w:t>
            </w:r>
          </w:p>
        </w:tc>
        <w:tc>
          <w:tcPr>
            <w:tcW w:w="830" w:type="dxa"/>
            <w:noWrap w:val="0"/>
            <w:vAlign w:val="top"/>
          </w:tcPr>
          <w:p w14:paraId="312C857E">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5</w:t>
            </w:r>
          </w:p>
        </w:tc>
        <w:tc>
          <w:tcPr>
            <w:tcW w:w="830" w:type="dxa"/>
            <w:noWrap w:val="0"/>
            <w:vAlign w:val="top"/>
          </w:tcPr>
          <w:p w14:paraId="4F8ADD2F">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6</w:t>
            </w:r>
          </w:p>
        </w:tc>
        <w:tc>
          <w:tcPr>
            <w:tcW w:w="830" w:type="dxa"/>
            <w:noWrap w:val="0"/>
            <w:vAlign w:val="top"/>
          </w:tcPr>
          <w:p w14:paraId="6885788E">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7</w:t>
            </w:r>
          </w:p>
        </w:tc>
        <w:tc>
          <w:tcPr>
            <w:tcW w:w="830" w:type="dxa"/>
            <w:noWrap w:val="0"/>
            <w:vAlign w:val="top"/>
          </w:tcPr>
          <w:p w14:paraId="2EC9242D">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8</w:t>
            </w:r>
          </w:p>
        </w:tc>
        <w:tc>
          <w:tcPr>
            <w:tcW w:w="830" w:type="dxa"/>
            <w:noWrap w:val="0"/>
            <w:vAlign w:val="top"/>
          </w:tcPr>
          <w:p w14:paraId="7A7A338A">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9</w:t>
            </w:r>
          </w:p>
        </w:tc>
      </w:tr>
      <w:tr w14:paraId="101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74E094F9">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得分</w:t>
            </w:r>
          </w:p>
        </w:tc>
        <w:tc>
          <w:tcPr>
            <w:tcW w:w="829" w:type="dxa"/>
            <w:noWrap w:val="0"/>
            <w:vAlign w:val="top"/>
          </w:tcPr>
          <w:p w14:paraId="0E6FFB7C">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20</w:t>
            </w:r>
          </w:p>
        </w:tc>
        <w:tc>
          <w:tcPr>
            <w:tcW w:w="829" w:type="dxa"/>
            <w:noWrap w:val="0"/>
            <w:vAlign w:val="top"/>
          </w:tcPr>
          <w:p w14:paraId="0D68A1C5">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19</w:t>
            </w:r>
          </w:p>
        </w:tc>
        <w:tc>
          <w:tcPr>
            <w:tcW w:w="829" w:type="dxa"/>
            <w:noWrap w:val="0"/>
            <w:vAlign w:val="top"/>
          </w:tcPr>
          <w:p w14:paraId="2D9E0A47">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18</w:t>
            </w:r>
          </w:p>
        </w:tc>
        <w:tc>
          <w:tcPr>
            <w:tcW w:w="830" w:type="dxa"/>
            <w:noWrap w:val="0"/>
            <w:vAlign w:val="top"/>
          </w:tcPr>
          <w:p w14:paraId="538280C6">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17</w:t>
            </w:r>
          </w:p>
        </w:tc>
        <w:tc>
          <w:tcPr>
            <w:tcW w:w="830" w:type="dxa"/>
            <w:noWrap w:val="0"/>
            <w:vAlign w:val="top"/>
          </w:tcPr>
          <w:p w14:paraId="709B7F90">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17</w:t>
            </w:r>
          </w:p>
        </w:tc>
        <w:tc>
          <w:tcPr>
            <w:tcW w:w="830" w:type="dxa"/>
            <w:noWrap w:val="0"/>
            <w:vAlign w:val="top"/>
          </w:tcPr>
          <w:p w14:paraId="5E8A165D">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17</w:t>
            </w:r>
          </w:p>
        </w:tc>
        <w:tc>
          <w:tcPr>
            <w:tcW w:w="830" w:type="dxa"/>
            <w:noWrap w:val="0"/>
            <w:vAlign w:val="top"/>
          </w:tcPr>
          <w:p w14:paraId="2F177288">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17</w:t>
            </w:r>
          </w:p>
        </w:tc>
        <w:tc>
          <w:tcPr>
            <w:tcW w:w="830" w:type="dxa"/>
            <w:noWrap w:val="0"/>
            <w:vAlign w:val="top"/>
          </w:tcPr>
          <w:p w14:paraId="6A33FC22">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13</w:t>
            </w:r>
          </w:p>
        </w:tc>
        <w:tc>
          <w:tcPr>
            <w:tcW w:w="830" w:type="dxa"/>
            <w:noWrap w:val="0"/>
            <w:vAlign w:val="top"/>
          </w:tcPr>
          <w:p w14:paraId="0B95644D">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13</w:t>
            </w:r>
          </w:p>
        </w:tc>
      </w:tr>
      <w:tr w14:paraId="76DE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140422F7">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排名</w:t>
            </w:r>
          </w:p>
        </w:tc>
        <w:tc>
          <w:tcPr>
            <w:tcW w:w="829" w:type="dxa"/>
            <w:noWrap w:val="0"/>
            <w:vAlign w:val="top"/>
          </w:tcPr>
          <w:p w14:paraId="7939FDD2">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1</w:t>
            </w:r>
          </w:p>
        </w:tc>
        <w:tc>
          <w:tcPr>
            <w:tcW w:w="829" w:type="dxa"/>
            <w:noWrap w:val="0"/>
            <w:vAlign w:val="top"/>
          </w:tcPr>
          <w:p w14:paraId="7BE67A88">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2</w:t>
            </w:r>
          </w:p>
        </w:tc>
        <w:tc>
          <w:tcPr>
            <w:tcW w:w="829" w:type="dxa"/>
            <w:noWrap w:val="0"/>
            <w:vAlign w:val="top"/>
          </w:tcPr>
          <w:p w14:paraId="21B052A9">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3</w:t>
            </w:r>
          </w:p>
        </w:tc>
        <w:tc>
          <w:tcPr>
            <w:tcW w:w="830" w:type="dxa"/>
            <w:noWrap w:val="0"/>
            <w:vAlign w:val="top"/>
          </w:tcPr>
          <w:p w14:paraId="4BC18882">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4</w:t>
            </w:r>
          </w:p>
        </w:tc>
        <w:tc>
          <w:tcPr>
            <w:tcW w:w="830" w:type="dxa"/>
            <w:noWrap w:val="0"/>
            <w:vAlign w:val="top"/>
          </w:tcPr>
          <w:p w14:paraId="6B1A8AAB">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4</w:t>
            </w:r>
          </w:p>
        </w:tc>
        <w:tc>
          <w:tcPr>
            <w:tcW w:w="830" w:type="dxa"/>
            <w:noWrap w:val="0"/>
            <w:vAlign w:val="top"/>
          </w:tcPr>
          <w:p w14:paraId="2C1C2C9A">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4</w:t>
            </w:r>
          </w:p>
        </w:tc>
        <w:tc>
          <w:tcPr>
            <w:tcW w:w="830" w:type="dxa"/>
            <w:noWrap w:val="0"/>
            <w:vAlign w:val="top"/>
          </w:tcPr>
          <w:p w14:paraId="03696E7D">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4</w:t>
            </w:r>
          </w:p>
        </w:tc>
        <w:tc>
          <w:tcPr>
            <w:tcW w:w="830" w:type="dxa"/>
            <w:noWrap w:val="0"/>
            <w:vAlign w:val="top"/>
          </w:tcPr>
          <w:p w14:paraId="6675F6AA">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8</w:t>
            </w:r>
          </w:p>
        </w:tc>
        <w:tc>
          <w:tcPr>
            <w:tcW w:w="830" w:type="dxa"/>
            <w:noWrap w:val="0"/>
            <w:vAlign w:val="top"/>
          </w:tcPr>
          <w:p w14:paraId="19BD8403">
            <w:pPr>
              <w:pStyle w:val="22"/>
              <w:ind w:firstLine="0" w:firstLineChars="0"/>
              <w:jc w:val="center"/>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8</w:t>
            </w:r>
          </w:p>
        </w:tc>
      </w:tr>
    </w:tbl>
    <w:p w14:paraId="164355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则投标人1、2、3、4、5、6、7入围第三阶段，如投标人2被否决，剩余投标人仍满足6家，则不进行递补。如投标人1、2被否决，剩余投标人不足6家，则按照上述原则进行递补，入围单位为投标人3、4、5、6、7、8、9。</w:t>
      </w:r>
    </w:p>
    <w:p w14:paraId="482B11DA">
      <w:pPr>
        <w:widowControl/>
        <w:jc w:val="left"/>
        <w:rPr>
          <w:rFonts w:ascii="Times New Roman" w:hAnsi="Times New Roman" w:eastAsia="黑体"/>
          <w:color w:val="auto"/>
          <w:sz w:val="24"/>
          <w:szCs w:val="20"/>
          <w:highlight w:val="none"/>
          <w:shd w:val="clear"/>
        </w:rPr>
      </w:pPr>
      <w:r>
        <w:rPr>
          <w:rFonts w:ascii="Times New Roman" w:hAnsi="Times New Roman" w:eastAsia="黑体"/>
          <w:color w:val="auto"/>
          <w:sz w:val="24"/>
          <w:szCs w:val="20"/>
          <w:highlight w:val="none"/>
          <w:shd w:val="clear"/>
        </w:rPr>
        <w:br w:type="page"/>
      </w:r>
    </w:p>
    <w:p w14:paraId="3758A2AD">
      <w:pPr>
        <w:pStyle w:val="33"/>
        <w:rPr>
          <w:rStyle w:val="31"/>
          <w:bCs/>
          <w:snapToGrid w:val="0"/>
          <w:color w:val="auto"/>
          <w:highlight w:val="none"/>
          <w:shd w:val="clear"/>
        </w:rPr>
      </w:pPr>
      <w:r>
        <w:rPr>
          <w:rStyle w:val="31"/>
          <w:rFonts w:hint="eastAsia"/>
          <w:bCs/>
          <w:snapToGrid w:val="0"/>
          <w:color w:val="auto"/>
          <w:highlight w:val="none"/>
          <w:shd w:val="clear"/>
        </w:rPr>
        <w:t>附件3：否决投标的其他情形</w:t>
      </w:r>
    </w:p>
    <w:p w14:paraId="5E658F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1.评标委员会应对在评标过程中发现的投标人与投标人之间、投标人与招标人之间存在的串通投标的情形进行评审和认定。投标人存在串通投标、弄虚作假、行贿等违法行为的，评标委员会应否决其投标。</w:t>
      </w:r>
    </w:p>
    <w:p w14:paraId="793D2F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（1）有下列情形之一的，属于投标人相互串通投标：</w:t>
      </w:r>
    </w:p>
    <w:p w14:paraId="3B4E843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①投标人之间协商投标报价等投标文件的实质性内容；</w:t>
      </w:r>
    </w:p>
    <w:p w14:paraId="4E32D0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②投标人之间约定中标人；</w:t>
      </w:r>
    </w:p>
    <w:p w14:paraId="0E74AF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③投标人之间约定部分投标人放弃投标或中标；</w:t>
      </w:r>
    </w:p>
    <w:p w14:paraId="2D7945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④属于同一集团、协会、商会等组织成员的投标人按照该组织要求协同投标；</w:t>
      </w:r>
    </w:p>
    <w:p w14:paraId="2066661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⑤投标人之间为谋取中标或排斥特定投标人而采取的其他联合行动。</w:t>
      </w:r>
    </w:p>
    <w:p w14:paraId="136826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（2）有下列情形之一的，视为投标人相互串通投标：</w:t>
      </w:r>
    </w:p>
    <w:p w14:paraId="1DA920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①不同投标人的投标文件由同一单位或个人编制；</w:t>
      </w:r>
    </w:p>
    <w:p w14:paraId="7C5155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②不同投标人委托同一单位或个人办理投标事宜；</w:t>
      </w:r>
    </w:p>
    <w:p w14:paraId="5746F88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③不同投标人的投标文件载明的项目管理成员为同一人；</w:t>
      </w:r>
    </w:p>
    <w:p w14:paraId="58B973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④不同投标人的投标文件异常一致或投标报价呈规律性差异；</w:t>
      </w:r>
    </w:p>
    <w:p w14:paraId="5D9531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⑤不同投标人的投标文件相互混装；</w:t>
      </w:r>
    </w:p>
    <w:p w14:paraId="3FA01D1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⑥不同投标人的投标保证金从同一单位或个人的账户转出。</w:t>
      </w:r>
    </w:p>
    <w:p w14:paraId="7C896B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⑦其他行为：</w:t>
      </w:r>
    </w:p>
    <w:p w14:paraId="3EEB0D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a通过同一单位的IP地址或同一IP地址下载招标文件或上传投标文件；</w:t>
      </w:r>
    </w:p>
    <w:p w14:paraId="5A7331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b不同投标人制作或上传投标文件电脑文件制作机器码一致；</w:t>
      </w:r>
    </w:p>
    <w:p w14:paraId="10517BF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c不同投标人制作或上传投标文件电脑文件创建标识码一致；</w:t>
      </w:r>
    </w:p>
    <w:p w14:paraId="210EAB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d不同投标人制作投标文件使用的软件锁编码一致；</w:t>
      </w:r>
    </w:p>
    <w:p w14:paraId="4ACC5F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e不同投标人联系电话号码一致；</w:t>
      </w:r>
    </w:p>
    <w:p w14:paraId="1D8847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f法律法规规定的其他视为串通投标的情形。</w:t>
      </w:r>
    </w:p>
    <w:p w14:paraId="101FB23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（3）有下列情形之一的，属于招标人与投标人串通投标：</w:t>
      </w:r>
    </w:p>
    <w:p w14:paraId="2B0591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①招标人在开标前开启投标文件并将有关信息泄露给其他投标人；</w:t>
      </w:r>
    </w:p>
    <w:p w14:paraId="0FB240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②招标人直接或间接向投标人泄露标底、评标委员会成员等信息；</w:t>
      </w:r>
    </w:p>
    <w:p w14:paraId="4456317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③招标人明示或暗示投标人压低或抬高投标报价；</w:t>
      </w:r>
    </w:p>
    <w:p w14:paraId="39B4272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④招标人授意投标人撤换、修改投标文件；</w:t>
      </w:r>
    </w:p>
    <w:p w14:paraId="4F4FC2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⑤招标人明示或暗示投标人为特定投标人中标提供方便；</w:t>
      </w:r>
    </w:p>
    <w:p w14:paraId="41EE9A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⑥招标人与投标人为谋求特定投标人中标而采取的其他串通行为。</w:t>
      </w:r>
    </w:p>
    <w:p w14:paraId="79B8C2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（4）投标人有下列情形之一的，属于弄虚作假的行为：</w:t>
      </w:r>
    </w:p>
    <w:p w14:paraId="3FFFAA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①使用通过受让或租借等方式获取的资格、资质证书投标；</w:t>
      </w:r>
    </w:p>
    <w:p w14:paraId="4E35EC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②使用伪造、变造的许可证件；</w:t>
      </w:r>
    </w:p>
    <w:p w14:paraId="05CB16C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③提供虚假的财务状况或业绩；</w:t>
      </w:r>
    </w:p>
    <w:p w14:paraId="5B346AC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④提供虚假的项目经理或主要技术人员简历、劳动关系证明；</w:t>
      </w:r>
    </w:p>
    <w:p w14:paraId="04F193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⑤提供虚假的信用状况；</w:t>
      </w:r>
    </w:p>
    <w:p w14:paraId="42A951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⑥其他弄虚作假的行为。</w:t>
      </w:r>
    </w:p>
    <w:p w14:paraId="5A1653CB">
      <w:pPr>
        <w:pStyle w:val="33"/>
        <w:rPr>
          <w:color w:val="auto"/>
          <w:highlight w:val="none"/>
          <w:shd w:val="clear"/>
        </w:rPr>
      </w:pPr>
      <w:r>
        <w:rPr>
          <w:rFonts w:hint="eastAsia"/>
          <w:color w:val="auto"/>
          <w:kern w:val="0"/>
          <w:szCs w:val="20"/>
          <w:highlight w:val="none"/>
          <w:shd w:val="clear"/>
        </w:rPr>
        <w:br w:type="page"/>
      </w:r>
      <w:bookmarkStart w:id="555" w:name="_Toc170803988"/>
      <w:bookmarkStart w:id="556" w:name="_Toc170805556"/>
      <w:bookmarkStart w:id="557" w:name="_Toc170805176"/>
      <w:r>
        <w:rPr>
          <w:rStyle w:val="31"/>
          <w:rFonts w:hint="eastAsia"/>
          <w:bCs/>
          <w:snapToGrid w:val="0"/>
          <w:color w:val="auto"/>
          <w:highlight w:val="none"/>
          <w:shd w:val="clear"/>
        </w:rPr>
        <w:t>附件4：异常低价评审</w:t>
      </w:r>
      <w:bookmarkEnd w:id="555"/>
      <w:bookmarkEnd w:id="556"/>
      <w:bookmarkEnd w:id="557"/>
    </w:p>
    <w:p w14:paraId="25998B4F">
      <w:pPr>
        <w:pStyle w:val="22"/>
        <w:ind w:firstLine="420"/>
        <w:rPr>
          <w:rFonts w:ascii="Times New Roman" w:hAnsi="Times New Roman"/>
          <w:color w:val="auto"/>
          <w:highlight w:val="none"/>
          <w:shd w:val="clear"/>
        </w:rPr>
      </w:pPr>
      <w:bookmarkStart w:id="558" w:name="_Hlk178323220"/>
      <w:r>
        <w:rPr>
          <w:rFonts w:hint="eastAsia" w:ascii="Times New Roman" w:hAnsi="Times New Roman"/>
          <w:color w:val="auto"/>
          <w:highlight w:val="none"/>
          <w:shd w:val="clear"/>
        </w:rPr>
        <w:t>评标委员会在推荐中标候选人前，对拟推荐中标候选人的投标报价进行异常低价评审（本招标项目是否执行异常低价评审见评标办法前附表），具体要求如下：</w:t>
      </w:r>
    </w:p>
    <w:p w14:paraId="0E82132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（1）评审要求：投标人投标总报价低于最高投标限价的异常低价规定指标（见评标办法前附表）的，评标委员会将进行异常低价评审。</w:t>
      </w:r>
    </w:p>
    <w:p w14:paraId="2F2523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（2）证明材料要求：投标人填报的单位工程投标报价金额低于异常低价规定指标，对该单位工程投标报价进行异常低价评审；</w:t>
      </w:r>
      <w:r>
        <w:rPr>
          <w:rFonts w:ascii="Times New Roman" w:hAnsi="Times New Roman"/>
          <w:color w:val="auto"/>
          <w:highlight w:val="none"/>
          <w:shd w:val="clear"/>
        </w:rPr>
        <w:t>拟推荐的中标候选人的报价存在异常低价的，评标委员会应当在推荐前要求投标人在合理期限内作出澄清或者说明，并提供必要的证明材料</w:t>
      </w:r>
      <w:r>
        <w:rPr>
          <w:rFonts w:hint="eastAsia" w:ascii="Times New Roman" w:hAnsi="Times New Roman"/>
          <w:color w:val="auto"/>
          <w:highlight w:val="none"/>
          <w:shd w:val="clear"/>
        </w:rPr>
        <w:t>（包括但不限于在人工、材料、机械消耗量、价格、施工措施、方案及其他方面）</w:t>
      </w:r>
      <w:r>
        <w:rPr>
          <w:rFonts w:ascii="Times New Roman" w:hAnsi="Times New Roman"/>
          <w:color w:val="auto"/>
          <w:highlight w:val="none"/>
          <w:shd w:val="clear"/>
        </w:rPr>
        <w:t>。</w:t>
      </w:r>
      <w:r>
        <w:rPr>
          <w:rFonts w:hint="eastAsia" w:ascii="Times New Roman" w:hAnsi="Times New Roman"/>
          <w:color w:val="auto"/>
          <w:highlight w:val="none"/>
          <w:shd w:val="clear"/>
        </w:rPr>
        <w:t>（投标人已经在投标文件报价文件中作出澄清或者说明，并提供降低工程造价的相关证明材料的，无须重复作出澄清或者说明）。</w:t>
      </w:r>
    </w:p>
    <w:p w14:paraId="3EDBFD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（3）以下情形不得作为异常低价投标说明的依据：</w:t>
      </w:r>
    </w:p>
    <w:p w14:paraId="189F3C7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①自有弃土场土源或与临近项目签订的土方倒运协议；</w:t>
      </w:r>
    </w:p>
    <w:p w14:paraId="2FDECB8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②人员闲置；</w:t>
      </w:r>
    </w:p>
    <w:p w14:paraId="1132423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③亏本让利；</w:t>
      </w:r>
    </w:p>
    <w:p w14:paraId="5023522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④企业市场拓展或品牌宣传；</w:t>
      </w:r>
    </w:p>
    <w:p w14:paraId="7614A7D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⑤降低或改变原设计方案、技术工艺、施工标准的；</w:t>
      </w:r>
    </w:p>
    <w:p w14:paraId="1178E4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⑥类似项目业绩；</w:t>
      </w:r>
    </w:p>
    <w:p w14:paraId="65EFC2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评审标准：评标委员会对通过评审的异常低价中标候选人合同履行能力及工程质量安全等风险进行全面评估，并作为评标结果的附件提交给招标人。投标人未作出有效澄清、说明或评标委员会认定（按照少数服从多数的原则）其存在履约及质量安全风险的，评标委员会应否决其投标，不推荐其为中标候选人。</w:t>
      </w:r>
    </w:p>
    <w:bookmarkEnd w:id="558"/>
    <w:p w14:paraId="3A14031C">
      <w:pPr>
        <w:widowControl/>
        <w:jc w:val="left"/>
        <w:rPr>
          <w:rFonts w:ascii="Times New Roman" w:hAnsi="Times New Roman"/>
          <w:color w:val="auto"/>
          <w:sz w:val="24"/>
          <w:szCs w:val="24"/>
          <w:highlight w:val="none"/>
          <w:shd w:val="clear"/>
        </w:rPr>
      </w:pPr>
      <w:r>
        <w:rPr>
          <w:rFonts w:ascii="Times New Roman" w:hAnsi="Times New Roman"/>
          <w:color w:val="auto"/>
          <w:sz w:val="24"/>
          <w:szCs w:val="24"/>
          <w:highlight w:val="none"/>
          <w:shd w:val="clear"/>
        </w:rPr>
        <w:br w:type="page"/>
      </w:r>
    </w:p>
    <w:p w14:paraId="2CC82D0E">
      <w:pPr>
        <w:pStyle w:val="26"/>
        <w:rPr>
          <w:color w:val="auto"/>
          <w:highlight w:val="none"/>
          <w:shd w:val="clear"/>
        </w:rPr>
      </w:pPr>
      <w:bookmarkStart w:id="559" w:name="_Toc21343"/>
      <w:bookmarkStart w:id="560" w:name="_Toc170805177"/>
      <w:bookmarkStart w:id="561" w:name="_Toc170803989"/>
      <w:bookmarkStart w:id="562" w:name="_Toc170805557"/>
      <w:r>
        <w:rPr>
          <w:rFonts w:hint="eastAsia"/>
          <w:color w:val="auto"/>
          <w:highlight w:val="none"/>
          <w:shd w:val="clear"/>
        </w:rPr>
        <w:t>1.评标方法</w:t>
      </w:r>
      <w:bookmarkEnd w:id="559"/>
      <w:bookmarkEnd w:id="560"/>
      <w:bookmarkEnd w:id="561"/>
      <w:bookmarkEnd w:id="562"/>
    </w:p>
    <w:p w14:paraId="16752A6F">
      <w:pPr>
        <w:pStyle w:val="22"/>
        <w:ind w:firstLine="420"/>
        <w:rPr>
          <w:rFonts w:ascii="Times New Roman" w:hAnsi="Times New Roman"/>
          <w:color w:val="auto"/>
          <w:highlight w:val="none"/>
          <w:shd w:val="clear"/>
        </w:rPr>
      </w:pPr>
      <w:bookmarkStart w:id="563" w:name="_Hlk184117794"/>
      <w:bookmarkStart w:id="564" w:name="_Hlk184132045"/>
      <w:r>
        <w:rPr>
          <w:rFonts w:hint="eastAsia" w:ascii="Times New Roman" w:hAnsi="Times New Roman"/>
          <w:color w:val="auto"/>
          <w:highlight w:val="none"/>
          <w:shd w:val="clear"/>
        </w:rPr>
        <w:t>本次评标采用综合评估法。</w:t>
      </w:r>
    </w:p>
    <w:p w14:paraId="27E9AE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评标委员会对所有按规定递交并成功导入评标系统的投标文件进行初步评审。评标委员会对满足招标文件实质性要求的投标文件，按照本章第2.2款规定的评分标准进行打分，并按本章3.8款规定推荐</w:t>
      </w:r>
      <w:r>
        <w:rPr>
          <w:rFonts w:hint="eastAsia" w:ascii="Times New Roman" w:hAnsi="Times New Roman"/>
          <w:color w:val="auto"/>
          <w:szCs w:val="24"/>
          <w:highlight w:val="none"/>
          <w:shd w:val="clear"/>
        </w:rPr>
        <w:t>不标明排序的</w:t>
      </w:r>
      <w:r>
        <w:rPr>
          <w:rFonts w:hint="eastAsia" w:ascii="Times New Roman" w:hAnsi="Times New Roman"/>
          <w:color w:val="auto"/>
          <w:highlight w:val="none"/>
          <w:shd w:val="clear"/>
        </w:rPr>
        <w:t>中标候选人，但投标报价低于其成本或经评审被认定为异常低价的除外。</w:t>
      </w:r>
    </w:p>
    <w:p w14:paraId="4ADB3DD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出现多个投标人排序并列时，且影响推荐中标候选人时，按照评标办法前附表中的规定确定中标候选人。</w:t>
      </w:r>
    </w:p>
    <w:p w14:paraId="57DFD49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招标人应当根据项目的实际情况，在评标办法正文及前附表中列明所有否决投标的情形；第三章“评标及定标办法”没有列明的否决投标的情形，一律不得作为评审依据。</w:t>
      </w:r>
      <w:bookmarkEnd w:id="563"/>
    </w:p>
    <w:bookmarkEnd w:id="564"/>
    <w:p w14:paraId="40EB983F">
      <w:pPr>
        <w:pStyle w:val="26"/>
        <w:rPr>
          <w:color w:val="auto"/>
          <w:highlight w:val="none"/>
          <w:shd w:val="clear"/>
        </w:rPr>
      </w:pPr>
      <w:bookmarkStart w:id="565" w:name="_Toc170805558"/>
      <w:bookmarkStart w:id="566" w:name="_Toc22195"/>
      <w:bookmarkStart w:id="567" w:name="_Toc170805178"/>
      <w:bookmarkStart w:id="568" w:name="_Toc170803990"/>
      <w:r>
        <w:rPr>
          <w:rFonts w:hint="eastAsia"/>
          <w:color w:val="auto"/>
          <w:highlight w:val="none"/>
          <w:shd w:val="clear"/>
        </w:rPr>
        <w:t>2.评审标准</w:t>
      </w:r>
      <w:bookmarkEnd w:id="565"/>
      <w:bookmarkEnd w:id="566"/>
      <w:bookmarkEnd w:id="567"/>
      <w:bookmarkEnd w:id="568"/>
    </w:p>
    <w:p w14:paraId="293C783D">
      <w:pPr>
        <w:pStyle w:val="33"/>
        <w:rPr>
          <w:color w:val="auto"/>
          <w:highlight w:val="none"/>
          <w:shd w:val="clear"/>
        </w:rPr>
      </w:pPr>
      <w:bookmarkStart w:id="569" w:name="_Toc170803991"/>
      <w:bookmarkStart w:id="570" w:name="_Toc170805559"/>
      <w:bookmarkStart w:id="571" w:name="_Toc170805179"/>
      <w:r>
        <w:rPr>
          <w:color w:val="auto"/>
          <w:highlight w:val="none"/>
          <w:shd w:val="clear"/>
        </w:rPr>
        <w:t>2.1 初步评审标准</w:t>
      </w:r>
      <w:bookmarkEnd w:id="569"/>
      <w:bookmarkEnd w:id="570"/>
      <w:bookmarkEnd w:id="571"/>
    </w:p>
    <w:p w14:paraId="0FDD7D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2.1.1 形式评审标准：见评标办法前附表。</w:t>
      </w:r>
    </w:p>
    <w:p w14:paraId="3F1E9A3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2.1.2 资格评审标准：见评标办法前附表。</w:t>
      </w:r>
    </w:p>
    <w:p w14:paraId="140F3C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2.1.3 响应性评审标准：见评标办法前附表。</w:t>
      </w:r>
    </w:p>
    <w:p w14:paraId="279E16E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2.1.4 施工组织设计评审标准：见评标办法前附表。</w:t>
      </w:r>
    </w:p>
    <w:p w14:paraId="76E0FC4C">
      <w:pPr>
        <w:pStyle w:val="33"/>
        <w:rPr>
          <w:color w:val="auto"/>
          <w:highlight w:val="none"/>
          <w:shd w:val="clear"/>
        </w:rPr>
      </w:pPr>
      <w:bookmarkStart w:id="572" w:name="_Toc170805560"/>
      <w:bookmarkStart w:id="573" w:name="_Toc170803992"/>
      <w:bookmarkStart w:id="574" w:name="_Toc170805180"/>
      <w:r>
        <w:rPr>
          <w:color w:val="auto"/>
          <w:highlight w:val="none"/>
          <w:shd w:val="clear"/>
        </w:rPr>
        <w:t>2.2 详细评审标准</w:t>
      </w:r>
      <w:bookmarkEnd w:id="572"/>
      <w:bookmarkEnd w:id="573"/>
      <w:bookmarkEnd w:id="574"/>
    </w:p>
    <w:p w14:paraId="303BD6C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2.2.1 商务、技术和报价文件分值构成：见评标办法前附表。</w:t>
      </w:r>
    </w:p>
    <w:p w14:paraId="02ABBB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2.2.2 商务、技术和报价文件评分标准</w:t>
      </w:r>
    </w:p>
    <w:p w14:paraId="11451F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（1）技术文件评分标准：见评标办法前附表；</w:t>
      </w:r>
    </w:p>
    <w:p w14:paraId="23D930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（2）商务文件评分标准：见评标办法前附表；</w:t>
      </w:r>
    </w:p>
    <w:p w14:paraId="5E333178">
      <w:pPr>
        <w:pStyle w:val="22"/>
        <w:ind w:firstLine="420"/>
        <w:rPr>
          <w:rFonts w:ascii="Times New Roman" w:hAnsi="Times New Roman"/>
          <w:color w:val="auto"/>
          <w:highlight w:val="none"/>
          <w:shd w:val="clear"/>
        </w:rPr>
      </w:pPr>
      <w:r>
        <w:rPr>
          <w:rFonts w:hint="eastAsia" w:ascii="Times New Roman" w:hAnsi="Times New Roman"/>
          <w:color w:val="auto"/>
          <w:szCs w:val="24"/>
          <w:highlight w:val="none"/>
          <w:shd w:val="clear"/>
        </w:rPr>
        <w:t>（3）报价文件评分标准：见评标办法前附表。</w:t>
      </w:r>
    </w:p>
    <w:p w14:paraId="6CFDBD7B">
      <w:pPr>
        <w:pStyle w:val="26"/>
        <w:rPr>
          <w:color w:val="auto"/>
          <w:highlight w:val="none"/>
          <w:shd w:val="clear"/>
        </w:rPr>
      </w:pPr>
      <w:bookmarkStart w:id="575" w:name="_Toc29998"/>
      <w:bookmarkStart w:id="576" w:name="_Toc170805561"/>
      <w:bookmarkStart w:id="577" w:name="_Toc170803993"/>
      <w:bookmarkStart w:id="578" w:name="_Toc170805181"/>
      <w:r>
        <w:rPr>
          <w:rFonts w:hint="eastAsia"/>
          <w:color w:val="auto"/>
          <w:highlight w:val="none"/>
          <w:shd w:val="clear"/>
        </w:rPr>
        <w:t>3.评标程序</w:t>
      </w:r>
      <w:bookmarkEnd w:id="575"/>
      <w:bookmarkEnd w:id="576"/>
      <w:bookmarkEnd w:id="577"/>
      <w:bookmarkEnd w:id="578"/>
    </w:p>
    <w:p w14:paraId="5D5AFF4F">
      <w:pPr>
        <w:pStyle w:val="33"/>
        <w:rPr>
          <w:color w:val="auto"/>
          <w:highlight w:val="none"/>
          <w:shd w:val="clear"/>
        </w:rPr>
      </w:pPr>
      <w:bookmarkStart w:id="579" w:name="_Toc170805562"/>
      <w:bookmarkStart w:id="580" w:name="_Toc170803994"/>
      <w:bookmarkStart w:id="581" w:name="_Toc170805182"/>
      <w:r>
        <w:rPr>
          <w:color w:val="auto"/>
          <w:highlight w:val="none"/>
          <w:shd w:val="clear"/>
        </w:rPr>
        <w:t xml:space="preserve">3.1 </w:t>
      </w:r>
      <w:bookmarkStart w:id="582" w:name="_Hlk179376593"/>
      <w:r>
        <w:rPr>
          <w:color w:val="auto"/>
          <w:highlight w:val="none"/>
          <w:shd w:val="clear"/>
        </w:rPr>
        <w:t>商务</w:t>
      </w:r>
      <w:r>
        <w:rPr>
          <w:rFonts w:hint="eastAsia"/>
          <w:color w:val="auto"/>
          <w:highlight w:val="none"/>
          <w:shd w:val="clear"/>
        </w:rPr>
        <w:t>、</w:t>
      </w:r>
      <w:r>
        <w:rPr>
          <w:color w:val="auto"/>
          <w:highlight w:val="none"/>
          <w:shd w:val="clear"/>
        </w:rPr>
        <w:t>技术文件初步评审</w:t>
      </w:r>
      <w:bookmarkEnd w:id="579"/>
      <w:bookmarkEnd w:id="580"/>
      <w:bookmarkEnd w:id="581"/>
      <w:bookmarkEnd w:id="582"/>
    </w:p>
    <w:p w14:paraId="07015BA2">
      <w:pPr>
        <w:pStyle w:val="22"/>
        <w:ind w:firstLine="420"/>
        <w:rPr>
          <w:rFonts w:ascii="Times New Roman" w:hAnsi="Times New Roman"/>
          <w:color w:val="auto"/>
          <w:highlight w:val="none"/>
          <w:shd w:val="clear"/>
        </w:rPr>
      </w:pPr>
      <w:bookmarkStart w:id="583" w:name="_Hlk170119109"/>
      <w:r>
        <w:rPr>
          <w:rFonts w:hint="eastAsia" w:ascii="Times New Roman" w:hAnsi="Times New Roman"/>
          <w:color w:val="auto"/>
          <w:highlight w:val="none"/>
          <w:shd w:val="clear"/>
        </w:rPr>
        <w:t>评标委员会依据本章第2.1款规定的标准对商务文件及技术文件进行初步评审。有一项不符合评审标准的，评标委员会应否决其投标。</w:t>
      </w:r>
    </w:p>
    <w:bookmarkEnd w:id="583"/>
    <w:p w14:paraId="5A2518D6">
      <w:pPr>
        <w:pStyle w:val="33"/>
        <w:rPr>
          <w:color w:val="auto"/>
          <w:highlight w:val="none"/>
          <w:shd w:val="clear"/>
        </w:rPr>
      </w:pPr>
      <w:bookmarkStart w:id="584" w:name="_Toc170805563"/>
      <w:bookmarkStart w:id="585" w:name="_Toc170803995"/>
      <w:bookmarkStart w:id="586" w:name="_Toc170805183"/>
      <w:r>
        <w:rPr>
          <w:color w:val="auto"/>
          <w:highlight w:val="none"/>
          <w:shd w:val="clear"/>
        </w:rPr>
        <w:t>3.2 商务、技术文件详细评审</w:t>
      </w:r>
      <w:bookmarkEnd w:id="584"/>
      <w:bookmarkEnd w:id="585"/>
      <w:bookmarkEnd w:id="586"/>
    </w:p>
    <w:p w14:paraId="5C36B26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lang w:val="zh-CN"/>
        </w:rPr>
        <w:t xml:space="preserve">3.2.1 </w:t>
      </w:r>
      <w:r>
        <w:rPr>
          <w:rFonts w:hint="eastAsia" w:ascii="Times New Roman" w:hAnsi="Times New Roman"/>
          <w:color w:val="auto"/>
          <w:highlight w:val="none"/>
          <w:shd w:val="clear"/>
        </w:rPr>
        <w:t>评标委员会按照本章第2.2款规定的量化因素和分值进行打分，并计算出各投标人的商务、技术得分。</w:t>
      </w:r>
    </w:p>
    <w:p w14:paraId="3967833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（1）按本章第2.2.2（1）目规定的评审因素和分值计算出技术文件得分A；</w:t>
      </w:r>
    </w:p>
    <w:p w14:paraId="5320E43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（2）按本章第2.2.2（2）目规定的评审因素和分值计算出商务文件得分B；</w:t>
      </w:r>
    </w:p>
    <w:p w14:paraId="2FDFDD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3.2.2 得分计算的确定</w:t>
      </w:r>
    </w:p>
    <w:p w14:paraId="3A47616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（1）技术文件详细评审得分计算</w:t>
      </w:r>
    </w:p>
    <w:p w14:paraId="5F7091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本章第2.2.2（1）目属于技术文件详细评审内容，投标人第2.2.2（</w:t>
      </w:r>
      <w:r>
        <w:rPr>
          <w:rFonts w:hint="eastAsia" w:ascii="Times New Roman" w:hAnsi="Times New Roman"/>
          <w:color w:val="auto"/>
          <w:highlight w:val="none"/>
          <w:shd w:val="clear"/>
          <w:lang w:val="en-US" w:eastAsia="zh-CN"/>
        </w:rPr>
        <w:t>1</w:t>
      </w:r>
      <w:r>
        <w:rPr>
          <w:rFonts w:hint="eastAsia" w:ascii="Times New Roman" w:hAnsi="Times New Roman"/>
          <w:color w:val="auto"/>
          <w:highlight w:val="none"/>
          <w:shd w:val="clear"/>
        </w:rPr>
        <w:t>）目的得分以评标委员会各成员对该目的打分平均值确定。</w:t>
      </w:r>
    </w:p>
    <w:p w14:paraId="7C87B0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（2）商务文件详细评审得分计算</w:t>
      </w:r>
    </w:p>
    <w:p w14:paraId="7C8652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本章第2.2.2（2）目属于商务文件详细评审内容，投标人第2.2.2（2）目的得分以评标委员会各成员对该目的打分平均值确定。</w:t>
      </w:r>
    </w:p>
    <w:p w14:paraId="4814194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主观分异常评审情形见评标办法前附表。</w:t>
      </w:r>
    </w:p>
    <w:p w14:paraId="4619926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3.2.3 投标人商务、技术文件得分=A+B。</w:t>
      </w:r>
    </w:p>
    <w:p w14:paraId="5E115CD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3.2.4</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按照评标办法前附表入围规则，确定进入第三阶段报价评审的入围单位。</w:t>
      </w:r>
    </w:p>
    <w:p w14:paraId="5B22A6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3.2.5 评委对技术文件评分在招标文件第2.2.2（1）目规定评审总分的90%以上（含）、60%以下（含）的投标人，评委应提出充足的理由，该理由在评标委员会集体讨论并确认后记入评标报告，否则该评委应当重新提出充足的理由。</w:t>
      </w:r>
    </w:p>
    <w:p w14:paraId="5B47334D">
      <w:pPr>
        <w:pStyle w:val="33"/>
        <w:rPr>
          <w:color w:val="auto"/>
          <w:highlight w:val="none"/>
          <w:shd w:val="clear"/>
        </w:rPr>
      </w:pPr>
      <w:bookmarkStart w:id="587" w:name="_Toc170805564"/>
      <w:bookmarkStart w:id="588" w:name="_Toc170803996"/>
      <w:bookmarkStart w:id="589" w:name="_Toc170805184"/>
      <w:bookmarkStart w:id="590" w:name="_Hlk170119148"/>
      <w:r>
        <w:rPr>
          <w:color w:val="auto"/>
          <w:highlight w:val="none"/>
          <w:shd w:val="clear"/>
        </w:rPr>
        <w:t>3.3 报价文件开标</w:t>
      </w:r>
      <w:bookmarkEnd w:id="587"/>
      <w:bookmarkEnd w:id="588"/>
      <w:bookmarkEnd w:id="589"/>
    </w:p>
    <w:p w14:paraId="558800F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商务及技术文件评审结束后，招标人公布所有投标人的报价。</w:t>
      </w:r>
    </w:p>
    <w:bookmarkEnd w:id="590"/>
    <w:p w14:paraId="5D9AD8F4">
      <w:pPr>
        <w:pStyle w:val="33"/>
        <w:rPr>
          <w:color w:val="auto"/>
          <w:highlight w:val="none"/>
          <w:shd w:val="clear"/>
        </w:rPr>
      </w:pPr>
      <w:bookmarkStart w:id="591" w:name="_Toc170803997"/>
      <w:bookmarkStart w:id="592" w:name="_Toc170805185"/>
      <w:bookmarkStart w:id="593" w:name="_Toc170805565"/>
      <w:bookmarkStart w:id="594" w:name="_Hlk170119168"/>
      <w:r>
        <w:rPr>
          <w:color w:val="auto"/>
          <w:highlight w:val="none"/>
          <w:shd w:val="clear"/>
        </w:rPr>
        <w:t>3.4 报价文件初步评审</w:t>
      </w:r>
      <w:bookmarkEnd w:id="591"/>
      <w:bookmarkEnd w:id="592"/>
      <w:bookmarkEnd w:id="593"/>
    </w:p>
    <w:p w14:paraId="1881E9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3.4.1 评标委员会依据本章第2.1款规定的评审标准对</w:t>
      </w:r>
      <w:bookmarkStart w:id="595" w:name="_Hlk170663202"/>
      <w:r>
        <w:rPr>
          <w:rFonts w:hint="eastAsia" w:ascii="Times New Roman" w:hAnsi="Times New Roman"/>
          <w:color w:val="auto"/>
          <w:highlight w:val="none"/>
          <w:shd w:val="clear"/>
        </w:rPr>
        <w:t>入围第三阶段</w:t>
      </w:r>
      <w:bookmarkEnd w:id="595"/>
      <w:r>
        <w:rPr>
          <w:rFonts w:hint="eastAsia" w:ascii="Times New Roman" w:hAnsi="Times New Roman"/>
          <w:color w:val="auto"/>
          <w:highlight w:val="none"/>
          <w:shd w:val="clear"/>
        </w:rPr>
        <w:t>报价文件进行初步评审。有一项不符合评审标准的，评标委员会应否决其投标。</w:t>
      </w:r>
    </w:p>
    <w:p w14:paraId="4AF40D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3.4.2 初步评审时，评标委员会应对报价文件进行分析和整理工作（简称“清标”），从而发现并提取其中可能存在的对招标范围理解的偏差、投标报价的算术性错误、缺漏项、投标报价构成不合理、不平衡报价等存在明显异常的问题，并就这些问题整理形成清标成果。评标委员会对清标成果审议后，决定需要投标人进行书面澄清、说明的问题，向投标人发出问题澄清通知。清标工作可以使用计算机评标系统辅助评标委员会完成。</w:t>
      </w:r>
    </w:p>
    <w:p w14:paraId="0FBDB7B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3.4.3 清标的内容和步骤：</w:t>
      </w:r>
    </w:p>
    <w:p w14:paraId="7C3E73D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（1）投标文件在符合性、响应性等方面存在的偏差；</w:t>
      </w:r>
    </w:p>
    <w:p w14:paraId="02F024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（2）投标文件存在的算术计算错误和修正结果；</w:t>
      </w:r>
    </w:p>
    <w:p w14:paraId="51AC91C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（3）在列出的所有偏差中，属于重大偏差的情形和相关依据；在列出的所有偏差中，属于细微偏差的情形；</w:t>
      </w:r>
    </w:p>
    <w:p w14:paraId="646185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（4）评标委员会审核确认清标结果。</w:t>
      </w:r>
    </w:p>
    <w:p w14:paraId="0C4269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3.4.4 除按照第二章“投标人须知”第1.12.3项、第1.12.4项对细微偏差进行处理外，对于其他细微偏差按以下规定处理：</w:t>
      </w:r>
    </w:p>
    <w:p w14:paraId="6AE3BC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（1）投标文件中填报的工程量清单报价书中的分部分项工程量清单项目名称、计量单位及工程量等与招标人提供的工程量清单中非实质性内容不一致时，以招标人提供的内容为准；</w:t>
      </w:r>
    </w:p>
    <w:p w14:paraId="3DC20D2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（2）投标文件中填报的投标报价前后不一致时，以投标函填报的为准；</w:t>
      </w:r>
    </w:p>
    <w:p w14:paraId="587E74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（3）投标报价计算错误的修正：</w:t>
      </w:r>
    </w:p>
    <w:p w14:paraId="0636A7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①投标文件中的大写金额与小写金额不一致的，以大写金额为准；</w:t>
      </w:r>
    </w:p>
    <w:p w14:paraId="79CAB3D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②总价金额与依据单价计算出的结果不一致的，以单价金额为准修正总价，但单价金额小数点有明显错误的除外；</w:t>
      </w:r>
    </w:p>
    <w:p w14:paraId="706146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③当单价与数量相乘不等于合价时，以单价计算为准，如果单价有明显的小数点位置差错，应以标出的合价为准，同时对单价予以修正；</w:t>
      </w:r>
    </w:p>
    <w:p w14:paraId="5ED3991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④当各子目的合价累计不等于总价时，应以各子目合价累计数为准，修正总价；</w:t>
      </w:r>
    </w:p>
    <w:p w14:paraId="76A612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⑤工程量清单报价表中综合单价与工程量清单项目综合单价分析表相对应综合单价不一致时，以工程量清单项目综合单价分析表中标出的综合单价为准。</w:t>
      </w:r>
    </w:p>
    <w:p w14:paraId="5C18FE3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（4）投标报价存在细微偏差的，评标委员会按以上原则对投标报价进行处理，并要求投标人书面澄清确认，投标人拒不澄清确认的，评标委员会应当否决其投标。</w:t>
      </w:r>
    </w:p>
    <w:bookmarkEnd w:id="594"/>
    <w:p w14:paraId="45DD9A10">
      <w:pPr>
        <w:pStyle w:val="33"/>
        <w:rPr>
          <w:color w:val="auto"/>
          <w:highlight w:val="none"/>
          <w:shd w:val="clear"/>
        </w:rPr>
      </w:pPr>
      <w:bookmarkStart w:id="596" w:name="_Toc170803998"/>
      <w:bookmarkStart w:id="597" w:name="_Toc170805186"/>
      <w:bookmarkStart w:id="598" w:name="_Toc170805566"/>
      <w:r>
        <w:rPr>
          <w:color w:val="auto"/>
          <w:highlight w:val="none"/>
          <w:shd w:val="clear"/>
        </w:rPr>
        <w:t>3.5 报价文件详细评审</w:t>
      </w:r>
      <w:bookmarkEnd w:id="596"/>
      <w:bookmarkEnd w:id="597"/>
      <w:bookmarkEnd w:id="598"/>
    </w:p>
    <w:p w14:paraId="616C2AFB">
      <w:pPr>
        <w:pStyle w:val="22"/>
        <w:ind w:firstLine="420"/>
        <w:rPr>
          <w:rFonts w:ascii="Times New Roman" w:hAnsi="Times New Roman"/>
          <w:color w:val="auto"/>
          <w:highlight w:val="none"/>
          <w:shd w:val="clear"/>
        </w:rPr>
      </w:pPr>
      <w:bookmarkStart w:id="599" w:name="_Hlk170119260"/>
      <w:r>
        <w:rPr>
          <w:rFonts w:hint="eastAsia" w:ascii="Times New Roman" w:hAnsi="Times New Roman"/>
          <w:color w:val="auto"/>
          <w:highlight w:val="none"/>
          <w:shd w:val="clear"/>
        </w:rPr>
        <w:t>3.5.1 评标委员会按照本章第2.2.2（3）目规定的评审标准对入围第三阶段报价文件评审且报价文件初步评审通过的投标人报价文件进行详细评审，计算出报价文件得分C。</w:t>
      </w:r>
    </w:p>
    <w:p w14:paraId="0DB9D0D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3.5.2 </w:t>
      </w:r>
      <w:bookmarkStart w:id="600" w:name="_Hlk170119526"/>
      <w:r>
        <w:rPr>
          <w:rFonts w:hint="eastAsia" w:ascii="Times New Roman" w:hAnsi="Times New Roman"/>
          <w:color w:val="auto"/>
          <w:highlight w:val="none"/>
          <w:shd w:val="clear"/>
        </w:rPr>
        <w:t>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bookmarkEnd w:id="600"/>
      <w:r>
        <w:rPr>
          <w:rFonts w:hint="eastAsia" w:ascii="Times New Roman" w:hAnsi="Times New Roman"/>
          <w:color w:val="auto"/>
          <w:highlight w:val="none"/>
          <w:shd w:val="clear"/>
        </w:rPr>
        <w:t>否决后，评标基准价不变，中标候选人依次递补。</w:t>
      </w:r>
    </w:p>
    <w:bookmarkEnd w:id="599"/>
    <w:p w14:paraId="2C8E03BA">
      <w:pPr>
        <w:pStyle w:val="33"/>
        <w:rPr>
          <w:color w:val="auto"/>
          <w:highlight w:val="none"/>
          <w:shd w:val="clear"/>
        </w:rPr>
      </w:pPr>
      <w:bookmarkStart w:id="601" w:name="_Toc170803999"/>
      <w:bookmarkStart w:id="602" w:name="_Toc170805567"/>
      <w:bookmarkStart w:id="603" w:name="_Toc170805187"/>
      <w:r>
        <w:rPr>
          <w:color w:val="auto"/>
          <w:highlight w:val="none"/>
          <w:shd w:val="clear"/>
        </w:rPr>
        <w:t>3.6 否决投标的情形</w:t>
      </w:r>
      <w:bookmarkEnd w:id="601"/>
      <w:bookmarkEnd w:id="602"/>
      <w:bookmarkEnd w:id="603"/>
    </w:p>
    <w:p w14:paraId="5F31C9D0">
      <w:pPr>
        <w:pStyle w:val="22"/>
        <w:ind w:firstLine="420"/>
        <w:rPr>
          <w:rFonts w:ascii="Times New Roman" w:hAnsi="Times New Roman"/>
          <w:color w:val="auto"/>
          <w:highlight w:val="none"/>
          <w:shd w:val="clear"/>
        </w:rPr>
      </w:pPr>
      <w:bookmarkStart w:id="604" w:name="_Hlk170122026"/>
      <w:r>
        <w:rPr>
          <w:rFonts w:hint="eastAsia" w:ascii="Times New Roman" w:hAnsi="Times New Roman"/>
          <w:color w:val="auto"/>
          <w:highlight w:val="none"/>
          <w:shd w:val="clear"/>
        </w:rPr>
        <w:t>3.6.1 投标人不符合本章第3.1款、第3.4款、第3.5款的，以及投标人未通过本章第3.6.</w:t>
      </w:r>
      <w:r>
        <w:rPr>
          <w:rFonts w:ascii="Times New Roman" w:hAnsi="Times New Roman"/>
          <w:color w:val="auto"/>
          <w:highlight w:val="none"/>
          <w:shd w:val="clear"/>
        </w:rPr>
        <w:t>2</w:t>
      </w:r>
      <w:r>
        <w:rPr>
          <w:rFonts w:hint="eastAsia" w:ascii="Times New Roman" w:hAnsi="Times New Roman"/>
          <w:color w:val="auto"/>
          <w:highlight w:val="none"/>
          <w:shd w:val="clear"/>
        </w:rPr>
        <w:t>项、第3.6.3项、第3.6.4项评审的，评标委员会应否决其投标。</w:t>
      </w:r>
    </w:p>
    <w:bookmarkEnd w:id="604"/>
    <w:p w14:paraId="1418293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3.6.2 否决投标的其他情形，见评标办法前附表。</w:t>
      </w:r>
    </w:p>
    <w:p w14:paraId="7DF14D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3.6.3 </w:t>
      </w:r>
      <w:bookmarkStart w:id="605" w:name="_Hlk170663608"/>
      <w:r>
        <w:rPr>
          <w:rFonts w:hint="eastAsia" w:ascii="Times New Roman" w:hAnsi="Times New Roman"/>
          <w:color w:val="auto"/>
          <w:highlight w:val="none"/>
          <w:shd w:val="clear"/>
        </w:rPr>
        <w:t>投标人未通过异常低价评审的，评标委员会应否决其投标，不得推荐为中标候选人，</w:t>
      </w:r>
      <w:bookmarkStart w:id="606" w:name="_Hlk170663776"/>
      <w:r>
        <w:rPr>
          <w:rFonts w:hint="eastAsia" w:ascii="Times New Roman" w:hAnsi="Times New Roman"/>
          <w:color w:val="auto"/>
          <w:highlight w:val="none"/>
          <w:shd w:val="clear"/>
        </w:rPr>
        <w:t>否决后，评标基准价不变，中标候选人依次递补。</w:t>
      </w:r>
      <w:bookmarkEnd w:id="606"/>
      <w:r>
        <w:rPr>
          <w:rFonts w:hint="eastAsia" w:ascii="Times New Roman" w:hAnsi="Times New Roman"/>
          <w:color w:val="auto"/>
          <w:highlight w:val="none"/>
          <w:shd w:val="clear"/>
        </w:rPr>
        <w:t>异常低价评审见评标办法前附表。</w:t>
      </w:r>
      <w:bookmarkEnd w:id="605"/>
    </w:p>
    <w:p w14:paraId="2D47C3C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3.6.4 投标人（如为联合体,联合体各方均需满足）的注册建造师必须满足相应建筑业企业资质标准要求，投标人在投标文件中提供有关书面承诺，书面承诺包含本单位现有注册建造师专业、数量满足《建筑业企业资质标准》及有关文件中对应资质等级标准要求等内容。</w:t>
      </w:r>
    </w:p>
    <w:p w14:paraId="352FAAF3">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评标委员会在推荐中标候选人前，对拟推荐的中标候选人进行评审，具体要求如下：评标委员会登录安徽省住建厅网址http://dohurdah.gov.cn/site/pl/9311或全国建筑市场监管公共服务平台(四库一平台)https://jzsc.mohurd.gov.cn/home进行实时查询，并结合《住房和城乡建设部办公厅关于建设工程企业资质有关事项的通知》和安徽省住建厅《关于建设工程企业资质有关事宜的通知》，对投标人履约能力的建造师数量进行评审。</w:t>
      </w:r>
      <w:r>
        <w:rPr>
          <w:rFonts w:hint="eastAsia" w:ascii="Times New Roman" w:hAnsi="Times New Roman"/>
          <w:bCs/>
          <w:color w:val="auto"/>
          <w:highlight w:val="none"/>
          <w:shd w:val="clear"/>
        </w:rPr>
        <w:t>本项目投标人履约能力的建造师数量要求见评标办法前附表。</w:t>
      </w:r>
    </w:p>
    <w:p w14:paraId="00BE027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投标人注册建造师不满足招标文件中规定对应资质等级标准要求的，评标委员会应否决其投标，不得推荐为中标候选人，否决后，评标基准价不变，中标候选人依次递补。</w:t>
      </w:r>
    </w:p>
    <w:p w14:paraId="1470A4E9">
      <w:pPr>
        <w:pStyle w:val="33"/>
        <w:rPr>
          <w:color w:val="auto"/>
          <w:highlight w:val="none"/>
          <w:shd w:val="clear"/>
        </w:rPr>
      </w:pPr>
      <w:bookmarkStart w:id="607" w:name="_Toc170804000"/>
      <w:bookmarkStart w:id="608" w:name="_Toc170805568"/>
      <w:bookmarkStart w:id="609" w:name="_Toc170805188"/>
      <w:r>
        <w:rPr>
          <w:color w:val="auto"/>
          <w:highlight w:val="none"/>
          <w:shd w:val="clear"/>
        </w:rPr>
        <w:t>3.7 投标文件的澄清、说明或补正</w:t>
      </w:r>
      <w:bookmarkEnd w:id="607"/>
      <w:bookmarkEnd w:id="608"/>
      <w:bookmarkEnd w:id="609"/>
    </w:p>
    <w:p w14:paraId="40733B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1FC97B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3.7.2 澄清、说明或补正不得超出投标文件的范围且不得改变投标文件的实质性内容，并构成投标文件的组成部分。</w:t>
      </w:r>
    </w:p>
    <w:p w14:paraId="0F9D62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3.7.3 评标委员会对投标人提交的澄清、说明或补正有疑问的，可以要求投标人进一步澄清、说明或补正，直至满足评标委员会的要求。</w:t>
      </w:r>
    </w:p>
    <w:p w14:paraId="23D0C684">
      <w:pPr>
        <w:pStyle w:val="33"/>
        <w:rPr>
          <w:color w:val="auto"/>
          <w:highlight w:val="none"/>
          <w:shd w:val="clear"/>
        </w:rPr>
      </w:pPr>
      <w:bookmarkStart w:id="610" w:name="_Toc170805569"/>
      <w:bookmarkStart w:id="611" w:name="_Toc170805189"/>
      <w:bookmarkStart w:id="612" w:name="_Toc170804001"/>
      <w:r>
        <w:rPr>
          <w:color w:val="auto"/>
          <w:highlight w:val="none"/>
          <w:shd w:val="clear"/>
        </w:rPr>
        <w:t>3.8 评标结果</w:t>
      </w:r>
      <w:bookmarkEnd w:id="610"/>
      <w:bookmarkEnd w:id="611"/>
      <w:bookmarkEnd w:id="612"/>
    </w:p>
    <w:p w14:paraId="1B5C85AE">
      <w:pPr>
        <w:pStyle w:val="22"/>
        <w:ind w:firstLine="420"/>
        <w:rPr>
          <w:rFonts w:ascii="Times New Roman" w:hAnsi="Times New Roman"/>
          <w:color w:val="auto"/>
          <w:highlight w:val="none"/>
          <w:shd w:val="clear"/>
        </w:rPr>
      </w:pPr>
      <w:bookmarkStart w:id="613" w:name="_Hlk184117812"/>
      <w:bookmarkStart w:id="614" w:name="_Hlk168580857"/>
      <w:r>
        <w:rPr>
          <w:rFonts w:hint="eastAsia" w:ascii="Times New Roman" w:hAnsi="Times New Roman"/>
          <w:color w:val="auto"/>
          <w:highlight w:val="none"/>
          <w:shd w:val="clear"/>
        </w:rPr>
        <w:t>3.8.1评标委员会按照得分（总得分=A+B+C）由高到低的顺序推荐中标候选人，不标明排列顺序。</w:t>
      </w:r>
      <w:bookmarkStart w:id="615" w:name="_Hlk185406674"/>
      <w:bookmarkStart w:id="616" w:name="_Hlk185407994"/>
      <w:r>
        <w:rPr>
          <w:rFonts w:hint="eastAsia" w:ascii="Times New Roman" w:hAnsi="Times New Roman"/>
          <w:color w:val="auto"/>
          <w:highlight w:val="none"/>
          <w:shd w:val="clear"/>
        </w:rPr>
        <w:t>编辑评标报告时，按照中标候选人投标文件递交的时间先后进行排列。</w:t>
      </w:r>
      <w:bookmarkEnd w:id="615"/>
    </w:p>
    <w:bookmarkEnd w:id="616"/>
    <w:p w14:paraId="478121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3.8.2 评标委员会完成评标后，应当向招标人提交评标报告。评标报告应当明确记录中标候选人的优势、不足、风险等评审情况和推荐理由，并对技术、质量、安全、工期的控制能力等提供技术咨询建议。</w:t>
      </w:r>
      <w:bookmarkEnd w:id="613"/>
    </w:p>
    <w:bookmarkEnd w:id="614"/>
    <w:p w14:paraId="3FFD7B05">
      <w:pPr>
        <w:pStyle w:val="33"/>
        <w:rPr>
          <w:color w:val="auto"/>
          <w:highlight w:val="none"/>
          <w:shd w:val="clear"/>
        </w:rPr>
      </w:pPr>
      <w:bookmarkStart w:id="617" w:name="_Toc170805570"/>
      <w:bookmarkStart w:id="618" w:name="_Toc170804002"/>
      <w:bookmarkStart w:id="619" w:name="_Toc170805190"/>
      <w:bookmarkStart w:id="620" w:name="_Hlk170117603"/>
      <w:r>
        <w:rPr>
          <w:color w:val="auto"/>
          <w:highlight w:val="none"/>
          <w:shd w:val="clear"/>
        </w:rPr>
        <w:t>3.9 其他</w:t>
      </w:r>
      <w:bookmarkEnd w:id="617"/>
      <w:bookmarkEnd w:id="618"/>
      <w:bookmarkEnd w:id="619"/>
      <w:r>
        <w:rPr>
          <w:color w:val="auto"/>
          <w:highlight w:val="none"/>
          <w:shd w:val="clear"/>
        </w:rPr>
        <w:t xml:space="preserve">   </w:t>
      </w:r>
    </w:p>
    <w:p w14:paraId="7A6557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3.9.1 其他事项：具体见评标办法前附表。</w:t>
      </w:r>
      <w:r>
        <w:rPr>
          <w:rFonts w:hint="eastAsia" w:ascii="Times New Roman" w:hAnsi="Times New Roman"/>
          <w:color w:val="auto"/>
          <w:highlight w:val="none"/>
          <w:shd w:val="clear"/>
        </w:rPr>
        <w:br w:type="page"/>
      </w:r>
    </w:p>
    <w:p w14:paraId="1CCECD9E">
      <w:pPr>
        <w:pStyle w:val="20"/>
        <w:rPr>
          <w:rFonts w:ascii="Times New Roman" w:hAnsi="Times New Roman"/>
          <w:color w:val="auto"/>
          <w:highlight w:val="none"/>
          <w:shd w:val="clear"/>
        </w:rPr>
      </w:pPr>
      <w:bookmarkStart w:id="621" w:name="_Hlk184117839"/>
      <w:r>
        <w:rPr>
          <w:rFonts w:hint="eastAsia" w:ascii="Times New Roman" w:hAnsi="Times New Roman"/>
          <w:color w:val="auto"/>
          <w:highlight w:val="none"/>
          <w:shd w:val="clear"/>
        </w:rPr>
        <w:t>第二节 定标办法</w:t>
      </w:r>
    </w:p>
    <w:p w14:paraId="44B2DF92">
      <w:pPr>
        <w:pStyle w:val="26"/>
        <w:rPr>
          <w:color w:val="auto"/>
          <w:highlight w:val="none"/>
          <w:shd w:val="clear"/>
        </w:rPr>
      </w:pPr>
      <w:r>
        <w:rPr>
          <w:rFonts w:hint="eastAsia"/>
          <w:color w:val="auto"/>
          <w:highlight w:val="none"/>
          <w:shd w:val="clear"/>
        </w:rPr>
        <w:t>定标办法前附表</w:t>
      </w:r>
    </w:p>
    <w:tbl>
      <w:tblPr>
        <w:tblStyle w:val="12"/>
        <w:tblW w:w="501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9"/>
        <w:gridCol w:w="1608"/>
        <w:gridCol w:w="5451"/>
      </w:tblGrid>
      <w:tr w14:paraId="4FC1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1D37AE38">
            <w:pPr>
              <w:pStyle w:val="28"/>
              <w:rPr>
                <w:rFonts w:ascii="Times New Roman" w:hAnsi="Times New Roman"/>
                <w:color w:val="auto"/>
                <w:highlight w:val="none"/>
                <w:shd w:val="clear"/>
              </w:rPr>
            </w:pPr>
            <w:permStart w:id="92" w:edGrp="everyone"/>
            <w:r>
              <w:rPr>
                <w:rFonts w:hint="eastAsia" w:ascii="Times New Roman" w:hAnsi="Times New Roman"/>
                <w:color w:val="auto"/>
                <w:highlight w:val="none"/>
                <w:shd w:val="clear"/>
              </w:rPr>
              <w:t>条款号</w:t>
            </w:r>
          </w:p>
        </w:tc>
        <w:tc>
          <w:tcPr>
            <w:tcW w:w="963" w:type="pct"/>
            <w:vAlign w:val="center"/>
          </w:tcPr>
          <w:p w14:paraId="7C236D70">
            <w:pPr>
              <w:pStyle w:val="28"/>
              <w:rPr>
                <w:rFonts w:ascii="Times New Roman" w:hAnsi="Times New Roman"/>
                <w:color w:val="auto"/>
                <w:highlight w:val="none"/>
                <w:shd w:val="clear"/>
              </w:rPr>
            </w:pPr>
            <w:r>
              <w:rPr>
                <w:rFonts w:hint="eastAsia" w:ascii="Times New Roman" w:hAnsi="Times New Roman"/>
                <w:color w:val="auto"/>
                <w:highlight w:val="none"/>
                <w:shd w:val="clear"/>
              </w:rPr>
              <w:t>评审因素</w:t>
            </w:r>
          </w:p>
        </w:tc>
        <w:tc>
          <w:tcPr>
            <w:tcW w:w="3265" w:type="pct"/>
            <w:vAlign w:val="center"/>
          </w:tcPr>
          <w:p w14:paraId="762A4C62">
            <w:pPr>
              <w:pStyle w:val="28"/>
              <w:rPr>
                <w:rFonts w:ascii="Times New Roman" w:hAnsi="Times New Roman"/>
                <w:color w:val="auto"/>
                <w:highlight w:val="none"/>
                <w:shd w:val="clear"/>
              </w:rPr>
            </w:pPr>
            <w:r>
              <w:rPr>
                <w:rFonts w:hint="eastAsia" w:ascii="Times New Roman" w:hAnsi="Times New Roman"/>
                <w:color w:val="auto"/>
                <w:highlight w:val="none"/>
                <w:shd w:val="clear"/>
              </w:rPr>
              <w:t>评审标准</w:t>
            </w:r>
          </w:p>
        </w:tc>
      </w:tr>
      <w:tr w14:paraId="3B54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restart"/>
            <w:vAlign w:val="center"/>
          </w:tcPr>
          <w:p w14:paraId="438C0658">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963" w:type="pct"/>
            <w:tcMar>
              <w:left w:w="75" w:type="dxa"/>
            </w:tcMar>
            <w:vAlign w:val="center"/>
          </w:tcPr>
          <w:p w14:paraId="6DDC3ABA">
            <w:pPr>
              <w:pStyle w:val="29"/>
              <w:rPr>
                <w:rFonts w:ascii="Times New Roman" w:hAnsi="Times New Roman"/>
                <w:color w:val="auto"/>
                <w:highlight w:val="none"/>
                <w:shd w:val="clear"/>
              </w:rPr>
            </w:pPr>
            <w:r>
              <w:rPr>
                <w:rFonts w:hint="eastAsia" w:ascii="Times New Roman" w:hAnsi="Times New Roman"/>
                <w:color w:val="auto"/>
                <w:highlight w:val="none"/>
                <w:shd w:val="clear"/>
              </w:rPr>
              <w:t>定标方法</w:t>
            </w:r>
          </w:p>
        </w:tc>
        <w:tc>
          <w:tcPr>
            <w:tcW w:w="3265" w:type="pct"/>
            <w:tcMar>
              <w:left w:w="75" w:type="dxa"/>
            </w:tcMar>
            <w:vAlign w:val="center"/>
          </w:tcPr>
          <w:p w14:paraId="34C5ECD4">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0052"/>
            </w:r>
            <w:r>
              <w:rPr>
                <w:rFonts w:hint="eastAsia" w:ascii="Times New Roman" w:hAnsi="Times New Roman"/>
                <w:color w:val="auto"/>
                <w:highlight w:val="none"/>
                <w:shd w:val="clear"/>
              </w:rPr>
              <w:t>票决定标法</w:t>
            </w:r>
          </w:p>
          <w:p w14:paraId="281B5337">
            <w:pPr>
              <w:pStyle w:val="30"/>
              <w:rPr>
                <w:rFonts w:hint="eastAsia" w:ascii="Times New Roman" w:hAnsi="Times New Roman" w:eastAsia="宋体"/>
                <w:color w:val="auto"/>
                <w:highlight w:val="none"/>
                <w:shd w:val="clear"/>
                <w:lang w:val="en-US" w:eastAsia="zh-CN"/>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其他：</w:t>
            </w:r>
            <w:r>
              <w:rPr>
                <w:rFonts w:hint="eastAsia" w:ascii="Times New Roman" w:hAnsi="Times New Roman"/>
                <w:color w:val="auto"/>
                <w:highlight w:val="none"/>
                <w:shd w:val="clear"/>
                <w:lang w:val="en-US" w:eastAsia="zh-CN"/>
              </w:rPr>
              <w:t>/</w:t>
            </w:r>
          </w:p>
        </w:tc>
      </w:tr>
      <w:tr w14:paraId="1883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vAlign w:val="center"/>
          </w:tcPr>
          <w:p w14:paraId="25B960FA">
            <w:pPr>
              <w:pStyle w:val="29"/>
              <w:rPr>
                <w:rFonts w:ascii="Times New Roman" w:hAnsi="Times New Roman"/>
                <w:color w:val="auto"/>
                <w:highlight w:val="none"/>
                <w:shd w:val="clear"/>
              </w:rPr>
            </w:pPr>
          </w:p>
        </w:tc>
        <w:tc>
          <w:tcPr>
            <w:tcW w:w="963" w:type="pct"/>
            <w:tcMar>
              <w:left w:w="75" w:type="dxa"/>
            </w:tcMar>
            <w:vAlign w:val="center"/>
          </w:tcPr>
          <w:p w14:paraId="53CA2532">
            <w:pPr>
              <w:pStyle w:val="29"/>
              <w:rPr>
                <w:rFonts w:ascii="Times New Roman" w:hAnsi="Times New Roman"/>
                <w:color w:val="auto"/>
                <w:highlight w:val="none"/>
                <w:shd w:val="clear"/>
              </w:rPr>
            </w:pPr>
            <w:r>
              <w:rPr>
                <w:rFonts w:hint="eastAsia" w:ascii="Times New Roman" w:hAnsi="Times New Roman"/>
                <w:color w:val="auto"/>
                <w:highlight w:val="none"/>
                <w:shd w:val="clear"/>
              </w:rPr>
              <w:t>定标的先后顺序</w:t>
            </w:r>
          </w:p>
        </w:tc>
        <w:tc>
          <w:tcPr>
            <w:tcW w:w="3265" w:type="pct"/>
            <w:tcMar>
              <w:left w:w="75" w:type="dxa"/>
            </w:tcMar>
            <w:vAlign w:val="center"/>
          </w:tcPr>
          <w:p w14:paraId="0D01C8DB">
            <w:pPr>
              <w:pStyle w:val="30"/>
              <w:rPr>
                <w:rFonts w:hint="default" w:ascii="Times New Roman" w:hAnsi="Times New Roman" w:eastAsia="宋体" w:cs="Times New Roman"/>
                <w:color w:val="auto"/>
                <w:szCs w:val="22"/>
                <w:highlight w:val="none"/>
                <w:shd w:val="clear"/>
                <w:lang w:val="en-US" w:eastAsia="zh-CN"/>
              </w:rPr>
            </w:pPr>
            <w:r>
              <w:rPr>
                <w:rFonts w:hint="eastAsia" w:ascii="Times New Roman" w:hAnsi="Times New Roman" w:cs="Times New Roman"/>
                <w:color w:val="auto"/>
                <w:szCs w:val="22"/>
                <w:highlight w:val="none"/>
                <w:shd w:val="clear"/>
                <w:lang w:val="en-US" w:eastAsia="zh-CN"/>
              </w:rPr>
              <w:t>/</w:t>
            </w:r>
          </w:p>
        </w:tc>
      </w:tr>
      <w:tr w14:paraId="0687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vAlign w:val="center"/>
          </w:tcPr>
          <w:p w14:paraId="7DD347E0">
            <w:pPr>
              <w:pStyle w:val="29"/>
              <w:rPr>
                <w:rFonts w:ascii="Times New Roman" w:hAnsi="Times New Roman"/>
                <w:color w:val="auto"/>
                <w:highlight w:val="none"/>
                <w:shd w:val="clear"/>
              </w:rPr>
            </w:pPr>
          </w:p>
        </w:tc>
        <w:tc>
          <w:tcPr>
            <w:tcW w:w="963" w:type="pct"/>
            <w:tcMar>
              <w:left w:w="75" w:type="dxa"/>
            </w:tcMar>
            <w:vAlign w:val="center"/>
          </w:tcPr>
          <w:p w14:paraId="2D795037">
            <w:pPr>
              <w:pStyle w:val="29"/>
              <w:rPr>
                <w:rFonts w:ascii="Times New Roman" w:hAnsi="Times New Roman"/>
                <w:color w:val="auto"/>
                <w:highlight w:val="none"/>
                <w:shd w:val="clear"/>
              </w:rPr>
            </w:pPr>
            <w:r>
              <w:rPr>
                <w:rFonts w:hint="eastAsia" w:ascii="Times New Roman" w:hAnsi="Times New Roman"/>
                <w:color w:val="auto"/>
                <w:highlight w:val="none"/>
                <w:shd w:val="clear"/>
              </w:rPr>
              <w:t>最多可中标段数量（多标段适用）</w:t>
            </w:r>
          </w:p>
        </w:tc>
        <w:tc>
          <w:tcPr>
            <w:tcW w:w="3265" w:type="pct"/>
            <w:tcMar>
              <w:left w:w="75" w:type="dxa"/>
            </w:tcMar>
            <w:vAlign w:val="center"/>
          </w:tcPr>
          <w:p w14:paraId="220720EE">
            <w:pPr>
              <w:pStyle w:val="3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lang w:val="en-US" w:eastAsia="zh-CN"/>
              </w:rPr>
              <w:t>/</w:t>
            </w:r>
          </w:p>
        </w:tc>
      </w:tr>
      <w:tr w14:paraId="7D3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0438CCD2">
            <w:pPr>
              <w:pStyle w:val="29"/>
              <w:rPr>
                <w:rFonts w:ascii="Times New Roman" w:hAnsi="Times New Roman"/>
                <w:color w:val="auto"/>
                <w:highlight w:val="none"/>
                <w:shd w:val="clear"/>
              </w:rPr>
            </w:pPr>
            <w:r>
              <w:rPr>
                <w:rFonts w:hint="eastAsia" w:ascii="Times New Roman" w:hAnsi="Times New Roman"/>
                <w:color w:val="auto"/>
                <w:highlight w:val="none"/>
                <w:shd w:val="clear"/>
              </w:rPr>
              <w:t>3（8）</w:t>
            </w:r>
          </w:p>
        </w:tc>
        <w:tc>
          <w:tcPr>
            <w:tcW w:w="963" w:type="pct"/>
            <w:tcMar>
              <w:left w:w="75" w:type="dxa"/>
            </w:tcMar>
            <w:vAlign w:val="center"/>
          </w:tcPr>
          <w:p w14:paraId="1216400D">
            <w:pPr>
              <w:pStyle w:val="29"/>
              <w:rPr>
                <w:rFonts w:ascii="Times New Roman" w:hAnsi="Times New Roman"/>
                <w:color w:val="auto"/>
                <w:highlight w:val="none"/>
                <w:shd w:val="clear"/>
              </w:rPr>
            </w:pPr>
            <w:r>
              <w:rPr>
                <w:rFonts w:hint="eastAsia" w:ascii="Times New Roman" w:hAnsi="Times New Roman"/>
                <w:color w:val="auto"/>
                <w:highlight w:val="none"/>
                <w:shd w:val="clear"/>
              </w:rPr>
              <w:t>招标人认为需考量的其他要素</w:t>
            </w:r>
          </w:p>
        </w:tc>
        <w:tc>
          <w:tcPr>
            <w:tcW w:w="3265" w:type="pct"/>
            <w:vAlign w:val="center"/>
          </w:tcPr>
          <w:p w14:paraId="7AA3E931">
            <w:pPr>
              <w:pStyle w:val="30"/>
              <w:rPr>
                <w:rFonts w:ascii="Times New Roman" w:hAnsi="Times New Roman"/>
                <w:color w:val="auto"/>
                <w:highlight w:val="none"/>
                <w:shd w:val="clear"/>
              </w:rPr>
            </w:pPr>
            <w:r>
              <w:rPr>
                <w:rFonts w:hint="eastAsia" w:ascii="Times New Roman" w:hAnsi="Times New Roman"/>
                <w:color w:val="auto"/>
                <w:highlight w:val="none"/>
                <w:shd w:val="clear"/>
                <w:lang w:val="en-US" w:eastAsia="zh-CN"/>
              </w:rPr>
              <w:t>/</w:t>
            </w:r>
          </w:p>
        </w:tc>
      </w:tr>
      <w:tr w14:paraId="592E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1B857DB2">
            <w:pPr>
              <w:pStyle w:val="29"/>
              <w:rPr>
                <w:rFonts w:ascii="Times New Roman" w:hAnsi="Times New Roman"/>
                <w:color w:val="auto"/>
                <w:highlight w:val="none"/>
                <w:shd w:val="clear"/>
              </w:rPr>
            </w:pPr>
            <w:r>
              <w:rPr>
                <w:rFonts w:hint="eastAsia" w:ascii="Times New Roman" w:hAnsi="Times New Roman"/>
                <w:color w:val="auto"/>
                <w:highlight w:val="none"/>
                <w:shd w:val="clear"/>
              </w:rPr>
              <w:t>4</w:t>
            </w:r>
          </w:p>
        </w:tc>
        <w:tc>
          <w:tcPr>
            <w:tcW w:w="963" w:type="pct"/>
            <w:tcMar>
              <w:left w:w="75" w:type="dxa"/>
            </w:tcMar>
            <w:vAlign w:val="center"/>
          </w:tcPr>
          <w:p w14:paraId="6B33DA85">
            <w:pPr>
              <w:pStyle w:val="29"/>
              <w:rPr>
                <w:rFonts w:ascii="Times New Roman" w:hAnsi="Times New Roman"/>
                <w:color w:val="auto"/>
                <w:highlight w:val="none"/>
                <w:shd w:val="clear"/>
              </w:rPr>
            </w:pPr>
            <w:r>
              <w:rPr>
                <w:rFonts w:hint="eastAsia" w:ascii="Times New Roman" w:hAnsi="Times New Roman"/>
                <w:color w:val="auto"/>
                <w:highlight w:val="none"/>
                <w:shd w:val="clear"/>
              </w:rPr>
              <w:t>定标规则</w:t>
            </w:r>
          </w:p>
        </w:tc>
        <w:tc>
          <w:tcPr>
            <w:tcW w:w="3265" w:type="pct"/>
            <w:vAlign w:val="center"/>
          </w:tcPr>
          <w:p w14:paraId="3F531DBF">
            <w:pPr>
              <w:pStyle w:val="30"/>
              <w:rPr>
                <w:rFonts w:ascii="Times New Roman" w:hAnsi="Times New Roman"/>
                <w:color w:val="auto"/>
                <w:highlight w:val="none"/>
                <w:shd w:val="clear"/>
              </w:rPr>
            </w:pPr>
            <w:r>
              <w:rPr>
                <w:rFonts w:hint="eastAsia" w:ascii="Times New Roman" w:hAnsi="Times New Roman"/>
                <w:color w:val="auto"/>
                <w:highlight w:val="none"/>
                <w:shd w:val="clear"/>
              </w:rPr>
              <w:sym w:font="Wingdings 2" w:char="0052"/>
            </w:r>
            <w:r>
              <w:rPr>
                <w:rFonts w:hint="eastAsia" w:ascii="Times New Roman" w:hAnsi="Times New Roman"/>
                <w:color w:val="auto"/>
                <w:highlight w:val="none"/>
                <w:shd w:val="clear"/>
              </w:rPr>
              <w:t>票决法：定标委员会成员根据每项定标因素分别对各中标候选人进行独立评审后，在中标候选人中选择1家进行投票，最终按推荐得票数由高到低排序确定中标人。票决中出现推荐得票数相同以致影响中标人确定的，由定标委员会对票数相同的投标人再次进行投票，得票数高的为中标人。</w:t>
            </w:r>
          </w:p>
          <w:p w14:paraId="72A904EC">
            <w:pPr>
              <w:pStyle w:val="30"/>
              <w:rPr>
                <w:rFonts w:hint="eastAsia" w:ascii="Times New Roman" w:hAnsi="Times New Roman" w:eastAsia="宋体"/>
                <w:color w:val="auto"/>
                <w:highlight w:val="none"/>
                <w:shd w:val="clear"/>
                <w:lang w:val="en-US" w:eastAsia="zh-CN"/>
              </w:rPr>
            </w:pPr>
            <w:r>
              <w:rPr>
                <w:rFonts w:ascii="Segoe UI Symbol" w:hAnsi="Segoe UI Symbol" w:cs="Segoe UI Symbol"/>
                <w:color w:val="auto"/>
                <w:highlight w:val="none"/>
                <w:shd w:val="clear"/>
              </w:rPr>
              <w:t>☐</w:t>
            </w:r>
            <w:r>
              <w:rPr>
                <w:rFonts w:hint="eastAsia" w:ascii="Times New Roman" w:hAnsi="Times New Roman"/>
                <w:color w:val="auto"/>
                <w:highlight w:val="none"/>
                <w:shd w:val="clear"/>
              </w:rPr>
              <w:t>其他：</w:t>
            </w:r>
            <w:r>
              <w:rPr>
                <w:rFonts w:hint="eastAsia" w:ascii="Times New Roman" w:hAnsi="Times New Roman"/>
                <w:color w:val="auto"/>
                <w:highlight w:val="none"/>
                <w:shd w:val="clear"/>
                <w:lang w:val="en-US" w:eastAsia="zh-CN"/>
              </w:rPr>
              <w:t>/</w:t>
            </w:r>
          </w:p>
        </w:tc>
      </w:tr>
      <w:tr w14:paraId="13E1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705902A0">
            <w:pPr>
              <w:pStyle w:val="29"/>
              <w:rPr>
                <w:rFonts w:ascii="Times New Roman" w:hAnsi="Times New Roman"/>
                <w:color w:val="auto"/>
                <w:highlight w:val="none"/>
                <w:shd w:val="clear"/>
              </w:rPr>
            </w:pPr>
            <w:r>
              <w:rPr>
                <w:rFonts w:hint="eastAsia" w:ascii="Times New Roman" w:hAnsi="Times New Roman"/>
                <w:color w:val="auto"/>
                <w:highlight w:val="none"/>
                <w:shd w:val="clear"/>
              </w:rPr>
              <w:t>6</w:t>
            </w:r>
          </w:p>
        </w:tc>
        <w:tc>
          <w:tcPr>
            <w:tcW w:w="963" w:type="pct"/>
            <w:tcMar>
              <w:left w:w="75" w:type="dxa"/>
            </w:tcMar>
            <w:vAlign w:val="center"/>
          </w:tcPr>
          <w:p w14:paraId="21C69DC7">
            <w:pPr>
              <w:pStyle w:val="29"/>
              <w:rPr>
                <w:rFonts w:ascii="Times New Roman" w:hAnsi="Times New Roman"/>
                <w:color w:val="auto"/>
                <w:highlight w:val="none"/>
                <w:shd w:val="clear"/>
              </w:rPr>
            </w:pPr>
            <w:r>
              <w:rPr>
                <w:rFonts w:hint="eastAsia" w:ascii="Times New Roman" w:hAnsi="Times New Roman"/>
                <w:color w:val="auto"/>
                <w:highlight w:val="none"/>
                <w:shd w:val="clear"/>
              </w:rPr>
              <w:t>其他</w:t>
            </w:r>
          </w:p>
        </w:tc>
        <w:tc>
          <w:tcPr>
            <w:tcW w:w="3265" w:type="pct"/>
            <w:vAlign w:val="center"/>
          </w:tcPr>
          <w:p w14:paraId="5B9F9343">
            <w:pPr>
              <w:pStyle w:val="3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lang w:val="en-US" w:eastAsia="zh-CN"/>
              </w:rPr>
              <w:t>/</w:t>
            </w:r>
          </w:p>
        </w:tc>
      </w:tr>
      <w:permEnd w:id="92"/>
    </w:tbl>
    <w:p w14:paraId="48FEE7FD">
      <w:pPr>
        <w:widowControl/>
        <w:jc w:val="left"/>
        <w:rPr>
          <w:rFonts w:ascii="Times New Roman" w:hAnsi="Times New Roman" w:cs="Times New Roman"/>
          <w:bCs w:val="0"/>
          <w:color w:val="auto"/>
          <w:kern w:val="0"/>
          <w:sz w:val="24"/>
          <w:szCs w:val="24"/>
          <w:highlight w:val="none"/>
          <w:shd w:val="clear"/>
          <w:lang w:val="zh-CN"/>
        </w:rPr>
      </w:pPr>
    </w:p>
    <w:p w14:paraId="7616B99C">
      <w:pPr>
        <w:pStyle w:val="33"/>
        <w:rPr>
          <w:color w:val="auto"/>
          <w:highlight w:val="none"/>
          <w:shd w:val="clear"/>
        </w:rPr>
      </w:pPr>
      <w:r>
        <w:rPr>
          <w:color w:val="auto"/>
          <w:highlight w:val="none"/>
          <w:shd w:val="clear"/>
        </w:rPr>
        <w:br w:type="page"/>
      </w:r>
      <w:r>
        <w:rPr>
          <w:color w:val="auto"/>
          <w:highlight w:val="none"/>
          <w:shd w:val="clear"/>
        </w:rPr>
        <w:t>1.定标方法</w:t>
      </w:r>
      <w:r>
        <w:rPr>
          <w:color w:val="auto"/>
          <w:highlight w:val="none"/>
          <w:shd w:val="clear"/>
        </w:rPr>
        <w:t xml:space="preserve"> </w:t>
      </w:r>
    </w:p>
    <w:p w14:paraId="60DB9AAB">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本招标项目采用的定标方法详见定标办法前附表。</w:t>
      </w:r>
    </w:p>
    <w:p w14:paraId="63C97B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次定标的先后顺序及最多可中标段数量详见定标办法前附表。投标人使用相同的项目经理或主要管理人员投多个标段的，最多只能中一个标段。被推荐为中标人的标段个数已达到最多允许中标的标段个数的中标候选人，在后续标段不再被推荐为中标人。</w:t>
      </w:r>
    </w:p>
    <w:p w14:paraId="43A0F29F">
      <w:pPr>
        <w:pStyle w:val="33"/>
        <w:rPr>
          <w:color w:val="auto"/>
          <w:highlight w:val="none"/>
          <w:shd w:val="clear"/>
        </w:rPr>
      </w:pPr>
      <w:r>
        <w:rPr>
          <w:color w:val="auto"/>
          <w:highlight w:val="none"/>
          <w:shd w:val="clear"/>
        </w:rPr>
        <w:t xml:space="preserve">2.定标程序 </w:t>
      </w:r>
    </w:p>
    <w:p w14:paraId="10889FD9">
      <w:pPr>
        <w:pStyle w:val="22"/>
        <w:ind w:firstLine="420"/>
        <w:rPr>
          <w:rFonts w:ascii="Times New Roman" w:hAnsi="Times New Roman"/>
          <w:color w:val="auto"/>
          <w:highlight w:val="none"/>
          <w:shd w:val="clear"/>
        </w:rPr>
      </w:pPr>
      <w:r>
        <w:rPr>
          <w:rFonts w:ascii="Times New Roman" w:hAnsi="Times New Roman"/>
          <w:color w:val="auto"/>
          <w:highlight w:val="none"/>
          <w:shd w:val="clear"/>
        </w:rPr>
        <w:t xml:space="preserve">定标会议由定标委员会组长主持，定标委员会可参照以下程序进行定标： </w:t>
      </w:r>
    </w:p>
    <w:p w14:paraId="6468F2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（1）招标人介绍定标程序及须知，定标成员签署承诺书；</w:t>
      </w:r>
    </w:p>
    <w:p w14:paraId="2927C6C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（2）招标人介绍项目基本情况、招标情况；</w:t>
      </w:r>
    </w:p>
    <w:p w14:paraId="7600F7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（3）评标小组组长或招标人介绍评标情况、专家评审意见及提醒注意事项等；</w:t>
      </w:r>
    </w:p>
    <w:p w14:paraId="1E33940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（4）招标人结合对中标候选人的考察、质询及相关资料，汇报各中标候选人的优势、不足、风险等；</w:t>
      </w:r>
    </w:p>
    <w:p w14:paraId="3BC2265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（5）定标委员会成员提出疑问，相关人员解答；</w:t>
      </w:r>
    </w:p>
    <w:p w14:paraId="2246672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（6）非定标相关人员离场(不含监督小组等工作人员)；</w:t>
      </w:r>
    </w:p>
    <w:p w14:paraId="01EFDA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（8）按照招标文件规定的方式确定中标人；</w:t>
      </w:r>
    </w:p>
    <w:p w14:paraId="699D1A3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（9）形成定标报告。</w:t>
      </w:r>
    </w:p>
    <w:p w14:paraId="4B047E8A">
      <w:pPr>
        <w:pStyle w:val="33"/>
        <w:rPr>
          <w:color w:val="auto"/>
          <w:highlight w:val="none"/>
          <w:shd w:val="clear"/>
        </w:rPr>
      </w:pPr>
      <w:r>
        <w:rPr>
          <w:color w:val="auto"/>
          <w:highlight w:val="none"/>
          <w:shd w:val="clear"/>
        </w:rPr>
        <w:t xml:space="preserve">3.定标因素 </w:t>
      </w:r>
    </w:p>
    <w:p w14:paraId="06773F9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包括但不限于以下因素：</w:t>
      </w:r>
    </w:p>
    <w:p w14:paraId="27CF33F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（1）拟派团队履约能力与履约水平。包括团队（项目经理）类似代表业绩、履约情况（质量情况）、后期维护保障等因素。</w:t>
      </w:r>
    </w:p>
    <w:p w14:paraId="53092F5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企业信誉。包括获得各种荣誉、建设单位履约评价等，同时应重点关注近几年的不良信息，如各级行政机关作出的各种处罚和不良行为记录、建设单位对其的不良行为记录、履约评价不合格记录以及其他失信记录等。</w:t>
      </w:r>
    </w:p>
    <w:p w14:paraId="226B228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（3）企业实力。包括企业规模、行业排名（如有）、资质等级、专业技术人员规模，近几年的财务状况、过往业绩（含业绩影响力、难易程度）等方面。</w:t>
      </w:r>
    </w:p>
    <w:p w14:paraId="03189F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（4）价格因素。包括商务报价高低，主要材料报价的合理性，不平衡报价等情况。</w:t>
      </w:r>
    </w:p>
    <w:p w14:paraId="629DD27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（5）投标方案优劣。包括技术文件情况，工程建设中重点难点问题的解决方案，危险性较大的分部分项工程安全管理措施，主要材料品牌等。</w:t>
      </w:r>
    </w:p>
    <w:p w14:paraId="5BA0D7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（6）考察（质询）报告（如有）。</w:t>
      </w:r>
    </w:p>
    <w:p w14:paraId="4487CF9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（7）评标委员会评标报告。</w:t>
      </w:r>
    </w:p>
    <w:p w14:paraId="293405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（8）招标人认为需考量的其他要素</w:t>
      </w:r>
    </w:p>
    <w:p w14:paraId="4BB5E06A">
      <w:pPr>
        <w:pStyle w:val="22"/>
        <w:ind w:firstLine="420"/>
        <w:rPr>
          <w:rFonts w:ascii="Times New Roman" w:hAnsi="Times New Roman"/>
          <w:color w:val="auto"/>
          <w:highlight w:val="none"/>
          <w:shd w:val="clear"/>
        </w:rPr>
      </w:pPr>
      <w:r>
        <w:rPr>
          <w:rFonts w:ascii="Times New Roman" w:hAnsi="Times New Roman"/>
          <w:color w:val="auto"/>
          <w:highlight w:val="none"/>
          <w:shd w:val="clear"/>
        </w:rPr>
        <w:t>定标委员会根据上述因素等对中标候选人进行综合评价，</w:t>
      </w:r>
      <w:r>
        <w:rPr>
          <w:rFonts w:hint="eastAsia" w:ascii="Times New Roman" w:hAnsi="Times New Roman"/>
          <w:color w:val="auto"/>
          <w:highlight w:val="none"/>
          <w:shd w:val="clear"/>
        </w:rPr>
        <w:t>然后由定标委员会以招标文件规定的定标方法确定中标人。</w:t>
      </w:r>
    </w:p>
    <w:p w14:paraId="1B6F0E0A">
      <w:pPr>
        <w:pStyle w:val="33"/>
        <w:rPr>
          <w:color w:val="auto"/>
          <w:highlight w:val="none"/>
          <w:shd w:val="clear"/>
        </w:rPr>
      </w:pPr>
      <w:r>
        <w:rPr>
          <w:rFonts w:hint="eastAsia"/>
          <w:color w:val="auto"/>
          <w:highlight w:val="none"/>
          <w:shd w:val="clear"/>
        </w:rPr>
        <w:t>4.定标规则</w:t>
      </w:r>
    </w:p>
    <w:p w14:paraId="0E7A4C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本招标项目定标规则详见定标办法前附表。</w:t>
      </w:r>
    </w:p>
    <w:p w14:paraId="04DD82A4">
      <w:pPr>
        <w:pStyle w:val="33"/>
        <w:rPr>
          <w:color w:val="auto"/>
          <w:highlight w:val="none"/>
          <w:shd w:val="clear"/>
        </w:rPr>
      </w:pPr>
      <w:r>
        <w:rPr>
          <w:rFonts w:hint="eastAsia"/>
          <w:color w:val="auto"/>
          <w:highlight w:val="none"/>
          <w:shd w:val="clear"/>
        </w:rPr>
        <w:t>5</w:t>
      </w:r>
      <w:r>
        <w:rPr>
          <w:color w:val="auto"/>
          <w:highlight w:val="none"/>
          <w:shd w:val="clear"/>
        </w:rPr>
        <w:t xml:space="preserve">.定标报告 </w:t>
      </w:r>
    </w:p>
    <w:p w14:paraId="40E97A9C">
      <w:pPr>
        <w:pStyle w:val="22"/>
        <w:ind w:firstLine="420"/>
        <w:rPr>
          <w:rFonts w:ascii="Times New Roman" w:hAnsi="Times New Roman"/>
          <w:color w:val="auto"/>
          <w:highlight w:val="none"/>
          <w:shd w:val="clear"/>
        </w:rPr>
      </w:pPr>
      <w:r>
        <w:rPr>
          <w:rFonts w:ascii="Times New Roman" w:hAnsi="Times New Roman"/>
          <w:color w:val="auto"/>
          <w:highlight w:val="none"/>
          <w:shd w:val="clear"/>
        </w:rPr>
        <w:t>定标报告由定标委员会全体成员签字。对定标结果有不同意见的定标委员会成员应当</w:t>
      </w:r>
      <w:r>
        <w:rPr>
          <w:rFonts w:hint="eastAsia" w:ascii="Times New Roman" w:hAnsi="Times New Roman"/>
          <w:color w:val="auto"/>
          <w:highlight w:val="none"/>
          <w:shd w:val="clear"/>
        </w:rPr>
        <w:t>在</w:t>
      </w:r>
      <w:r>
        <w:rPr>
          <w:rFonts w:ascii="Times New Roman" w:hAnsi="Times New Roman"/>
          <w:color w:val="auto"/>
          <w:highlight w:val="none"/>
          <w:shd w:val="clear"/>
        </w:rPr>
        <w:t>定标报告说明其不同意见和理由。定标委员会成员拒绝在定标报告上签字又不说明其不同意见和理由的，视为同意定标结果。</w:t>
      </w:r>
    </w:p>
    <w:p w14:paraId="581192E1">
      <w:pPr>
        <w:pStyle w:val="33"/>
        <w:rPr>
          <w:color w:val="auto"/>
          <w:highlight w:val="none"/>
          <w:shd w:val="clear"/>
        </w:rPr>
      </w:pPr>
      <w:r>
        <w:rPr>
          <w:rFonts w:hint="eastAsia"/>
          <w:color w:val="auto"/>
          <w:highlight w:val="none"/>
          <w:shd w:val="clear"/>
        </w:rPr>
        <w:t>6</w:t>
      </w:r>
      <w:r>
        <w:rPr>
          <w:color w:val="auto"/>
          <w:highlight w:val="none"/>
          <w:shd w:val="clear"/>
        </w:rPr>
        <w:t>.</w:t>
      </w:r>
      <w:r>
        <w:rPr>
          <w:rFonts w:hint="eastAsia"/>
          <w:color w:val="auto"/>
          <w:highlight w:val="none"/>
          <w:shd w:val="clear"/>
        </w:rPr>
        <w:t>其他</w:t>
      </w:r>
      <w:r>
        <w:rPr>
          <w:color w:val="auto"/>
          <w:highlight w:val="none"/>
          <w:shd w:val="clear"/>
        </w:rPr>
        <w:t xml:space="preserve"> </w:t>
      </w:r>
    </w:p>
    <w:p w14:paraId="353CA44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详见定标办法前附表。</w:t>
      </w:r>
    </w:p>
    <w:bookmarkEnd w:id="621"/>
    <w:p w14:paraId="02A4E33C">
      <w:pPr>
        <w:pStyle w:val="22"/>
        <w:ind w:firstLine="480"/>
        <w:rPr>
          <w:rFonts w:ascii="Times New Roman" w:hAnsi="Times New Roman"/>
          <w:color w:val="auto"/>
          <w:highlight w:val="none"/>
          <w:shd w:val="cle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r>
        <w:rPr>
          <w:rFonts w:hint="eastAsia" w:ascii="Times New Roman" w:hAnsi="Times New Roman" w:cs="Times New Roman"/>
          <w:color w:val="auto"/>
          <w:kern w:val="0"/>
          <w:sz w:val="24"/>
          <w:szCs w:val="20"/>
          <w:highlight w:val="none"/>
          <w:shd w:val="clear"/>
        </w:rPr>
        <w:br w:type="page"/>
      </w:r>
      <w:bookmarkEnd w:id="620"/>
    </w:p>
    <w:p w14:paraId="509AF365">
      <w:pPr>
        <w:pStyle w:val="24"/>
        <w:rPr>
          <w:rFonts w:ascii="Times New Roman" w:hAnsi="Times New Roman"/>
          <w:color w:val="auto"/>
          <w:highlight w:val="none"/>
          <w:shd w:val="clear"/>
        </w:rPr>
      </w:pPr>
      <w:bookmarkStart w:id="622" w:name="_Toc170805628"/>
      <w:r>
        <w:rPr>
          <w:rFonts w:hint="eastAsia" w:ascii="Times New Roman" w:hAnsi="Times New Roman"/>
          <w:color w:val="auto"/>
          <w:highlight w:val="none"/>
          <w:shd w:val="clear"/>
        </w:rPr>
        <w:t>第四章</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合同</w:t>
      </w:r>
      <w:bookmarkEnd w:id="622"/>
    </w:p>
    <w:p w14:paraId="63783D16">
      <w:pPr>
        <w:pStyle w:val="22"/>
        <w:ind w:firstLine="420"/>
        <w:rPr>
          <w:rFonts w:ascii="Times New Roman" w:hAnsi="Times New Roman"/>
          <w:color w:val="auto"/>
          <w:highlight w:val="none"/>
          <w:shd w:val="clear"/>
        </w:rPr>
      </w:pPr>
      <w:r>
        <w:rPr>
          <w:rFonts w:ascii="Times New Roman" w:hAnsi="Times New Roman"/>
          <w:color w:val="auto"/>
          <w:highlight w:val="none"/>
          <w:shd w:val="clear"/>
        </w:rPr>
        <w:br w:type="page"/>
      </w:r>
    </w:p>
    <w:p w14:paraId="16CC5534">
      <w:pPr>
        <w:jc w:val="left"/>
        <w:rPr>
          <w:rFonts w:ascii="Times New Roman" w:hAnsi="Times New Roman" w:eastAsia="仿宋_GB2312"/>
          <w:bCs w:val="0"/>
          <w:color w:val="auto"/>
          <w:sz w:val="32"/>
          <w:szCs w:val="32"/>
          <w:highlight w:val="none"/>
          <w:shd w:val="clear"/>
        </w:rPr>
      </w:pPr>
      <w:r>
        <w:rPr>
          <w:rFonts w:ascii="Times New Roman" w:hAnsi="Times New Roman" w:eastAsia="仿宋_GB2312"/>
          <w:color w:val="auto"/>
          <w:sz w:val="32"/>
          <w:szCs w:val="32"/>
          <w:highlight w:val="none"/>
          <w:shd w:val="clear"/>
        </w:rPr>
        <w:t>（GF—201</w:t>
      </w:r>
      <w:r>
        <w:rPr>
          <w:rFonts w:hint="eastAsia" w:ascii="Times New Roman" w:hAnsi="Times New Roman" w:eastAsia="仿宋_GB2312"/>
          <w:color w:val="auto"/>
          <w:sz w:val="32"/>
          <w:szCs w:val="32"/>
          <w:highlight w:val="none"/>
          <w:shd w:val="clear"/>
        </w:rPr>
        <w:t>7</w:t>
      </w:r>
      <w:r>
        <w:rPr>
          <w:rFonts w:ascii="Times New Roman" w:hAnsi="Times New Roman" w:eastAsia="仿宋_GB2312"/>
          <w:color w:val="auto"/>
          <w:sz w:val="32"/>
          <w:szCs w:val="32"/>
          <w:highlight w:val="none"/>
          <w:shd w:val="clear"/>
        </w:rPr>
        <w:t>—</w:t>
      </w:r>
      <w:r>
        <w:rPr>
          <w:rFonts w:hint="eastAsia" w:ascii="Times New Roman" w:hAnsi="Times New Roman" w:eastAsia="仿宋_GB2312"/>
          <w:color w:val="auto"/>
          <w:sz w:val="32"/>
          <w:szCs w:val="32"/>
          <w:highlight w:val="none"/>
          <w:shd w:val="clear"/>
        </w:rPr>
        <w:t>0201）</w:t>
      </w:r>
    </w:p>
    <w:p w14:paraId="37ED680F">
      <w:pPr>
        <w:jc w:val="center"/>
        <w:rPr>
          <w:rFonts w:ascii="Times New Roman" w:hAnsi="Times New Roman" w:eastAsia="华文中宋"/>
          <w:b/>
          <w:color w:val="auto"/>
          <w:sz w:val="52"/>
          <w:szCs w:val="52"/>
          <w:highlight w:val="none"/>
          <w:shd w:val="clear"/>
        </w:rPr>
      </w:pPr>
    </w:p>
    <w:p w14:paraId="29BDDBD2">
      <w:pPr>
        <w:jc w:val="center"/>
        <w:rPr>
          <w:rFonts w:ascii="Times New Roman" w:hAnsi="Times New Roman" w:eastAsia="华文中宋"/>
          <w:b/>
          <w:color w:val="auto"/>
          <w:sz w:val="52"/>
          <w:szCs w:val="52"/>
          <w:highlight w:val="none"/>
          <w:shd w:val="clear"/>
        </w:rPr>
      </w:pPr>
    </w:p>
    <w:p w14:paraId="73A6CEFE">
      <w:pPr>
        <w:jc w:val="center"/>
        <w:rPr>
          <w:rFonts w:ascii="Times New Roman" w:hAnsi="Times New Roman" w:eastAsia="华文中宋"/>
          <w:b/>
          <w:color w:val="auto"/>
          <w:sz w:val="52"/>
          <w:szCs w:val="52"/>
          <w:highlight w:val="none"/>
          <w:shd w:val="clear"/>
        </w:rPr>
      </w:pPr>
    </w:p>
    <w:p w14:paraId="615FDFF5">
      <w:pPr>
        <w:jc w:val="center"/>
        <w:rPr>
          <w:rFonts w:ascii="Times New Roman" w:hAnsi="Times New Roman" w:eastAsia="华文中宋"/>
          <w:b/>
          <w:color w:val="auto"/>
          <w:sz w:val="52"/>
          <w:szCs w:val="52"/>
          <w:highlight w:val="none"/>
          <w:shd w:val="clear"/>
        </w:rPr>
      </w:pPr>
    </w:p>
    <w:p w14:paraId="361F933F">
      <w:pPr>
        <w:pStyle w:val="35"/>
        <w:rPr>
          <w:rFonts w:hint="default" w:ascii="Times New Roman" w:hAnsi="Times New Roman"/>
          <w:color w:val="auto"/>
          <w:highlight w:val="none"/>
          <w:shd w:val="clear"/>
        </w:rPr>
      </w:pPr>
      <w:r>
        <w:rPr>
          <w:rFonts w:ascii="Times New Roman" w:hAnsi="Times New Roman"/>
          <w:color w:val="auto"/>
          <w:highlight w:val="none"/>
          <w:shd w:val="clear"/>
        </w:rPr>
        <w:t>建设工程施工合同</w:t>
      </w:r>
    </w:p>
    <w:p w14:paraId="7460982C">
      <w:pPr>
        <w:pStyle w:val="19"/>
        <w:rPr>
          <w:rFonts w:hint="default" w:ascii="Times New Roman" w:hAnsi="Times New Roman"/>
          <w:color w:val="auto"/>
          <w:highlight w:val="none"/>
          <w:shd w:val="clear"/>
        </w:rPr>
      </w:pPr>
      <w:r>
        <w:rPr>
          <w:rFonts w:ascii="Times New Roman" w:hAnsi="Times New Roman"/>
          <w:color w:val="auto"/>
          <w:highlight w:val="none"/>
          <w:shd w:val="clear"/>
        </w:rPr>
        <w:t>（示范文本）</w:t>
      </w:r>
    </w:p>
    <w:p w14:paraId="38BACA58">
      <w:pPr>
        <w:pStyle w:val="19"/>
        <w:rPr>
          <w:rFonts w:hint="default" w:ascii="Times New Roman" w:hAnsi="Times New Roman"/>
          <w:color w:val="auto"/>
          <w:highlight w:val="none"/>
          <w:shd w:val="clear"/>
        </w:rPr>
      </w:pPr>
    </w:p>
    <w:p w14:paraId="70F15D45">
      <w:pPr>
        <w:pStyle w:val="19"/>
        <w:rPr>
          <w:rFonts w:hint="default" w:ascii="Times New Roman" w:hAnsi="Times New Roman"/>
          <w:color w:val="auto"/>
          <w:highlight w:val="none"/>
          <w:shd w:val="clear"/>
        </w:rPr>
      </w:pPr>
    </w:p>
    <w:p w14:paraId="76940EF5">
      <w:pPr>
        <w:pStyle w:val="19"/>
        <w:rPr>
          <w:rFonts w:hint="default" w:ascii="Times New Roman" w:hAnsi="Times New Roman"/>
          <w:color w:val="auto"/>
          <w:highlight w:val="none"/>
          <w:shd w:val="clear"/>
        </w:rPr>
      </w:pPr>
    </w:p>
    <w:p w14:paraId="290EC69D">
      <w:pPr>
        <w:pStyle w:val="19"/>
        <w:rPr>
          <w:rFonts w:hint="default" w:ascii="Times New Roman" w:hAnsi="Times New Roman"/>
          <w:color w:val="auto"/>
          <w:highlight w:val="none"/>
          <w:shd w:val="clear"/>
        </w:rPr>
      </w:pPr>
    </w:p>
    <w:p w14:paraId="36E64762">
      <w:pPr>
        <w:pStyle w:val="19"/>
        <w:rPr>
          <w:rFonts w:hint="default" w:ascii="Times New Roman" w:hAnsi="Times New Roman"/>
          <w:color w:val="auto"/>
          <w:highlight w:val="none"/>
          <w:shd w:val="clear"/>
        </w:rPr>
      </w:pPr>
    </w:p>
    <w:p w14:paraId="3B4D45FB">
      <w:pPr>
        <w:pStyle w:val="19"/>
        <w:rPr>
          <w:rFonts w:hint="default" w:ascii="Times New Roman" w:hAnsi="Times New Roman"/>
          <w:color w:val="auto"/>
          <w:highlight w:val="none"/>
          <w:shd w:val="clear"/>
        </w:rPr>
      </w:pPr>
    </w:p>
    <w:p w14:paraId="1E827DAF">
      <w:pPr>
        <w:pStyle w:val="19"/>
        <w:rPr>
          <w:rFonts w:hint="default" w:ascii="Times New Roman" w:hAnsi="Times New Roman"/>
          <w:color w:val="auto"/>
          <w:highlight w:val="none"/>
          <w:shd w:val="clear"/>
        </w:rPr>
      </w:pPr>
    </w:p>
    <w:p w14:paraId="0F1C71B4">
      <w:pPr>
        <w:pStyle w:val="19"/>
        <w:rPr>
          <w:rFonts w:hint="default" w:ascii="Times New Roman" w:hAnsi="Times New Roman"/>
          <w:color w:val="auto"/>
          <w:highlight w:val="none"/>
          <w:shd w:val="clear"/>
        </w:rPr>
      </w:pPr>
    </w:p>
    <w:p w14:paraId="5142B2AC">
      <w:pPr>
        <w:pStyle w:val="19"/>
        <w:rPr>
          <w:rFonts w:hint="default" w:ascii="Times New Roman" w:hAnsi="Times New Roman"/>
          <w:color w:val="auto"/>
          <w:highlight w:val="none"/>
          <w:shd w:val="clear"/>
        </w:rPr>
      </w:pPr>
    </w:p>
    <w:p w14:paraId="06CD57BD">
      <w:pPr>
        <w:pStyle w:val="19"/>
        <w:rPr>
          <w:rFonts w:hint="default" w:ascii="Times New Roman" w:hAnsi="Times New Roman"/>
          <w:color w:val="auto"/>
          <w:highlight w:val="none"/>
          <w:shd w:val="clear"/>
        </w:rPr>
      </w:pPr>
    </w:p>
    <w:tbl>
      <w:tblPr>
        <w:tblStyle w:val="13"/>
        <w:tblW w:w="0" w:type="auto"/>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1"/>
        <w:gridCol w:w="2608"/>
      </w:tblGrid>
      <w:tr w14:paraId="4F05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631" w:type="dxa"/>
            <w:vAlign w:val="center"/>
          </w:tcPr>
          <w:p w14:paraId="0EABACAE">
            <w:pPr>
              <w:pStyle w:val="21"/>
              <w:rPr>
                <w:rFonts w:ascii="Times New Roman" w:hAnsi="Times New Roman"/>
                <w:color w:val="auto"/>
                <w:highlight w:val="none"/>
                <w:shd w:val="clear"/>
              </w:rPr>
            </w:pPr>
            <w:r>
              <w:rPr>
                <w:rFonts w:ascii="Times New Roman" w:hAnsi="Times New Roman"/>
                <w:color w:val="auto"/>
                <w:highlight w:val="none"/>
                <w:shd w:val="clear"/>
              </w:rPr>
              <w:t>住房城乡建设部</w:t>
            </w:r>
          </w:p>
        </w:tc>
        <w:tc>
          <w:tcPr>
            <w:tcW w:w="2608" w:type="dxa"/>
            <w:vMerge w:val="restart"/>
            <w:vAlign w:val="center"/>
          </w:tcPr>
          <w:p w14:paraId="6B0C3978">
            <w:pPr>
              <w:pStyle w:val="21"/>
              <w:rPr>
                <w:rFonts w:ascii="Times New Roman" w:hAnsi="Times New Roman"/>
                <w:color w:val="auto"/>
                <w:highlight w:val="none"/>
                <w:shd w:val="clear"/>
              </w:rPr>
            </w:pPr>
            <w:r>
              <w:rPr>
                <w:rFonts w:ascii="Times New Roman" w:hAnsi="Times New Roman"/>
                <w:color w:val="auto"/>
                <w:highlight w:val="none"/>
                <w:shd w:val="clear"/>
              </w:rPr>
              <w:t>制定</w:t>
            </w:r>
          </w:p>
        </w:tc>
      </w:tr>
      <w:tr w14:paraId="612A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631" w:type="dxa"/>
            <w:vAlign w:val="center"/>
          </w:tcPr>
          <w:p w14:paraId="252BF896">
            <w:pPr>
              <w:pStyle w:val="21"/>
              <w:rPr>
                <w:rFonts w:ascii="Times New Roman" w:hAnsi="Times New Roman"/>
                <w:color w:val="auto"/>
                <w:highlight w:val="none"/>
                <w:shd w:val="clear"/>
              </w:rPr>
            </w:pPr>
            <w:r>
              <w:rPr>
                <w:rFonts w:ascii="Times New Roman" w:hAnsi="Times New Roman"/>
                <w:color w:val="auto"/>
                <w:highlight w:val="none"/>
                <w:shd w:val="clear"/>
              </w:rPr>
              <w:t>国家工商行政管理总局</w:t>
            </w:r>
          </w:p>
        </w:tc>
        <w:tc>
          <w:tcPr>
            <w:tcW w:w="2608" w:type="dxa"/>
            <w:vMerge w:val="continue"/>
            <w:vAlign w:val="center"/>
          </w:tcPr>
          <w:p w14:paraId="22EC5FF8">
            <w:pPr>
              <w:pStyle w:val="22"/>
              <w:ind w:firstLine="420"/>
              <w:rPr>
                <w:rFonts w:ascii="Times New Roman" w:hAnsi="Times New Roman" w:cs="Arial"/>
                <w:snapToGrid w:val="0"/>
                <w:color w:val="auto"/>
                <w:highlight w:val="none"/>
                <w:shd w:val="clear"/>
              </w:rPr>
            </w:pPr>
          </w:p>
        </w:tc>
      </w:tr>
    </w:tbl>
    <w:p w14:paraId="36791CA7">
      <w:pPr>
        <w:rPr>
          <w:rFonts w:ascii="Times New Roman" w:hAnsi="Times New Roman"/>
          <w:b/>
          <w:color w:val="auto"/>
          <w:highlight w:val="none"/>
          <w:shd w:val="clear"/>
        </w:rPr>
      </w:pPr>
    </w:p>
    <w:p w14:paraId="3CCF4C11">
      <w:pPr>
        <w:pStyle w:val="18"/>
        <w:ind w:firstLine="560"/>
        <w:rPr>
          <w:rFonts w:ascii="Times New Roman"/>
          <w:color w:val="auto"/>
          <w:highlight w:val="none"/>
          <w:shd w:val="clear"/>
        </w:rPr>
        <w:sectPr>
          <w:footerReference r:id="rId8" w:type="first"/>
          <w:footerReference r:id="rId7" w:type="defaul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color w:val="auto"/>
          <w:kern w:val="44"/>
          <w:sz w:val="44"/>
          <w:szCs w:val="44"/>
          <w:highlight w:val="none"/>
          <w:shd w:val="clear"/>
        </w:rPr>
        <w:br w:type="page"/>
      </w:r>
      <w:bookmarkStart w:id="623" w:name="_Toc296503025"/>
      <w:bookmarkStart w:id="624" w:name="_Toc296890982"/>
    </w:p>
    <w:p w14:paraId="6B386B9D">
      <w:pPr>
        <w:pStyle w:val="26"/>
        <w:jc w:val="center"/>
        <w:rPr>
          <w:bCs w:val="0"/>
          <w:color w:val="auto"/>
          <w:highlight w:val="none"/>
          <w:shd w:val="clear"/>
        </w:rPr>
      </w:pPr>
      <w:bookmarkStart w:id="625" w:name="_Toc170805252"/>
      <w:bookmarkStart w:id="626" w:name="_Toc170804064"/>
      <w:bookmarkStart w:id="627" w:name="_Toc351203480"/>
      <w:bookmarkStart w:id="628" w:name="_Toc170805632"/>
      <w:r>
        <w:rPr>
          <w:bCs w:val="0"/>
          <w:color w:val="auto"/>
          <w:highlight w:val="none"/>
          <w:shd w:val="clear"/>
        </w:rPr>
        <w:t>第一部分 合同协议书</w:t>
      </w:r>
      <w:bookmarkEnd w:id="623"/>
      <w:bookmarkEnd w:id="624"/>
      <w:bookmarkEnd w:id="625"/>
      <w:bookmarkEnd w:id="626"/>
      <w:bookmarkEnd w:id="627"/>
      <w:bookmarkEnd w:id="628"/>
    </w:p>
    <w:p w14:paraId="6E856064">
      <w:pPr>
        <w:pStyle w:val="22"/>
        <w:ind w:firstLine="420"/>
        <w:rPr>
          <w:rFonts w:hint="default" w:ascii="Times New Roman" w:hAnsi="Times New Roman" w:eastAsia="宋体"/>
          <w:color w:val="auto"/>
          <w:highlight w:val="none"/>
          <w:shd w:val="clear"/>
          <w:lang w:val="en-US" w:eastAsia="zh-CN"/>
        </w:rPr>
      </w:pPr>
      <w:permStart w:id="93" w:edGrp="everyone"/>
      <w:r>
        <w:rPr>
          <w:rFonts w:ascii="Times New Roman" w:hAnsi="Times New Roman"/>
          <w:color w:val="auto"/>
          <w:highlight w:val="none"/>
          <w:shd w:val="clear"/>
        </w:rPr>
        <w:t>发包人（全称）：</w:t>
      </w:r>
      <w:r>
        <w:rPr>
          <w:rFonts w:hint="eastAsia" w:ascii="Times New Roman" w:hAnsi="Times New Roman"/>
          <w:color w:val="auto"/>
          <w:highlight w:val="none"/>
          <w:u w:val="single"/>
          <w:shd w:val="clear"/>
          <w:lang w:val="en-US" w:eastAsia="zh-CN"/>
        </w:rPr>
        <w:t>固镇县仲兴镇人民政府</w:t>
      </w:r>
    </w:p>
    <w:p w14:paraId="0DCFCDFF">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承包人（全称）：</w:t>
      </w:r>
      <w:r>
        <w:rPr>
          <w:rFonts w:hint="eastAsia" w:ascii="Times New Roman" w:hAnsi="Times New Roman"/>
          <w:color w:val="auto"/>
          <w:highlight w:val="none"/>
          <w:u w:val="single"/>
          <w:shd w:val="clear"/>
          <w:lang w:val="en-US" w:eastAsia="zh-CN"/>
        </w:rPr>
        <w:t xml:space="preserve">             </w:t>
      </w:r>
    </w:p>
    <w:p w14:paraId="781E783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根据《中华人民共和国民法典》、《中华人民共和国建筑法》及有关法律规定，遵循平等、自愿、公平和诚实信用的原则，双方就</w:t>
      </w:r>
      <w:r>
        <w:rPr>
          <w:rFonts w:hint="eastAsia" w:ascii="Times New Roman" w:hAnsi="Times New Roman"/>
          <w:color w:val="auto"/>
          <w:highlight w:val="none"/>
          <w:shd w:val="clear"/>
        </w:rPr>
        <w:t>【招标项目名称】</w:t>
      </w:r>
      <w:r>
        <w:rPr>
          <w:rFonts w:hint="eastAsia" w:ascii="Times New Roman" w:hAnsi="Times New Roman"/>
          <w:color w:val="auto"/>
          <w:highlight w:val="none"/>
          <w:shd w:val="clear"/>
        </w:rPr>
        <w:t>工程施</w:t>
      </w:r>
      <w:r>
        <w:rPr>
          <w:rFonts w:ascii="Times New Roman" w:hAnsi="Times New Roman"/>
          <w:color w:val="auto"/>
          <w:highlight w:val="none"/>
          <w:shd w:val="clear"/>
        </w:rPr>
        <w:t>工及有关事项协商一致</w:t>
      </w:r>
      <w:r>
        <w:rPr>
          <w:rFonts w:hint="eastAsia" w:ascii="Times New Roman" w:hAnsi="Times New Roman"/>
          <w:color w:val="auto"/>
          <w:highlight w:val="none"/>
          <w:shd w:val="clear"/>
        </w:rPr>
        <w:t>，</w:t>
      </w:r>
      <w:r>
        <w:rPr>
          <w:rFonts w:ascii="Times New Roman" w:hAnsi="Times New Roman"/>
          <w:color w:val="auto"/>
          <w:highlight w:val="none"/>
          <w:shd w:val="clear"/>
        </w:rPr>
        <w:t>共同达成如下协议：</w:t>
      </w:r>
    </w:p>
    <w:p w14:paraId="43F7BCBD">
      <w:pPr>
        <w:pStyle w:val="22"/>
        <w:ind w:firstLine="420"/>
        <w:rPr>
          <w:rFonts w:ascii="Times New Roman" w:hAnsi="Times New Roman"/>
          <w:color w:val="auto"/>
          <w:highlight w:val="none"/>
          <w:shd w:val="clear"/>
        </w:rPr>
      </w:pPr>
      <w:bookmarkStart w:id="629" w:name="_Toc351203481"/>
      <w:r>
        <w:rPr>
          <w:rFonts w:hint="eastAsia" w:ascii="Times New Roman" w:hAnsi="Times New Roman"/>
          <w:color w:val="auto"/>
          <w:highlight w:val="none"/>
          <w:shd w:val="clear"/>
        </w:rPr>
        <w:t>一、工程概况</w:t>
      </w:r>
      <w:bookmarkEnd w:id="629"/>
    </w:p>
    <w:p w14:paraId="12106CD0">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1.工程名称：</w:t>
      </w:r>
      <w:r>
        <w:rPr>
          <w:rFonts w:hint="eastAsia" w:ascii="Times New Roman" w:hAnsi="Times New Roman"/>
          <w:color w:val="auto"/>
          <w:highlight w:val="none"/>
          <w:u w:val="single"/>
          <w:shd w:val="clear"/>
          <w:lang w:eastAsia="zh-CN"/>
        </w:rPr>
        <w:t>固镇县仲兴镇2025年和美乡村省级中心村建设项目</w:t>
      </w:r>
    </w:p>
    <w:p w14:paraId="1B2B2C59">
      <w:pPr>
        <w:pStyle w:val="22"/>
        <w:ind w:firstLine="420"/>
        <w:rPr>
          <w:rFonts w:hint="default" w:ascii="Times New Roman" w:hAnsi="Times New Roman" w:eastAsia="宋体"/>
          <w:color w:val="auto"/>
          <w:highlight w:val="none"/>
          <w:u w:val="single"/>
          <w:shd w:val="clear"/>
          <w:lang w:val="en-US" w:eastAsia="zh-CN"/>
        </w:rPr>
      </w:pPr>
      <w:r>
        <w:rPr>
          <w:rFonts w:hint="eastAsia" w:ascii="Times New Roman" w:hAnsi="Times New Roman"/>
          <w:color w:val="auto"/>
          <w:highlight w:val="none"/>
          <w:shd w:val="clear"/>
        </w:rPr>
        <w:t>2.工程地点：</w:t>
      </w:r>
      <w:r>
        <w:rPr>
          <w:rFonts w:hint="eastAsia" w:ascii="Times New Roman" w:hAnsi="Times New Roman"/>
          <w:color w:val="auto"/>
          <w:highlight w:val="none"/>
          <w:u w:val="single"/>
          <w:shd w:val="clear"/>
          <w:lang w:val="en-US" w:eastAsia="zh-CN"/>
        </w:rPr>
        <w:t>固镇县</w:t>
      </w:r>
    </w:p>
    <w:p w14:paraId="6251226E">
      <w:pPr>
        <w:pStyle w:val="22"/>
        <w:ind w:firstLine="420"/>
        <w:rPr>
          <w:rFonts w:hint="default" w:ascii="Times New Roman" w:hAnsi="Times New Roman" w:eastAsia="宋体"/>
          <w:color w:val="auto"/>
          <w:highlight w:val="none"/>
          <w:u w:val="single"/>
          <w:shd w:val="clear"/>
          <w:lang w:val="en-US" w:eastAsia="zh-CN"/>
        </w:rPr>
      </w:pPr>
      <w:r>
        <w:rPr>
          <w:rFonts w:hint="eastAsia" w:ascii="Times New Roman" w:hAnsi="Times New Roman"/>
          <w:color w:val="auto"/>
          <w:highlight w:val="none"/>
          <w:shd w:val="clear"/>
        </w:rPr>
        <w:t>3.工程立项批准文号：</w:t>
      </w:r>
      <w:r>
        <w:rPr>
          <w:rFonts w:hint="eastAsia" w:ascii="Times New Roman" w:hAnsi="Times New Roman"/>
          <w:color w:val="auto"/>
          <w:highlight w:val="none"/>
          <w:u w:val="single"/>
          <w:shd w:val="clear"/>
          <w:lang w:val="en-US" w:eastAsia="zh-CN"/>
        </w:rPr>
        <w:t>固发改项字[2025]517号</w:t>
      </w:r>
    </w:p>
    <w:p w14:paraId="5DA2B678">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4.资金来源：</w:t>
      </w:r>
      <w:r>
        <w:rPr>
          <w:rFonts w:hint="eastAsia" w:ascii="Times New Roman" w:hAnsi="Times New Roman"/>
          <w:color w:val="auto"/>
          <w:highlight w:val="none"/>
          <w:u w:val="single"/>
          <w:shd w:val="clear"/>
          <w:lang w:val="en-US" w:eastAsia="zh-CN"/>
        </w:rPr>
        <w:t>财政资金</w:t>
      </w:r>
    </w:p>
    <w:p w14:paraId="463EF1A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5.工程内容：</w:t>
      </w:r>
      <w:r>
        <w:rPr>
          <w:rFonts w:hint="eastAsia" w:ascii="Times New Roman" w:hAnsi="Times New Roman"/>
          <w:color w:val="auto"/>
          <w:highlight w:val="none"/>
          <w:u w:val="single"/>
          <w:shd w:val="clear"/>
        </w:rPr>
        <w:t>详见工程量清单及图纸</w:t>
      </w:r>
    </w:p>
    <w:p w14:paraId="77C8BE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群体工程应附《承包人承揽工程项目一览表》（附件1）。</w:t>
      </w:r>
    </w:p>
    <w:p w14:paraId="6B31B4A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6.工程承包范围：</w:t>
      </w:r>
      <w:r>
        <w:rPr>
          <w:rFonts w:hint="eastAsia" w:ascii="Times New Roman" w:hAnsi="Times New Roman"/>
          <w:color w:val="auto"/>
          <w:highlight w:val="none"/>
          <w:u w:val="single"/>
          <w:shd w:val="clear"/>
        </w:rPr>
        <w:t>详见工程量清单及图纸</w:t>
      </w:r>
    </w:p>
    <w:p w14:paraId="6CEC2FF9">
      <w:pPr>
        <w:pStyle w:val="22"/>
        <w:ind w:firstLine="420"/>
        <w:rPr>
          <w:rFonts w:ascii="Times New Roman" w:hAnsi="Times New Roman"/>
          <w:color w:val="auto"/>
          <w:highlight w:val="none"/>
          <w:shd w:val="clear"/>
        </w:rPr>
      </w:pPr>
      <w:bookmarkStart w:id="630" w:name="_Toc351203482"/>
      <w:r>
        <w:rPr>
          <w:rFonts w:hint="eastAsia" w:ascii="Times New Roman" w:hAnsi="Times New Roman"/>
          <w:color w:val="auto"/>
          <w:highlight w:val="none"/>
          <w:shd w:val="clear"/>
        </w:rPr>
        <w:t>二、合同工期</w:t>
      </w:r>
      <w:bookmarkEnd w:id="630"/>
    </w:p>
    <w:p w14:paraId="3BF96469">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计划开工日期：</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日</w:t>
      </w:r>
    </w:p>
    <w:p w14:paraId="698DDA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计划竣工日期：</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日</w:t>
      </w:r>
    </w:p>
    <w:p w14:paraId="0211945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工期总日历天数：</w:t>
      </w:r>
      <w:r>
        <w:rPr>
          <w:rFonts w:hint="eastAsia" w:ascii="Times New Roman" w:hAnsi="Times New Roman"/>
          <w:color w:val="auto"/>
          <w:highlight w:val="none"/>
          <w:shd w:val="clear"/>
          <w:lang w:val="en-US" w:eastAsia="zh-CN"/>
        </w:rPr>
        <w:t>120日历天，</w:t>
      </w:r>
      <w:r>
        <w:rPr>
          <w:rFonts w:hint="eastAsia" w:ascii="Times New Roman" w:hAnsi="Times New Roman"/>
          <w:color w:val="auto"/>
          <w:highlight w:val="none"/>
          <w:shd w:val="clear"/>
        </w:rPr>
        <w:t>工期总日历天数与根据前述计划开竣工日期计算的工期天数不一致的，以工期总日历天数为准。</w:t>
      </w:r>
    </w:p>
    <w:p w14:paraId="7774C1D1">
      <w:pPr>
        <w:pStyle w:val="22"/>
        <w:ind w:firstLine="420"/>
        <w:rPr>
          <w:rFonts w:ascii="Times New Roman" w:hAnsi="Times New Roman"/>
          <w:color w:val="auto"/>
          <w:highlight w:val="none"/>
          <w:shd w:val="clear"/>
        </w:rPr>
      </w:pPr>
      <w:bookmarkStart w:id="631" w:name="_Toc351203483"/>
      <w:r>
        <w:rPr>
          <w:rFonts w:hint="eastAsia" w:ascii="Times New Roman" w:hAnsi="Times New Roman"/>
          <w:color w:val="auto"/>
          <w:highlight w:val="none"/>
          <w:shd w:val="clear"/>
        </w:rPr>
        <w:t>三、质量标准</w:t>
      </w:r>
      <w:bookmarkEnd w:id="631"/>
    </w:p>
    <w:p w14:paraId="553C649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工程质量符合</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u w:val="single"/>
          <w:shd w:val="clear"/>
          <w:lang w:val="en-US" w:eastAsia="zh-CN"/>
        </w:rPr>
        <w:t xml:space="preserve">合格 </w:t>
      </w:r>
      <w:r>
        <w:rPr>
          <w:rFonts w:hint="eastAsia" w:ascii="Times New Roman" w:hAnsi="Times New Roman"/>
          <w:color w:val="auto"/>
          <w:highlight w:val="none"/>
          <w:shd w:val="clear"/>
          <w:lang w:val="en-US" w:eastAsia="zh-CN"/>
        </w:rPr>
        <w:t>标准</w:t>
      </w:r>
      <w:r>
        <w:rPr>
          <w:rFonts w:hint="eastAsia" w:ascii="Times New Roman" w:hAnsi="Times New Roman"/>
          <w:color w:val="auto"/>
          <w:highlight w:val="none"/>
          <w:shd w:val="clear"/>
        </w:rPr>
        <w:t>。</w:t>
      </w:r>
    </w:p>
    <w:p w14:paraId="08EADFFA">
      <w:pPr>
        <w:pStyle w:val="22"/>
        <w:ind w:firstLine="420"/>
        <w:rPr>
          <w:rFonts w:ascii="Times New Roman" w:hAnsi="Times New Roman"/>
          <w:color w:val="auto"/>
          <w:highlight w:val="none"/>
          <w:shd w:val="clear"/>
        </w:rPr>
      </w:pPr>
      <w:bookmarkStart w:id="632" w:name="_Toc351203484"/>
      <w:r>
        <w:rPr>
          <w:rFonts w:hint="eastAsia" w:ascii="Times New Roman" w:hAnsi="Times New Roman"/>
          <w:color w:val="auto"/>
          <w:highlight w:val="none"/>
          <w:shd w:val="clear"/>
        </w:rPr>
        <w:t>四、签约合同价与合同价格形式</w:t>
      </w:r>
      <w:bookmarkEnd w:id="632"/>
      <w:r>
        <w:rPr>
          <w:rFonts w:hint="eastAsia" w:ascii="Times New Roman" w:hAnsi="Times New Roman"/>
          <w:color w:val="auto"/>
          <w:highlight w:val="none"/>
          <w:shd w:val="clear"/>
        </w:rPr>
        <w:tab/>
      </w:r>
    </w:p>
    <w:p w14:paraId="359F305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1.签约合同价为：</w:t>
      </w:r>
    </w:p>
    <w:p w14:paraId="370F68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人民币（大写）</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元)；</w:t>
      </w:r>
    </w:p>
    <w:p w14:paraId="653B2F1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其中：</w:t>
      </w:r>
    </w:p>
    <w:p w14:paraId="2A8956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（1）安全文明施工费：</w:t>
      </w:r>
    </w:p>
    <w:p w14:paraId="71C45BD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人民币（大写）</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元)；</w:t>
      </w:r>
    </w:p>
    <w:p w14:paraId="15056B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（2）材料和工程设备暂估价金额：</w:t>
      </w:r>
    </w:p>
    <w:p w14:paraId="0BFAFB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人民币（大写）</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元)；</w:t>
      </w:r>
    </w:p>
    <w:p w14:paraId="367EEA5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（3）专业工程暂估价金额：</w:t>
      </w:r>
    </w:p>
    <w:p w14:paraId="3DF198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人民币（大写）</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元)；</w:t>
      </w:r>
    </w:p>
    <w:p w14:paraId="7880A2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（4）暂列金额：</w:t>
      </w:r>
    </w:p>
    <w:p w14:paraId="79E61BA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人民币（大写）</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元)。</w:t>
      </w:r>
    </w:p>
    <w:p w14:paraId="0BBECC5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2.合同价格形式：</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u w:val="single"/>
          <w:shd w:val="clear"/>
          <w:lang w:val="en-US" w:eastAsia="zh-CN"/>
        </w:rPr>
        <w:t xml:space="preserve">单价合同 </w:t>
      </w:r>
      <w:r>
        <w:rPr>
          <w:rFonts w:hint="eastAsia" w:ascii="Times New Roman" w:hAnsi="Times New Roman"/>
          <w:color w:val="auto"/>
          <w:highlight w:val="none"/>
          <w:shd w:val="clear"/>
          <w:lang w:val="en-US" w:eastAsia="zh-CN"/>
        </w:rPr>
        <w:t xml:space="preserve"> </w:t>
      </w:r>
      <w:r>
        <w:rPr>
          <w:rFonts w:hint="eastAsia" w:ascii="Times New Roman" w:hAnsi="Times New Roman"/>
          <w:color w:val="auto"/>
          <w:highlight w:val="none"/>
          <w:shd w:val="clear"/>
        </w:rPr>
        <w:t>。</w:t>
      </w:r>
    </w:p>
    <w:p w14:paraId="31B16817">
      <w:pPr>
        <w:pStyle w:val="22"/>
        <w:ind w:firstLine="420"/>
        <w:rPr>
          <w:rFonts w:ascii="Times New Roman" w:hAnsi="Times New Roman"/>
          <w:color w:val="auto"/>
          <w:highlight w:val="none"/>
          <w:shd w:val="clear"/>
        </w:rPr>
      </w:pPr>
      <w:bookmarkStart w:id="633" w:name="_Toc351203485"/>
      <w:r>
        <w:rPr>
          <w:rFonts w:hint="eastAsia" w:ascii="Times New Roman" w:hAnsi="Times New Roman"/>
          <w:color w:val="auto"/>
          <w:highlight w:val="none"/>
          <w:shd w:val="clear"/>
        </w:rPr>
        <w:t>五、</w:t>
      </w:r>
      <w:bookmarkEnd w:id="633"/>
      <w:r>
        <w:rPr>
          <w:rFonts w:hint="eastAsia" w:ascii="Times New Roman" w:hAnsi="Times New Roman"/>
          <w:color w:val="auto"/>
          <w:highlight w:val="none"/>
          <w:shd w:val="clear"/>
        </w:rPr>
        <w:t>项目经理</w:t>
      </w:r>
    </w:p>
    <w:p w14:paraId="7DF30F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承包人项目经理：</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709FBC3D">
      <w:pPr>
        <w:pStyle w:val="22"/>
        <w:ind w:firstLine="420"/>
        <w:rPr>
          <w:rFonts w:ascii="Times New Roman" w:hAnsi="Times New Roman"/>
          <w:color w:val="auto"/>
          <w:highlight w:val="none"/>
          <w:shd w:val="clear"/>
        </w:rPr>
      </w:pPr>
      <w:bookmarkStart w:id="634" w:name="_Toc351203486"/>
      <w:r>
        <w:rPr>
          <w:rFonts w:hint="eastAsia" w:ascii="Times New Roman" w:hAnsi="Times New Roman"/>
          <w:color w:val="auto"/>
          <w:highlight w:val="none"/>
          <w:shd w:val="clear"/>
        </w:rPr>
        <w:t>六、合同文件构成</w:t>
      </w:r>
      <w:bookmarkEnd w:id="634"/>
    </w:p>
    <w:p w14:paraId="3B056F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本协议书与下列文件一起构成合同文件：</w:t>
      </w:r>
    </w:p>
    <w:p w14:paraId="5A8C3357">
      <w:pPr>
        <w:pStyle w:val="22"/>
        <w:ind w:firstLine="420"/>
        <w:rPr>
          <w:rFonts w:ascii="Times New Roman" w:hAnsi="Times New Roman"/>
          <w:color w:val="auto"/>
          <w:highlight w:val="none"/>
          <w:shd w:val="clear"/>
        </w:rPr>
      </w:pPr>
      <w:r>
        <w:rPr>
          <w:rFonts w:ascii="Times New Roman" w:hAnsi="Times New Roman"/>
          <w:color w:val="auto"/>
          <w:highlight w:val="none"/>
          <w:shd w:val="clear"/>
        </w:rPr>
        <w:t>（1）中标通知书（如果有）；</w:t>
      </w:r>
    </w:p>
    <w:p w14:paraId="4F9A844B">
      <w:pPr>
        <w:pStyle w:val="22"/>
        <w:ind w:firstLine="420"/>
        <w:rPr>
          <w:rFonts w:ascii="Times New Roman" w:hAnsi="Times New Roman"/>
          <w:color w:val="auto"/>
          <w:highlight w:val="none"/>
          <w:shd w:val="clear"/>
        </w:rPr>
      </w:pPr>
      <w:r>
        <w:rPr>
          <w:rFonts w:ascii="Times New Roman" w:hAnsi="Times New Roman"/>
          <w:color w:val="auto"/>
          <w:highlight w:val="none"/>
          <w:shd w:val="clear"/>
        </w:rPr>
        <w:t>（2）投标函及其附录（如果有）；</w:t>
      </w:r>
    </w:p>
    <w:p w14:paraId="75D21C77">
      <w:pPr>
        <w:pStyle w:val="22"/>
        <w:ind w:firstLine="420"/>
        <w:rPr>
          <w:rFonts w:ascii="Times New Roman" w:hAnsi="Times New Roman"/>
          <w:color w:val="auto"/>
          <w:highlight w:val="none"/>
          <w:shd w:val="clear"/>
        </w:rPr>
      </w:pPr>
      <w:r>
        <w:rPr>
          <w:rFonts w:ascii="Times New Roman" w:hAnsi="Times New Roman"/>
          <w:color w:val="auto"/>
          <w:highlight w:val="none"/>
          <w:shd w:val="clear"/>
        </w:rPr>
        <w:t>（3）专用合同条款及其附件；</w:t>
      </w:r>
    </w:p>
    <w:p w14:paraId="189AFEAA">
      <w:pPr>
        <w:pStyle w:val="22"/>
        <w:ind w:firstLine="420"/>
        <w:rPr>
          <w:rFonts w:ascii="Times New Roman" w:hAnsi="Times New Roman"/>
          <w:color w:val="auto"/>
          <w:highlight w:val="none"/>
          <w:shd w:val="clear"/>
        </w:rPr>
      </w:pPr>
      <w:r>
        <w:rPr>
          <w:rFonts w:ascii="Times New Roman" w:hAnsi="Times New Roman"/>
          <w:color w:val="auto"/>
          <w:highlight w:val="none"/>
          <w:shd w:val="clear"/>
        </w:rPr>
        <w:t>（4）通用合同条款；</w:t>
      </w:r>
    </w:p>
    <w:p w14:paraId="0D2875EF">
      <w:pPr>
        <w:pStyle w:val="22"/>
        <w:ind w:firstLine="420"/>
        <w:rPr>
          <w:rFonts w:ascii="Times New Roman" w:hAnsi="Times New Roman"/>
          <w:color w:val="auto"/>
          <w:highlight w:val="none"/>
          <w:shd w:val="clear"/>
        </w:rPr>
      </w:pPr>
      <w:r>
        <w:rPr>
          <w:rFonts w:ascii="Times New Roman" w:hAnsi="Times New Roman"/>
          <w:color w:val="auto"/>
          <w:highlight w:val="none"/>
          <w:shd w:val="clear"/>
        </w:rPr>
        <w:t>（5）技术标准和要求；</w:t>
      </w:r>
    </w:p>
    <w:p w14:paraId="644111D0">
      <w:pPr>
        <w:pStyle w:val="22"/>
        <w:ind w:firstLine="420"/>
        <w:rPr>
          <w:rFonts w:ascii="Times New Roman" w:hAnsi="Times New Roman"/>
          <w:color w:val="auto"/>
          <w:highlight w:val="none"/>
          <w:shd w:val="clear"/>
        </w:rPr>
      </w:pPr>
      <w:r>
        <w:rPr>
          <w:rFonts w:ascii="Times New Roman" w:hAnsi="Times New Roman"/>
          <w:color w:val="auto"/>
          <w:highlight w:val="none"/>
          <w:shd w:val="clear"/>
        </w:rPr>
        <w:t>（6）图纸；</w:t>
      </w:r>
    </w:p>
    <w:p w14:paraId="2F55370C">
      <w:pPr>
        <w:pStyle w:val="22"/>
        <w:ind w:firstLine="420"/>
        <w:rPr>
          <w:rFonts w:ascii="Times New Roman" w:hAnsi="Times New Roman"/>
          <w:color w:val="auto"/>
          <w:highlight w:val="none"/>
          <w:shd w:val="clear"/>
        </w:rPr>
      </w:pPr>
      <w:r>
        <w:rPr>
          <w:rFonts w:ascii="Times New Roman" w:hAnsi="Times New Roman"/>
          <w:color w:val="auto"/>
          <w:highlight w:val="none"/>
          <w:shd w:val="clear"/>
        </w:rPr>
        <w:t>（7）已标价工程量清单或预算书；</w:t>
      </w:r>
    </w:p>
    <w:p w14:paraId="732DA312">
      <w:pPr>
        <w:pStyle w:val="22"/>
        <w:ind w:firstLine="420"/>
        <w:rPr>
          <w:rFonts w:ascii="Times New Roman" w:hAnsi="Times New Roman"/>
          <w:color w:val="auto"/>
          <w:highlight w:val="none"/>
          <w:shd w:val="clear"/>
        </w:rPr>
      </w:pPr>
      <w:r>
        <w:rPr>
          <w:rFonts w:ascii="Times New Roman" w:hAnsi="Times New Roman"/>
          <w:color w:val="auto"/>
          <w:highlight w:val="none"/>
          <w:shd w:val="clear"/>
        </w:rPr>
        <w:t>（8）其他合同文件。</w:t>
      </w:r>
    </w:p>
    <w:p w14:paraId="38D5CFF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在合同订立及履行过程中形成的与合同有关的文件均构成合同文件组成部分。</w:t>
      </w:r>
    </w:p>
    <w:p w14:paraId="7D981C4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上述各项合同文件包括合同当事人就该项合同文件所作出的补充和修改，属于同一类内容的文件，应以最新签署的为准。专用合同条款及其附件须经合同当事人签字或盖章。</w:t>
      </w:r>
    </w:p>
    <w:p w14:paraId="4F80EE89">
      <w:pPr>
        <w:pStyle w:val="22"/>
        <w:ind w:firstLine="420"/>
        <w:rPr>
          <w:rFonts w:ascii="Times New Roman" w:hAnsi="Times New Roman"/>
          <w:color w:val="auto"/>
          <w:highlight w:val="none"/>
          <w:shd w:val="clear"/>
        </w:rPr>
      </w:pPr>
      <w:bookmarkStart w:id="635" w:name="_Toc351203487"/>
      <w:r>
        <w:rPr>
          <w:rFonts w:hint="eastAsia" w:ascii="Times New Roman" w:hAnsi="Times New Roman"/>
          <w:color w:val="auto"/>
          <w:highlight w:val="none"/>
          <w:shd w:val="clear"/>
        </w:rPr>
        <w:t>七、承诺</w:t>
      </w:r>
      <w:bookmarkEnd w:id="635"/>
    </w:p>
    <w:p w14:paraId="204BE0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1.发包人承诺按照法律规定履行项目审批手续、筹集工程建设资金并按照合同约定的期限和方式支付合同价款。</w:t>
      </w:r>
    </w:p>
    <w:p w14:paraId="19F43DD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2.承包人承诺按照法律规定及合同约定组织完成工程施工，确保工程质量和安全，不进行转包及违法分包，并在缺陷责任期及保修期内承担相应的工程维修责任。</w:t>
      </w:r>
    </w:p>
    <w:p w14:paraId="49F4A53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3.发包人和承包人通过招投标形式签订合同的，双方理解并承诺不再就同一工程另行签订与合同实质性内容相背离的协议。</w:t>
      </w:r>
    </w:p>
    <w:p w14:paraId="4973E9FB">
      <w:pPr>
        <w:pStyle w:val="22"/>
        <w:ind w:firstLine="420"/>
        <w:rPr>
          <w:rFonts w:ascii="Times New Roman" w:hAnsi="Times New Roman"/>
          <w:color w:val="auto"/>
          <w:highlight w:val="none"/>
          <w:shd w:val="clear"/>
        </w:rPr>
      </w:pPr>
      <w:bookmarkStart w:id="636" w:name="_Toc351203488"/>
      <w:r>
        <w:rPr>
          <w:rFonts w:hint="eastAsia" w:ascii="Times New Roman" w:hAnsi="Times New Roman"/>
          <w:color w:val="auto"/>
          <w:highlight w:val="none"/>
          <w:shd w:val="clear"/>
        </w:rPr>
        <w:t>八、词语含义</w:t>
      </w:r>
      <w:bookmarkEnd w:id="636"/>
    </w:p>
    <w:p w14:paraId="7EE40D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本协议书中词语含义与第二部分通用合同条款中赋予的含义相同。</w:t>
      </w:r>
    </w:p>
    <w:p w14:paraId="0DE07D34">
      <w:pPr>
        <w:pStyle w:val="22"/>
        <w:ind w:firstLine="420"/>
        <w:rPr>
          <w:rFonts w:ascii="Times New Roman" w:hAnsi="Times New Roman"/>
          <w:color w:val="auto"/>
          <w:highlight w:val="none"/>
          <w:shd w:val="clear"/>
        </w:rPr>
      </w:pPr>
      <w:bookmarkStart w:id="637" w:name="_Toc351203489"/>
      <w:r>
        <w:rPr>
          <w:rFonts w:hint="eastAsia" w:ascii="Times New Roman" w:hAnsi="Times New Roman"/>
          <w:color w:val="auto"/>
          <w:highlight w:val="none"/>
          <w:shd w:val="clear"/>
        </w:rPr>
        <w:t>九、签订时间</w:t>
      </w:r>
      <w:bookmarkEnd w:id="637"/>
    </w:p>
    <w:p w14:paraId="782FE9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本合同于</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年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月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日</w:t>
      </w:r>
      <w:r>
        <w:rPr>
          <w:rFonts w:hint="eastAsia" w:ascii="Times New Roman" w:hAnsi="Times New Roman"/>
          <w:color w:val="auto"/>
          <w:highlight w:val="none"/>
          <w:shd w:val="clear"/>
        </w:rPr>
        <w:t>订。</w:t>
      </w:r>
    </w:p>
    <w:p w14:paraId="6110CFB7">
      <w:pPr>
        <w:pStyle w:val="22"/>
        <w:ind w:firstLine="420"/>
        <w:rPr>
          <w:rFonts w:ascii="Times New Roman" w:hAnsi="Times New Roman"/>
          <w:color w:val="auto"/>
          <w:highlight w:val="none"/>
          <w:shd w:val="clear"/>
        </w:rPr>
      </w:pPr>
      <w:bookmarkStart w:id="638" w:name="_Toc351203490"/>
      <w:r>
        <w:rPr>
          <w:rFonts w:hint="eastAsia" w:ascii="Times New Roman" w:hAnsi="Times New Roman"/>
          <w:color w:val="auto"/>
          <w:highlight w:val="none"/>
          <w:shd w:val="clear"/>
        </w:rPr>
        <w:t>十、签订地点</w:t>
      </w:r>
      <w:bookmarkEnd w:id="638"/>
    </w:p>
    <w:p w14:paraId="5CFD893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本合同在</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签订。</w:t>
      </w:r>
    </w:p>
    <w:p w14:paraId="0585750C">
      <w:pPr>
        <w:pStyle w:val="22"/>
        <w:ind w:firstLine="420"/>
        <w:rPr>
          <w:rFonts w:ascii="Times New Roman" w:hAnsi="Times New Roman"/>
          <w:color w:val="auto"/>
          <w:highlight w:val="none"/>
          <w:shd w:val="clear"/>
        </w:rPr>
      </w:pPr>
      <w:bookmarkStart w:id="639" w:name="_Toc351203491"/>
      <w:r>
        <w:rPr>
          <w:rFonts w:hint="eastAsia" w:ascii="Times New Roman" w:hAnsi="Times New Roman"/>
          <w:color w:val="auto"/>
          <w:highlight w:val="none"/>
          <w:shd w:val="clear"/>
        </w:rPr>
        <w:t>十一、补充协议</w:t>
      </w:r>
      <w:bookmarkEnd w:id="639"/>
    </w:p>
    <w:p w14:paraId="6BE809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合同未尽事宜，合同当事人另行签订补充协议，补充协议是合同的组成部分。</w:t>
      </w:r>
    </w:p>
    <w:p w14:paraId="3FB11530">
      <w:pPr>
        <w:pStyle w:val="22"/>
        <w:ind w:firstLine="420"/>
        <w:rPr>
          <w:rFonts w:ascii="Times New Roman" w:hAnsi="Times New Roman"/>
          <w:color w:val="auto"/>
          <w:highlight w:val="none"/>
          <w:shd w:val="clear"/>
        </w:rPr>
      </w:pPr>
      <w:bookmarkStart w:id="640" w:name="_Toc351203492"/>
      <w:r>
        <w:rPr>
          <w:rFonts w:hint="eastAsia" w:ascii="Times New Roman" w:hAnsi="Times New Roman"/>
          <w:color w:val="auto"/>
          <w:highlight w:val="none"/>
          <w:shd w:val="clear"/>
        </w:rPr>
        <w:t>十二、合同生效</w:t>
      </w:r>
      <w:bookmarkEnd w:id="640"/>
    </w:p>
    <w:p w14:paraId="0786B2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本合同自双方签字、盖章后生效。</w:t>
      </w:r>
    </w:p>
    <w:p w14:paraId="5588E615">
      <w:pPr>
        <w:pStyle w:val="22"/>
        <w:ind w:firstLine="420"/>
        <w:rPr>
          <w:rFonts w:ascii="Times New Roman" w:hAnsi="Times New Roman"/>
          <w:color w:val="auto"/>
          <w:highlight w:val="none"/>
          <w:shd w:val="clear"/>
        </w:rPr>
      </w:pPr>
      <w:bookmarkStart w:id="641" w:name="_Toc351203493"/>
      <w:r>
        <w:rPr>
          <w:rFonts w:hint="eastAsia" w:ascii="Times New Roman" w:hAnsi="Times New Roman"/>
          <w:color w:val="auto"/>
          <w:highlight w:val="none"/>
          <w:shd w:val="clear"/>
        </w:rPr>
        <w:t>十三、合同份数</w:t>
      </w:r>
      <w:bookmarkEnd w:id="641"/>
    </w:p>
    <w:p w14:paraId="7FEFA1F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本合同一式捌份，均具有同等法律效力，发包人执肆份，承包人执肆份。</w:t>
      </w:r>
    </w:p>
    <w:p w14:paraId="2726A2D5">
      <w:pPr>
        <w:tabs>
          <w:tab w:val="left" w:pos="2410"/>
        </w:tabs>
        <w:rPr>
          <w:rFonts w:ascii="Times New Roman" w:hAnsi="Times New Roman"/>
          <w:color w:val="auto"/>
          <w:highlight w:val="none"/>
          <w:shd w:val="clear"/>
        </w:rPr>
      </w:pPr>
    </w:p>
    <w:p w14:paraId="5072735D">
      <w:pPr>
        <w:tabs>
          <w:tab w:val="left" w:pos="2410"/>
        </w:tabs>
        <w:rPr>
          <w:rFonts w:ascii="Times New Roman" w:hAnsi="Times New Roman"/>
          <w:color w:val="auto"/>
          <w:highlight w:val="none"/>
          <w:shd w:val="clear"/>
        </w:rPr>
        <w:sectPr>
          <w:footerReference r:id="rId9" w:type="firs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DF69681">
      <w:pPr>
        <w:tabs>
          <w:tab w:val="left" w:pos="2410"/>
        </w:tabs>
        <w:rPr>
          <w:rFonts w:ascii="Times New Roman" w:hAnsi="Times New Roman"/>
          <w:color w:val="auto"/>
          <w:highlight w:val="none"/>
          <w:shd w:val="clear"/>
        </w:rPr>
      </w:pPr>
      <w:r>
        <w:rPr>
          <w:rFonts w:ascii="Times New Roman" w:hAnsi="Times New Roman"/>
          <w:color w:val="auto"/>
          <w:highlight w:val="none"/>
          <w:shd w:val="clear"/>
        </w:rPr>
        <w:t>发包人</w:t>
      </w:r>
      <w:r>
        <w:rPr>
          <w:rFonts w:hint="eastAsia" w:ascii="Times New Roman" w:hAnsi="Times New Roman"/>
          <w:color w:val="auto"/>
          <w:highlight w:val="none"/>
          <w:shd w:val="clear"/>
        </w:rPr>
        <w:t xml:space="preserve">：  </w:t>
      </w:r>
      <w:r>
        <w:rPr>
          <w:rFonts w:ascii="Times New Roman" w:hAnsi="Times New Roman"/>
          <w:color w:val="auto"/>
          <w:highlight w:val="none"/>
          <w:shd w:val="clear"/>
        </w:rPr>
        <w:t>(公章)</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4463022A">
      <w:pPr>
        <w:tabs>
          <w:tab w:val="left" w:pos="2410"/>
        </w:tabs>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r>
        <w:rPr>
          <w:rFonts w:ascii="Times New Roman" w:hAnsi="Times New Roman"/>
          <w:color w:val="auto"/>
          <w:highlight w:val="none"/>
          <w:shd w:val="clear"/>
        </w:rPr>
        <w:t>承包人</w:t>
      </w:r>
      <w:r>
        <w:rPr>
          <w:rFonts w:hint="eastAsia" w:ascii="Times New Roman" w:hAnsi="Times New Roman"/>
          <w:color w:val="auto"/>
          <w:highlight w:val="none"/>
          <w:shd w:val="clear"/>
        </w:rPr>
        <w:t xml:space="preserve">：  </w:t>
      </w:r>
      <w:r>
        <w:rPr>
          <w:rFonts w:ascii="Times New Roman" w:hAnsi="Times New Roman"/>
          <w:color w:val="auto"/>
          <w:highlight w:val="none"/>
          <w:shd w:val="clear"/>
        </w:rPr>
        <w:t>(公章)</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5709A976">
      <w:pPr>
        <w:tabs>
          <w:tab w:val="left" w:pos="2410"/>
        </w:tabs>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法定代表人或其委托代理人：</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28B7034A">
      <w:pPr>
        <w:tabs>
          <w:tab w:val="left" w:pos="2410"/>
        </w:tabs>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法定代表人或其委托代理人：</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1851B715">
      <w:pPr>
        <w:tabs>
          <w:tab w:val="left" w:pos="2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4D35F17F">
      <w:pPr>
        <w:tabs>
          <w:tab w:val="left" w:pos="2410"/>
        </w:tabs>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（签字）</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297E8289">
      <w:pPr>
        <w:tabs>
          <w:tab w:val="left" w:pos="2410"/>
        </w:tabs>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（签字）</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03F46AFC">
      <w:pPr>
        <w:tabs>
          <w:tab w:val="left" w:pos="2410"/>
          <w:tab w:val="left" w:pos="4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5E5836A0">
      <w:pPr>
        <w:tabs>
          <w:tab w:val="left" w:pos="2410"/>
        </w:tabs>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组织机构代码：</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79347B8D">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地  址：</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6D74D1D9">
      <w:pPr>
        <w:tabs>
          <w:tab w:val="left" w:pos="2410"/>
          <w:tab w:val="left" w:pos="4410"/>
        </w:tabs>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组织机构代码：</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35A354F7">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地  址：</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54461BD9">
      <w:pPr>
        <w:tabs>
          <w:tab w:val="left" w:pos="2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3D5B1D3C">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邮政编码：</w:t>
      </w:r>
      <w:r>
        <w:rPr>
          <w:rFonts w:ascii="Times New Roman" w:hAnsi="Times New Roman"/>
          <w:color w:val="auto"/>
          <w:highlight w:val="none"/>
          <w:u w:val="single"/>
          <w:shd w:val="clear"/>
        </w:rPr>
        <w:t xml:space="preserve"> 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6B7D58FE">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法定代表人：</w:t>
      </w:r>
      <w:r>
        <w:rPr>
          <w:rFonts w:ascii="Times New Roman" w:hAnsi="Times New Roman"/>
          <w:color w:val="auto"/>
          <w:highlight w:val="none"/>
          <w:u w:val="single"/>
          <w:shd w:val="clear"/>
        </w:rPr>
        <w:t></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42CBEC14">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邮政编码：</w:t>
      </w:r>
      <w:r>
        <w:rPr>
          <w:rFonts w:ascii="Times New Roman" w:hAnsi="Times New Roman"/>
          <w:color w:val="auto"/>
          <w:highlight w:val="none"/>
          <w:u w:val="single"/>
          <w:shd w:val="clear"/>
        </w:rPr>
        <w:t>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242C9302">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法定代表人：</w:t>
      </w:r>
      <w:r>
        <w:rPr>
          <w:rFonts w:ascii="Times New Roman" w:hAnsi="Times New Roman"/>
          <w:color w:val="auto"/>
          <w:highlight w:val="none"/>
          <w:u w:val="single"/>
          <w:shd w:val="clear"/>
        </w:rPr>
        <w:t></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59B9FFF2">
      <w:pPr>
        <w:tabs>
          <w:tab w:val="left" w:pos="2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5D5BF922">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委托代理人：</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2C717774">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电  话：</w:t>
      </w:r>
      <w:r>
        <w:rPr>
          <w:rFonts w:ascii="Times New Roman" w:hAnsi="Times New Roman"/>
          <w:color w:val="auto"/>
          <w:highlight w:val="none"/>
          <w:u w:val="single"/>
          <w:shd w:val="clear"/>
        </w:rPr>
        <w:t>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18005869">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委托代理人：</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604C819E">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电  话：</w:t>
      </w:r>
      <w:r>
        <w:rPr>
          <w:rFonts w:ascii="Times New Roman" w:hAnsi="Times New Roman"/>
          <w:color w:val="auto"/>
          <w:highlight w:val="none"/>
          <w:u w:val="single"/>
          <w:shd w:val="clear"/>
        </w:rPr>
        <w:t>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7B9FE73A">
      <w:pPr>
        <w:tabs>
          <w:tab w:val="left" w:pos="2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3E64D3C6">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传  真：</w:t>
      </w:r>
      <w:r>
        <w:rPr>
          <w:rFonts w:ascii="Times New Roman" w:hAnsi="Times New Roman"/>
          <w:color w:val="auto"/>
          <w:highlight w:val="none"/>
          <w:u w:val="single"/>
          <w:shd w:val="clear"/>
        </w:rPr>
        <w:t xml:space="preserve">     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3D1D3011">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电子信箱：</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23C9CD8D">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传  真：</w:t>
      </w:r>
      <w:r>
        <w:rPr>
          <w:rFonts w:ascii="Times New Roman" w:hAnsi="Times New Roman"/>
          <w:color w:val="auto"/>
          <w:highlight w:val="none"/>
          <w:u w:val="single"/>
          <w:shd w:val="clear"/>
        </w:rPr>
        <w:t xml:space="preserve">      </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0FDF57BE">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电子信箱：</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287B7188">
      <w:pPr>
        <w:tabs>
          <w:tab w:val="left" w:pos="2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58EE22C4">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开户银行：</w:t>
      </w:r>
      <w:r>
        <w:rPr>
          <w:rFonts w:ascii="Times New Roman" w:hAnsi="Times New Roman"/>
          <w:color w:val="auto"/>
          <w:highlight w:val="none"/>
          <w:u w:val="single"/>
          <w:shd w:val="clear"/>
        </w:rPr>
        <w:t xml:space="preserve">         </w:t>
      </w:r>
      <w:r>
        <w:rPr>
          <w:rFonts w:hint="eastAsia" w:ascii="Times New Roman" w:hAnsi="Times New Roman"/>
          <w:color w:val="auto"/>
          <w:highlight w:val="none"/>
          <w:u w:val="single"/>
          <w:shd w:val="clear"/>
        </w:rPr>
        <w:t xml:space="preserve"> </w:t>
      </w:r>
    </w:p>
    <w:p w14:paraId="42B89344">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账  号：</w:t>
      </w:r>
      <w:r>
        <w:rPr>
          <w:rFonts w:ascii="Times New Roman" w:hAnsi="Times New Roman"/>
          <w:color w:val="auto"/>
          <w:highlight w:val="none"/>
          <w:u w:val="single"/>
          <w:shd w:val="clear"/>
        </w:rPr>
        <w:t xml:space="preserve">           </w:t>
      </w:r>
      <w:r>
        <w:rPr>
          <w:rFonts w:hint="eastAsia" w:ascii="Times New Roman" w:hAnsi="Times New Roman"/>
          <w:color w:val="auto"/>
          <w:highlight w:val="none"/>
          <w:u w:val="single"/>
          <w:shd w:val="clear"/>
        </w:rPr>
        <w:t xml:space="preserve">   </w:t>
      </w:r>
    </w:p>
    <w:p w14:paraId="3DF67E48">
      <w:pPr>
        <w:tabs>
          <w:tab w:val="left" w:pos="2410"/>
        </w:tabs>
        <w:spacing w:line="360" w:lineRule="auto"/>
        <w:rPr>
          <w:rFonts w:ascii="Times New Roman" w:hAnsi="Times New Roman"/>
          <w:color w:val="auto"/>
          <w:highlight w:val="none"/>
          <w:shd w:val="clear"/>
        </w:rPr>
      </w:pPr>
      <w:r>
        <w:rPr>
          <w:rFonts w:ascii="Times New Roman" w:hAnsi="Times New Roman"/>
          <w:color w:val="auto"/>
          <w:highlight w:val="none"/>
          <w:shd w:val="clear"/>
        </w:rPr>
        <w:t>开户银行：</w:t>
      </w:r>
      <w:r>
        <w:rPr>
          <w:rFonts w:ascii="Times New Roman" w:hAnsi="Times New Roman"/>
          <w:color w:val="auto"/>
          <w:highlight w:val="none"/>
          <w:u w:val="single"/>
          <w:shd w:val="clear"/>
        </w:rPr>
        <w:t xml:space="preserve">         </w:t>
      </w:r>
      <w:r>
        <w:rPr>
          <w:rFonts w:hint="eastAsia" w:ascii="Times New Roman" w:hAnsi="Times New Roman"/>
          <w:color w:val="auto"/>
          <w:highlight w:val="none"/>
          <w:u w:val="single"/>
          <w:shd w:val="clear"/>
        </w:rPr>
        <w:t xml:space="preserve"> </w:t>
      </w:r>
    </w:p>
    <w:p w14:paraId="34575D2F">
      <w:pPr>
        <w:tabs>
          <w:tab w:val="left" w:pos="2410"/>
        </w:tabs>
        <w:spacing w:line="360" w:lineRule="auto"/>
        <w:rPr>
          <w:rFonts w:ascii="Times New Roman" w:hAnsi="Times New Roman"/>
          <w:color w:val="auto"/>
          <w:highlight w:val="none"/>
          <w:u w:val="single"/>
          <w:shd w:val="clear"/>
        </w:rPr>
      </w:pPr>
      <w:r>
        <w:rPr>
          <w:rFonts w:ascii="Times New Roman" w:hAnsi="Times New Roman"/>
          <w:color w:val="auto"/>
          <w:highlight w:val="none"/>
          <w:shd w:val="clear"/>
        </w:rPr>
        <w:t>账</w:t>
      </w:r>
      <w:r>
        <w:rPr>
          <w:rFonts w:hint="eastAsia" w:ascii="Times New Roman" w:hAnsi="Times New Roman"/>
          <w:color w:val="auto"/>
          <w:highlight w:val="none"/>
          <w:shd w:val="clear"/>
        </w:rPr>
        <w:t xml:space="preserve"> </w:t>
      </w:r>
      <w:r>
        <w:rPr>
          <w:rFonts w:ascii="Times New Roman" w:hAnsi="Times New Roman"/>
          <w:color w:val="auto"/>
          <w:highlight w:val="none"/>
          <w:shd w:val="clear"/>
        </w:rPr>
        <w:t xml:space="preserve"> 号：</w:t>
      </w:r>
      <w:r>
        <w:rPr>
          <w:rFonts w:ascii="Times New Roman" w:hAnsi="Times New Roman"/>
          <w:color w:val="auto"/>
          <w:highlight w:val="none"/>
          <w:u w:val="single"/>
          <w:shd w:val="clear"/>
        </w:rPr>
        <w:t xml:space="preserve">           </w:t>
      </w:r>
      <w:r>
        <w:rPr>
          <w:rFonts w:hint="eastAsia" w:ascii="Times New Roman" w:hAnsi="Times New Roman"/>
          <w:color w:val="auto"/>
          <w:highlight w:val="none"/>
          <w:u w:val="single"/>
          <w:shd w:val="clear"/>
        </w:rPr>
        <w:t xml:space="preserve">   </w:t>
      </w:r>
    </w:p>
    <w:p w14:paraId="5D19DDAC">
      <w:pPr>
        <w:tabs>
          <w:tab w:val="left" w:pos="2410"/>
        </w:tabs>
        <w:spacing w:line="360" w:lineRule="auto"/>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2"/>
          <w:titlePg/>
          <w:docGrid w:type="lines" w:linePitch="312" w:charSpace="0"/>
        </w:sectPr>
      </w:pPr>
    </w:p>
    <w:p w14:paraId="5EF04DC9">
      <w:pPr>
        <w:tabs>
          <w:tab w:val="left" w:pos="2410"/>
        </w:tabs>
        <w:spacing w:line="360" w:lineRule="auto"/>
        <w:rPr>
          <w:rFonts w:ascii="Times New Roman" w:hAnsi="Times New Roman"/>
          <w:color w:val="auto"/>
          <w:highlight w:val="none"/>
          <w:shd w:val="clear"/>
        </w:rPr>
      </w:pPr>
    </w:p>
    <w:permEnd w:id="93"/>
    <w:p w14:paraId="11E1847C">
      <w:pPr>
        <w:tabs>
          <w:tab w:val="left" w:pos="2410"/>
        </w:tabs>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14794C9">
      <w:pPr>
        <w:pStyle w:val="26"/>
        <w:jc w:val="center"/>
        <w:rPr>
          <w:bCs w:val="0"/>
          <w:color w:val="auto"/>
          <w:highlight w:val="none"/>
          <w:shd w:val="clear"/>
        </w:rPr>
      </w:pPr>
      <w:r>
        <w:rPr>
          <w:rFonts w:eastAsia="仿宋_GB2312"/>
          <w:b/>
          <w:color w:val="auto"/>
          <w:highlight w:val="none"/>
          <w:shd w:val="clear"/>
        </w:rPr>
        <w:br w:type="page"/>
      </w:r>
      <w:bookmarkStart w:id="642" w:name="_Toc170805253"/>
      <w:bookmarkStart w:id="643" w:name="_Toc351203494"/>
      <w:bookmarkStart w:id="644" w:name="_Toc170804065"/>
      <w:bookmarkStart w:id="645" w:name="_Toc170805633"/>
      <w:r>
        <w:rPr>
          <w:bCs w:val="0"/>
          <w:color w:val="auto"/>
          <w:highlight w:val="none"/>
          <w:shd w:val="clear"/>
        </w:rPr>
        <w:t>第二部分 通用合同条款</w:t>
      </w:r>
      <w:bookmarkEnd w:id="642"/>
      <w:bookmarkEnd w:id="643"/>
      <w:bookmarkEnd w:id="644"/>
      <w:bookmarkEnd w:id="645"/>
      <w:bookmarkStart w:id="646" w:name="_Toc337558727"/>
    </w:p>
    <w:p w14:paraId="7223A913">
      <w:pPr>
        <w:pStyle w:val="26"/>
        <w:rPr>
          <w:color w:val="auto"/>
          <w:highlight w:val="none"/>
          <w:shd w:val="clear"/>
        </w:rPr>
      </w:pPr>
      <w:bookmarkStart w:id="647" w:name="_Toc351203495"/>
      <w:r>
        <w:rPr>
          <w:color w:val="auto"/>
          <w:highlight w:val="none"/>
          <w:shd w:val="clear"/>
        </w:rPr>
        <w:t>1.</w:t>
      </w:r>
      <w:bookmarkStart w:id="648" w:name="_Toc296503027"/>
      <w:bookmarkStart w:id="649" w:name="_Toc296346528"/>
      <w:r>
        <w:rPr>
          <w:color w:val="auto"/>
          <w:highlight w:val="none"/>
          <w:shd w:val="clear"/>
        </w:rPr>
        <w:t>一般约定</w:t>
      </w:r>
      <w:bookmarkEnd w:id="646"/>
      <w:bookmarkEnd w:id="647"/>
      <w:bookmarkEnd w:id="648"/>
      <w:bookmarkEnd w:id="649"/>
    </w:p>
    <w:p w14:paraId="5D1A37BC">
      <w:pPr>
        <w:pStyle w:val="33"/>
        <w:rPr>
          <w:color w:val="auto"/>
          <w:highlight w:val="none"/>
          <w:shd w:val="clear"/>
        </w:rPr>
      </w:pPr>
      <w:bookmarkStart w:id="650" w:name="_Toc296503028"/>
      <w:bookmarkStart w:id="651" w:name="_Toc337558728"/>
      <w:bookmarkStart w:id="652" w:name="_Toc296346529"/>
      <w:bookmarkStart w:id="653" w:name="_Toc351203496"/>
      <w:r>
        <w:rPr>
          <w:color w:val="auto"/>
          <w:highlight w:val="none"/>
          <w:shd w:val="clear"/>
        </w:rPr>
        <w:t>1.1词语定义</w:t>
      </w:r>
      <w:bookmarkEnd w:id="650"/>
      <w:bookmarkEnd w:id="651"/>
      <w:bookmarkEnd w:id="652"/>
      <w:r>
        <w:rPr>
          <w:color w:val="auto"/>
          <w:highlight w:val="none"/>
          <w:shd w:val="clear"/>
        </w:rPr>
        <w:t>与解释</w:t>
      </w:r>
      <w:bookmarkEnd w:id="653"/>
    </w:p>
    <w:p w14:paraId="51D90E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合同协议书、通用合同条款、专用合同条款中的下列词语具有本款所赋予的含义：</w:t>
      </w:r>
    </w:p>
    <w:p w14:paraId="0F12D61D">
      <w:pPr>
        <w:pStyle w:val="33"/>
        <w:rPr>
          <w:color w:val="auto"/>
          <w:highlight w:val="none"/>
          <w:shd w:val="clear"/>
        </w:rPr>
      </w:pPr>
      <w:r>
        <w:rPr>
          <w:color w:val="auto"/>
          <w:highlight w:val="none"/>
          <w:shd w:val="clear"/>
        </w:rPr>
        <w:t>1.1.1 合同</w:t>
      </w:r>
    </w:p>
    <w:p w14:paraId="60ACBCAC">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5DCEFDC8">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1.1.1.2 合同协议书：是指构成合同的由发包人和承包人共同签署的称为“合同协议书”的书面文件。</w:t>
      </w:r>
    </w:p>
    <w:p w14:paraId="68EABFB0">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1.1.1.3 中标通知书：是指构成合同的由发包人通知承包人中标的书面文件。</w:t>
      </w:r>
    </w:p>
    <w:p w14:paraId="10C8C192">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1.1.1.4 投标函：是指构成合同的由承包人填写并签署的用于投标的称为“投标函”的文件。</w:t>
      </w:r>
    </w:p>
    <w:p w14:paraId="00B6B078">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1.1.1.5 投标函附录：是指构成合同的附在投标函后的称为“投标函附录”的文件。</w:t>
      </w:r>
    </w:p>
    <w:p w14:paraId="7B9CA86F">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1.1.1.6 技术标准和要求：是指构成合同的施工应当遵守的或指导施工的国家、行业或地方的技术标准和要求，以及合同约定的技术标准和要求。</w:t>
      </w:r>
    </w:p>
    <w:p w14:paraId="43F6970C">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1.1.1.7 图纸：是指构成合同的图纸，包括由发包人按照合同约定提供或经发包人批准的设计文件、施工图、鸟瞰图及模型等，以及在合同履行过程中形成的图纸文件。图纸应当按照法律规定审查合格。</w:t>
      </w:r>
    </w:p>
    <w:p w14:paraId="660D7BF4">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1.1.1.8 已标价工程量清单：是指构成合同的由承包人按照规定的格式和要求填写并标明价格的工程量清单，包括说明和表格。</w:t>
      </w:r>
    </w:p>
    <w:p w14:paraId="2E591C41">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1.1.1.9 预算书：是指构成合同的由承包人按照发包人规定的格式和要求编制的工程预算文件。</w:t>
      </w:r>
    </w:p>
    <w:p w14:paraId="2B9DB092">
      <w:pPr>
        <w:pStyle w:val="36"/>
        <w:keepNext w:val="0"/>
        <w:ind w:firstLine="840"/>
        <w:rPr>
          <w:rFonts w:hint="default" w:ascii="Times New Roman" w:hAnsi="Times New Roman"/>
          <w:color w:val="auto"/>
          <w:highlight w:val="none"/>
          <w:shd w:val="clear"/>
        </w:rPr>
      </w:pPr>
      <w:r>
        <w:rPr>
          <w:rFonts w:ascii="Times New Roman" w:hAnsi="Times New Roman"/>
          <w:color w:val="auto"/>
          <w:highlight w:val="none"/>
          <w:shd w:val="clear"/>
        </w:rPr>
        <w:t>1.1.1.10 其他合同文件：是指经合同当事人约定的与工程施工有关的具有合同约束力的文件或书面协议。合同当事人可以在专用合同条款中进行约定。</w:t>
      </w:r>
    </w:p>
    <w:p w14:paraId="5B8BAB67">
      <w:pPr>
        <w:pStyle w:val="33"/>
        <w:rPr>
          <w:color w:val="auto"/>
          <w:highlight w:val="none"/>
          <w:shd w:val="clear"/>
        </w:rPr>
      </w:pPr>
      <w:r>
        <w:rPr>
          <w:color w:val="auto"/>
          <w:highlight w:val="none"/>
          <w:shd w:val="clear"/>
        </w:rPr>
        <w:t>1.1.2 合同当事人及其他相关方</w:t>
      </w:r>
    </w:p>
    <w:p w14:paraId="183B6A82">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1.1.2.1 合同当事人：是指发包人和（或）承包人。</w:t>
      </w:r>
    </w:p>
    <w:p w14:paraId="3A71B9C5">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1.1.2.2 发包人：是指与承包人签订合同协议书的当事人及取得该当事人资格的合法继承人。</w:t>
      </w:r>
    </w:p>
    <w:p w14:paraId="37F08B6A">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1.1.2.3 承包人：是指与发包人签订合同协议书的，具有相应工程施工承包资质的当事人及取得该当事人资格的合法继承人。</w:t>
      </w:r>
    </w:p>
    <w:p w14:paraId="22213AF9">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1.1.2.4 监理人：是指在专用合同条款中指明的，受发包人委托按照法律规定进行工程监督管理的法人或其他组织。</w:t>
      </w:r>
    </w:p>
    <w:p w14:paraId="6FE037A6">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1.1.2.5 设计人：是指在专用合同条款中指明的，受发包人委托负责工程设计并具备相应工程设计资质的法人或其他组织。</w:t>
      </w:r>
    </w:p>
    <w:p w14:paraId="07C3C94E">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1.1.2.6 分包人：</w:t>
      </w:r>
      <w:bookmarkStart w:id="654" w:name="#go5"/>
      <w:bookmarkEnd w:id="654"/>
      <w:r>
        <w:rPr>
          <w:rFonts w:hint="default" w:ascii="Times New Roman" w:hAnsi="Times New Roman"/>
          <w:color w:val="auto"/>
          <w:highlight w:val="none"/>
          <w:shd w:val="clear"/>
        </w:rPr>
        <w:t>是指</w:t>
      </w:r>
      <w:r>
        <w:rPr>
          <w:rFonts w:ascii="Times New Roman" w:hAnsi="Times New Roman"/>
          <w:color w:val="auto"/>
          <w:highlight w:val="none"/>
          <w:shd w:val="clear"/>
        </w:rPr>
        <w:t>按照法律规定和</w:t>
      </w:r>
      <w:r>
        <w:rPr>
          <w:rFonts w:hint="default" w:ascii="Times New Roman" w:hAnsi="Times New Roman"/>
          <w:color w:val="auto"/>
          <w:highlight w:val="none"/>
          <w:shd w:val="clear"/>
        </w:rPr>
        <w:t>合同约定，分包</w:t>
      </w:r>
      <w:r>
        <w:rPr>
          <w:rFonts w:ascii="Times New Roman" w:hAnsi="Times New Roman"/>
          <w:color w:val="auto"/>
          <w:highlight w:val="none"/>
          <w:shd w:val="clear"/>
        </w:rPr>
        <w:t>部分</w:t>
      </w:r>
      <w:r>
        <w:rPr>
          <w:rFonts w:hint="default" w:ascii="Times New Roman" w:hAnsi="Times New Roman"/>
          <w:color w:val="auto"/>
          <w:highlight w:val="none"/>
          <w:shd w:val="clear"/>
        </w:rPr>
        <w:t>工程</w:t>
      </w:r>
      <w:r>
        <w:rPr>
          <w:rFonts w:ascii="Times New Roman" w:hAnsi="Times New Roman"/>
          <w:color w:val="auto"/>
          <w:highlight w:val="none"/>
          <w:shd w:val="clear"/>
        </w:rPr>
        <w:t>或工作</w:t>
      </w:r>
      <w:r>
        <w:rPr>
          <w:rFonts w:hint="default" w:ascii="Times New Roman" w:hAnsi="Times New Roman"/>
          <w:color w:val="auto"/>
          <w:highlight w:val="none"/>
          <w:shd w:val="clear"/>
        </w:rPr>
        <w:t>，并与</w:t>
      </w:r>
      <w:r>
        <w:rPr>
          <w:rFonts w:ascii="Times New Roman" w:hAnsi="Times New Roman"/>
          <w:color w:val="auto"/>
          <w:highlight w:val="none"/>
          <w:shd w:val="clear"/>
        </w:rPr>
        <w:t>承包人</w:t>
      </w:r>
      <w:r>
        <w:rPr>
          <w:rFonts w:hint="default" w:ascii="Times New Roman" w:hAnsi="Times New Roman"/>
          <w:color w:val="auto"/>
          <w:highlight w:val="none"/>
          <w:shd w:val="clear"/>
        </w:rPr>
        <w:t>签订分包合同的具有相应资质的法人。</w:t>
      </w:r>
    </w:p>
    <w:p w14:paraId="7D0E5B52">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1.1.2.7 发包人代表：是指由发包人任命并派驻施工现场在发包人授权范围内行使发包人权利的人。</w:t>
      </w:r>
    </w:p>
    <w:p w14:paraId="2AD25C84">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1.1.2.8 项目经理：是指由承包人任命并派驻施工现场，在承包人授权范围内负责合同履行，且按照法律规定具有相应资格的</w:t>
      </w:r>
      <w:r>
        <w:rPr>
          <w:rFonts w:ascii="Times New Roman" w:hAnsi="Times New Roman"/>
          <w:color w:val="auto"/>
          <w:highlight w:val="none"/>
          <w:shd w:val="clear"/>
        </w:rPr>
        <w:t>项目负责</w:t>
      </w:r>
      <w:r>
        <w:rPr>
          <w:rFonts w:hint="default" w:ascii="Times New Roman" w:hAnsi="Times New Roman"/>
          <w:color w:val="auto"/>
          <w:highlight w:val="none"/>
          <w:shd w:val="clear"/>
        </w:rPr>
        <w:t>人。</w:t>
      </w:r>
    </w:p>
    <w:p w14:paraId="6333F404">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1.1.2.9 总监理工程师：是指由监理人任命并派驻施工现场进行工程监理的总负责人。</w:t>
      </w:r>
    </w:p>
    <w:p w14:paraId="5B2522E8">
      <w:pPr>
        <w:pStyle w:val="33"/>
        <w:rPr>
          <w:color w:val="auto"/>
          <w:highlight w:val="none"/>
          <w:shd w:val="clear"/>
        </w:rPr>
      </w:pPr>
      <w:r>
        <w:rPr>
          <w:color w:val="auto"/>
          <w:highlight w:val="none"/>
          <w:shd w:val="clear"/>
        </w:rPr>
        <w:t>1.1.3 工程和设备</w:t>
      </w:r>
    </w:p>
    <w:p w14:paraId="3AB8F5E0">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1.1.3.1 工程：是指与合同协议书中工程承包范围对应的永久工程和（或）临时工程。</w:t>
      </w:r>
    </w:p>
    <w:p w14:paraId="64BD52D0">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1.1.3.2 永久工程：是指按合同约定建造并移交给发包人的工程，包括工程设备。</w:t>
      </w:r>
    </w:p>
    <w:p w14:paraId="4E1ED77E">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1.1.3.3 临时工程：是指为完成合同约定的永久工程所修建的各类临时性工程，不包括施工设备。</w:t>
      </w:r>
    </w:p>
    <w:p w14:paraId="103DE620">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1.1.3.4 单位工程：是指在</w:t>
      </w:r>
      <w:r>
        <w:rPr>
          <w:rFonts w:ascii="Times New Roman" w:hAnsi="Times New Roman"/>
          <w:color w:val="auto"/>
          <w:highlight w:val="none"/>
          <w:shd w:val="clear"/>
        </w:rPr>
        <w:t>合同协议书</w:t>
      </w:r>
      <w:r>
        <w:rPr>
          <w:rFonts w:hint="default" w:ascii="Times New Roman" w:hAnsi="Times New Roman"/>
          <w:color w:val="auto"/>
          <w:highlight w:val="none"/>
          <w:shd w:val="clear"/>
        </w:rPr>
        <w:t>中指明的，具备独立施工条件并能形成独立使用功能的永久工程。</w:t>
      </w:r>
    </w:p>
    <w:p w14:paraId="31B21BF0">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1.1.3.5 工程设备：是指构成永久工程的机电设备、金属结构设备、仪器及其他类似的设备和装置。</w:t>
      </w:r>
    </w:p>
    <w:p w14:paraId="18E69683">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1.1.3.6 施工设备：是指为完成合同约定的各项工作所需的设备、器具和其他物品，但不包括工程设备、临时工程和材料。</w:t>
      </w:r>
    </w:p>
    <w:p w14:paraId="6128EEA3">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1.1.3.7 施工现场：是指用于工程施工的场所，以及在专用合同条款中</w:t>
      </w:r>
      <w:r>
        <w:rPr>
          <w:rFonts w:ascii="Times New Roman" w:hAnsi="Times New Roman"/>
          <w:color w:val="auto"/>
          <w:highlight w:val="none"/>
          <w:shd w:val="clear"/>
        </w:rPr>
        <w:t>指</w:t>
      </w:r>
      <w:r>
        <w:rPr>
          <w:rFonts w:hint="default" w:ascii="Times New Roman" w:hAnsi="Times New Roman"/>
          <w:color w:val="auto"/>
          <w:highlight w:val="none"/>
          <w:shd w:val="clear"/>
        </w:rPr>
        <w:t>明作为施工场所组成部分的其他场所，包括永久占地和临时占地。</w:t>
      </w:r>
    </w:p>
    <w:p w14:paraId="7A57D541">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1.1.3.8临时设施：是指为完成合同约定的各项工作所服务的临时性生产和生活设施。</w:t>
      </w:r>
    </w:p>
    <w:p w14:paraId="169D09FD">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1.1.3.9 永久占地：是指专用合同条款中指明为实施工程需永久占用的土地。</w:t>
      </w:r>
    </w:p>
    <w:p w14:paraId="2194EDA1">
      <w:pPr>
        <w:pStyle w:val="36"/>
        <w:keepNext w:val="0"/>
        <w:ind w:firstLine="840"/>
        <w:rPr>
          <w:rFonts w:hint="default" w:ascii="Times New Roman" w:hAnsi="Times New Roman"/>
          <w:snapToGrid/>
          <w:color w:val="auto"/>
          <w:szCs w:val="21"/>
          <w:highlight w:val="none"/>
          <w:shd w:val="clear"/>
        </w:rPr>
      </w:pPr>
      <w:r>
        <w:rPr>
          <w:rFonts w:hint="default" w:ascii="Times New Roman" w:hAnsi="Times New Roman"/>
          <w:color w:val="auto"/>
          <w:highlight w:val="none"/>
          <w:shd w:val="clear"/>
        </w:rPr>
        <w:t>1.1.3.10 临时占地：是指专</w:t>
      </w:r>
      <w:r>
        <w:rPr>
          <w:rFonts w:hint="default" w:ascii="Times New Roman" w:hAnsi="Times New Roman"/>
          <w:snapToGrid/>
          <w:color w:val="auto"/>
          <w:szCs w:val="21"/>
          <w:highlight w:val="none"/>
          <w:shd w:val="clear"/>
        </w:rPr>
        <w:t>用合同条款中指明为实施工程需要临时占用的土地。</w:t>
      </w:r>
    </w:p>
    <w:p w14:paraId="696CEE3C">
      <w:pPr>
        <w:pStyle w:val="33"/>
        <w:rPr>
          <w:color w:val="auto"/>
          <w:highlight w:val="none"/>
          <w:shd w:val="clear"/>
        </w:rPr>
      </w:pPr>
      <w:r>
        <w:rPr>
          <w:color w:val="auto"/>
          <w:highlight w:val="none"/>
          <w:shd w:val="clear"/>
        </w:rPr>
        <w:t>1.1.4 日期和期限</w:t>
      </w:r>
    </w:p>
    <w:p w14:paraId="12FC6F35">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1.1.4.1 开工日期：包括计划开工日期和实际开工日期。计划开工日期是指合同协议书约定的开工日期；实际开工日期是指监理人按照第7.3.2项</w:t>
      </w:r>
      <w:r>
        <w:rPr>
          <w:rFonts w:ascii="Times New Roman" w:hAnsi="Times New Roman"/>
          <w:color w:val="auto"/>
          <w:highlight w:val="none"/>
          <w:shd w:val="clear"/>
        </w:rPr>
        <w:t>〔</w:t>
      </w:r>
      <w:r>
        <w:rPr>
          <w:rFonts w:hint="default" w:ascii="Times New Roman" w:hAnsi="Times New Roman"/>
          <w:color w:val="auto"/>
          <w:highlight w:val="none"/>
          <w:shd w:val="clear"/>
        </w:rPr>
        <w:t>开工通知</w:t>
      </w:r>
      <w:r>
        <w:rPr>
          <w:rFonts w:ascii="Times New Roman" w:hAnsi="Times New Roman"/>
          <w:color w:val="auto"/>
          <w:highlight w:val="none"/>
          <w:shd w:val="clear"/>
        </w:rPr>
        <w:t>〕</w:t>
      </w:r>
      <w:r>
        <w:rPr>
          <w:rFonts w:hint="default" w:ascii="Times New Roman" w:hAnsi="Times New Roman"/>
          <w:color w:val="auto"/>
          <w:highlight w:val="none"/>
          <w:shd w:val="clear"/>
        </w:rPr>
        <w:t>约定发出的符合法律规定的开工通知中载明的开工日期。</w:t>
      </w:r>
    </w:p>
    <w:p w14:paraId="7942FDF2">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1.1.4.2 竣工日期：包括计划竣工日期和实际竣工日期。计划竣工日期是指合同协议书约定的竣工日期</w:t>
      </w:r>
      <w:r>
        <w:rPr>
          <w:rFonts w:ascii="Times New Roman" w:hAnsi="Times New Roman"/>
          <w:color w:val="auto"/>
          <w:highlight w:val="none"/>
          <w:shd w:val="clear"/>
        </w:rPr>
        <w:t>；</w:t>
      </w:r>
      <w:r>
        <w:rPr>
          <w:rFonts w:hint="default" w:ascii="Times New Roman" w:hAnsi="Times New Roman"/>
          <w:color w:val="auto"/>
          <w:highlight w:val="none"/>
          <w:shd w:val="clear"/>
        </w:rPr>
        <w:t>实际竣工日期按照第13.2.3项</w:t>
      </w:r>
      <w:r>
        <w:rPr>
          <w:rFonts w:ascii="Times New Roman" w:hAnsi="Times New Roman"/>
          <w:color w:val="auto"/>
          <w:highlight w:val="none"/>
          <w:shd w:val="clear"/>
        </w:rPr>
        <w:t>〔</w:t>
      </w:r>
      <w:r>
        <w:rPr>
          <w:rFonts w:hint="default" w:ascii="Times New Roman" w:hAnsi="Times New Roman"/>
          <w:color w:val="auto"/>
          <w:highlight w:val="none"/>
          <w:shd w:val="clear"/>
        </w:rPr>
        <w:t>竣工日期</w:t>
      </w:r>
      <w:r>
        <w:rPr>
          <w:rFonts w:ascii="Times New Roman" w:hAnsi="Times New Roman"/>
          <w:color w:val="auto"/>
          <w:highlight w:val="none"/>
          <w:shd w:val="clear"/>
        </w:rPr>
        <w:t>〕</w:t>
      </w:r>
      <w:r>
        <w:rPr>
          <w:rFonts w:hint="default" w:ascii="Times New Roman" w:hAnsi="Times New Roman"/>
          <w:color w:val="auto"/>
          <w:highlight w:val="none"/>
          <w:shd w:val="clear"/>
        </w:rPr>
        <w:t>的约定确定</w:t>
      </w:r>
      <w:r>
        <w:rPr>
          <w:rFonts w:ascii="Times New Roman" w:hAnsi="Times New Roman"/>
          <w:color w:val="auto"/>
          <w:highlight w:val="none"/>
          <w:shd w:val="clear"/>
        </w:rPr>
        <w:t>。</w:t>
      </w:r>
    </w:p>
    <w:p w14:paraId="1A1527E0">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1.1.4.3 工期：是指在合同协议书约定的承包人完成工程所需的期限，包括按照合同约定所作的</w:t>
      </w:r>
      <w:r>
        <w:rPr>
          <w:rFonts w:ascii="Times New Roman" w:hAnsi="Times New Roman"/>
          <w:color w:val="auto"/>
          <w:highlight w:val="none"/>
          <w:shd w:val="clear"/>
        </w:rPr>
        <w:t>期限</w:t>
      </w:r>
      <w:r>
        <w:rPr>
          <w:rFonts w:hint="default" w:ascii="Times New Roman" w:hAnsi="Times New Roman"/>
          <w:color w:val="auto"/>
          <w:highlight w:val="none"/>
          <w:shd w:val="clear"/>
        </w:rPr>
        <w:t>变更。</w:t>
      </w:r>
    </w:p>
    <w:p w14:paraId="38A772B3">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1.1.4.4 缺陷责任期：是指承包人按照合同约定承担缺陷修复义务，且发包人</w:t>
      </w:r>
      <w:r>
        <w:rPr>
          <w:rFonts w:ascii="Times New Roman" w:hAnsi="Times New Roman"/>
          <w:color w:val="auto"/>
          <w:highlight w:val="none"/>
          <w:shd w:val="clear"/>
        </w:rPr>
        <w:t>预</w:t>
      </w:r>
      <w:r>
        <w:rPr>
          <w:rFonts w:hint="default" w:ascii="Times New Roman" w:hAnsi="Times New Roman"/>
          <w:color w:val="auto"/>
          <w:highlight w:val="none"/>
          <w:shd w:val="clear"/>
        </w:rPr>
        <w:t>留质量保证金</w:t>
      </w:r>
      <w:r>
        <w:rPr>
          <w:rFonts w:ascii="Times New Roman" w:hAnsi="Times New Roman"/>
          <w:color w:val="auto"/>
          <w:highlight w:val="none"/>
          <w:shd w:val="clear"/>
        </w:rPr>
        <w:t>（已</w:t>
      </w:r>
      <w:r>
        <w:rPr>
          <w:rFonts w:hint="default" w:ascii="Times New Roman" w:hAnsi="Times New Roman"/>
          <w:color w:val="auto"/>
          <w:highlight w:val="none"/>
          <w:shd w:val="clear"/>
        </w:rPr>
        <w:t>缴纳履约保证金的除外</w:t>
      </w:r>
      <w:r>
        <w:rPr>
          <w:rFonts w:ascii="Times New Roman" w:hAnsi="Times New Roman"/>
          <w:color w:val="auto"/>
          <w:highlight w:val="none"/>
          <w:shd w:val="clear"/>
        </w:rPr>
        <w:t>）</w:t>
      </w:r>
      <w:r>
        <w:rPr>
          <w:rFonts w:hint="default" w:ascii="Times New Roman" w:hAnsi="Times New Roman"/>
          <w:color w:val="auto"/>
          <w:highlight w:val="none"/>
          <w:shd w:val="clear"/>
        </w:rPr>
        <w:t>的期限，</w:t>
      </w:r>
      <w:r>
        <w:rPr>
          <w:rFonts w:ascii="Times New Roman" w:hAnsi="Times New Roman"/>
          <w:color w:val="auto"/>
          <w:highlight w:val="none"/>
          <w:shd w:val="clear"/>
        </w:rPr>
        <w:t>自</w:t>
      </w:r>
      <w:r>
        <w:rPr>
          <w:rFonts w:hint="default" w:ascii="Times New Roman" w:hAnsi="Times New Roman"/>
          <w:color w:val="auto"/>
          <w:highlight w:val="none"/>
          <w:shd w:val="clear"/>
        </w:rPr>
        <w:t>工程</w:t>
      </w:r>
      <w:r>
        <w:rPr>
          <w:rFonts w:ascii="Times New Roman" w:hAnsi="Times New Roman"/>
          <w:color w:val="auto"/>
          <w:highlight w:val="none"/>
          <w:shd w:val="clear"/>
        </w:rPr>
        <w:t>实际竣工日期</w:t>
      </w:r>
      <w:r>
        <w:rPr>
          <w:rFonts w:hint="default" w:ascii="Times New Roman" w:hAnsi="Times New Roman"/>
          <w:color w:val="auto"/>
          <w:highlight w:val="none"/>
          <w:shd w:val="clear"/>
        </w:rPr>
        <w:t>起计算。</w:t>
      </w:r>
    </w:p>
    <w:p w14:paraId="0AE80AF5">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1.1.4.5 保修期：是指承包人按照合同约定对工程承担保修责任的期限，从工程竣工验收合格之日起计算。</w:t>
      </w:r>
    </w:p>
    <w:p w14:paraId="02F908E3">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1.1.4.6 基准日期：招标发包的工程以投标截止日前28天的日期为基准日</w:t>
      </w:r>
      <w:r>
        <w:rPr>
          <w:rFonts w:ascii="Times New Roman" w:hAnsi="Times New Roman"/>
          <w:color w:val="auto"/>
          <w:highlight w:val="none"/>
          <w:shd w:val="clear"/>
        </w:rPr>
        <w:t>期</w:t>
      </w:r>
      <w:r>
        <w:rPr>
          <w:rFonts w:hint="default" w:ascii="Times New Roman" w:hAnsi="Times New Roman"/>
          <w:color w:val="auto"/>
          <w:highlight w:val="none"/>
          <w:shd w:val="clear"/>
        </w:rPr>
        <w:t>，直接发包的工程以合同签订日前28天的日期为基准日</w:t>
      </w:r>
      <w:r>
        <w:rPr>
          <w:rFonts w:ascii="Times New Roman" w:hAnsi="Times New Roman"/>
          <w:color w:val="auto"/>
          <w:highlight w:val="none"/>
          <w:shd w:val="clear"/>
        </w:rPr>
        <w:t>期</w:t>
      </w:r>
      <w:r>
        <w:rPr>
          <w:rFonts w:hint="default" w:ascii="Times New Roman" w:hAnsi="Times New Roman"/>
          <w:color w:val="auto"/>
          <w:highlight w:val="none"/>
          <w:shd w:val="clear"/>
        </w:rPr>
        <w:t>。</w:t>
      </w:r>
    </w:p>
    <w:p w14:paraId="26D6A291">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1.1.4.7 天：除特别指明外，均指日历天。合同中按天计算时间的，开始当天不计入，从次日开始计算，期限最后一天的截止时间为当天24:00时。</w:t>
      </w:r>
    </w:p>
    <w:p w14:paraId="13274DB4">
      <w:pPr>
        <w:pStyle w:val="33"/>
        <w:rPr>
          <w:color w:val="auto"/>
          <w:highlight w:val="none"/>
          <w:shd w:val="clear"/>
        </w:rPr>
      </w:pPr>
      <w:r>
        <w:rPr>
          <w:color w:val="auto"/>
          <w:highlight w:val="none"/>
          <w:shd w:val="clear"/>
        </w:rPr>
        <w:t>1.1.5 合同价格和费用</w:t>
      </w:r>
    </w:p>
    <w:p w14:paraId="65DC9F45">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1.1.5.1 签约合同价：是指发包人和承包人在合同协议书中确定的总金额，包括安全文明施工费、暂估价及暂列金额等。</w:t>
      </w:r>
    </w:p>
    <w:p w14:paraId="5BD712B3">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1.1.5.2 合同价格：是指发包人用于支付承包人按照合同约定完成承包范围内全部工作的金额，包括合同履行过程中按合同约定</w:t>
      </w:r>
      <w:r>
        <w:rPr>
          <w:rFonts w:ascii="Times New Roman" w:hAnsi="Times New Roman"/>
          <w:color w:val="auto"/>
          <w:highlight w:val="none"/>
          <w:shd w:val="clear"/>
        </w:rPr>
        <w:t>发生的价格变化。</w:t>
      </w:r>
    </w:p>
    <w:p w14:paraId="64F547CC">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1.1.5.3 费用：是指为履行合同所发生的或将要发生的所有必需的开支，包括管理费和应分摊的其他费用，但不包括利润。</w:t>
      </w:r>
    </w:p>
    <w:p w14:paraId="30D05718">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1.1.5.4 暂估价：是指发包人在工程量清单或预算书中提供的用于支付必然发生但暂时不能确定价格的材料、工程设备的单价</w:t>
      </w:r>
      <w:r>
        <w:rPr>
          <w:rFonts w:ascii="Times New Roman" w:hAnsi="Times New Roman"/>
          <w:color w:val="auto"/>
          <w:highlight w:val="none"/>
          <w:shd w:val="clear"/>
        </w:rPr>
        <w:t>、</w:t>
      </w:r>
      <w:r>
        <w:rPr>
          <w:rFonts w:hint="default" w:ascii="Times New Roman" w:hAnsi="Times New Roman"/>
          <w:color w:val="auto"/>
          <w:highlight w:val="none"/>
          <w:shd w:val="clear"/>
        </w:rPr>
        <w:t>专业工程以及</w:t>
      </w:r>
      <w:r>
        <w:rPr>
          <w:rFonts w:ascii="Times New Roman" w:hAnsi="Times New Roman"/>
          <w:color w:val="auto"/>
          <w:highlight w:val="none"/>
          <w:shd w:val="clear"/>
        </w:rPr>
        <w:t>服务工作</w:t>
      </w:r>
      <w:r>
        <w:rPr>
          <w:rFonts w:hint="default" w:ascii="Times New Roman" w:hAnsi="Times New Roman"/>
          <w:color w:val="auto"/>
          <w:highlight w:val="none"/>
          <w:shd w:val="clear"/>
        </w:rPr>
        <w:t>的金额。</w:t>
      </w:r>
    </w:p>
    <w:p w14:paraId="43AA0278">
      <w:pPr>
        <w:pStyle w:val="36"/>
        <w:keepNext w:val="0"/>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1.1.5.5 暂列金额：是指发包人在工程量清单或预算书中暂定并包括在合同价格中的一笔款项</w:t>
      </w:r>
      <w:r>
        <w:rPr>
          <w:rFonts w:ascii="Times New Roman" w:hAnsi="Times New Roman"/>
          <w:color w:val="auto"/>
          <w:highlight w:val="none"/>
          <w:shd w:val="clear"/>
        </w:rPr>
        <w:t>，</w:t>
      </w:r>
      <w:r>
        <w:rPr>
          <w:rFonts w:hint="default" w:ascii="Times New Roman" w:hAnsi="Times New Roman"/>
          <w:color w:val="auto"/>
          <w:highlight w:val="none"/>
          <w:shd w:val="clear"/>
        </w:rPr>
        <w:t>用于工程合同签订时尚未确定或者不可预见的所需材料、工程设备、服务的采购，施工中可能发生的工程变更、合同约定调整因素出现时的合同价格调整以及发生的索赔、现场签证确认等的费用。</w:t>
      </w:r>
    </w:p>
    <w:p w14:paraId="6C2D8BC2">
      <w:pPr>
        <w:pStyle w:val="36"/>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1.1.5.6 计日工：是指合同履行过程中，承包人完成发包人提出的零星工作或需要采用计日工计价的变更工作时，按合同中约定的单价计价的一种方式。</w:t>
      </w:r>
    </w:p>
    <w:p w14:paraId="2A578D56">
      <w:pPr>
        <w:pStyle w:val="36"/>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1.1.5.7 质量保证金</w:t>
      </w:r>
      <w:bookmarkStart w:id="655" w:name="#go2"/>
      <w:bookmarkEnd w:id="655"/>
      <w:r>
        <w:rPr>
          <w:rFonts w:hint="default" w:ascii="Times New Roman" w:hAnsi="Times New Roman"/>
          <w:color w:val="auto"/>
          <w:highlight w:val="none"/>
          <w:shd w:val="clear"/>
        </w:rPr>
        <w:t>：是指按照第15.3款</w:t>
      </w:r>
      <w:r>
        <w:rPr>
          <w:rFonts w:ascii="Times New Roman" w:hAnsi="Times New Roman"/>
          <w:color w:val="auto"/>
          <w:highlight w:val="none"/>
          <w:shd w:val="clear"/>
        </w:rPr>
        <w:t>〔</w:t>
      </w:r>
      <w:r>
        <w:rPr>
          <w:rFonts w:hint="default" w:ascii="Times New Roman" w:hAnsi="Times New Roman"/>
          <w:color w:val="auto"/>
          <w:highlight w:val="none"/>
          <w:shd w:val="clear"/>
        </w:rPr>
        <w:t>质量保证金</w:t>
      </w:r>
      <w:r>
        <w:rPr>
          <w:rFonts w:ascii="Times New Roman" w:hAnsi="Times New Roman"/>
          <w:color w:val="auto"/>
          <w:highlight w:val="none"/>
          <w:shd w:val="clear"/>
        </w:rPr>
        <w:t>〕</w:t>
      </w:r>
      <w:r>
        <w:rPr>
          <w:rFonts w:hint="default" w:ascii="Times New Roman" w:hAnsi="Times New Roman"/>
          <w:color w:val="auto"/>
          <w:highlight w:val="none"/>
          <w:shd w:val="clear"/>
        </w:rPr>
        <w:t>约定承包人用于保证其在缺陷责任期内履行缺陷修补义务的担保。</w:t>
      </w:r>
    </w:p>
    <w:p w14:paraId="7BD5D975">
      <w:pPr>
        <w:pStyle w:val="36"/>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1.1.5.8 总价项目：是指在现行国家、行业以及地方的计量规则中无工程量计算规则，在已标价工程量清单或预算书中以总价或以费率形式计算的项目。</w:t>
      </w:r>
    </w:p>
    <w:p w14:paraId="560446B4">
      <w:pPr>
        <w:pStyle w:val="33"/>
        <w:rPr>
          <w:color w:val="auto"/>
          <w:highlight w:val="none"/>
          <w:shd w:val="clear"/>
        </w:rPr>
      </w:pPr>
      <w:r>
        <w:rPr>
          <w:color w:val="auto"/>
          <w:highlight w:val="none"/>
          <w:shd w:val="clear"/>
        </w:rPr>
        <w:t>1.1.6 其他</w:t>
      </w:r>
    </w:p>
    <w:p w14:paraId="7D194220">
      <w:pPr>
        <w:pStyle w:val="36"/>
        <w:ind w:firstLine="840"/>
        <w:rPr>
          <w:rFonts w:hint="default" w:ascii="Times New Roman" w:hAnsi="Times New Roman"/>
          <w:color w:val="auto"/>
          <w:highlight w:val="none"/>
          <w:shd w:val="clear"/>
        </w:rPr>
      </w:pPr>
      <w:r>
        <w:rPr>
          <w:rFonts w:hint="default" w:ascii="Times New Roman" w:hAnsi="Times New Roman"/>
          <w:color w:val="auto"/>
          <w:highlight w:val="none"/>
          <w:shd w:val="clear"/>
        </w:rPr>
        <w:t>1.1.6.1 书面形式：是指合同文件、信函、电报、传真等可以有形地表现所载内容的形式。</w:t>
      </w:r>
    </w:p>
    <w:p w14:paraId="4D0AC48E">
      <w:pPr>
        <w:pStyle w:val="33"/>
        <w:rPr>
          <w:color w:val="auto"/>
          <w:highlight w:val="none"/>
          <w:shd w:val="clear"/>
        </w:rPr>
      </w:pPr>
      <w:bookmarkStart w:id="656" w:name="_Toc296503029"/>
      <w:bookmarkStart w:id="657" w:name="_Toc337558729"/>
      <w:bookmarkStart w:id="658" w:name="_Toc351203497"/>
      <w:bookmarkStart w:id="659" w:name="_Toc296346530"/>
      <w:r>
        <w:rPr>
          <w:color w:val="auto"/>
          <w:highlight w:val="none"/>
          <w:shd w:val="clear"/>
        </w:rPr>
        <w:t>1.2语言文字</w:t>
      </w:r>
      <w:bookmarkEnd w:id="656"/>
      <w:bookmarkEnd w:id="657"/>
      <w:bookmarkEnd w:id="658"/>
      <w:bookmarkEnd w:id="659"/>
    </w:p>
    <w:p w14:paraId="31234A09">
      <w:pPr>
        <w:pStyle w:val="22"/>
        <w:ind w:firstLine="420"/>
        <w:rPr>
          <w:rFonts w:ascii="Times New Roman" w:hAnsi="Times New Roman"/>
          <w:color w:val="auto"/>
          <w:highlight w:val="none"/>
          <w:shd w:val="clear"/>
        </w:rPr>
      </w:pPr>
      <w:r>
        <w:rPr>
          <w:rFonts w:ascii="Times New Roman" w:hAnsi="Times New Roman"/>
          <w:color w:val="auto"/>
          <w:highlight w:val="none"/>
          <w:shd w:val="clear"/>
        </w:rPr>
        <w:t>合同以中国的汉语简体文字编写、解释和说明。合同当事人在专用合同条款中约定使用两种以上语言时，汉语为优先解释和说明合同的语言。</w:t>
      </w:r>
    </w:p>
    <w:p w14:paraId="31DC1BEE">
      <w:pPr>
        <w:pStyle w:val="33"/>
        <w:rPr>
          <w:color w:val="auto"/>
          <w:highlight w:val="none"/>
          <w:shd w:val="clear"/>
        </w:rPr>
      </w:pPr>
      <w:bookmarkStart w:id="660" w:name="_Toc351203498"/>
      <w:bookmarkStart w:id="661" w:name="_Toc296346531"/>
      <w:bookmarkStart w:id="662" w:name="_Toc337558730"/>
      <w:bookmarkStart w:id="663" w:name="_Toc296503030"/>
      <w:r>
        <w:rPr>
          <w:color w:val="auto"/>
          <w:highlight w:val="none"/>
          <w:shd w:val="clear"/>
        </w:rPr>
        <w:t>1.3法律</w:t>
      </w:r>
      <w:bookmarkEnd w:id="660"/>
      <w:bookmarkEnd w:id="661"/>
      <w:bookmarkEnd w:id="662"/>
      <w:bookmarkEnd w:id="663"/>
    </w:p>
    <w:p w14:paraId="64283913">
      <w:pPr>
        <w:keepLines/>
        <w:spacing w:line="360" w:lineRule="auto"/>
        <w:ind w:firstLine="420" w:firstLineChars="200"/>
        <w:jc w:val="left"/>
        <w:rPr>
          <w:rFonts w:ascii="Times New Roman" w:hAnsi="Times New Roman"/>
          <w:color w:val="auto"/>
          <w:highlight w:val="none"/>
          <w:shd w:val="clear"/>
        </w:rPr>
      </w:pPr>
      <w:r>
        <w:rPr>
          <w:rFonts w:ascii="Times New Roman" w:hAnsi="Times New Roman"/>
          <w:color w:val="auto"/>
          <w:highlight w:val="none"/>
          <w:shd w:val="clear"/>
        </w:rPr>
        <w:t>合同所称法律是指中华人民共和国法律、行政法规、部门规章，以及工程所在地的地方性法规、自治条例、单行条例和地方政府规章等。</w:t>
      </w:r>
    </w:p>
    <w:p w14:paraId="76226FE8">
      <w:pPr>
        <w:keepLines/>
        <w:spacing w:line="360" w:lineRule="auto"/>
        <w:ind w:firstLine="420" w:firstLineChars="200"/>
        <w:jc w:val="left"/>
        <w:rPr>
          <w:rFonts w:ascii="Times New Roman" w:hAnsi="Times New Roman"/>
          <w:color w:val="auto"/>
          <w:highlight w:val="none"/>
          <w:shd w:val="clear"/>
        </w:rPr>
      </w:pPr>
      <w:r>
        <w:rPr>
          <w:rFonts w:ascii="Times New Roman" w:hAnsi="Times New Roman"/>
          <w:color w:val="auto"/>
          <w:highlight w:val="none"/>
          <w:shd w:val="clear"/>
        </w:rPr>
        <w:t>合同当事人可以在专用合同条款中约定合同适用的其他规范性文件。</w:t>
      </w:r>
    </w:p>
    <w:p w14:paraId="222C079A">
      <w:pPr>
        <w:pStyle w:val="33"/>
        <w:rPr>
          <w:color w:val="auto"/>
          <w:highlight w:val="none"/>
          <w:shd w:val="clear"/>
        </w:rPr>
      </w:pPr>
      <w:bookmarkStart w:id="664" w:name="_Toc351203499"/>
      <w:r>
        <w:rPr>
          <w:color w:val="auto"/>
          <w:highlight w:val="none"/>
          <w:shd w:val="clear"/>
        </w:rPr>
        <w:t>1.4 标准和规范</w:t>
      </w:r>
      <w:bookmarkEnd w:id="664"/>
    </w:p>
    <w:p w14:paraId="0E2C5D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1.4.1 适用于工程的国家标准、行业标准、工程所在地的地方性标准，以及相应的规范、规程等，合同当事人有特别要求的，应在专用合同条款中约定。</w:t>
      </w:r>
    </w:p>
    <w:p w14:paraId="5700B8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1.4.2 发包人要求使用国外标准、规范的，发包人负责提供原文版本和中文译本，并在专用合同条款中约定提供标准规范的名称、份数和时间。</w:t>
      </w:r>
    </w:p>
    <w:p w14:paraId="51AA8F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76054E9">
      <w:pPr>
        <w:pStyle w:val="33"/>
        <w:rPr>
          <w:color w:val="auto"/>
          <w:highlight w:val="none"/>
          <w:shd w:val="clear"/>
        </w:rPr>
      </w:pPr>
      <w:bookmarkStart w:id="665" w:name="_Toc351203500"/>
      <w:r>
        <w:rPr>
          <w:color w:val="auto"/>
          <w:highlight w:val="none"/>
          <w:shd w:val="clear"/>
        </w:rPr>
        <w:t>1</w:t>
      </w:r>
      <w:bookmarkStart w:id="666" w:name="_Toc296346532"/>
      <w:bookmarkStart w:id="667" w:name="_Toc296503031"/>
      <w:bookmarkStart w:id="668" w:name="_Toc337558731"/>
      <w:r>
        <w:rPr>
          <w:color w:val="auto"/>
          <w:highlight w:val="none"/>
          <w:shd w:val="clear"/>
        </w:rPr>
        <w:t>.5 合同文件的优先顺序</w:t>
      </w:r>
      <w:bookmarkEnd w:id="665"/>
    </w:p>
    <w:bookmarkEnd w:id="666"/>
    <w:bookmarkEnd w:id="667"/>
    <w:bookmarkEnd w:id="668"/>
    <w:p w14:paraId="65A632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组成合同的各项文件应互相解释，互为说明。除专用合同条款另有约定外，解释合同文件的优先顺序如下：</w:t>
      </w:r>
    </w:p>
    <w:p w14:paraId="33D93584">
      <w:pPr>
        <w:pStyle w:val="22"/>
        <w:ind w:firstLine="420"/>
        <w:rPr>
          <w:rFonts w:ascii="Times New Roman" w:hAnsi="Times New Roman"/>
          <w:color w:val="auto"/>
          <w:highlight w:val="none"/>
          <w:shd w:val="clear"/>
        </w:rPr>
      </w:pPr>
      <w:r>
        <w:rPr>
          <w:rFonts w:ascii="Times New Roman" w:hAnsi="Times New Roman"/>
          <w:color w:val="auto"/>
          <w:highlight w:val="none"/>
          <w:shd w:val="clear"/>
        </w:rPr>
        <w:t>（1）合同协议书；</w:t>
      </w:r>
    </w:p>
    <w:p w14:paraId="2EE6EB09">
      <w:pPr>
        <w:pStyle w:val="22"/>
        <w:ind w:firstLine="420"/>
        <w:rPr>
          <w:rFonts w:ascii="Times New Roman" w:hAnsi="Times New Roman"/>
          <w:color w:val="auto"/>
          <w:highlight w:val="none"/>
          <w:shd w:val="clear"/>
        </w:rPr>
      </w:pPr>
      <w:r>
        <w:rPr>
          <w:rFonts w:ascii="Times New Roman" w:hAnsi="Times New Roman"/>
          <w:color w:val="auto"/>
          <w:highlight w:val="none"/>
          <w:shd w:val="clear"/>
        </w:rPr>
        <w:t>（2）中标通知书（如果有）；</w:t>
      </w:r>
    </w:p>
    <w:p w14:paraId="6BD38931">
      <w:pPr>
        <w:pStyle w:val="22"/>
        <w:ind w:firstLine="420"/>
        <w:rPr>
          <w:rFonts w:ascii="Times New Roman" w:hAnsi="Times New Roman"/>
          <w:color w:val="auto"/>
          <w:highlight w:val="none"/>
          <w:shd w:val="clear"/>
        </w:rPr>
      </w:pPr>
      <w:r>
        <w:rPr>
          <w:rFonts w:ascii="Times New Roman" w:hAnsi="Times New Roman"/>
          <w:color w:val="auto"/>
          <w:highlight w:val="none"/>
          <w:shd w:val="clear"/>
        </w:rPr>
        <w:t>（3）投标函及其附录（如果有）；</w:t>
      </w:r>
    </w:p>
    <w:p w14:paraId="2D42FD3C">
      <w:pPr>
        <w:pStyle w:val="22"/>
        <w:ind w:firstLine="420"/>
        <w:rPr>
          <w:rFonts w:ascii="Times New Roman" w:hAnsi="Times New Roman"/>
          <w:color w:val="auto"/>
          <w:highlight w:val="none"/>
          <w:shd w:val="clear"/>
        </w:rPr>
      </w:pPr>
      <w:r>
        <w:rPr>
          <w:rFonts w:ascii="Times New Roman" w:hAnsi="Times New Roman"/>
          <w:color w:val="auto"/>
          <w:highlight w:val="none"/>
          <w:shd w:val="clear"/>
        </w:rPr>
        <w:t>（4）专用合同条款及其附件；</w:t>
      </w:r>
    </w:p>
    <w:p w14:paraId="7DF9B7F1">
      <w:pPr>
        <w:pStyle w:val="22"/>
        <w:ind w:firstLine="420"/>
        <w:rPr>
          <w:rFonts w:ascii="Times New Roman" w:hAnsi="Times New Roman"/>
          <w:color w:val="auto"/>
          <w:highlight w:val="none"/>
          <w:shd w:val="clear"/>
        </w:rPr>
      </w:pPr>
      <w:r>
        <w:rPr>
          <w:rFonts w:ascii="Times New Roman" w:hAnsi="Times New Roman"/>
          <w:color w:val="auto"/>
          <w:highlight w:val="none"/>
          <w:shd w:val="clear"/>
        </w:rPr>
        <w:t>（5）通用合同条款；</w:t>
      </w:r>
    </w:p>
    <w:p w14:paraId="70128DE3">
      <w:pPr>
        <w:pStyle w:val="22"/>
        <w:ind w:firstLine="420"/>
        <w:rPr>
          <w:rFonts w:ascii="Times New Roman" w:hAnsi="Times New Roman"/>
          <w:color w:val="auto"/>
          <w:highlight w:val="none"/>
          <w:shd w:val="clear"/>
        </w:rPr>
      </w:pPr>
      <w:r>
        <w:rPr>
          <w:rFonts w:ascii="Times New Roman" w:hAnsi="Times New Roman"/>
          <w:color w:val="auto"/>
          <w:highlight w:val="none"/>
          <w:shd w:val="clear"/>
        </w:rPr>
        <w:t>（6）技术标准和要求；</w:t>
      </w:r>
    </w:p>
    <w:p w14:paraId="12DA28B1">
      <w:pPr>
        <w:pStyle w:val="22"/>
        <w:ind w:firstLine="420"/>
        <w:rPr>
          <w:rFonts w:ascii="Times New Roman" w:hAnsi="Times New Roman"/>
          <w:color w:val="auto"/>
          <w:highlight w:val="none"/>
          <w:shd w:val="clear"/>
        </w:rPr>
      </w:pPr>
      <w:r>
        <w:rPr>
          <w:rFonts w:ascii="Times New Roman" w:hAnsi="Times New Roman"/>
          <w:color w:val="auto"/>
          <w:highlight w:val="none"/>
          <w:shd w:val="clear"/>
        </w:rPr>
        <w:t>（7）图纸；</w:t>
      </w:r>
    </w:p>
    <w:p w14:paraId="5657BF14">
      <w:pPr>
        <w:pStyle w:val="22"/>
        <w:ind w:firstLine="420"/>
        <w:rPr>
          <w:rFonts w:ascii="Times New Roman" w:hAnsi="Times New Roman"/>
          <w:color w:val="auto"/>
          <w:highlight w:val="none"/>
          <w:shd w:val="clear"/>
        </w:rPr>
      </w:pPr>
      <w:r>
        <w:rPr>
          <w:rFonts w:ascii="Times New Roman" w:hAnsi="Times New Roman"/>
          <w:color w:val="auto"/>
          <w:highlight w:val="none"/>
          <w:shd w:val="clear"/>
        </w:rPr>
        <w:t>（8）已标价工程量清单或预算书；</w:t>
      </w:r>
    </w:p>
    <w:p w14:paraId="7F4A459E">
      <w:pPr>
        <w:pStyle w:val="22"/>
        <w:ind w:firstLine="420"/>
        <w:rPr>
          <w:rFonts w:ascii="Times New Roman" w:hAnsi="Times New Roman"/>
          <w:color w:val="auto"/>
          <w:highlight w:val="none"/>
          <w:shd w:val="clear"/>
        </w:rPr>
      </w:pPr>
      <w:r>
        <w:rPr>
          <w:rFonts w:ascii="Times New Roman" w:hAnsi="Times New Roman"/>
          <w:color w:val="auto"/>
          <w:highlight w:val="none"/>
          <w:shd w:val="clear"/>
        </w:rPr>
        <w:t>（9）其他合同文件。</w:t>
      </w:r>
    </w:p>
    <w:p w14:paraId="5F5DB90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上述各项合同文件包括合同当事人就该项合同文件所作出的补充和修改，属于同一类内容的文件，应以最新签署的为准。</w:t>
      </w:r>
    </w:p>
    <w:p w14:paraId="299135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在合同订立及履行过程中形成的与合同有关的文件均构成合同文件组成部分，并根据其性质确定优先解释顺序。</w:t>
      </w:r>
    </w:p>
    <w:p w14:paraId="42B529C0">
      <w:pPr>
        <w:pStyle w:val="33"/>
        <w:rPr>
          <w:color w:val="auto"/>
          <w:highlight w:val="none"/>
          <w:shd w:val="clear"/>
        </w:rPr>
      </w:pPr>
      <w:bookmarkStart w:id="669" w:name="_Toc351203501"/>
      <w:r>
        <w:rPr>
          <w:color w:val="auto"/>
          <w:highlight w:val="none"/>
          <w:shd w:val="clear"/>
        </w:rPr>
        <w:t>1</w:t>
      </w:r>
      <w:bookmarkStart w:id="670" w:name="_Toc337558732"/>
      <w:bookmarkStart w:id="671" w:name="_Toc296503032"/>
      <w:bookmarkStart w:id="672" w:name="_Toc296346533"/>
      <w:r>
        <w:rPr>
          <w:color w:val="auto"/>
          <w:highlight w:val="none"/>
          <w:shd w:val="clear"/>
        </w:rPr>
        <w:t>.6图纸和承包人文件</w:t>
      </w:r>
      <w:bookmarkEnd w:id="669"/>
    </w:p>
    <w:bookmarkEnd w:id="670"/>
    <w:bookmarkEnd w:id="671"/>
    <w:bookmarkEnd w:id="672"/>
    <w:p w14:paraId="3B0F7F7F">
      <w:pPr>
        <w:pStyle w:val="22"/>
        <w:ind w:firstLine="420"/>
        <w:rPr>
          <w:rFonts w:ascii="Times New Roman" w:hAnsi="Times New Roman"/>
          <w:color w:val="auto"/>
          <w:highlight w:val="none"/>
          <w:shd w:val="clear"/>
        </w:rPr>
      </w:pPr>
      <w:r>
        <w:rPr>
          <w:rFonts w:ascii="Times New Roman" w:hAnsi="Times New Roman"/>
          <w:color w:val="auto"/>
          <w:highlight w:val="none"/>
          <w:shd w:val="clear"/>
        </w:rPr>
        <w:t>1.6.1 图纸的提供和交底</w:t>
      </w:r>
    </w:p>
    <w:p w14:paraId="5C9AEF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EDC01D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因发包人未按合同约定提供图纸导致承包人费用增加和（或）工期延误的，按照第7.5.1项〔因发包人原因导致工期延误〕约定办理。</w:t>
      </w:r>
    </w:p>
    <w:p w14:paraId="19407CC4">
      <w:pPr>
        <w:pStyle w:val="22"/>
        <w:ind w:firstLine="420"/>
        <w:rPr>
          <w:rFonts w:ascii="Times New Roman" w:hAnsi="Times New Roman"/>
          <w:color w:val="auto"/>
          <w:highlight w:val="none"/>
          <w:shd w:val="clear"/>
        </w:rPr>
      </w:pPr>
      <w:r>
        <w:rPr>
          <w:rFonts w:ascii="Times New Roman" w:hAnsi="Times New Roman"/>
          <w:color w:val="auto"/>
          <w:highlight w:val="none"/>
          <w:shd w:val="clear"/>
        </w:rPr>
        <w:t>1.6.2 图纸的错误</w:t>
      </w:r>
    </w:p>
    <w:p w14:paraId="59FF19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A90D329">
      <w:pPr>
        <w:pStyle w:val="22"/>
        <w:ind w:firstLine="420"/>
        <w:rPr>
          <w:rFonts w:ascii="Times New Roman" w:hAnsi="Times New Roman"/>
          <w:color w:val="auto"/>
          <w:highlight w:val="none"/>
          <w:shd w:val="clear"/>
        </w:rPr>
      </w:pPr>
      <w:r>
        <w:rPr>
          <w:rFonts w:ascii="Times New Roman" w:hAnsi="Times New Roman"/>
          <w:color w:val="auto"/>
          <w:highlight w:val="none"/>
          <w:shd w:val="clear"/>
        </w:rPr>
        <w:t>1.6.3 图纸的修改和补充</w:t>
      </w:r>
    </w:p>
    <w:p w14:paraId="1101A07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图纸需要修改和补充的，应经图纸原设计人及审批部门同意，并由监理人在工程或工程相应部位施工前将修改后的图纸或补充图纸提交给承包人，承包人应按修改或补充后的图纸施工。</w:t>
      </w:r>
    </w:p>
    <w:p w14:paraId="0676B806">
      <w:pPr>
        <w:pStyle w:val="22"/>
        <w:ind w:firstLine="420"/>
        <w:rPr>
          <w:rFonts w:ascii="Times New Roman" w:hAnsi="Times New Roman"/>
          <w:color w:val="auto"/>
          <w:highlight w:val="none"/>
          <w:shd w:val="clear"/>
        </w:rPr>
      </w:pPr>
      <w:r>
        <w:rPr>
          <w:rFonts w:ascii="Times New Roman" w:hAnsi="Times New Roman"/>
          <w:color w:val="auto"/>
          <w:highlight w:val="none"/>
          <w:shd w:val="clear"/>
        </w:rPr>
        <w:t>1.6.4 承包人文件</w:t>
      </w:r>
    </w:p>
    <w:p w14:paraId="137E85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承包人应按照专用合同条款的约定提供应当由其编制的与工程施工有关的文件，并按照专用合同条款约定的期限、数量和形式提交监理人，并由监理人报送发包人。</w:t>
      </w:r>
    </w:p>
    <w:p w14:paraId="77C66A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1E05D5B">
      <w:pPr>
        <w:pStyle w:val="22"/>
        <w:ind w:firstLine="420"/>
        <w:rPr>
          <w:rFonts w:ascii="Times New Roman" w:hAnsi="Times New Roman"/>
          <w:color w:val="auto"/>
          <w:highlight w:val="none"/>
          <w:shd w:val="clear"/>
        </w:rPr>
      </w:pPr>
      <w:r>
        <w:rPr>
          <w:rFonts w:ascii="Times New Roman" w:hAnsi="Times New Roman"/>
          <w:color w:val="auto"/>
          <w:highlight w:val="none"/>
          <w:shd w:val="clear"/>
        </w:rPr>
        <w:t>1.6.5 图纸和承包人文件的保管</w:t>
      </w:r>
    </w:p>
    <w:p w14:paraId="676A28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除专用合同条款另有约定外，承包人应在施工现场另外保存一套完整的图纸和承包人文件，供发包人、监理人及有关人员进行工程检查时使用。</w:t>
      </w:r>
    </w:p>
    <w:p w14:paraId="6EA74CA9">
      <w:pPr>
        <w:pStyle w:val="33"/>
        <w:rPr>
          <w:color w:val="auto"/>
          <w:highlight w:val="none"/>
          <w:shd w:val="clear"/>
        </w:rPr>
      </w:pPr>
      <w:bookmarkStart w:id="673" w:name="_Toc351203502"/>
      <w:r>
        <w:rPr>
          <w:color w:val="auto"/>
          <w:highlight w:val="none"/>
          <w:shd w:val="clear"/>
        </w:rPr>
        <w:t>1</w:t>
      </w:r>
      <w:bookmarkStart w:id="674" w:name="_Toc296503033"/>
      <w:bookmarkStart w:id="675" w:name="_Toc337558733"/>
      <w:bookmarkStart w:id="676" w:name="_Toc296346534"/>
      <w:r>
        <w:rPr>
          <w:color w:val="auto"/>
          <w:highlight w:val="none"/>
          <w:shd w:val="clear"/>
        </w:rPr>
        <w:t>.7 联络</w:t>
      </w:r>
      <w:bookmarkEnd w:id="673"/>
    </w:p>
    <w:bookmarkEnd w:id="674"/>
    <w:bookmarkEnd w:id="675"/>
    <w:bookmarkEnd w:id="676"/>
    <w:p w14:paraId="2334EB1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1.7.1 与合同有关的通知、批准、证明、证书、指示、指令、要求、请求、同意、意见、确定和决定等，均应采用书面形式，并应在合同约定的期限内送达接收人和送达地点。</w:t>
      </w:r>
    </w:p>
    <w:p w14:paraId="402C1A1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1.7.2 发包人和承包人应在专用合同条款中约定各自的送达接收人和送达地点。任何一方合同当事人指定的接收人或送达地点发生变动的，应提前3天以书面形式通知对方。</w:t>
      </w:r>
    </w:p>
    <w:p w14:paraId="76F1AF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1.7.3 发包人和承包人应当及时签收另一方送达至送达地点和指定接收人的来往信函。拒不签收的，由此增加的费用和（或）延误的工期由拒绝接收一方承担。</w:t>
      </w:r>
    </w:p>
    <w:p w14:paraId="30E40F50">
      <w:pPr>
        <w:pStyle w:val="33"/>
        <w:rPr>
          <w:color w:val="auto"/>
          <w:highlight w:val="none"/>
          <w:shd w:val="clear"/>
        </w:rPr>
      </w:pPr>
      <w:bookmarkStart w:id="677" w:name="_Toc351203503"/>
      <w:r>
        <w:rPr>
          <w:color w:val="auto"/>
          <w:highlight w:val="none"/>
          <w:shd w:val="clear"/>
        </w:rPr>
        <w:t>1</w:t>
      </w:r>
      <w:bookmarkStart w:id="678" w:name="_Toc296503035"/>
      <w:bookmarkStart w:id="679" w:name="_Toc337558734"/>
      <w:bookmarkStart w:id="680" w:name="_Toc296346536"/>
      <w:r>
        <w:rPr>
          <w:color w:val="auto"/>
          <w:highlight w:val="none"/>
          <w:shd w:val="clear"/>
        </w:rPr>
        <w:t>.8 严禁贿赂</w:t>
      </w:r>
      <w:bookmarkEnd w:id="677"/>
    </w:p>
    <w:bookmarkEnd w:id="678"/>
    <w:bookmarkEnd w:id="679"/>
    <w:bookmarkEnd w:id="680"/>
    <w:p w14:paraId="382C4F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合同当事人不得以贿赂或变相贿赂的方式，谋取非法利益或损害对方权益。因一方合同当事人的贿赂造成对方损失的，应赔偿损失，并承担相应的法律责任。</w:t>
      </w:r>
    </w:p>
    <w:p w14:paraId="16FC2A8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承包人不得与监理人或发包人聘请的第三方串通损害发包人利益。未经发包人书面同意，承包人不得为监理人提供合同约定以外的通讯设备、交通工具及其他任何形式的利益，不得向监理人支付报酬。</w:t>
      </w:r>
    </w:p>
    <w:p w14:paraId="62F761B7">
      <w:pPr>
        <w:pStyle w:val="33"/>
        <w:rPr>
          <w:color w:val="auto"/>
          <w:highlight w:val="none"/>
          <w:shd w:val="clear"/>
        </w:rPr>
      </w:pPr>
      <w:bookmarkStart w:id="681" w:name="_Toc351203504"/>
      <w:r>
        <w:rPr>
          <w:color w:val="auto"/>
          <w:highlight w:val="none"/>
          <w:shd w:val="clear"/>
        </w:rPr>
        <w:t>1</w:t>
      </w:r>
      <w:bookmarkStart w:id="682" w:name="_Toc296503036"/>
      <w:bookmarkStart w:id="683" w:name="_Toc296346537"/>
      <w:bookmarkStart w:id="684" w:name="_Toc337558735"/>
      <w:r>
        <w:rPr>
          <w:color w:val="auto"/>
          <w:highlight w:val="none"/>
          <w:shd w:val="clear"/>
        </w:rPr>
        <w:t>.9 化石、文物</w:t>
      </w:r>
      <w:bookmarkEnd w:id="681"/>
    </w:p>
    <w:bookmarkEnd w:id="682"/>
    <w:bookmarkEnd w:id="683"/>
    <w:bookmarkEnd w:id="684"/>
    <w:p w14:paraId="476C94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B9A341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发包人、监理人和承包人应按有关政府行政管理部门要求采取妥善的保护措施，由此增加的费用和（或）延误的工期由发包人承担。</w:t>
      </w:r>
    </w:p>
    <w:p w14:paraId="55CC66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承包人发现文物后不及时报告或隐瞒不报，致使文物丢失或损坏的，应赔偿损失，并承担相应的法律责任。</w:t>
      </w:r>
    </w:p>
    <w:p w14:paraId="1D877BDB">
      <w:pPr>
        <w:pStyle w:val="33"/>
        <w:rPr>
          <w:color w:val="auto"/>
          <w:highlight w:val="none"/>
          <w:shd w:val="clear"/>
        </w:rPr>
      </w:pPr>
      <w:bookmarkStart w:id="685" w:name="_Toc351203505"/>
      <w:r>
        <w:rPr>
          <w:color w:val="auto"/>
          <w:highlight w:val="none"/>
          <w:shd w:val="clear"/>
        </w:rPr>
        <w:t>1</w:t>
      </w:r>
      <w:bookmarkStart w:id="686" w:name="_Toc337558736"/>
      <w:r>
        <w:rPr>
          <w:color w:val="auto"/>
          <w:highlight w:val="none"/>
          <w:shd w:val="clear"/>
        </w:rPr>
        <w:t>.10 交通运输</w:t>
      </w:r>
      <w:bookmarkEnd w:id="685"/>
    </w:p>
    <w:bookmarkEnd w:id="686"/>
    <w:p w14:paraId="71A736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1.10.1 出入现场的权利</w:t>
      </w:r>
    </w:p>
    <w:p w14:paraId="36DD2A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DC4DFA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承包人应在订立合同前查勘施工现场，并根据工程规模及技术参数合理预见工程施工所需的进出施工现场的方式、手段、路径等。因承包人未合理预见所增加的费用和（或）延误的工期由承包人承担。</w:t>
      </w:r>
    </w:p>
    <w:p w14:paraId="64C3DD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1.10.2 场外交通</w:t>
      </w:r>
    </w:p>
    <w:p w14:paraId="4925E7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E2A27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1.10.3场内交通</w:t>
      </w:r>
    </w:p>
    <w:p w14:paraId="423F89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A826CA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88FA9F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场外交通和场内交通的边界由合同当事人在专用合同条款中约定。</w:t>
      </w:r>
    </w:p>
    <w:p w14:paraId="5A7884B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1.10.4 超大件和超重件的运输</w:t>
      </w:r>
    </w:p>
    <w:p w14:paraId="5C88DA8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933D8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1.10.5 道路和桥梁的损坏责任</w:t>
      </w:r>
    </w:p>
    <w:p w14:paraId="25173B7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因承包人运输造成施工场地内外公共道路和桥梁损坏的，由承包人承担修复损坏的全部费用和可能引起的赔偿。</w:t>
      </w:r>
    </w:p>
    <w:p w14:paraId="075240B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1.10.6 水路和航空运输</w:t>
      </w:r>
    </w:p>
    <w:p w14:paraId="7989948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本款前述各项的内容适用于水路运输和航空运输，其中“道路”一词的涵义包括河道、航线、船闸、机场、码头、堤防以及水路或航空运输中其他相似结构物；“车辆”一词的涵义包括船舶和飞机等。</w:t>
      </w:r>
    </w:p>
    <w:p w14:paraId="2E14F0E4">
      <w:pPr>
        <w:pStyle w:val="33"/>
        <w:rPr>
          <w:color w:val="auto"/>
          <w:highlight w:val="none"/>
          <w:shd w:val="clear"/>
        </w:rPr>
      </w:pPr>
      <w:bookmarkStart w:id="687" w:name="_Toc351203506"/>
      <w:r>
        <w:rPr>
          <w:color w:val="auto"/>
          <w:highlight w:val="none"/>
          <w:shd w:val="clear"/>
        </w:rPr>
        <w:t>1</w:t>
      </w:r>
      <w:bookmarkStart w:id="688" w:name="_Toc337558737"/>
      <w:bookmarkStart w:id="689" w:name="_Toc296503037"/>
      <w:bookmarkStart w:id="690" w:name="_Toc296346538"/>
      <w:r>
        <w:rPr>
          <w:color w:val="auto"/>
          <w:highlight w:val="none"/>
          <w:shd w:val="clear"/>
        </w:rPr>
        <w:t>.11 知识产权</w:t>
      </w:r>
      <w:bookmarkEnd w:id="687"/>
      <w:r>
        <w:rPr>
          <w:color w:val="auto"/>
          <w:highlight w:val="none"/>
          <w:shd w:val="clear"/>
        </w:rPr>
        <w:t xml:space="preserve"> </w:t>
      </w:r>
      <w:bookmarkEnd w:id="688"/>
    </w:p>
    <w:bookmarkEnd w:id="689"/>
    <w:bookmarkEnd w:id="690"/>
    <w:p w14:paraId="746A247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70671B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D45CD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9F8EE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1.11.4 除专用合同条款另有约定外，承包人在合同签订前和签订时已确定采用的专利、专有技术、技术秘密的使用费已包含在签约合同价中。</w:t>
      </w:r>
    </w:p>
    <w:p w14:paraId="1DF13762">
      <w:pPr>
        <w:pStyle w:val="33"/>
        <w:rPr>
          <w:color w:val="auto"/>
          <w:highlight w:val="none"/>
          <w:shd w:val="clear"/>
        </w:rPr>
      </w:pPr>
      <w:bookmarkStart w:id="691" w:name="_Toc351203507"/>
      <w:r>
        <w:rPr>
          <w:color w:val="auto"/>
          <w:highlight w:val="none"/>
          <w:shd w:val="clear"/>
        </w:rPr>
        <w:t>1</w:t>
      </w:r>
      <w:bookmarkStart w:id="692" w:name="_Toc337558738"/>
      <w:r>
        <w:rPr>
          <w:color w:val="auto"/>
          <w:highlight w:val="none"/>
          <w:shd w:val="clear"/>
        </w:rPr>
        <w:t>.12 保密</w:t>
      </w:r>
      <w:bookmarkEnd w:id="691"/>
    </w:p>
    <w:bookmarkEnd w:id="692"/>
    <w:p w14:paraId="49E677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除法律规定或合同另有约定外，未经发包人同意，承包人不得将发包人提供的图纸、文件以及声明需要保密的资料信息等商业秘密泄露给第三方。</w:t>
      </w:r>
    </w:p>
    <w:p w14:paraId="2993AA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除法律规定或合同另有约定外，未经承包人同意，发包人不得将承包人提供的技术秘密及声明需要保密的资料信息等商业秘密泄露给第三方。</w:t>
      </w:r>
    </w:p>
    <w:p w14:paraId="20F9E2DC">
      <w:pPr>
        <w:pStyle w:val="33"/>
        <w:rPr>
          <w:color w:val="auto"/>
          <w:highlight w:val="none"/>
          <w:shd w:val="clear"/>
        </w:rPr>
      </w:pPr>
      <w:bookmarkStart w:id="693" w:name="_Toc351203508"/>
      <w:r>
        <w:rPr>
          <w:color w:val="auto"/>
          <w:highlight w:val="none"/>
          <w:shd w:val="clear"/>
        </w:rPr>
        <w:t>1.13 工程量清单错误的修正</w:t>
      </w:r>
      <w:bookmarkEnd w:id="693"/>
    </w:p>
    <w:p w14:paraId="2D80C7F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除专用合同条款另有约定外，发包人提供的工程量清单，应被认为是准确的和完整的。出现下列情形之一时，发包人应予以修正，并相应调整合同价格：</w:t>
      </w:r>
    </w:p>
    <w:p w14:paraId="4083675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（1）工程量清单存在缺项、漏项的；</w:t>
      </w:r>
    </w:p>
    <w:p w14:paraId="0C1FE8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（2）工程量清单偏差超出专用合同条款约定的工程量偏差范围的；</w:t>
      </w:r>
    </w:p>
    <w:p w14:paraId="3F1D6D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（3）未按照国家现行计量规范强制性规定计量的。</w:t>
      </w:r>
    </w:p>
    <w:p w14:paraId="66FE1B84">
      <w:pPr>
        <w:pStyle w:val="26"/>
        <w:rPr>
          <w:color w:val="auto"/>
          <w:highlight w:val="none"/>
          <w:shd w:val="clear"/>
        </w:rPr>
      </w:pPr>
      <w:bookmarkStart w:id="694" w:name="_Toc351203509"/>
      <w:r>
        <w:rPr>
          <w:color w:val="auto"/>
          <w:highlight w:val="none"/>
          <w:shd w:val="clear"/>
        </w:rPr>
        <w:t>2</w:t>
      </w:r>
      <w:bookmarkStart w:id="695" w:name="_Toc296346539"/>
      <w:bookmarkStart w:id="696" w:name="_Toc296503038"/>
      <w:bookmarkStart w:id="697" w:name="_Toc337558739"/>
      <w:bookmarkStart w:id="698" w:name="OLE_LINK2"/>
      <w:r>
        <w:rPr>
          <w:color w:val="auto"/>
          <w:highlight w:val="none"/>
          <w:shd w:val="clear"/>
        </w:rPr>
        <w:t>.发包人</w:t>
      </w:r>
      <w:bookmarkEnd w:id="694"/>
    </w:p>
    <w:bookmarkEnd w:id="695"/>
    <w:bookmarkEnd w:id="696"/>
    <w:bookmarkEnd w:id="697"/>
    <w:p w14:paraId="3D727F41">
      <w:pPr>
        <w:pStyle w:val="33"/>
        <w:rPr>
          <w:color w:val="auto"/>
          <w:highlight w:val="none"/>
          <w:shd w:val="clear"/>
        </w:rPr>
      </w:pPr>
      <w:bookmarkStart w:id="699" w:name="_Toc351203510"/>
      <w:r>
        <w:rPr>
          <w:color w:val="auto"/>
          <w:highlight w:val="none"/>
          <w:shd w:val="clear"/>
        </w:rPr>
        <w:t>2</w:t>
      </w:r>
      <w:bookmarkStart w:id="700" w:name="_Toc296503039"/>
      <w:bookmarkStart w:id="701" w:name="_Toc296346540"/>
      <w:bookmarkStart w:id="702" w:name="_Toc337558740"/>
      <w:r>
        <w:rPr>
          <w:color w:val="auto"/>
          <w:highlight w:val="none"/>
          <w:shd w:val="clear"/>
        </w:rPr>
        <w:t>.1 许可或批准</w:t>
      </w:r>
      <w:bookmarkEnd w:id="699"/>
    </w:p>
    <w:p w14:paraId="6C88B47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37FD0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因发包人原因未能及时办理完毕前述许可、批准或备案，由发包人承担由此增加的费用和（或）延误的工期，并支付承包人合理的利润。</w:t>
      </w:r>
    </w:p>
    <w:p w14:paraId="69617ED9">
      <w:pPr>
        <w:pStyle w:val="33"/>
        <w:rPr>
          <w:color w:val="auto"/>
          <w:highlight w:val="none"/>
          <w:shd w:val="clear"/>
        </w:rPr>
      </w:pPr>
      <w:bookmarkStart w:id="703" w:name="_Toc351203511"/>
      <w:r>
        <w:rPr>
          <w:color w:val="auto"/>
          <w:highlight w:val="none"/>
          <w:shd w:val="clear"/>
        </w:rPr>
        <w:t>2.2 发包人代表</w:t>
      </w:r>
      <w:bookmarkEnd w:id="703"/>
    </w:p>
    <w:p w14:paraId="5C4C2F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1C2B9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发包人代表不能按照合同约定履行其职责及义务，并导致合同无法继续正常履行的，承包人可以要求发包人撤换发包人代表。</w:t>
      </w:r>
    </w:p>
    <w:p w14:paraId="56597A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不属于法定必须监理的工程，监理人的职权可以由发包人代表或发包人指定的其他人员行使。</w:t>
      </w:r>
    </w:p>
    <w:p w14:paraId="41B51FF5">
      <w:pPr>
        <w:pStyle w:val="33"/>
        <w:rPr>
          <w:color w:val="auto"/>
          <w:highlight w:val="none"/>
          <w:shd w:val="clear"/>
        </w:rPr>
      </w:pPr>
      <w:bookmarkStart w:id="704" w:name="_Toc351203512"/>
      <w:r>
        <w:rPr>
          <w:color w:val="auto"/>
          <w:highlight w:val="none"/>
          <w:shd w:val="clear"/>
        </w:rPr>
        <w:t>2.3 发包人人员</w:t>
      </w:r>
      <w:bookmarkEnd w:id="704"/>
    </w:p>
    <w:p w14:paraId="5C97C0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发包人应要求在施工现场的发包人人员遵守法律及有关安全、质量、环境保护、文明施工等规定，并保障承包人免于承受因发包人人员未遵守上述要求给承包人造成的损失和责任。</w:t>
      </w:r>
    </w:p>
    <w:p w14:paraId="44CF97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发包人人员包括发包人代表及其他由发包人派驻施工现场的人员。</w:t>
      </w:r>
      <w:bookmarkEnd w:id="700"/>
      <w:bookmarkEnd w:id="701"/>
      <w:bookmarkEnd w:id="702"/>
    </w:p>
    <w:p w14:paraId="6B01B321">
      <w:pPr>
        <w:pStyle w:val="33"/>
        <w:rPr>
          <w:color w:val="auto"/>
          <w:highlight w:val="none"/>
          <w:shd w:val="clear"/>
        </w:rPr>
      </w:pPr>
      <w:bookmarkStart w:id="705" w:name="_Toc351203513"/>
      <w:r>
        <w:rPr>
          <w:color w:val="auto"/>
          <w:highlight w:val="none"/>
          <w:shd w:val="clear"/>
        </w:rPr>
        <w:t>2</w:t>
      </w:r>
      <w:bookmarkStart w:id="706" w:name="_Toc337558741"/>
      <w:bookmarkStart w:id="707" w:name="_Toc296346541"/>
      <w:bookmarkStart w:id="708" w:name="_Toc296503040"/>
      <w:r>
        <w:rPr>
          <w:color w:val="auto"/>
          <w:highlight w:val="none"/>
          <w:shd w:val="clear"/>
        </w:rPr>
        <w:t>.4 施工现场、施工条件和基础资料的提供</w:t>
      </w:r>
      <w:bookmarkEnd w:id="705"/>
      <w:r>
        <w:rPr>
          <w:color w:val="auto"/>
          <w:highlight w:val="none"/>
          <w:shd w:val="clear"/>
        </w:rPr>
        <w:t xml:space="preserve"> </w:t>
      </w:r>
      <w:bookmarkEnd w:id="706"/>
      <w:bookmarkEnd w:id="707"/>
      <w:bookmarkEnd w:id="708"/>
      <w:r>
        <w:rPr>
          <w:color w:val="auto"/>
          <w:highlight w:val="none"/>
          <w:shd w:val="clear"/>
        </w:rPr>
        <w:t xml:space="preserve"> </w:t>
      </w:r>
    </w:p>
    <w:p w14:paraId="3B41DB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2.4.1 提供施工现场</w:t>
      </w:r>
    </w:p>
    <w:p w14:paraId="688F51C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w:t>
      </w:r>
      <w:bookmarkEnd w:id="698"/>
      <w:r>
        <w:rPr>
          <w:rFonts w:hint="eastAsia" w:ascii="Times New Roman" w:hAnsi="Times New Roman"/>
          <w:color w:val="auto"/>
          <w:highlight w:val="none"/>
          <w:shd w:val="clear"/>
        </w:rPr>
        <w:t>专用合同条款另有约定外，发包人应最迟于开工日期7天前向承包人移交施工现场。</w:t>
      </w:r>
    </w:p>
    <w:p w14:paraId="5D4074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2.4.2 提供施工条件</w:t>
      </w:r>
    </w:p>
    <w:p w14:paraId="0CC2BB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除专用合同条款另有约定外，发包人应负责提供施工所需要的条件，包括：</w:t>
      </w:r>
    </w:p>
    <w:p w14:paraId="2592A0C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（1）将施工用水、电力、通讯线路等施工所必需的条件接至施工现场内；</w:t>
      </w:r>
    </w:p>
    <w:p w14:paraId="052EFB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（2）保证向承包人提供正常施工所需要的进入施工现场的交通条件；</w:t>
      </w:r>
    </w:p>
    <w:p w14:paraId="767E33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（3）协调处理施工现场周围地下管线和邻近建筑物、构筑物、古树名木的保护工作，并承担相关费用；</w:t>
      </w:r>
    </w:p>
    <w:p w14:paraId="629500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（4）按照专用合同条款约定应提供的其他设施和条件。</w:t>
      </w:r>
    </w:p>
    <w:p w14:paraId="092F09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2.4.3 提供基础资料</w:t>
      </w:r>
    </w:p>
    <w:p w14:paraId="6C8493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5088AD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按照法律规定确需在开工后方能提供的基础资料，发包人应尽其努力及时地在相应工程施工前的合理期限内提供，合理期限应以不影响承包人的正常施工为限。</w:t>
      </w:r>
    </w:p>
    <w:p w14:paraId="23C44A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2.4.4 逾期提供的责任</w:t>
      </w:r>
    </w:p>
    <w:p w14:paraId="3C5ABC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因发包人原因未能按合同约定及时向承包人提供施工现场、施工条件、基础资料的，由发包人承担由此增加的费用和（或）延误的工期。</w:t>
      </w:r>
    </w:p>
    <w:p w14:paraId="7FFF6A05">
      <w:pPr>
        <w:pStyle w:val="22"/>
        <w:ind w:firstLine="420"/>
        <w:rPr>
          <w:rFonts w:ascii="Times New Roman" w:hAnsi="Times New Roman"/>
          <w:color w:val="auto"/>
          <w:highlight w:val="none"/>
          <w:shd w:val="clear"/>
          <w:lang w:val="zh-CN"/>
        </w:rPr>
      </w:pPr>
      <w:bookmarkStart w:id="709" w:name="_Toc351203514"/>
      <w:r>
        <w:rPr>
          <w:rFonts w:hint="eastAsia" w:ascii="Times New Roman" w:hAnsi="Times New Roman"/>
          <w:color w:val="auto"/>
          <w:highlight w:val="none"/>
          <w:shd w:val="clear"/>
          <w:lang w:val="zh-CN"/>
        </w:rPr>
        <w:t>2</w:t>
      </w:r>
      <w:bookmarkStart w:id="710" w:name="_Toc296503042"/>
      <w:bookmarkStart w:id="711" w:name="_Toc337558745"/>
      <w:bookmarkStart w:id="712" w:name="_Toc296346543"/>
      <w:r>
        <w:rPr>
          <w:rFonts w:hint="eastAsia" w:ascii="Times New Roman" w:hAnsi="Times New Roman"/>
          <w:color w:val="auto"/>
          <w:highlight w:val="none"/>
          <w:shd w:val="clear"/>
          <w:lang w:val="zh-CN"/>
        </w:rPr>
        <w:t>.5 资</w:t>
      </w:r>
      <w:bookmarkEnd w:id="710"/>
      <w:bookmarkEnd w:id="711"/>
      <w:bookmarkEnd w:id="712"/>
      <w:r>
        <w:rPr>
          <w:rFonts w:hint="eastAsia" w:ascii="Times New Roman" w:hAnsi="Times New Roman"/>
          <w:color w:val="auto"/>
          <w:highlight w:val="none"/>
          <w:shd w:val="clear"/>
          <w:lang w:val="zh-CN"/>
        </w:rPr>
        <w:t>金来源证明及支付担保</w:t>
      </w:r>
      <w:bookmarkEnd w:id="709"/>
    </w:p>
    <w:p w14:paraId="049340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除专用合同条款另有约定外，发包人应在收到承包人要求提供资金来源证明的书面通知后28天内，向承包人提供能够按照合同约定支付合同价款的相应资金来源证明。</w:t>
      </w:r>
    </w:p>
    <w:p w14:paraId="200AEE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除专用合同条款另有约定外，发包人要求承包人提供履约担保的，发包人应当向承包人提供支付担保。支付担保可以采用银行保函或担保公司担保等形式，具体由合同当事人在专用合同条款中约定。</w:t>
      </w:r>
    </w:p>
    <w:p w14:paraId="5E7EE8C0">
      <w:pPr>
        <w:pStyle w:val="33"/>
        <w:rPr>
          <w:color w:val="auto"/>
          <w:highlight w:val="none"/>
          <w:shd w:val="clear"/>
        </w:rPr>
      </w:pPr>
      <w:bookmarkStart w:id="713" w:name="_Toc351203515"/>
      <w:r>
        <w:rPr>
          <w:color w:val="auto"/>
          <w:highlight w:val="none"/>
          <w:shd w:val="clear"/>
        </w:rPr>
        <w:t>2.6 支付合同价款</w:t>
      </w:r>
      <w:bookmarkEnd w:id="713"/>
    </w:p>
    <w:p w14:paraId="45B3F83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发包人应按合同约定向承包人及时支付合同价款。</w:t>
      </w:r>
    </w:p>
    <w:p w14:paraId="244680D2">
      <w:pPr>
        <w:pStyle w:val="33"/>
        <w:rPr>
          <w:color w:val="auto"/>
          <w:highlight w:val="none"/>
          <w:shd w:val="clear"/>
        </w:rPr>
      </w:pPr>
      <w:bookmarkStart w:id="714" w:name="_Toc351203516"/>
      <w:r>
        <w:rPr>
          <w:color w:val="auto"/>
          <w:highlight w:val="none"/>
          <w:shd w:val="clear"/>
        </w:rPr>
        <w:t>2.7 组织竣工验收</w:t>
      </w:r>
      <w:bookmarkEnd w:id="714"/>
    </w:p>
    <w:p w14:paraId="3FC8B1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发包人应按合同约定及时组织竣工验收。</w:t>
      </w:r>
    </w:p>
    <w:p w14:paraId="11414691">
      <w:pPr>
        <w:pStyle w:val="33"/>
        <w:rPr>
          <w:color w:val="auto"/>
          <w:highlight w:val="none"/>
          <w:shd w:val="clear"/>
        </w:rPr>
      </w:pPr>
      <w:bookmarkStart w:id="715" w:name="_Toc351203517"/>
      <w:r>
        <w:rPr>
          <w:color w:val="auto"/>
          <w:highlight w:val="none"/>
          <w:shd w:val="clear"/>
        </w:rPr>
        <w:t>2.8 现场统一管理协议</w:t>
      </w:r>
      <w:bookmarkEnd w:id="715"/>
    </w:p>
    <w:p w14:paraId="103CE5E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发包人应与承包人、由发包人直接发包的专业工程的承包人签订施工现场统一管理协议，明确各方的权利义务。施工现场统一管理协议作为专用合同条款的附件。</w:t>
      </w:r>
    </w:p>
    <w:p w14:paraId="0B4C4508">
      <w:pPr>
        <w:pStyle w:val="26"/>
        <w:rPr>
          <w:color w:val="auto"/>
          <w:highlight w:val="none"/>
          <w:shd w:val="clear"/>
        </w:rPr>
      </w:pPr>
      <w:bookmarkStart w:id="716" w:name="_Toc351203518"/>
      <w:r>
        <w:rPr>
          <w:color w:val="auto"/>
          <w:highlight w:val="none"/>
          <w:shd w:val="clear"/>
        </w:rPr>
        <w:t>3</w:t>
      </w:r>
      <w:bookmarkStart w:id="717" w:name="_Toc337558746"/>
      <w:bookmarkStart w:id="718" w:name="_Toc296503045"/>
      <w:bookmarkStart w:id="719" w:name="_Toc296346546"/>
      <w:r>
        <w:rPr>
          <w:color w:val="auto"/>
          <w:highlight w:val="none"/>
          <w:shd w:val="clear"/>
        </w:rPr>
        <w:t>.承包人</w:t>
      </w:r>
      <w:bookmarkEnd w:id="716"/>
    </w:p>
    <w:bookmarkEnd w:id="717"/>
    <w:bookmarkEnd w:id="718"/>
    <w:bookmarkEnd w:id="719"/>
    <w:p w14:paraId="0800F849">
      <w:pPr>
        <w:pStyle w:val="33"/>
        <w:rPr>
          <w:color w:val="auto"/>
          <w:highlight w:val="none"/>
          <w:shd w:val="clear"/>
        </w:rPr>
      </w:pPr>
      <w:bookmarkStart w:id="720" w:name="_Toc351203519"/>
      <w:r>
        <w:rPr>
          <w:color w:val="auto"/>
          <w:highlight w:val="none"/>
          <w:shd w:val="clear"/>
        </w:rPr>
        <w:t>3</w:t>
      </w:r>
      <w:bookmarkStart w:id="721" w:name="_Toc296503046"/>
      <w:bookmarkStart w:id="722" w:name="_Toc337558747"/>
      <w:bookmarkStart w:id="723" w:name="_Toc296346547"/>
      <w:r>
        <w:rPr>
          <w:color w:val="auto"/>
          <w:highlight w:val="none"/>
          <w:shd w:val="clear"/>
        </w:rPr>
        <w:t>.1 承包人的一般义务</w:t>
      </w:r>
      <w:bookmarkEnd w:id="720"/>
    </w:p>
    <w:bookmarkEnd w:id="721"/>
    <w:bookmarkEnd w:id="722"/>
    <w:bookmarkEnd w:id="723"/>
    <w:p w14:paraId="2841BAB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承包人在履行合同过程中应遵守法律和工程建设标准规范，并履行以下义务：</w:t>
      </w:r>
    </w:p>
    <w:p w14:paraId="7CA5198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办理法律规定应由承包人办理的许可和批准，并将办理结果书面报送发包人留存；</w:t>
      </w:r>
    </w:p>
    <w:p w14:paraId="64D062F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（2）按法律规定和合同约定完成工程，并在保修期内承担保修义务；</w:t>
      </w:r>
    </w:p>
    <w:p w14:paraId="2970CC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（3）按法律规定和合同约定采取施工安全和环境保护措施，办理工伤保险，确保工程及人员、材料、设备和设施的安全；</w:t>
      </w:r>
    </w:p>
    <w:p w14:paraId="6754159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（4）按合同约定的工作内容和施工进度要求，编制施工组织设计和施工措施计划，并对所有施工作业和施工方法的完备性和安全可靠性负责；</w:t>
      </w:r>
    </w:p>
    <w:p w14:paraId="1FCDD2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617D1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（6）按照第6.3款〔环境保护〕约定负责施工场地及其周边环境与生态的保护工作；</w:t>
      </w:r>
    </w:p>
    <w:p w14:paraId="4ACDCE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（7）按第6.1款〔安全文明施工〕约定采取施工安全措施，确保工程及其人员、材料、设备和设施的安全，防止因工程施工造成的人身伤害和财产损失；</w:t>
      </w:r>
    </w:p>
    <w:p w14:paraId="547CE53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（8）将发包人按合同约定支付的各项价款专用于合同工程，且应及时支付其雇用人员工资，并及时向分包人支付合同价款；</w:t>
      </w:r>
    </w:p>
    <w:p w14:paraId="5672F41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（9）按照法律规定和合同约定编制竣工资料，完成竣工资料立卷及归档，并按专用合同条款约定的竣工资料的套数、内容、时间等要求移交发包人；</w:t>
      </w:r>
    </w:p>
    <w:p w14:paraId="130B8A5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（10）应履行的其他义务。</w:t>
      </w:r>
    </w:p>
    <w:p w14:paraId="3CC655D0">
      <w:pPr>
        <w:pStyle w:val="33"/>
        <w:rPr>
          <w:color w:val="auto"/>
          <w:highlight w:val="none"/>
          <w:shd w:val="clear"/>
        </w:rPr>
      </w:pPr>
      <w:bookmarkStart w:id="724" w:name="_Toc351203520"/>
      <w:r>
        <w:rPr>
          <w:color w:val="auto"/>
          <w:highlight w:val="none"/>
          <w:shd w:val="clear"/>
        </w:rPr>
        <w:t>3</w:t>
      </w:r>
      <w:bookmarkStart w:id="725" w:name="_Toc296346548"/>
      <w:bookmarkStart w:id="726" w:name="_Toc337558748"/>
      <w:bookmarkStart w:id="727" w:name="_Toc296503047"/>
      <w:r>
        <w:rPr>
          <w:color w:val="auto"/>
          <w:highlight w:val="none"/>
          <w:shd w:val="clear"/>
        </w:rPr>
        <w:t xml:space="preserve">.2 </w:t>
      </w:r>
      <w:bookmarkEnd w:id="724"/>
      <w:r>
        <w:rPr>
          <w:color w:val="auto"/>
          <w:highlight w:val="none"/>
          <w:shd w:val="clear"/>
        </w:rPr>
        <w:t>项目经理</w:t>
      </w:r>
    </w:p>
    <w:bookmarkEnd w:id="725"/>
    <w:bookmarkEnd w:id="726"/>
    <w:bookmarkEnd w:id="727"/>
    <w:p w14:paraId="1FD6E73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716D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4890B8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承包人违反上述约定的，应按照专用合同条款的约定，承担违约责任。</w:t>
      </w:r>
    </w:p>
    <w:p w14:paraId="388CA5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6C31AD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5E9C6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46A7A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3.2.5 项目经理因特殊情况授权其下属人员履行其某项工作职责的，该下属人员应具备履行相应职责的能力，并应提前7天将上述人员的姓名和授权范围书面通知监理人，并征得发包人书面同意。</w:t>
      </w:r>
    </w:p>
    <w:p w14:paraId="33D74B03">
      <w:pPr>
        <w:pStyle w:val="33"/>
        <w:rPr>
          <w:color w:val="auto"/>
          <w:highlight w:val="none"/>
          <w:shd w:val="clear"/>
        </w:rPr>
      </w:pPr>
      <w:bookmarkStart w:id="728" w:name="_Toc351203521"/>
      <w:r>
        <w:rPr>
          <w:color w:val="auto"/>
          <w:highlight w:val="none"/>
          <w:shd w:val="clear"/>
        </w:rPr>
        <w:t>3</w:t>
      </w:r>
      <w:bookmarkStart w:id="729" w:name="_Toc296503048"/>
      <w:bookmarkStart w:id="730" w:name="_Toc296346549"/>
      <w:bookmarkStart w:id="731" w:name="_Toc337558749"/>
      <w:r>
        <w:rPr>
          <w:color w:val="auto"/>
          <w:highlight w:val="none"/>
          <w:shd w:val="clear"/>
        </w:rPr>
        <w:t xml:space="preserve">.3 </w:t>
      </w:r>
      <w:bookmarkEnd w:id="729"/>
      <w:bookmarkEnd w:id="730"/>
      <w:r>
        <w:rPr>
          <w:color w:val="auto"/>
          <w:highlight w:val="none"/>
          <w:shd w:val="clear"/>
        </w:rPr>
        <w:t>承包人人员</w:t>
      </w:r>
      <w:bookmarkEnd w:id="728"/>
    </w:p>
    <w:bookmarkEnd w:id="731"/>
    <w:p w14:paraId="6565730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FFBA61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41ECD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特殊工种作业人员均应持有相应的资格证明，监理人可以随时检查。</w:t>
      </w:r>
    </w:p>
    <w:p w14:paraId="5CACE4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FB3DF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28FCD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3.3.5 承包人擅自更换主要施工管理人员，或前述人员未经监理人或发包人同意擅自离开施工现场的，应按照专用合同条款约定承担违约责任。</w:t>
      </w:r>
    </w:p>
    <w:p w14:paraId="41BE994D">
      <w:pPr>
        <w:pStyle w:val="33"/>
        <w:rPr>
          <w:color w:val="auto"/>
          <w:highlight w:val="none"/>
          <w:shd w:val="clear"/>
        </w:rPr>
      </w:pPr>
      <w:bookmarkStart w:id="732" w:name="_Toc351203522"/>
      <w:r>
        <w:rPr>
          <w:color w:val="auto"/>
          <w:highlight w:val="none"/>
          <w:shd w:val="clear"/>
        </w:rPr>
        <w:t>3</w:t>
      </w:r>
      <w:bookmarkStart w:id="733" w:name="_Toc296503050"/>
      <w:bookmarkStart w:id="734" w:name="_Toc296346551"/>
      <w:bookmarkStart w:id="735" w:name="_Toc337558750"/>
      <w:r>
        <w:rPr>
          <w:color w:val="auto"/>
          <w:highlight w:val="none"/>
          <w:shd w:val="clear"/>
        </w:rPr>
        <w:t>.4 承包人现场查勘</w:t>
      </w:r>
      <w:bookmarkEnd w:id="732"/>
    </w:p>
    <w:bookmarkEnd w:id="733"/>
    <w:bookmarkEnd w:id="734"/>
    <w:bookmarkEnd w:id="735"/>
    <w:p w14:paraId="480BFF0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承包人应对基于发包人按照第2.4.3项〔提供基础资料〕提交的基础资料所做出的解释和推断负责，但因基础资料存在错误、遗漏导致承包人解释或推断失实的，由发包人承担责任。</w:t>
      </w:r>
    </w:p>
    <w:p w14:paraId="0F43AA8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1F0CD1D">
      <w:pPr>
        <w:pStyle w:val="33"/>
        <w:rPr>
          <w:color w:val="auto"/>
          <w:highlight w:val="none"/>
          <w:shd w:val="clear"/>
        </w:rPr>
      </w:pPr>
      <w:bookmarkStart w:id="736" w:name="_Toc351203523"/>
      <w:r>
        <w:rPr>
          <w:color w:val="auto"/>
          <w:highlight w:val="none"/>
          <w:shd w:val="clear"/>
        </w:rPr>
        <w:t>3</w:t>
      </w:r>
      <w:bookmarkStart w:id="737" w:name="_Toc296346552"/>
      <w:bookmarkStart w:id="738" w:name="_Toc296503051"/>
      <w:bookmarkStart w:id="739" w:name="_Toc337558751"/>
      <w:r>
        <w:rPr>
          <w:color w:val="auto"/>
          <w:highlight w:val="none"/>
          <w:shd w:val="clear"/>
        </w:rPr>
        <w:t>.5 分包</w:t>
      </w:r>
      <w:bookmarkEnd w:id="736"/>
    </w:p>
    <w:bookmarkEnd w:id="737"/>
    <w:bookmarkEnd w:id="738"/>
    <w:bookmarkEnd w:id="739"/>
    <w:p w14:paraId="7DF998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3.5.1 分包的一般约定</w:t>
      </w:r>
    </w:p>
    <w:p w14:paraId="6B5BF42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1B1BE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承包人不得以劳务分包的名义转包或违法分包工程。</w:t>
      </w:r>
    </w:p>
    <w:p w14:paraId="5AF7613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3.5.2 分包的确定</w:t>
      </w:r>
    </w:p>
    <w:p w14:paraId="5F588AB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2CF4AC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3.5.3 分包管理</w:t>
      </w:r>
    </w:p>
    <w:p w14:paraId="45739C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承包人应向监理人提交分包人的主要施工管理人员表，并对分包人的施工人员进行实名制管理，包括但不限于进出场管理、登记造册以及各种证照的办理。</w:t>
      </w:r>
    </w:p>
    <w:p w14:paraId="7F4D00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3.5.4 分包合同价款</w:t>
      </w:r>
    </w:p>
    <w:p w14:paraId="482619F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（1）除本项第（2）目约定的情况或专用合同条款另有约定外，分包合同价款由承包人与分包人结算，未经承包人同意，发包人不得向分包人支付分包工程价款；</w:t>
      </w:r>
    </w:p>
    <w:p w14:paraId="78BED4E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（2）生效法律文书要求发包人向分包人支付分包合同价款的，发包人有权从应付承包人工程款中扣除该部分款项。</w:t>
      </w:r>
    </w:p>
    <w:p w14:paraId="4BFA4FE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3.5.5 分包合同权益的转让</w:t>
      </w:r>
    </w:p>
    <w:p w14:paraId="5CD8FE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40" w:name="_Toc351203524"/>
    </w:p>
    <w:p w14:paraId="0BB9B7E7">
      <w:pPr>
        <w:pStyle w:val="33"/>
        <w:rPr>
          <w:color w:val="auto"/>
          <w:highlight w:val="none"/>
          <w:shd w:val="clear"/>
        </w:rPr>
      </w:pPr>
      <w:r>
        <w:rPr>
          <w:color w:val="auto"/>
          <w:highlight w:val="none"/>
          <w:shd w:val="clear"/>
        </w:rPr>
        <w:t>3.6 工程照管与成品、半成品保护</w:t>
      </w:r>
      <w:bookmarkEnd w:id="740"/>
    </w:p>
    <w:p w14:paraId="6ED0C38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（1）除专用合同条款另有约定外，自发包人向承包人移交施工现场之日起，承包人应负责照管工程及工程相关的材料、工程设备，直到颁发工程接收证书之日止。</w:t>
      </w:r>
    </w:p>
    <w:p w14:paraId="59EADF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（2）在承包人负责照管期间，因承包人原因造成工程、材料、工程设备损坏的，由承包人负责修复或更换，并承担由此增加的费用和（或）延误的工期。</w:t>
      </w:r>
    </w:p>
    <w:p w14:paraId="2291CA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（3）对合同内分期完成的成品和半成品，在工程接收证书颁发前，由承包人承担保护责任。因承包人原因造成成品或半成品损坏的，由承包人负责修复或更换，并承担由此增加的费用和（或）延误的工期。</w:t>
      </w:r>
    </w:p>
    <w:p w14:paraId="4E0229A5">
      <w:pPr>
        <w:pStyle w:val="33"/>
        <w:rPr>
          <w:color w:val="auto"/>
          <w:highlight w:val="none"/>
          <w:shd w:val="clear"/>
        </w:rPr>
      </w:pPr>
      <w:bookmarkStart w:id="741" w:name="_Toc351203525"/>
      <w:r>
        <w:rPr>
          <w:color w:val="auto"/>
          <w:highlight w:val="none"/>
          <w:shd w:val="clear"/>
        </w:rPr>
        <w:t>3</w:t>
      </w:r>
      <w:bookmarkStart w:id="742" w:name="_Toc296346553"/>
      <w:bookmarkStart w:id="743" w:name="_Toc337558752"/>
      <w:bookmarkStart w:id="744" w:name="_Toc296503052"/>
      <w:r>
        <w:rPr>
          <w:color w:val="auto"/>
          <w:highlight w:val="none"/>
          <w:shd w:val="clear"/>
        </w:rPr>
        <w:t>.7 履约担保</w:t>
      </w:r>
      <w:bookmarkEnd w:id="741"/>
    </w:p>
    <w:bookmarkEnd w:id="742"/>
    <w:bookmarkEnd w:id="743"/>
    <w:bookmarkEnd w:id="744"/>
    <w:p w14:paraId="44048A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D46838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因承包人原因导致工期延长的，继续提供履约担保所增加的费用由承包人承担；非因承包人原因导致工期延长的，继续提供履约担保所增加的费用由发包人承担。</w:t>
      </w:r>
    </w:p>
    <w:p w14:paraId="15317BE3">
      <w:pPr>
        <w:pStyle w:val="33"/>
        <w:rPr>
          <w:color w:val="auto"/>
          <w:highlight w:val="none"/>
          <w:shd w:val="clear"/>
        </w:rPr>
      </w:pPr>
      <w:bookmarkStart w:id="745" w:name="_Toc351203526"/>
      <w:r>
        <w:rPr>
          <w:color w:val="auto"/>
          <w:highlight w:val="none"/>
          <w:shd w:val="clear"/>
        </w:rPr>
        <w:t>3.8 联合体</w:t>
      </w:r>
      <w:bookmarkEnd w:id="745"/>
    </w:p>
    <w:p w14:paraId="266A67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3.8.1 联合体各方应共同与发包人签订合同协议书。联合体各方应为履行合同向发包人承担连带责任。</w:t>
      </w:r>
    </w:p>
    <w:p w14:paraId="5B1E7BA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3.8.2 联合体协议经发包人确认后作为合同附件。在履行合同过程中，未经发包人同意，不得修改联合体协议。</w:t>
      </w:r>
    </w:p>
    <w:p w14:paraId="3B7B43C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3.8.3 联合体牵头人负责与发包人和监理人联系，并接受指示，负责组织联合体各成员全面履行合同。</w:t>
      </w:r>
    </w:p>
    <w:p w14:paraId="02E448BF">
      <w:pPr>
        <w:pStyle w:val="26"/>
        <w:rPr>
          <w:color w:val="auto"/>
          <w:highlight w:val="none"/>
          <w:shd w:val="clear"/>
        </w:rPr>
      </w:pPr>
      <w:bookmarkStart w:id="746" w:name="_Toc351203527"/>
      <w:r>
        <w:rPr>
          <w:color w:val="auto"/>
          <w:highlight w:val="none"/>
          <w:shd w:val="clear"/>
        </w:rPr>
        <w:t>4</w:t>
      </w:r>
      <w:bookmarkStart w:id="747" w:name="_Toc296503053"/>
      <w:bookmarkStart w:id="748" w:name="_Toc296346554"/>
      <w:bookmarkStart w:id="749" w:name="_Toc337558753"/>
      <w:r>
        <w:rPr>
          <w:color w:val="auto"/>
          <w:highlight w:val="none"/>
          <w:shd w:val="clear"/>
        </w:rPr>
        <w:t>.监</w:t>
      </w:r>
      <w:bookmarkEnd w:id="747"/>
      <w:bookmarkEnd w:id="748"/>
      <w:r>
        <w:rPr>
          <w:color w:val="auto"/>
          <w:highlight w:val="none"/>
          <w:shd w:val="clear"/>
        </w:rPr>
        <w:t>理人</w:t>
      </w:r>
      <w:bookmarkEnd w:id="746"/>
    </w:p>
    <w:bookmarkEnd w:id="749"/>
    <w:p w14:paraId="0AC768E2">
      <w:pPr>
        <w:pStyle w:val="33"/>
        <w:rPr>
          <w:color w:val="auto"/>
          <w:highlight w:val="none"/>
          <w:shd w:val="clear"/>
        </w:rPr>
      </w:pPr>
      <w:bookmarkStart w:id="750" w:name="_Toc351203528"/>
      <w:r>
        <w:rPr>
          <w:color w:val="auto"/>
          <w:highlight w:val="none"/>
          <w:shd w:val="clear"/>
        </w:rPr>
        <w:t>4</w:t>
      </w:r>
      <w:bookmarkStart w:id="751" w:name="_Toc337558754"/>
      <w:bookmarkStart w:id="752" w:name="_Toc296346555"/>
      <w:bookmarkStart w:id="753" w:name="_Toc296503054"/>
      <w:r>
        <w:rPr>
          <w:color w:val="auto"/>
          <w:highlight w:val="none"/>
          <w:shd w:val="clear"/>
        </w:rPr>
        <w:t>.1 监理人的一般规定</w:t>
      </w:r>
      <w:bookmarkEnd w:id="750"/>
    </w:p>
    <w:bookmarkEnd w:id="751"/>
    <w:bookmarkEnd w:id="752"/>
    <w:bookmarkEnd w:id="753"/>
    <w:p w14:paraId="1F0F61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08FE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除专用合同条款另有约定外，监理人在施工现场的办公场所、生活场所由承包人提供，所发生的费用由发包人承担。</w:t>
      </w:r>
    </w:p>
    <w:p w14:paraId="701D3593">
      <w:pPr>
        <w:pStyle w:val="33"/>
        <w:rPr>
          <w:color w:val="auto"/>
          <w:highlight w:val="none"/>
          <w:shd w:val="clear"/>
        </w:rPr>
      </w:pPr>
      <w:bookmarkStart w:id="754" w:name="_Toc351203529"/>
      <w:r>
        <w:rPr>
          <w:color w:val="auto"/>
          <w:highlight w:val="none"/>
          <w:shd w:val="clear"/>
        </w:rPr>
        <w:t>4</w:t>
      </w:r>
      <w:bookmarkStart w:id="755" w:name="_Toc337558755"/>
      <w:r>
        <w:rPr>
          <w:color w:val="auto"/>
          <w:highlight w:val="none"/>
          <w:shd w:val="clear"/>
        </w:rPr>
        <w:t>.2 监理人员</w:t>
      </w:r>
      <w:bookmarkEnd w:id="754"/>
    </w:p>
    <w:bookmarkEnd w:id="755"/>
    <w:p w14:paraId="2B9D2A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77DB7A1">
      <w:pPr>
        <w:pStyle w:val="33"/>
        <w:rPr>
          <w:color w:val="auto"/>
          <w:highlight w:val="none"/>
          <w:shd w:val="clear"/>
        </w:rPr>
      </w:pPr>
      <w:bookmarkStart w:id="756" w:name="_Toc351203530"/>
      <w:r>
        <w:rPr>
          <w:color w:val="auto"/>
          <w:highlight w:val="none"/>
          <w:shd w:val="clear"/>
        </w:rPr>
        <w:t>4</w:t>
      </w:r>
      <w:bookmarkStart w:id="757" w:name="_Toc296346556"/>
      <w:bookmarkStart w:id="758" w:name="_Toc296503055"/>
      <w:bookmarkStart w:id="759" w:name="_Toc337558756"/>
      <w:r>
        <w:rPr>
          <w:color w:val="auto"/>
          <w:highlight w:val="none"/>
          <w:shd w:val="clear"/>
        </w:rPr>
        <w:t>.3</w:t>
      </w:r>
      <w:bookmarkEnd w:id="757"/>
      <w:bookmarkEnd w:id="758"/>
      <w:r>
        <w:rPr>
          <w:color w:val="auto"/>
          <w:highlight w:val="none"/>
          <w:shd w:val="clear"/>
        </w:rPr>
        <w:t xml:space="preserve"> 监理人的指</w:t>
      </w:r>
      <w:bookmarkEnd w:id="759"/>
      <w:r>
        <w:rPr>
          <w:color w:val="auto"/>
          <w:highlight w:val="none"/>
          <w:shd w:val="clear"/>
        </w:rPr>
        <w:t>示</w:t>
      </w:r>
      <w:bookmarkEnd w:id="756"/>
    </w:p>
    <w:p w14:paraId="3CFA77F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FD884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0662A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承包人对监理人发出的指示有疑问的，应向监理人提出书面异议，监理人应在48小时内对该指示予以确认、更改或撤销，监理人逾期未回复的，承包人有权拒绝执行上述指示。</w:t>
      </w:r>
    </w:p>
    <w:p w14:paraId="4A661D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监理人对承包人的任何工作、工程或其采用的材料和工程设备未在约定的或合理期限内提出意见的，视为批准，但不免除或减轻承包人对该工作、工程、材料、工程设备等应承担的责任和义务。</w:t>
      </w:r>
    </w:p>
    <w:p w14:paraId="4A805631">
      <w:pPr>
        <w:pStyle w:val="33"/>
        <w:rPr>
          <w:color w:val="auto"/>
          <w:highlight w:val="none"/>
          <w:shd w:val="clear"/>
        </w:rPr>
      </w:pPr>
      <w:bookmarkStart w:id="760" w:name="_Toc351203531"/>
      <w:r>
        <w:rPr>
          <w:color w:val="auto"/>
          <w:highlight w:val="none"/>
          <w:shd w:val="clear"/>
        </w:rPr>
        <w:t>4</w:t>
      </w:r>
      <w:bookmarkStart w:id="761" w:name="_Toc337558757"/>
      <w:bookmarkStart w:id="762" w:name="_Toc296346558"/>
      <w:bookmarkStart w:id="763" w:name="_Toc296503057"/>
      <w:r>
        <w:rPr>
          <w:color w:val="auto"/>
          <w:highlight w:val="none"/>
          <w:shd w:val="clear"/>
        </w:rPr>
        <w:t>.4 商定或确定</w:t>
      </w:r>
      <w:bookmarkEnd w:id="760"/>
    </w:p>
    <w:bookmarkEnd w:id="761"/>
    <w:bookmarkEnd w:id="762"/>
    <w:bookmarkEnd w:id="763"/>
    <w:p w14:paraId="3877697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合同当事人进行商定或确定时，总监理工程师应当会同合同当事人尽量通过协商达成一致，不能达成一致的，由总监理工程师按照合同约定审慎做出公正的确定。</w:t>
      </w:r>
    </w:p>
    <w:p w14:paraId="581702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5D55D9C">
      <w:pPr>
        <w:pStyle w:val="26"/>
        <w:rPr>
          <w:color w:val="auto"/>
          <w:highlight w:val="none"/>
          <w:shd w:val="clear"/>
        </w:rPr>
      </w:pPr>
      <w:bookmarkStart w:id="764" w:name="_Toc351203532"/>
      <w:r>
        <w:rPr>
          <w:color w:val="auto"/>
          <w:highlight w:val="none"/>
          <w:shd w:val="clear"/>
        </w:rPr>
        <w:t>5</w:t>
      </w:r>
      <w:bookmarkStart w:id="765" w:name="_Toc337558758"/>
      <w:r>
        <w:rPr>
          <w:color w:val="auto"/>
          <w:highlight w:val="none"/>
          <w:shd w:val="clear"/>
        </w:rPr>
        <w:t>.工程质量</w:t>
      </w:r>
      <w:bookmarkEnd w:id="764"/>
    </w:p>
    <w:bookmarkEnd w:id="765"/>
    <w:p w14:paraId="6574D92D">
      <w:pPr>
        <w:pStyle w:val="33"/>
        <w:rPr>
          <w:color w:val="auto"/>
          <w:highlight w:val="none"/>
          <w:shd w:val="clear"/>
        </w:rPr>
      </w:pPr>
      <w:bookmarkStart w:id="766" w:name="_Toc351203533"/>
      <w:r>
        <w:rPr>
          <w:color w:val="auto"/>
          <w:highlight w:val="none"/>
          <w:shd w:val="clear"/>
        </w:rPr>
        <w:t>5</w:t>
      </w:r>
      <w:bookmarkStart w:id="767" w:name="_Toc337558759"/>
      <w:r>
        <w:rPr>
          <w:color w:val="auto"/>
          <w:highlight w:val="none"/>
          <w:shd w:val="clear"/>
        </w:rPr>
        <w:t>.1 质量要求</w:t>
      </w:r>
      <w:bookmarkEnd w:id="766"/>
    </w:p>
    <w:bookmarkEnd w:id="767"/>
    <w:p w14:paraId="4EBC73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5.1.1 工程质量标准必须符合现行国家有关工程施工质量验收规范和标准的要求。有关工程质量的特殊标准或要求由合同当事人在专用合同条款中约定。</w:t>
      </w:r>
    </w:p>
    <w:p w14:paraId="2EA151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5.1.2 因发包人原因造成工程质量未达到合同约定标准的，由发包人承担由此增加的费用和（或）延误的工期，并支付承包人合理的利润。</w:t>
      </w:r>
    </w:p>
    <w:p w14:paraId="7DC0A2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5.1.3 因承包人原因造成工程质量未达到合同约定标准的，发包人有权要求承包人返工直至工程质量达到合同约定的标准为止，并由承包人承担由此增加的费用和（或）延误的工期。</w:t>
      </w:r>
    </w:p>
    <w:p w14:paraId="622A8E2A">
      <w:pPr>
        <w:pStyle w:val="33"/>
        <w:rPr>
          <w:color w:val="auto"/>
          <w:highlight w:val="none"/>
          <w:shd w:val="clear"/>
        </w:rPr>
      </w:pPr>
      <w:bookmarkStart w:id="768" w:name="_Toc351203534"/>
      <w:r>
        <w:rPr>
          <w:color w:val="auto"/>
          <w:highlight w:val="none"/>
          <w:shd w:val="clear"/>
        </w:rPr>
        <w:t>5</w:t>
      </w:r>
      <w:bookmarkStart w:id="769" w:name="_Toc337558760"/>
      <w:r>
        <w:rPr>
          <w:color w:val="auto"/>
          <w:highlight w:val="none"/>
          <w:shd w:val="clear"/>
        </w:rPr>
        <w:t>.2 质量保证措施</w:t>
      </w:r>
      <w:bookmarkEnd w:id="768"/>
    </w:p>
    <w:bookmarkEnd w:id="769"/>
    <w:p w14:paraId="159CBF4C">
      <w:pPr>
        <w:pStyle w:val="22"/>
        <w:ind w:firstLine="420"/>
        <w:rPr>
          <w:rFonts w:ascii="Times New Roman" w:hAnsi="Times New Roman"/>
          <w:color w:val="auto"/>
          <w:highlight w:val="none"/>
          <w:shd w:val="clear"/>
        </w:rPr>
      </w:pPr>
      <w:bookmarkStart w:id="770" w:name="_Toc170804066"/>
      <w:bookmarkStart w:id="771" w:name="_Toc170805634"/>
      <w:bookmarkStart w:id="772" w:name="_Toc170805254"/>
      <w:r>
        <w:rPr>
          <w:rFonts w:hint="eastAsia" w:ascii="Times New Roman" w:hAnsi="Times New Roman"/>
          <w:color w:val="auto"/>
          <w:highlight w:val="none"/>
          <w:shd w:val="clear"/>
        </w:rPr>
        <w:t>5.2.1 发包人的质量管理</w:t>
      </w:r>
      <w:bookmarkEnd w:id="770"/>
      <w:bookmarkEnd w:id="771"/>
      <w:bookmarkEnd w:id="772"/>
    </w:p>
    <w:p w14:paraId="396378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发包人应按照法律规定及合同约定完成与工程质量有关的各项工作。</w:t>
      </w:r>
    </w:p>
    <w:p w14:paraId="3813126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5.2.2 承包人的质量管理</w:t>
      </w:r>
    </w:p>
    <w:p w14:paraId="4EB4F67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F5F39C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承包人应对施工人员进行质量教育和技术培训，定期考核施工人员的劳动技能，严格执行施工规范和操作规程。</w:t>
      </w:r>
    </w:p>
    <w:p w14:paraId="533829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CACA657">
      <w:pPr>
        <w:pStyle w:val="22"/>
        <w:ind w:firstLine="420"/>
        <w:rPr>
          <w:rFonts w:ascii="Times New Roman" w:hAnsi="Times New Roman"/>
          <w:color w:val="auto"/>
          <w:highlight w:val="none"/>
          <w:shd w:val="clear"/>
        </w:rPr>
      </w:pPr>
      <w:bookmarkStart w:id="773" w:name="_Toc170805255"/>
      <w:bookmarkStart w:id="774" w:name="_Toc170804067"/>
      <w:bookmarkStart w:id="775" w:name="_Toc170805635"/>
      <w:r>
        <w:rPr>
          <w:rFonts w:hint="eastAsia" w:ascii="Times New Roman" w:hAnsi="Times New Roman"/>
          <w:color w:val="auto"/>
          <w:highlight w:val="none"/>
          <w:shd w:val="clear"/>
        </w:rPr>
        <w:t>5.2.3 监理人的质量检查和检验</w:t>
      </w:r>
      <w:bookmarkEnd w:id="773"/>
      <w:bookmarkEnd w:id="774"/>
      <w:bookmarkEnd w:id="775"/>
    </w:p>
    <w:p w14:paraId="7676112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A7CCBD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0A44295">
      <w:pPr>
        <w:pStyle w:val="33"/>
        <w:rPr>
          <w:color w:val="auto"/>
          <w:highlight w:val="none"/>
          <w:shd w:val="clear"/>
        </w:rPr>
      </w:pPr>
      <w:bookmarkStart w:id="776" w:name="_Toc351203535"/>
      <w:r>
        <w:rPr>
          <w:color w:val="auto"/>
          <w:highlight w:val="none"/>
          <w:shd w:val="clear"/>
        </w:rPr>
        <w:t>5</w:t>
      </w:r>
      <w:bookmarkStart w:id="777" w:name="_Toc337558761"/>
      <w:r>
        <w:rPr>
          <w:color w:val="auto"/>
          <w:highlight w:val="none"/>
          <w:shd w:val="clear"/>
        </w:rPr>
        <w:t>.3 隐蔽工程检查</w:t>
      </w:r>
      <w:bookmarkEnd w:id="776"/>
    </w:p>
    <w:bookmarkEnd w:id="777"/>
    <w:p w14:paraId="089B1B4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5.3.1承包人自检</w:t>
      </w:r>
    </w:p>
    <w:p w14:paraId="41735C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承包人应当对工程隐蔽部位进行自检，并经自检确认是否具备覆盖条件。</w:t>
      </w:r>
    </w:p>
    <w:p w14:paraId="01B51F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5.3.2检查程序</w:t>
      </w:r>
    </w:p>
    <w:p w14:paraId="1C75D12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EE68A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D68016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A0B0D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5.3.3 重新检查</w:t>
      </w:r>
    </w:p>
    <w:p w14:paraId="5517D12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DC0A1D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5.3.4 承包人私自覆盖</w:t>
      </w:r>
    </w:p>
    <w:p w14:paraId="320C62B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承包人未通知监理人到场检查，私自将工程隐蔽部位覆盖的，监理人有权指示承包人钻孔探测或揭开检查，无论工程隐蔽部位质量是否合格，由此增加的费用和（或）延误的工期均由承包人承担。</w:t>
      </w:r>
    </w:p>
    <w:p w14:paraId="203391CC">
      <w:pPr>
        <w:pStyle w:val="33"/>
        <w:rPr>
          <w:color w:val="auto"/>
          <w:highlight w:val="none"/>
          <w:shd w:val="clear"/>
        </w:rPr>
      </w:pPr>
      <w:bookmarkStart w:id="778" w:name="_Toc351203536"/>
      <w:r>
        <w:rPr>
          <w:color w:val="auto"/>
          <w:highlight w:val="none"/>
          <w:shd w:val="clear"/>
        </w:rPr>
        <w:t>5</w:t>
      </w:r>
      <w:bookmarkStart w:id="779" w:name="_Toc337558762"/>
      <w:r>
        <w:rPr>
          <w:color w:val="auto"/>
          <w:highlight w:val="none"/>
          <w:shd w:val="clear"/>
        </w:rPr>
        <w:t>.4 不合格工程的处理</w:t>
      </w:r>
      <w:bookmarkEnd w:id="778"/>
    </w:p>
    <w:bookmarkEnd w:id="779"/>
    <w:p w14:paraId="756D02F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7218B9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5.4.2 因发包人原因造成工程不合格的，由此增加的费用和（或）延误的工期由发包人承担，并支付承包人合理的利润。</w:t>
      </w:r>
    </w:p>
    <w:p w14:paraId="399E58C7">
      <w:pPr>
        <w:pStyle w:val="33"/>
        <w:rPr>
          <w:color w:val="auto"/>
          <w:highlight w:val="none"/>
          <w:shd w:val="clear"/>
        </w:rPr>
      </w:pPr>
      <w:bookmarkStart w:id="780" w:name="_Toc351203537"/>
      <w:r>
        <w:rPr>
          <w:color w:val="auto"/>
          <w:highlight w:val="none"/>
          <w:shd w:val="clear"/>
        </w:rPr>
        <w:t>5.5 质量争议检测</w:t>
      </w:r>
      <w:bookmarkEnd w:id="780"/>
    </w:p>
    <w:p w14:paraId="0AC0A4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合同当事人对工程质量有争议的，由双方协商确定的工程质量检测机构鉴定，由此产生的费用及因此造成的损失，由责任方承担。</w:t>
      </w:r>
    </w:p>
    <w:p w14:paraId="1B823CB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合同当事人均有责任的，由双方根据其责任分别承担。合同当事人无法达成一致的，按照第4.4款〔商定或确定〕执行。</w:t>
      </w:r>
    </w:p>
    <w:p w14:paraId="6E60A879">
      <w:pPr>
        <w:pStyle w:val="26"/>
        <w:rPr>
          <w:color w:val="auto"/>
          <w:highlight w:val="none"/>
          <w:shd w:val="clear"/>
        </w:rPr>
      </w:pPr>
      <w:bookmarkStart w:id="781" w:name="_Toc351203538"/>
      <w:r>
        <w:rPr>
          <w:color w:val="auto"/>
          <w:highlight w:val="none"/>
          <w:shd w:val="clear"/>
        </w:rPr>
        <w:t>6</w:t>
      </w:r>
      <w:bookmarkStart w:id="782" w:name="_Toc337558763"/>
      <w:r>
        <w:rPr>
          <w:color w:val="auto"/>
          <w:highlight w:val="none"/>
          <w:shd w:val="clear"/>
        </w:rPr>
        <w:t>.安全文明施工与环境保护</w:t>
      </w:r>
      <w:bookmarkEnd w:id="781"/>
    </w:p>
    <w:bookmarkEnd w:id="782"/>
    <w:p w14:paraId="0D2C224C">
      <w:pPr>
        <w:pStyle w:val="33"/>
        <w:rPr>
          <w:color w:val="auto"/>
          <w:highlight w:val="none"/>
          <w:shd w:val="clear"/>
        </w:rPr>
      </w:pPr>
      <w:bookmarkStart w:id="783" w:name="_Toc351203539"/>
      <w:r>
        <w:rPr>
          <w:color w:val="auto"/>
          <w:highlight w:val="none"/>
          <w:shd w:val="clear"/>
        </w:rPr>
        <w:t>6</w:t>
      </w:r>
      <w:bookmarkStart w:id="784" w:name="_Toc337558764"/>
      <w:r>
        <w:rPr>
          <w:color w:val="auto"/>
          <w:highlight w:val="none"/>
          <w:shd w:val="clear"/>
        </w:rPr>
        <w:t>.1 安全文明施工</w:t>
      </w:r>
      <w:bookmarkEnd w:id="783"/>
    </w:p>
    <w:bookmarkEnd w:id="784"/>
    <w:p w14:paraId="712C66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6.1.1</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安全生产要求</w:t>
      </w:r>
    </w:p>
    <w:p w14:paraId="4F5D3D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70505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在施工过程中，如遇到突发的地质变动、事先未知的地下施工障碍等影响施工安全的紧急情况，承包人应及时报告监理人和发包人，发包人应当及时下令停工并报政府有关行政管理部门采取应急措施。</w:t>
      </w:r>
    </w:p>
    <w:p w14:paraId="269F439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因安全生产需要暂停施工的，按照第7.8款〔暂停施工〕的约定执行。</w:t>
      </w:r>
    </w:p>
    <w:p w14:paraId="46F02A4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6.1.2 安全生产保证措施</w:t>
      </w:r>
    </w:p>
    <w:p w14:paraId="0693CC4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F0F8B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6.1.3</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特别安全生产事项</w:t>
      </w:r>
    </w:p>
    <w:p w14:paraId="42767F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6F6B0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承包人在动力设备、输电线路、地下管道、密封防震车间、易燃易爆地段以及临街交通要道附近施工时，施工开始前应向发包人和监理人提出安全防护措施，经发包人认可后实施。</w:t>
      </w:r>
    </w:p>
    <w:p w14:paraId="50EAB18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实施爆破作业，在放射、毒害性环境中施工（含储存、运输、使用）及使用毒害性、腐蚀性物品施工时，承包人应在施工前7天以书面通知发包人和监理人，并报送相应的安全防护措施，经发包人认可后实施。</w:t>
      </w:r>
    </w:p>
    <w:p w14:paraId="56AA1D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需单独编制危险性较大分部分项专项工程施工方案的，及要求进行专家论证的超过一定规模的危险性较大的分部分项工程，承包人应及时编制和组织论证。</w:t>
      </w:r>
    </w:p>
    <w:p w14:paraId="5734E93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6.1.4 治安保卫</w:t>
      </w:r>
    </w:p>
    <w:p w14:paraId="23E32BC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除专用合同条款另有约定外，发包人应与当地公安部门协商，在现场建立治安管理机构或联防组织，统一管理施工场地的治安保卫事项，履行合同工程的治安保卫职责。</w:t>
      </w:r>
    </w:p>
    <w:p w14:paraId="5D1290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发包人和承包人除应协助现场治安管理机构或联防组织维护施工场地的社会治安外，还应做好包括生活区在内的各自管辖区的治安保卫工作。</w:t>
      </w:r>
    </w:p>
    <w:p w14:paraId="2C380B6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D1B73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6.1.5 文明施工</w:t>
      </w:r>
    </w:p>
    <w:p w14:paraId="211D39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93E00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AAACD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6.1.6 安全文明施工费</w:t>
      </w:r>
    </w:p>
    <w:p w14:paraId="659E278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安全文明施工费由发包人承担，发包人不得以任何形式扣减该部分费用。因基准日期后合同所适用的法律或政府有关规定发生变化，增加的安全文明施工费由发包人承担。</w:t>
      </w:r>
    </w:p>
    <w:p w14:paraId="7F5FEB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DE789F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6A4DA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D5DEC3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6.1.7 紧急情况处理</w:t>
      </w:r>
    </w:p>
    <w:p w14:paraId="673C8D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91E2FB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6.1.8 事故处理</w:t>
      </w:r>
    </w:p>
    <w:p w14:paraId="36195F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664A66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6.1.9 安全生产责任</w:t>
      </w:r>
    </w:p>
    <w:p w14:paraId="5E4F7B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6.1.9.1 发包人的安全责任</w:t>
      </w:r>
    </w:p>
    <w:p w14:paraId="2A4A7A0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发包人应负责赔偿以下各种情况造成的损失：</w:t>
      </w:r>
    </w:p>
    <w:p w14:paraId="0637D7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（1）工程或工程的任何部分对土地的占用所造成的第三者财产损失；</w:t>
      </w:r>
    </w:p>
    <w:p w14:paraId="275040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（2）由于发包人原因在施工场地及其毗邻地带造成的第三者人身伤亡和财产损失；</w:t>
      </w:r>
    </w:p>
    <w:p w14:paraId="4CCBED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（3）由于发包人原因对承包人、监理人造成的人员人身伤亡和财产损失；</w:t>
      </w:r>
    </w:p>
    <w:p w14:paraId="465B7F2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（4）由于发包人原因造成的发包人自身人员的人身伤害以及财产损失。</w:t>
      </w:r>
    </w:p>
    <w:p w14:paraId="3F29253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6.1.9.2 承包人的安全责任</w:t>
      </w:r>
    </w:p>
    <w:p w14:paraId="2885EE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由于承包人原因在施工场地内及其毗邻地带造成的发包人、监理人以及第三者人员伤亡和财产损失，由承包人负责赔偿。</w:t>
      </w:r>
    </w:p>
    <w:p w14:paraId="3526E1F3">
      <w:pPr>
        <w:pStyle w:val="33"/>
        <w:rPr>
          <w:color w:val="auto"/>
          <w:highlight w:val="none"/>
          <w:shd w:val="clear"/>
        </w:rPr>
      </w:pPr>
      <w:bookmarkStart w:id="785" w:name="_Toc351203540"/>
      <w:r>
        <w:rPr>
          <w:color w:val="auto"/>
          <w:highlight w:val="none"/>
          <w:shd w:val="clear"/>
        </w:rPr>
        <w:t>6</w:t>
      </w:r>
      <w:bookmarkStart w:id="786" w:name="_Toc337558765"/>
      <w:r>
        <w:rPr>
          <w:color w:val="auto"/>
          <w:highlight w:val="none"/>
          <w:shd w:val="clear"/>
        </w:rPr>
        <w:t>.2 职业健康</w:t>
      </w:r>
      <w:bookmarkEnd w:id="785"/>
    </w:p>
    <w:bookmarkEnd w:id="786"/>
    <w:p w14:paraId="2FB6F8F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6.2.1 劳动保护</w:t>
      </w:r>
    </w:p>
    <w:p w14:paraId="19795BA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FBE7D5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9DB8B1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承包人应按法律规定安排工作时间，保证其雇佣人员享有休息和休假的权利。因工程施工的特殊需要占用休假日或延长工作时间的，应不超过法律规定的限度，并按法律规定给予补休或付酬。</w:t>
      </w:r>
    </w:p>
    <w:p w14:paraId="667396F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6.2.2 生活条件</w:t>
      </w:r>
    </w:p>
    <w:p w14:paraId="7B7388F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A5AB358">
      <w:pPr>
        <w:pStyle w:val="33"/>
        <w:rPr>
          <w:color w:val="auto"/>
          <w:highlight w:val="none"/>
          <w:shd w:val="clear"/>
        </w:rPr>
      </w:pPr>
      <w:bookmarkStart w:id="787" w:name="_Toc351203541"/>
      <w:r>
        <w:rPr>
          <w:color w:val="auto"/>
          <w:highlight w:val="none"/>
          <w:shd w:val="clear"/>
        </w:rPr>
        <w:t>6</w:t>
      </w:r>
      <w:bookmarkStart w:id="788" w:name="_Toc337558766"/>
      <w:r>
        <w:rPr>
          <w:color w:val="auto"/>
          <w:highlight w:val="none"/>
          <w:shd w:val="clear"/>
        </w:rPr>
        <w:t>.3 环境保护</w:t>
      </w:r>
      <w:bookmarkEnd w:id="787"/>
    </w:p>
    <w:bookmarkEnd w:id="788"/>
    <w:p w14:paraId="249EE64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EF3F05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承包人应当承担因其原因引起的环境污染侵权损害赔偿责任，因上述环境污染引起纠纷而导致暂停施工的，由此增加的费用和（或）延误的工期由承包人承担。</w:t>
      </w:r>
    </w:p>
    <w:p w14:paraId="6F57A080">
      <w:pPr>
        <w:pStyle w:val="26"/>
        <w:rPr>
          <w:color w:val="auto"/>
          <w:highlight w:val="none"/>
          <w:shd w:val="clear"/>
        </w:rPr>
      </w:pPr>
      <w:bookmarkStart w:id="789" w:name="_Toc351203542"/>
      <w:r>
        <w:rPr>
          <w:color w:val="auto"/>
          <w:highlight w:val="none"/>
          <w:shd w:val="clear"/>
        </w:rPr>
        <w:t>7</w:t>
      </w:r>
      <w:bookmarkStart w:id="790" w:name="_Toc337558767"/>
      <w:r>
        <w:rPr>
          <w:color w:val="auto"/>
          <w:highlight w:val="none"/>
          <w:shd w:val="clear"/>
        </w:rPr>
        <w:t>.工期和进度</w:t>
      </w:r>
      <w:bookmarkEnd w:id="789"/>
    </w:p>
    <w:bookmarkEnd w:id="790"/>
    <w:p w14:paraId="0FB5548D">
      <w:pPr>
        <w:pStyle w:val="33"/>
        <w:rPr>
          <w:color w:val="auto"/>
          <w:highlight w:val="none"/>
          <w:shd w:val="clear"/>
        </w:rPr>
      </w:pPr>
      <w:bookmarkStart w:id="791" w:name="_Toc351203543"/>
      <w:r>
        <w:rPr>
          <w:color w:val="auto"/>
          <w:highlight w:val="none"/>
          <w:shd w:val="clear"/>
        </w:rPr>
        <w:t>7</w:t>
      </w:r>
      <w:bookmarkStart w:id="792" w:name="_Toc337558768"/>
      <w:bookmarkStart w:id="793" w:name="_Toc296346567"/>
      <w:bookmarkStart w:id="794" w:name="_Toc296503066"/>
      <w:r>
        <w:rPr>
          <w:color w:val="auto"/>
          <w:highlight w:val="none"/>
          <w:shd w:val="clear"/>
        </w:rPr>
        <w:t>.1 施工组织设计</w:t>
      </w:r>
      <w:bookmarkEnd w:id="791"/>
    </w:p>
    <w:bookmarkEnd w:id="792"/>
    <w:p w14:paraId="3A79570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7.1.1 施工组织设计的内容</w:t>
      </w:r>
    </w:p>
    <w:p w14:paraId="5C0D5F8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施工组织设计应包含以下内容：</w:t>
      </w:r>
    </w:p>
    <w:p w14:paraId="08173ED3">
      <w:pPr>
        <w:pStyle w:val="22"/>
        <w:ind w:firstLine="420"/>
        <w:rPr>
          <w:rFonts w:ascii="Times New Roman" w:hAnsi="Times New Roman"/>
          <w:color w:val="auto"/>
          <w:highlight w:val="none"/>
          <w:shd w:val="clear"/>
        </w:rPr>
      </w:pPr>
      <w:r>
        <w:rPr>
          <w:rFonts w:ascii="Times New Roman" w:hAnsi="Times New Roman"/>
          <w:color w:val="auto"/>
          <w:highlight w:val="none"/>
          <w:shd w:val="clear"/>
        </w:rPr>
        <w:t>（1）施工方案</w:t>
      </w:r>
      <w:r>
        <w:rPr>
          <w:rFonts w:hint="eastAsia" w:ascii="Times New Roman" w:hAnsi="Times New Roman"/>
          <w:color w:val="auto"/>
          <w:highlight w:val="none"/>
          <w:shd w:val="clear"/>
        </w:rPr>
        <w:t>；</w:t>
      </w:r>
    </w:p>
    <w:p w14:paraId="7ED1EAA2">
      <w:pPr>
        <w:pStyle w:val="22"/>
        <w:ind w:firstLine="420"/>
        <w:rPr>
          <w:rFonts w:ascii="Times New Roman" w:hAnsi="Times New Roman"/>
          <w:color w:val="auto"/>
          <w:highlight w:val="none"/>
          <w:shd w:val="clear"/>
        </w:rPr>
      </w:pPr>
      <w:r>
        <w:rPr>
          <w:rFonts w:ascii="Times New Roman" w:hAnsi="Times New Roman"/>
          <w:color w:val="auto"/>
          <w:highlight w:val="none"/>
          <w:shd w:val="clear"/>
        </w:rPr>
        <w:t>（2）施工现场平面布置图；</w:t>
      </w:r>
    </w:p>
    <w:p w14:paraId="56233BB7">
      <w:pPr>
        <w:pStyle w:val="22"/>
        <w:ind w:firstLine="420"/>
        <w:rPr>
          <w:rFonts w:ascii="Times New Roman" w:hAnsi="Times New Roman"/>
          <w:color w:val="auto"/>
          <w:highlight w:val="none"/>
          <w:shd w:val="clear"/>
        </w:rPr>
      </w:pPr>
      <w:r>
        <w:rPr>
          <w:rFonts w:ascii="Times New Roman" w:hAnsi="Times New Roman"/>
          <w:color w:val="auto"/>
          <w:highlight w:val="none"/>
          <w:shd w:val="clear"/>
        </w:rPr>
        <w:t>（3）施工进度计划和保证措施</w:t>
      </w:r>
      <w:r>
        <w:rPr>
          <w:rFonts w:hint="eastAsia" w:ascii="Times New Roman" w:hAnsi="Times New Roman"/>
          <w:color w:val="auto"/>
          <w:highlight w:val="none"/>
          <w:shd w:val="clear"/>
        </w:rPr>
        <w:t>；</w:t>
      </w:r>
    </w:p>
    <w:p w14:paraId="20B6C6DB">
      <w:pPr>
        <w:pStyle w:val="22"/>
        <w:ind w:firstLine="420"/>
        <w:rPr>
          <w:rFonts w:ascii="Times New Roman" w:hAnsi="Times New Roman"/>
          <w:color w:val="auto"/>
          <w:highlight w:val="none"/>
          <w:shd w:val="clear"/>
        </w:rPr>
      </w:pPr>
      <w:r>
        <w:rPr>
          <w:rFonts w:ascii="Times New Roman" w:hAnsi="Times New Roman"/>
          <w:color w:val="auto"/>
          <w:highlight w:val="none"/>
          <w:shd w:val="clear"/>
        </w:rPr>
        <w:t>（4）劳动力及材料供应计划；</w:t>
      </w:r>
    </w:p>
    <w:p w14:paraId="1EF77E33">
      <w:pPr>
        <w:pStyle w:val="22"/>
        <w:ind w:firstLine="420"/>
        <w:rPr>
          <w:rFonts w:ascii="Times New Roman" w:hAnsi="Times New Roman"/>
          <w:color w:val="auto"/>
          <w:highlight w:val="none"/>
          <w:shd w:val="clear"/>
        </w:rPr>
      </w:pPr>
      <w:r>
        <w:rPr>
          <w:rFonts w:ascii="Times New Roman" w:hAnsi="Times New Roman"/>
          <w:color w:val="auto"/>
          <w:highlight w:val="none"/>
          <w:shd w:val="clear"/>
        </w:rPr>
        <w:t>（5）施工机械设备的选用；</w:t>
      </w:r>
    </w:p>
    <w:p w14:paraId="17B13EAD">
      <w:pPr>
        <w:pStyle w:val="22"/>
        <w:ind w:firstLine="420"/>
        <w:rPr>
          <w:rFonts w:ascii="Times New Roman" w:hAnsi="Times New Roman"/>
          <w:color w:val="auto"/>
          <w:highlight w:val="none"/>
          <w:shd w:val="clear"/>
        </w:rPr>
      </w:pPr>
      <w:r>
        <w:rPr>
          <w:rFonts w:ascii="Times New Roman" w:hAnsi="Times New Roman"/>
          <w:color w:val="auto"/>
          <w:highlight w:val="none"/>
          <w:shd w:val="clear"/>
        </w:rPr>
        <w:t>（6）质量保证体系及措施；</w:t>
      </w:r>
    </w:p>
    <w:p w14:paraId="05BE25A7">
      <w:pPr>
        <w:pStyle w:val="22"/>
        <w:ind w:firstLine="420"/>
        <w:rPr>
          <w:rFonts w:ascii="Times New Roman" w:hAnsi="Times New Roman"/>
          <w:color w:val="auto"/>
          <w:highlight w:val="none"/>
          <w:shd w:val="clear"/>
        </w:rPr>
      </w:pPr>
      <w:r>
        <w:rPr>
          <w:rFonts w:ascii="Times New Roman" w:hAnsi="Times New Roman"/>
          <w:color w:val="auto"/>
          <w:highlight w:val="none"/>
          <w:shd w:val="clear"/>
        </w:rPr>
        <w:t>（7）安全生产、文明施工措施；</w:t>
      </w:r>
    </w:p>
    <w:p w14:paraId="6AB730FC">
      <w:pPr>
        <w:pStyle w:val="22"/>
        <w:ind w:firstLine="420"/>
        <w:rPr>
          <w:rFonts w:ascii="Times New Roman" w:hAnsi="Times New Roman"/>
          <w:color w:val="auto"/>
          <w:highlight w:val="none"/>
          <w:shd w:val="clear"/>
        </w:rPr>
      </w:pPr>
      <w:r>
        <w:rPr>
          <w:rFonts w:ascii="Times New Roman" w:hAnsi="Times New Roman"/>
          <w:color w:val="auto"/>
          <w:highlight w:val="none"/>
          <w:shd w:val="clear"/>
        </w:rPr>
        <w:t>（8）环境保护、成本控制措施</w:t>
      </w:r>
      <w:r>
        <w:rPr>
          <w:rFonts w:hint="eastAsia" w:ascii="Times New Roman" w:hAnsi="Times New Roman"/>
          <w:color w:val="auto"/>
          <w:highlight w:val="none"/>
          <w:shd w:val="clear"/>
        </w:rPr>
        <w:t>；</w:t>
      </w:r>
    </w:p>
    <w:p w14:paraId="10DF32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（9）合同当事人约定的其他内容</w:t>
      </w:r>
      <w:r>
        <w:rPr>
          <w:rFonts w:ascii="Times New Roman" w:hAnsi="Times New Roman"/>
          <w:color w:val="auto"/>
          <w:highlight w:val="none"/>
          <w:shd w:val="clear"/>
        </w:rPr>
        <w:t>。</w:t>
      </w:r>
    </w:p>
    <w:p w14:paraId="5D8F016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7.1.2 施工组织设计的提交和修改</w:t>
      </w:r>
    </w:p>
    <w:p w14:paraId="52356B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5C09A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施工进度计划的编制和修改按照第7.2款〔施工进度计划〕执行。</w:t>
      </w:r>
    </w:p>
    <w:p w14:paraId="73EC74F5">
      <w:pPr>
        <w:pStyle w:val="33"/>
        <w:rPr>
          <w:color w:val="auto"/>
          <w:highlight w:val="none"/>
          <w:shd w:val="clear"/>
        </w:rPr>
      </w:pPr>
      <w:bookmarkStart w:id="795" w:name="_Toc351203544"/>
      <w:r>
        <w:rPr>
          <w:color w:val="auto"/>
          <w:highlight w:val="none"/>
          <w:shd w:val="clear"/>
        </w:rPr>
        <w:t>7</w:t>
      </w:r>
      <w:bookmarkStart w:id="796" w:name="_Toc337558769"/>
      <w:r>
        <w:rPr>
          <w:color w:val="auto"/>
          <w:highlight w:val="none"/>
          <w:shd w:val="clear"/>
        </w:rPr>
        <w:t>.2 施工进度计划</w:t>
      </w:r>
      <w:bookmarkEnd w:id="795"/>
    </w:p>
    <w:bookmarkEnd w:id="796"/>
    <w:p w14:paraId="514FDA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7.2.1 施工进度计划的编制</w:t>
      </w:r>
    </w:p>
    <w:p w14:paraId="7F8DD28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ED202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7.2.2 施工进度计划的修订</w:t>
      </w:r>
    </w:p>
    <w:p w14:paraId="59C214D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5A74A84">
      <w:pPr>
        <w:pStyle w:val="33"/>
        <w:rPr>
          <w:color w:val="auto"/>
          <w:highlight w:val="none"/>
          <w:shd w:val="clear"/>
        </w:rPr>
      </w:pPr>
      <w:bookmarkStart w:id="797" w:name="_Toc351203545"/>
      <w:r>
        <w:rPr>
          <w:color w:val="auto"/>
          <w:highlight w:val="none"/>
          <w:shd w:val="clear"/>
        </w:rPr>
        <w:t>7</w:t>
      </w:r>
      <w:bookmarkStart w:id="798" w:name="_Toc337558770"/>
      <w:r>
        <w:rPr>
          <w:color w:val="auto"/>
          <w:highlight w:val="none"/>
          <w:shd w:val="clear"/>
        </w:rPr>
        <w:t>.3 开工</w:t>
      </w:r>
      <w:bookmarkEnd w:id="797"/>
    </w:p>
    <w:p w14:paraId="7DE2507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7.3.1 开工准备</w:t>
      </w:r>
    </w:p>
    <w:p w14:paraId="6E35CD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1068F3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除专用合同条款另有约定外，合同当事人应按约定完成开工准备工作。</w:t>
      </w:r>
    </w:p>
    <w:p w14:paraId="13B1AB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7.3.2 开工通知</w:t>
      </w:r>
    </w:p>
    <w:bookmarkEnd w:id="798"/>
    <w:p w14:paraId="221196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7C4BF1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1E4D4D6">
      <w:pPr>
        <w:pStyle w:val="33"/>
        <w:rPr>
          <w:color w:val="auto"/>
          <w:highlight w:val="none"/>
          <w:shd w:val="clear"/>
        </w:rPr>
      </w:pPr>
      <w:bookmarkStart w:id="799" w:name="_Toc351203546"/>
      <w:r>
        <w:rPr>
          <w:color w:val="auto"/>
          <w:highlight w:val="none"/>
          <w:shd w:val="clear"/>
        </w:rPr>
        <w:t>7.4测量放线</w:t>
      </w:r>
      <w:bookmarkEnd w:id="799"/>
    </w:p>
    <w:p w14:paraId="72C608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22E0EB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BF762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C7DBD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施工过程中对施工现场内水准点等测量标志物的保护工作由承包人负责。</w:t>
      </w:r>
      <w:bookmarkStart w:id="800" w:name="_Toc351203547"/>
    </w:p>
    <w:p w14:paraId="0ED6D6BB">
      <w:pPr>
        <w:pStyle w:val="33"/>
        <w:rPr>
          <w:color w:val="auto"/>
          <w:highlight w:val="none"/>
          <w:shd w:val="clear"/>
        </w:rPr>
      </w:pPr>
      <w:r>
        <w:rPr>
          <w:color w:val="auto"/>
          <w:highlight w:val="none"/>
          <w:shd w:val="clear"/>
        </w:rPr>
        <w:t>7</w:t>
      </w:r>
      <w:bookmarkEnd w:id="793"/>
      <w:bookmarkEnd w:id="794"/>
      <w:bookmarkStart w:id="801" w:name="_Toc337558772"/>
      <w:bookmarkStart w:id="802" w:name="_Toc296346574"/>
      <w:bookmarkStart w:id="803" w:name="_Toc296503073"/>
      <w:r>
        <w:rPr>
          <w:color w:val="auto"/>
          <w:highlight w:val="none"/>
          <w:shd w:val="clear"/>
        </w:rPr>
        <w:t>.5 工期延误</w:t>
      </w:r>
      <w:bookmarkEnd w:id="800"/>
    </w:p>
    <w:bookmarkEnd w:id="801"/>
    <w:bookmarkEnd w:id="802"/>
    <w:bookmarkEnd w:id="803"/>
    <w:p w14:paraId="62F8890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7.5.1 因发包人原因导致工期延误</w:t>
      </w:r>
    </w:p>
    <w:p w14:paraId="73AD4A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在合同履行过程中，因下列情况导致工期延误和（或）费用增加的，由发包人承担由此延误的工期和（或）增加的费用，且发包人应支付承包人合理的利润：</w:t>
      </w:r>
    </w:p>
    <w:p w14:paraId="5A0D07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（1）发包人未能按合同约定提供图纸或所提供图纸不符合合同约定的；</w:t>
      </w:r>
    </w:p>
    <w:p w14:paraId="40EA38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（2）发包人未能按合同约定提供施工现场、施工条件、基础资料、许可、批准等开工条件的；</w:t>
      </w:r>
    </w:p>
    <w:p w14:paraId="747EBE2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（3）发包人提供的测量基准点、基准线和水准点及其书面资料存在错误或疏漏的；</w:t>
      </w:r>
    </w:p>
    <w:p w14:paraId="3D51083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（4）发包人未能在计划开工日期之日起7天内同意下达开工通知的；</w:t>
      </w:r>
    </w:p>
    <w:p w14:paraId="68B565D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（5）发包人未能按合同约定日期支付工程预付款、进度款或竣工结算款的；</w:t>
      </w:r>
    </w:p>
    <w:p w14:paraId="1211FC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（6）监理人未按合同约定发出指示、批准等文件的；</w:t>
      </w:r>
    </w:p>
    <w:p w14:paraId="571CD1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（7）专用合同条款中约定的其他情形。</w:t>
      </w:r>
    </w:p>
    <w:p w14:paraId="07AAFE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6007BB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7.5.2 因承包人原因导致工期延误</w:t>
      </w:r>
    </w:p>
    <w:p w14:paraId="1B96F8FE">
      <w:pPr>
        <w:pStyle w:val="22"/>
        <w:ind w:firstLine="420"/>
        <w:rPr>
          <w:rFonts w:ascii="Times New Roman" w:hAnsi="Times New Roman"/>
          <w:color w:val="auto"/>
          <w:highlight w:val="none"/>
          <w:shd w:val="clear"/>
        </w:rPr>
      </w:pPr>
      <w:bookmarkStart w:id="804" w:name="_Toc296503076"/>
      <w:bookmarkStart w:id="805" w:name="_Toc296346577"/>
      <w:r>
        <w:rPr>
          <w:rFonts w:hint="eastAsia" w:ascii="Times New Roman" w:hAnsi="Times New Roman"/>
          <w:color w:val="auto"/>
          <w:highlight w:val="none"/>
          <w:shd w:val="clear"/>
        </w:rPr>
        <w:t>因</w:t>
      </w:r>
      <w:bookmarkEnd w:id="804"/>
      <w:bookmarkEnd w:id="805"/>
      <w:r>
        <w:rPr>
          <w:rFonts w:hint="eastAsia" w:ascii="Times New Roman" w:hAnsi="Times New Roman"/>
          <w:color w:val="auto"/>
          <w:highlight w:val="none"/>
          <w:shd w:val="clear"/>
        </w:rPr>
        <w:t>承包人原因造成工期延误的，可以在专用合同条款中约定逾期竣工违约金的计算方法和逾期竣工违约金的上限。承包人支付逾期竣工违约金后，不免除承包人继续完成工程及修补缺陷的义务。</w:t>
      </w:r>
    </w:p>
    <w:p w14:paraId="09DAF621">
      <w:pPr>
        <w:pStyle w:val="33"/>
        <w:rPr>
          <w:color w:val="auto"/>
          <w:highlight w:val="none"/>
          <w:shd w:val="clear"/>
        </w:rPr>
      </w:pPr>
      <w:bookmarkStart w:id="806" w:name="_Toc351203548"/>
      <w:r>
        <w:rPr>
          <w:color w:val="auto"/>
          <w:highlight w:val="none"/>
          <w:shd w:val="clear"/>
        </w:rPr>
        <w:t>7</w:t>
      </w:r>
      <w:bookmarkStart w:id="807" w:name="_Toc296346575"/>
      <w:bookmarkStart w:id="808" w:name="_Toc296503074"/>
      <w:bookmarkStart w:id="809" w:name="_Toc337558773"/>
      <w:bookmarkStart w:id="810" w:name="_Toc296346578"/>
      <w:bookmarkStart w:id="811" w:name="_Toc296503077"/>
      <w:r>
        <w:rPr>
          <w:color w:val="auto"/>
          <w:highlight w:val="none"/>
          <w:shd w:val="clear"/>
        </w:rPr>
        <w:t>.6 不利物质条件</w:t>
      </w:r>
      <w:bookmarkEnd w:id="806"/>
    </w:p>
    <w:bookmarkEnd w:id="807"/>
    <w:bookmarkEnd w:id="808"/>
    <w:bookmarkEnd w:id="809"/>
    <w:p w14:paraId="3020F8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BF9702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4FCDBA">
      <w:pPr>
        <w:pStyle w:val="33"/>
        <w:rPr>
          <w:color w:val="auto"/>
          <w:highlight w:val="none"/>
          <w:shd w:val="clear"/>
        </w:rPr>
      </w:pPr>
      <w:bookmarkStart w:id="812" w:name="_Toc351203549"/>
      <w:r>
        <w:rPr>
          <w:color w:val="auto"/>
          <w:highlight w:val="none"/>
          <w:shd w:val="clear"/>
        </w:rPr>
        <w:t>7</w:t>
      </w:r>
      <w:bookmarkStart w:id="813" w:name="_Toc337558774"/>
      <w:bookmarkStart w:id="814" w:name="_Toc296346576"/>
      <w:bookmarkStart w:id="815" w:name="_Toc296503075"/>
      <w:r>
        <w:rPr>
          <w:color w:val="auto"/>
          <w:highlight w:val="none"/>
          <w:shd w:val="clear"/>
        </w:rPr>
        <w:t>.7 异常恶劣的气候条件</w:t>
      </w:r>
      <w:bookmarkEnd w:id="812"/>
    </w:p>
    <w:bookmarkEnd w:id="813"/>
    <w:bookmarkEnd w:id="814"/>
    <w:bookmarkEnd w:id="815"/>
    <w:p w14:paraId="2F9418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F7664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16" w:name="_Toc351203550"/>
    </w:p>
    <w:p w14:paraId="5C06B45D">
      <w:pPr>
        <w:pStyle w:val="33"/>
        <w:rPr>
          <w:color w:val="auto"/>
          <w:highlight w:val="none"/>
          <w:shd w:val="clear"/>
        </w:rPr>
      </w:pPr>
      <w:bookmarkStart w:id="817" w:name="_Toc170805256"/>
      <w:bookmarkStart w:id="818" w:name="_Toc170804068"/>
      <w:bookmarkStart w:id="819" w:name="_Toc170805636"/>
      <w:r>
        <w:rPr>
          <w:color w:val="auto"/>
          <w:highlight w:val="none"/>
          <w:shd w:val="clear"/>
        </w:rPr>
        <w:t>7</w:t>
      </w:r>
      <w:bookmarkStart w:id="820" w:name="_Toc337558775"/>
      <w:r>
        <w:rPr>
          <w:color w:val="auto"/>
          <w:highlight w:val="none"/>
          <w:shd w:val="clear"/>
        </w:rPr>
        <w:t>.8 暂停施工</w:t>
      </w:r>
      <w:bookmarkEnd w:id="816"/>
      <w:bookmarkEnd w:id="817"/>
      <w:bookmarkEnd w:id="818"/>
      <w:bookmarkEnd w:id="819"/>
    </w:p>
    <w:bookmarkEnd w:id="810"/>
    <w:bookmarkEnd w:id="811"/>
    <w:bookmarkEnd w:id="820"/>
    <w:p w14:paraId="0842391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7.8.1 发包人原因引起的暂停施工</w:t>
      </w:r>
    </w:p>
    <w:p w14:paraId="6F94F10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因发包人原因引起暂停施工的，监理人经发包人同意后，应及时下达暂停施工指示。情况紧急且监理人未及时下达暂停施工指示的，按照第7.8.4项〔紧急情况下的暂停施工〕执行。</w:t>
      </w:r>
    </w:p>
    <w:p w14:paraId="3FEEC8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因发包人原因引起的暂停施工，发包人应承担由此增加的费用和（或）延误的工期，并支付承包人合理的利润。</w:t>
      </w:r>
    </w:p>
    <w:p w14:paraId="46990E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7.8.2 承包人原因引起的暂停施工</w:t>
      </w:r>
    </w:p>
    <w:p w14:paraId="78DD658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8C82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7.8.3 指示暂停施工</w:t>
      </w:r>
    </w:p>
    <w:p w14:paraId="097AF4F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监理人认为有必要时，并经发包人批准后，可向承包人作出暂停施工的指示，承包人应按监理人指示暂停施工。</w:t>
      </w:r>
    </w:p>
    <w:p w14:paraId="4D1533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7.8.4 紧急情况下的暂停施工</w:t>
      </w:r>
    </w:p>
    <w:p w14:paraId="4160BC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738A10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7.8.5 暂停施工后的复工</w:t>
      </w:r>
    </w:p>
    <w:p w14:paraId="128744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A6033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承包人无故拖延和拒绝复工的，承包人承担由此增加的费用和（或）延误的工期；因发包人原因无法按时复工的，按照第7.5.1项〔因发包人原因导致工期延误〕约定办理。</w:t>
      </w:r>
    </w:p>
    <w:p w14:paraId="07A552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7.8.6 暂停施工持续56天以上</w:t>
      </w:r>
    </w:p>
    <w:p w14:paraId="6C4D7E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E8C6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4238F9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7.8.7 暂停施工期间的工程照管</w:t>
      </w:r>
    </w:p>
    <w:p w14:paraId="23478D1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暂停施工期间，承包人应负责妥善照管工程并提供安全保障，由此增加的费用由责任方承担。</w:t>
      </w:r>
    </w:p>
    <w:p w14:paraId="0AFB5B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7.8.8 暂停施工的措施</w:t>
      </w:r>
    </w:p>
    <w:p w14:paraId="67E103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暂停施工期间，发包人和承包人均应采取必要的措施确保工程质量及安全，防止因暂停施工扩大损失。</w:t>
      </w:r>
    </w:p>
    <w:p w14:paraId="3E4D302F">
      <w:pPr>
        <w:pStyle w:val="33"/>
        <w:rPr>
          <w:color w:val="auto"/>
          <w:highlight w:val="none"/>
          <w:shd w:val="clear"/>
        </w:rPr>
      </w:pPr>
      <w:bookmarkStart w:id="821" w:name="_Toc351203551"/>
      <w:r>
        <w:rPr>
          <w:color w:val="auto"/>
          <w:highlight w:val="none"/>
          <w:shd w:val="clear"/>
        </w:rPr>
        <w:t>7.9 提前竣工</w:t>
      </w:r>
      <w:bookmarkEnd w:id="821"/>
    </w:p>
    <w:p w14:paraId="323E4E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B60B1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7.9.2 发包人要求承包人提前竣工，或承包人提出提前竣工的建议能够给发包人带来效益的，合同当事人可以在专用合同条款中约定提前竣工的奖励。</w:t>
      </w:r>
    </w:p>
    <w:p w14:paraId="677E0F90">
      <w:pPr>
        <w:pStyle w:val="26"/>
        <w:rPr>
          <w:color w:val="auto"/>
          <w:highlight w:val="none"/>
          <w:shd w:val="clear"/>
        </w:rPr>
      </w:pPr>
      <w:bookmarkStart w:id="822" w:name="_Toc351203552"/>
      <w:r>
        <w:rPr>
          <w:color w:val="auto"/>
          <w:highlight w:val="none"/>
          <w:shd w:val="clear"/>
        </w:rPr>
        <w:t>8</w:t>
      </w:r>
      <w:bookmarkStart w:id="823" w:name="_Toc337558776"/>
      <w:bookmarkStart w:id="824" w:name="_Toc296346559"/>
      <w:bookmarkStart w:id="825" w:name="_Toc296503058"/>
      <w:r>
        <w:rPr>
          <w:color w:val="auto"/>
          <w:highlight w:val="none"/>
          <w:shd w:val="clear"/>
        </w:rPr>
        <w:t>.材料与设备</w:t>
      </w:r>
      <w:bookmarkEnd w:id="822"/>
    </w:p>
    <w:bookmarkEnd w:id="823"/>
    <w:bookmarkEnd w:id="824"/>
    <w:bookmarkEnd w:id="825"/>
    <w:p w14:paraId="6A28038B">
      <w:pPr>
        <w:pStyle w:val="33"/>
        <w:rPr>
          <w:color w:val="auto"/>
          <w:highlight w:val="none"/>
          <w:shd w:val="clear"/>
        </w:rPr>
      </w:pPr>
      <w:bookmarkStart w:id="826" w:name="_Toc351203553"/>
      <w:r>
        <w:rPr>
          <w:color w:val="auto"/>
          <w:highlight w:val="none"/>
          <w:shd w:val="clear"/>
        </w:rPr>
        <w:t>8</w:t>
      </w:r>
      <w:bookmarkStart w:id="827" w:name="_Toc296346560"/>
      <w:bookmarkStart w:id="828" w:name="_Toc337558777"/>
      <w:bookmarkStart w:id="829" w:name="_Toc296503059"/>
      <w:bookmarkStart w:id="830" w:name="_Toc468936960"/>
      <w:r>
        <w:rPr>
          <w:color w:val="auto"/>
          <w:highlight w:val="none"/>
          <w:shd w:val="clear"/>
        </w:rPr>
        <w:t>.1 发包人供应材料与工程设备</w:t>
      </w:r>
      <w:bookmarkEnd w:id="826"/>
    </w:p>
    <w:bookmarkEnd w:id="827"/>
    <w:bookmarkEnd w:id="828"/>
    <w:bookmarkEnd w:id="829"/>
    <w:p w14:paraId="1C1CCB7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发包人自行供应材料、工程设备的，应在签订合同时在专用合同条款的附件《发包人供应材料设备一览表》中明确材料、工程设备的品种、规格、型号、数量、单价、质量等级和送达地点。</w:t>
      </w:r>
    </w:p>
    <w:p w14:paraId="17B6FB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1D3E66E">
      <w:pPr>
        <w:pStyle w:val="33"/>
        <w:rPr>
          <w:color w:val="auto"/>
          <w:highlight w:val="none"/>
          <w:shd w:val="clear"/>
        </w:rPr>
      </w:pPr>
      <w:bookmarkStart w:id="831" w:name="_Toc351203554"/>
      <w:r>
        <w:rPr>
          <w:color w:val="auto"/>
          <w:highlight w:val="none"/>
          <w:shd w:val="clear"/>
        </w:rPr>
        <w:t>8</w:t>
      </w:r>
      <w:bookmarkStart w:id="832" w:name="_Toc296346561"/>
      <w:bookmarkStart w:id="833" w:name="_Toc296503060"/>
      <w:bookmarkStart w:id="834" w:name="_Toc337558778"/>
      <w:r>
        <w:rPr>
          <w:color w:val="auto"/>
          <w:highlight w:val="none"/>
          <w:shd w:val="clear"/>
        </w:rPr>
        <w:t>.2 承包人采购材料与工程设备</w:t>
      </w:r>
      <w:bookmarkEnd w:id="831"/>
    </w:p>
    <w:bookmarkEnd w:id="832"/>
    <w:bookmarkEnd w:id="833"/>
    <w:bookmarkEnd w:id="834"/>
    <w:p w14:paraId="193BF6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C7C002B">
      <w:pPr>
        <w:pStyle w:val="33"/>
        <w:rPr>
          <w:color w:val="auto"/>
          <w:highlight w:val="none"/>
          <w:shd w:val="clear"/>
        </w:rPr>
      </w:pPr>
      <w:bookmarkStart w:id="835" w:name="_Toc351203555"/>
      <w:r>
        <w:rPr>
          <w:color w:val="auto"/>
          <w:highlight w:val="none"/>
          <w:shd w:val="clear"/>
        </w:rPr>
        <w:t>8</w:t>
      </w:r>
      <w:bookmarkStart w:id="836" w:name="_Toc296503061"/>
      <w:bookmarkStart w:id="837" w:name="_Toc296346562"/>
      <w:bookmarkStart w:id="838" w:name="_Toc337558779"/>
      <w:r>
        <w:rPr>
          <w:color w:val="auto"/>
          <w:highlight w:val="none"/>
          <w:shd w:val="clear"/>
        </w:rPr>
        <w:t>.3 材料与工程设备的接收与拒收</w:t>
      </w:r>
      <w:bookmarkEnd w:id="835"/>
    </w:p>
    <w:bookmarkEnd w:id="836"/>
    <w:bookmarkEnd w:id="837"/>
    <w:bookmarkEnd w:id="838"/>
    <w:p w14:paraId="2C1F3B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54BBA4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发包人提供的材料和工程设备的规格、数量或质量不符合合同约定的，或因发包人原因导致交货日期延误或交货地点变更等情况的，按照第16.1款〔发包人违约〕约定办理。</w:t>
      </w:r>
    </w:p>
    <w:p w14:paraId="05374B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8.3.2 承包人采购的材料和工程设备，应保证产品质量合格，承包人应在材料和工程设备到货前24小时通知监理人检验。承</w:t>
      </w:r>
      <w:bookmarkStart w:id="839" w:name="_Toc250655469"/>
      <w:r>
        <w:rPr>
          <w:rFonts w:hint="eastAsia" w:ascii="Times New Roman" w:hAnsi="Times New Roman"/>
          <w:color w:val="auto"/>
          <w:highlight w:val="none"/>
          <w:shd w:val="clear"/>
        </w:rPr>
        <w:t>包人进行永久设备、材料的制造和生产的，应符合相关质量标准，并向监理人提交材料的样本以及有关资料，并应在使用该材料或工程设备之前获得监理人同意。</w:t>
      </w:r>
    </w:p>
    <w:bookmarkEnd w:id="839"/>
    <w:p w14:paraId="354B0A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AEF3EA7">
      <w:pPr>
        <w:pStyle w:val="33"/>
        <w:rPr>
          <w:color w:val="auto"/>
          <w:highlight w:val="none"/>
          <w:shd w:val="clear"/>
        </w:rPr>
      </w:pPr>
      <w:bookmarkStart w:id="840" w:name="_Toc351203556"/>
      <w:r>
        <w:rPr>
          <w:color w:val="auto"/>
          <w:highlight w:val="none"/>
          <w:shd w:val="clear"/>
        </w:rPr>
        <w:t>8</w:t>
      </w:r>
      <w:bookmarkStart w:id="841" w:name="_Toc296346563"/>
      <w:bookmarkStart w:id="842" w:name="_Toc296503062"/>
      <w:bookmarkStart w:id="843" w:name="_Toc337558780"/>
      <w:r>
        <w:rPr>
          <w:color w:val="auto"/>
          <w:highlight w:val="none"/>
          <w:shd w:val="clear"/>
        </w:rPr>
        <w:t>.4 材料与工程设备的保管与使用</w:t>
      </w:r>
      <w:bookmarkEnd w:id="840"/>
    </w:p>
    <w:bookmarkEnd w:id="841"/>
    <w:bookmarkEnd w:id="842"/>
    <w:bookmarkEnd w:id="843"/>
    <w:p w14:paraId="67435F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8.4.1 发包人供应材料与工程设备的保管与使用</w:t>
      </w:r>
    </w:p>
    <w:p w14:paraId="1EB7E6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01DF50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发包人供应的材料和工程设备使用前，由承包人负责检验，检验费用由发包人承担，不合格的不得使用。</w:t>
      </w:r>
    </w:p>
    <w:p w14:paraId="684CF97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8.4.2 承包人采购材料与工程设备的保管与使用</w:t>
      </w:r>
    </w:p>
    <w:p w14:paraId="6C0BE6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FA547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发包人或监理人发现承包人使用不符合设计或有关标准要求的材料和工程设备时，有权要求承包人进行修复、拆除或重新采购，由此增加的费用和（或）延误的工期，由承包人承担。</w:t>
      </w:r>
    </w:p>
    <w:p w14:paraId="22C69CE2">
      <w:pPr>
        <w:pStyle w:val="33"/>
        <w:rPr>
          <w:color w:val="auto"/>
          <w:highlight w:val="none"/>
          <w:shd w:val="clear"/>
        </w:rPr>
      </w:pPr>
      <w:bookmarkStart w:id="844" w:name="_Toc351203557"/>
      <w:r>
        <w:rPr>
          <w:color w:val="auto"/>
          <w:highlight w:val="none"/>
          <w:shd w:val="clear"/>
        </w:rPr>
        <w:t>8.5 禁止使用不合格的材料和工程设备</w:t>
      </w:r>
      <w:bookmarkEnd w:id="844"/>
    </w:p>
    <w:p w14:paraId="387D4E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8.5.1 监理人有权拒绝承包人提供的不合格材料或工程设备，并要求承包人立即进行更换。监理人应在更换后再次进行检查和检验，由此增加的费用和（或）延误的工期由承包人承担。</w:t>
      </w:r>
    </w:p>
    <w:p w14:paraId="3A482A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8.5.2 监理人发现承包人使用了不合格的材料和工程设备，承包人应按照监理人的指示立即改正，并禁止在工程中继续使用不合格的材料和工程设备。</w:t>
      </w:r>
    </w:p>
    <w:p w14:paraId="7D95B6D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8.5.3 发包人提供的材料或工程设备不符合合同要求的，承包人有权拒绝，并可要求发包人更换，由此增加的费用和（或）延误的工期由发包人承担，并支付承包人合理的利润。</w:t>
      </w:r>
    </w:p>
    <w:p w14:paraId="73936E54">
      <w:pPr>
        <w:pStyle w:val="33"/>
        <w:rPr>
          <w:color w:val="auto"/>
          <w:highlight w:val="none"/>
          <w:shd w:val="clear"/>
        </w:rPr>
      </w:pPr>
      <w:bookmarkStart w:id="845" w:name="_Toc351203558"/>
      <w:r>
        <w:rPr>
          <w:color w:val="auto"/>
          <w:highlight w:val="none"/>
          <w:shd w:val="clear"/>
        </w:rPr>
        <w:t>8.6 样品</w:t>
      </w:r>
      <w:bookmarkEnd w:id="845"/>
    </w:p>
    <w:p w14:paraId="79FC76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8.6.1</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样品的报送与封存</w:t>
      </w:r>
    </w:p>
    <w:p w14:paraId="6567E6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需要承包人报送样品的材料或工程设备，样品的种类、名称、规格、数量等要求均应在专用合同条款中约定。样品的报送程序如下：</w:t>
      </w:r>
    </w:p>
    <w:p w14:paraId="5DFCF9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CF189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93E4B4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（3）经发包人和监理人审批确认的样品应按约定的方法封样，封存的样品作为检验工程相关部分的标准之一。承包人在施工过程中不得使用与样品不符的材料或工程设备。</w:t>
      </w:r>
    </w:p>
    <w:p w14:paraId="15DA323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EC633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8.6.2 样品的保管</w:t>
      </w:r>
    </w:p>
    <w:p w14:paraId="44AE460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经批准的样品应由监理人负责封存于现场，承包人应在现场为保存样品提供适当和固定的场所并保持适当和良好的存储环境条件。</w:t>
      </w:r>
    </w:p>
    <w:p w14:paraId="6CC0D467">
      <w:pPr>
        <w:pStyle w:val="33"/>
        <w:rPr>
          <w:color w:val="auto"/>
          <w:highlight w:val="none"/>
          <w:shd w:val="clear"/>
        </w:rPr>
      </w:pPr>
      <w:bookmarkStart w:id="846" w:name="_Toc351203559"/>
      <w:r>
        <w:rPr>
          <w:color w:val="auto"/>
          <w:highlight w:val="none"/>
          <w:shd w:val="clear"/>
        </w:rPr>
        <w:t>8.7 材料与工程设备的替代</w:t>
      </w:r>
      <w:bookmarkEnd w:id="846"/>
    </w:p>
    <w:p w14:paraId="3CA162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8.7.1 出现下列情况需要使用替代材料和工程设备的，承包人应按照第8.7.2项约定的程序执行：</w:t>
      </w:r>
    </w:p>
    <w:p w14:paraId="163FAAB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（1）基准日期后生效的法律规定禁止使用的；</w:t>
      </w:r>
    </w:p>
    <w:p w14:paraId="238516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（2）发包人要求使用替代品的；</w:t>
      </w:r>
    </w:p>
    <w:p w14:paraId="43CD8A3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（3）因其他原因必须使用替代品的。</w:t>
      </w:r>
    </w:p>
    <w:p w14:paraId="3F3D47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8.7.2 承包人应在使用替代材料和工程设备28天前书面通知监理人，并附下列文件：</w:t>
      </w:r>
    </w:p>
    <w:p w14:paraId="2CFD8CB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（1）被替代的材料和工程设备的名称、数量、规格、型号、品牌、性能、价格及其他相关资料；</w:t>
      </w:r>
    </w:p>
    <w:p w14:paraId="160D24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（2）替代品的名称、数量、规格、型号、品牌、性能、价格及其他相关资料；</w:t>
      </w:r>
    </w:p>
    <w:p w14:paraId="1141D7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（3）替代品与被替代产品之间的差异以及使用替代品可能对工程产生的影响；</w:t>
      </w:r>
    </w:p>
    <w:p w14:paraId="25FBD6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（4）替代品与被替代产品的价格差异；</w:t>
      </w:r>
    </w:p>
    <w:p w14:paraId="495BE2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（5）使用替代品的理由和原因说明；</w:t>
      </w:r>
    </w:p>
    <w:p w14:paraId="64FF3A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（6）监理人要求的其他文件。</w:t>
      </w:r>
    </w:p>
    <w:p w14:paraId="2E76D5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监理人应在收到通知后14天内向承包人发出经发包人签认的书面指示；监理人逾期发出书面指示的，视为发包人和监理人同意使用替代品。</w:t>
      </w:r>
    </w:p>
    <w:p w14:paraId="1FE656A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297AE11">
      <w:pPr>
        <w:pStyle w:val="33"/>
        <w:rPr>
          <w:color w:val="auto"/>
          <w:highlight w:val="none"/>
          <w:shd w:val="clear"/>
        </w:rPr>
      </w:pPr>
      <w:bookmarkStart w:id="847" w:name="_Toc351203560"/>
      <w:r>
        <w:rPr>
          <w:color w:val="auto"/>
          <w:highlight w:val="none"/>
          <w:shd w:val="clear"/>
        </w:rPr>
        <w:t>8.8 施工设备和临时设施</w:t>
      </w:r>
      <w:bookmarkEnd w:id="847"/>
    </w:p>
    <w:p w14:paraId="6FFDBB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8.8.1 承包人提供的施工设备和临时设施</w:t>
      </w:r>
    </w:p>
    <w:p w14:paraId="740001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承包人应按合同进度计划的要求，及时配置施工设备和修建临时设施。进入施工场地的承包人设备需经监理人核查后才能投入使用。承包人更换合同约定的承包人设备的，应报监理人批准。</w:t>
      </w:r>
    </w:p>
    <w:p w14:paraId="3F44A8B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除专用合同条款另有约定外，承包人应自行承担修建临时设施的费用，需要临时占地的，应由发包人办理申请手续并承担相应费用。</w:t>
      </w:r>
    </w:p>
    <w:p w14:paraId="48094BC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8.8.2 发包人提供的施工设备和临时设施</w:t>
      </w:r>
    </w:p>
    <w:p w14:paraId="27ACB5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发包人提供的施工设备或临时设施在专用合同条款中约定。</w:t>
      </w:r>
    </w:p>
    <w:p w14:paraId="27C984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8.8.3 要求承包人增加或更换施工设备</w:t>
      </w:r>
    </w:p>
    <w:p w14:paraId="78FF2C4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承包人使用的施工设备不能满足合同进度计划和（或）质量要求时，监理人有权要求承包人增加或更换施工设备，承包人应及时增加或更换，由此增加的费用和（或）延误的工期由承包人承担。</w:t>
      </w:r>
    </w:p>
    <w:p w14:paraId="7053A318">
      <w:pPr>
        <w:pStyle w:val="22"/>
        <w:ind w:firstLine="420"/>
        <w:rPr>
          <w:rFonts w:ascii="Times New Roman" w:hAnsi="Times New Roman"/>
          <w:color w:val="auto"/>
          <w:highlight w:val="none"/>
          <w:shd w:val="clear"/>
          <w:lang w:val="zh-CN"/>
        </w:rPr>
      </w:pPr>
      <w:bookmarkStart w:id="848" w:name="_Toc351203561"/>
      <w:r>
        <w:rPr>
          <w:rFonts w:hint="eastAsia" w:ascii="Times New Roman" w:hAnsi="Times New Roman"/>
          <w:color w:val="auto"/>
          <w:highlight w:val="none"/>
          <w:shd w:val="clear"/>
          <w:lang w:val="zh-CN"/>
        </w:rPr>
        <w:t>8</w:t>
      </w:r>
      <w:bookmarkStart w:id="849" w:name="_Toc337558781"/>
      <w:bookmarkStart w:id="850" w:name="_Toc296503063"/>
      <w:bookmarkStart w:id="851" w:name="_Toc296346564"/>
      <w:r>
        <w:rPr>
          <w:rFonts w:hint="eastAsia" w:ascii="Times New Roman" w:hAnsi="Times New Roman"/>
          <w:color w:val="auto"/>
          <w:highlight w:val="none"/>
          <w:shd w:val="clear"/>
          <w:lang w:val="zh-CN"/>
        </w:rPr>
        <w:t>.9 材料与设备专用</w:t>
      </w:r>
      <w:bookmarkEnd w:id="848"/>
      <w:r>
        <w:rPr>
          <w:rFonts w:hint="eastAsia" w:ascii="Times New Roman" w:hAnsi="Times New Roman"/>
          <w:color w:val="auto"/>
          <w:highlight w:val="none"/>
          <w:shd w:val="clear"/>
          <w:lang w:val="zh-CN"/>
        </w:rPr>
        <w:t>要求</w:t>
      </w:r>
    </w:p>
    <w:bookmarkEnd w:id="849"/>
    <w:bookmarkEnd w:id="850"/>
    <w:bookmarkEnd w:id="851"/>
    <w:p w14:paraId="53A4CC2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承包人运入施工现场的材料、工程设备、施工设备以及在施工场地建设的临时设施，包括备品备件、安装工具与资料，必须专用于工程。未经发包人批准，承包人不得运出施工现场或挪作他用；</w:t>
      </w:r>
      <w:bookmarkEnd w:id="830"/>
      <w:r>
        <w:rPr>
          <w:rFonts w:hint="eastAsia" w:ascii="Times New Roman" w:hAnsi="Times New Roman"/>
          <w:color w:val="auto"/>
          <w:highlight w:val="none"/>
          <w:shd w:val="clear"/>
        </w:rPr>
        <w:t>经发包人批准，承包人可以根据施工进度计划撤走闲置的施工设备和其他物品。</w:t>
      </w:r>
    </w:p>
    <w:p w14:paraId="7439A8F2">
      <w:pPr>
        <w:pStyle w:val="26"/>
        <w:rPr>
          <w:color w:val="auto"/>
          <w:highlight w:val="none"/>
          <w:shd w:val="clear"/>
        </w:rPr>
      </w:pPr>
      <w:bookmarkStart w:id="852" w:name="_Toc351203562"/>
      <w:r>
        <w:rPr>
          <w:color w:val="auto"/>
          <w:highlight w:val="none"/>
          <w:shd w:val="clear"/>
        </w:rPr>
        <w:t>9</w:t>
      </w:r>
      <w:bookmarkStart w:id="853" w:name="_Toc337558782"/>
      <w:bookmarkStart w:id="854" w:name="_Toc296503083"/>
      <w:bookmarkStart w:id="855" w:name="_Toc296346584"/>
      <w:r>
        <w:rPr>
          <w:color w:val="auto"/>
          <w:highlight w:val="none"/>
          <w:shd w:val="clear"/>
        </w:rPr>
        <w:t>.试验与检验</w:t>
      </w:r>
      <w:bookmarkEnd w:id="852"/>
    </w:p>
    <w:bookmarkEnd w:id="853"/>
    <w:p w14:paraId="63133A82">
      <w:pPr>
        <w:pStyle w:val="33"/>
        <w:rPr>
          <w:color w:val="auto"/>
          <w:highlight w:val="none"/>
          <w:shd w:val="clear"/>
        </w:rPr>
      </w:pPr>
      <w:bookmarkStart w:id="856" w:name="_Toc351203563"/>
      <w:r>
        <w:rPr>
          <w:color w:val="auto"/>
          <w:highlight w:val="none"/>
          <w:shd w:val="clear"/>
        </w:rPr>
        <w:t>9</w:t>
      </w:r>
      <w:bookmarkStart w:id="857" w:name="_Toc337558783"/>
      <w:r>
        <w:rPr>
          <w:color w:val="auto"/>
          <w:highlight w:val="none"/>
          <w:shd w:val="clear"/>
        </w:rPr>
        <w:t>.1 试验设备与试验人员</w:t>
      </w:r>
      <w:bookmarkEnd w:id="856"/>
    </w:p>
    <w:bookmarkEnd w:id="857"/>
    <w:p w14:paraId="73B86AF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04EC42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9.1.2 承包人应按专用合同条款的约定提供试验设备、取样装置、试验场所和试验条件，并向监理人提交相应进场计划表。</w:t>
      </w:r>
    </w:p>
    <w:p w14:paraId="76B188A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承包人配置的试验设备要符合相应试验规程的要求并经过具有资质的检测单位检测，且在正式使用该试验设备前，需要经过监理人与承包人共同校定。</w:t>
      </w:r>
    </w:p>
    <w:p w14:paraId="13D5913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9.1.3 承包人应向监理人提交试验人员的名单及其岗位、资格等证明资料，试验人员必须能够熟练进行相应的检测试验，承包人对试验人员的试验程序和试验结果的正确性负责。</w:t>
      </w:r>
    </w:p>
    <w:p w14:paraId="0330DDB3">
      <w:pPr>
        <w:pStyle w:val="33"/>
        <w:rPr>
          <w:color w:val="auto"/>
          <w:highlight w:val="none"/>
          <w:shd w:val="clear"/>
        </w:rPr>
      </w:pPr>
      <w:bookmarkStart w:id="858" w:name="_Toc351203564"/>
      <w:r>
        <w:rPr>
          <w:color w:val="auto"/>
          <w:highlight w:val="none"/>
          <w:shd w:val="clear"/>
        </w:rPr>
        <w:t>9</w:t>
      </w:r>
      <w:bookmarkStart w:id="859" w:name="_Toc337558784"/>
      <w:r>
        <w:rPr>
          <w:color w:val="auto"/>
          <w:highlight w:val="none"/>
          <w:shd w:val="clear"/>
        </w:rPr>
        <w:t>.2 取样</w:t>
      </w:r>
      <w:bookmarkEnd w:id="858"/>
    </w:p>
    <w:bookmarkEnd w:id="859"/>
    <w:p w14:paraId="04B5D3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试验属于自检性质的，承包人可以单独取样。试验属于监理人抽检性质的，可由监理人取样，也可由承包人的试验人员在监理人的监督下取样。</w:t>
      </w:r>
    </w:p>
    <w:p w14:paraId="4E6D7375">
      <w:pPr>
        <w:pStyle w:val="33"/>
        <w:rPr>
          <w:color w:val="auto"/>
          <w:highlight w:val="none"/>
          <w:shd w:val="clear"/>
        </w:rPr>
      </w:pPr>
      <w:bookmarkStart w:id="860" w:name="_Toc351203565"/>
      <w:r>
        <w:rPr>
          <w:color w:val="auto"/>
          <w:highlight w:val="none"/>
          <w:shd w:val="clear"/>
        </w:rPr>
        <w:t>9</w:t>
      </w:r>
      <w:bookmarkStart w:id="861" w:name="_Toc337558785"/>
      <w:r>
        <w:rPr>
          <w:color w:val="auto"/>
          <w:highlight w:val="none"/>
          <w:shd w:val="clear"/>
        </w:rPr>
        <w:t>.3 材料、工程设备和工程的试验和检验</w:t>
      </w:r>
      <w:bookmarkEnd w:id="860"/>
    </w:p>
    <w:bookmarkEnd w:id="861"/>
    <w:p w14:paraId="57F33E0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99EE6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00E43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E44508C">
      <w:pPr>
        <w:pStyle w:val="33"/>
        <w:rPr>
          <w:color w:val="auto"/>
          <w:highlight w:val="none"/>
          <w:shd w:val="clear"/>
        </w:rPr>
      </w:pPr>
      <w:bookmarkStart w:id="862" w:name="_Toc351203566"/>
      <w:r>
        <w:rPr>
          <w:color w:val="auto"/>
          <w:highlight w:val="none"/>
          <w:shd w:val="clear"/>
        </w:rPr>
        <w:t>9</w:t>
      </w:r>
      <w:bookmarkStart w:id="863" w:name="_Toc337558786"/>
      <w:r>
        <w:rPr>
          <w:color w:val="auto"/>
          <w:highlight w:val="none"/>
          <w:shd w:val="clear"/>
        </w:rPr>
        <w:t>.4 现场工艺试验</w:t>
      </w:r>
      <w:bookmarkEnd w:id="862"/>
    </w:p>
    <w:bookmarkEnd w:id="863"/>
    <w:p w14:paraId="2DD2F0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承包人应按合同约定或监理人指示进行现场工艺试验。对大型的现场工艺试验，监理人认为必要时，承包人应根据监理人提出的工艺试验要求，编制工艺试验措施计划，报送监理人审查。</w:t>
      </w:r>
    </w:p>
    <w:p w14:paraId="105CE487">
      <w:pPr>
        <w:pStyle w:val="26"/>
        <w:rPr>
          <w:color w:val="auto"/>
          <w:highlight w:val="none"/>
          <w:shd w:val="clear"/>
        </w:rPr>
      </w:pPr>
      <w:bookmarkStart w:id="864" w:name="_Toc351203567"/>
      <w:r>
        <w:rPr>
          <w:color w:val="auto"/>
          <w:highlight w:val="none"/>
          <w:shd w:val="clear"/>
        </w:rPr>
        <w:t>1</w:t>
      </w:r>
      <w:bookmarkStart w:id="865" w:name="_Toc337558787"/>
      <w:r>
        <w:rPr>
          <w:color w:val="auto"/>
          <w:highlight w:val="none"/>
          <w:shd w:val="clear"/>
        </w:rPr>
        <w:t>0.变更</w:t>
      </w:r>
      <w:bookmarkEnd w:id="854"/>
      <w:bookmarkEnd w:id="855"/>
      <w:bookmarkEnd w:id="864"/>
    </w:p>
    <w:bookmarkEnd w:id="865"/>
    <w:p w14:paraId="56B7CB5C">
      <w:pPr>
        <w:pStyle w:val="33"/>
        <w:rPr>
          <w:color w:val="auto"/>
          <w:highlight w:val="none"/>
          <w:shd w:val="clear"/>
        </w:rPr>
      </w:pPr>
      <w:bookmarkStart w:id="866" w:name="_Toc351203568"/>
      <w:r>
        <w:rPr>
          <w:color w:val="auto"/>
          <w:highlight w:val="none"/>
          <w:shd w:val="clear"/>
        </w:rPr>
        <w:t>1</w:t>
      </w:r>
      <w:bookmarkStart w:id="867" w:name="_Toc337558788"/>
      <w:bookmarkStart w:id="868" w:name="_Toc296346585"/>
      <w:bookmarkStart w:id="869" w:name="_Toc296503084"/>
      <w:r>
        <w:rPr>
          <w:color w:val="auto"/>
          <w:highlight w:val="none"/>
          <w:shd w:val="clear"/>
        </w:rPr>
        <w:t>0.1 变更的范围</w:t>
      </w:r>
      <w:bookmarkEnd w:id="866"/>
    </w:p>
    <w:bookmarkEnd w:id="867"/>
    <w:bookmarkEnd w:id="868"/>
    <w:bookmarkEnd w:id="869"/>
    <w:p w14:paraId="64016A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除专用合同条款另有约定外，合同履行过程中发生以下情形的，应按照本条约定进行变更：</w:t>
      </w:r>
    </w:p>
    <w:p w14:paraId="256847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（1）增加或减少合同中任何工作，或追加额外的工作；</w:t>
      </w:r>
    </w:p>
    <w:p w14:paraId="2C87E8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（2）取消合同中任何工作，但转由他人实施的工作除外；</w:t>
      </w:r>
    </w:p>
    <w:p w14:paraId="74E0E5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（3）改变合同中任何工作的质量标准或其他特性；</w:t>
      </w:r>
    </w:p>
    <w:p w14:paraId="72DD8D1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（4）改变工程的基线、标高、位置和尺寸；</w:t>
      </w:r>
    </w:p>
    <w:p w14:paraId="387AA97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（5）改变工程的时间安排或实施顺序。</w:t>
      </w:r>
    </w:p>
    <w:p w14:paraId="54C3E251">
      <w:pPr>
        <w:pStyle w:val="33"/>
        <w:rPr>
          <w:color w:val="auto"/>
          <w:highlight w:val="none"/>
          <w:shd w:val="clear"/>
        </w:rPr>
      </w:pPr>
      <w:bookmarkStart w:id="870" w:name="_Toc351203569"/>
      <w:r>
        <w:rPr>
          <w:color w:val="auto"/>
          <w:highlight w:val="none"/>
          <w:shd w:val="clear"/>
        </w:rPr>
        <w:t>1</w:t>
      </w:r>
      <w:bookmarkStart w:id="871" w:name="_Toc296346586"/>
      <w:bookmarkStart w:id="872" w:name="_Toc337558789"/>
      <w:bookmarkStart w:id="873" w:name="_Toc296503085"/>
      <w:r>
        <w:rPr>
          <w:color w:val="auto"/>
          <w:highlight w:val="none"/>
          <w:shd w:val="clear"/>
        </w:rPr>
        <w:t>0.2 变更权</w:t>
      </w:r>
      <w:bookmarkEnd w:id="870"/>
    </w:p>
    <w:bookmarkEnd w:id="871"/>
    <w:bookmarkEnd w:id="872"/>
    <w:bookmarkEnd w:id="873"/>
    <w:p w14:paraId="79CE1E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364F1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涉及设计变更的，应由设计人提供变更后的图纸和说明。如变更超过原设计标准或批准的建设规模时，发包人应及时办理规划、设计变更等审批手续。</w:t>
      </w:r>
    </w:p>
    <w:p w14:paraId="0295A965">
      <w:pPr>
        <w:pStyle w:val="33"/>
        <w:rPr>
          <w:color w:val="auto"/>
          <w:highlight w:val="none"/>
          <w:shd w:val="clear"/>
        </w:rPr>
      </w:pPr>
      <w:bookmarkStart w:id="874" w:name="_Toc351203570"/>
      <w:r>
        <w:rPr>
          <w:color w:val="auto"/>
          <w:highlight w:val="none"/>
          <w:shd w:val="clear"/>
        </w:rPr>
        <w:t>1</w:t>
      </w:r>
      <w:bookmarkStart w:id="875" w:name="_Toc337558790"/>
      <w:bookmarkStart w:id="876" w:name="_Toc296503086"/>
      <w:bookmarkStart w:id="877" w:name="_Toc296346587"/>
      <w:r>
        <w:rPr>
          <w:color w:val="auto"/>
          <w:highlight w:val="none"/>
          <w:shd w:val="clear"/>
        </w:rPr>
        <w:t>0.3 变更程序</w:t>
      </w:r>
      <w:bookmarkEnd w:id="874"/>
    </w:p>
    <w:bookmarkEnd w:id="875"/>
    <w:bookmarkEnd w:id="876"/>
    <w:bookmarkEnd w:id="877"/>
    <w:p w14:paraId="4290325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10.3.1 发包人提出变更</w:t>
      </w:r>
    </w:p>
    <w:p w14:paraId="30E7818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发包人提出变更的，应通过监理人向承包人发出变更指示，变更指示应说明计划变更的工程范围和变更的内容。</w:t>
      </w:r>
    </w:p>
    <w:p w14:paraId="3C6208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10.3.2 监理人提出变更建议</w:t>
      </w:r>
    </w:p>
    <w:p w14:paraId="17EE7BD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310A0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10.3.3 变更执行</w:t>
      </w:r>
    </w:p>
    <w:p w14:paraId="1FF1A71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4A47381">
      <w:pPr>
        <w:pStyle w:val="33"/>
        <w:rPr>
          <w:color w:val="auto"/>
          <w:highlight w:val="none"/>
          <w:shd w:val="clear"/>
        </w:rPr>
      </w:pPr>
      <w:bookmarkStart w:id="878" w:name="_Toc351203571"/>
      <w:r>
        <w:rPr>
          <w:color w:val="auto"/>
          <w:highlight w:val="none"/>
          <w:shd w:val="clear"/>
        </w:rPr>
        <w:t>1</w:t>
      </w:r>
      <w:bookmarkStart w:id="879" w:name="_Toc337558791"/>
      <w:bookmarkStart w:id="880" w:name="_Toc296503087"/>
      <w:bookmarkStart w:id="881" w:name="_Toc296346588"/>
      <w:r>
        <w:rPr>
          <w:color w:val="auto"/>
          <w:highlight w:val="none"/>
          <w:shd w:val="clear"/>
        </w:rPr>
        <w:t>0.4 变更估价</w:t>
      </w:r>
      <w:bookmarkEnd w:id="878"/>
    </w:p>
    <w:bookmarkEnd w:id="879"/>
    <w:bookmarkEnd w:id="880"/>
    <w:bookmarkEnd w:id="881"/>
    <w:p w14:paraId="03EFD4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10.4.1 变更估价原则</w:t>
      </w:r>
    </w:p>
    <w:p w14:paraId="22AFC5B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除专用合同条款另有约定外，变更估价按照本款约定处理：</w:t>
      </w:r>
    </w:p>
    <w:p w14:paraId="4C41DF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（1）已标价工程量清单或预算书有相同项目的，按照相同项目单价认定；</w:t>
      </w:r>
    </w:p>
    <w:p w14:paraId="1639EDA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（2）已标价工程量清单或预算书中无相同项目，但有类似项目的，参照类似项目的单价认定；</w:t>
      </w:r>
    </w:p>
    <w:p w14:paraId="47601C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D220C5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10.4.2 变更估价程序</w:t>
      </w:r>
    </w:p>
    <w:p w14:paraId="2E4181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2229D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因变更引起的价格调整应计入最近一期的进度款中支付。</w:t>
      </w:r>
    </w:p>
    <w:p w14:paraId="24FFD0CC">
      <w:pPr>
        <w:pStyle w:val="33"/>
        <w:rPr>
          <w:color w:val="auto"/>
          <w:highlight w:val="none"/>
          <w:shd w:val="clear"/>
        </w:rPr>
      </w:pPr>
      <w:bookmarkStart w:id="882" w:name="_Toc351203572"/>
      <w:r>
        <w:rPr>
          <w:color w:val="auto"/>
          <w:highlight w:val="none"/>
          <w:shd w:val="clear"/>
        </w:rPr>
        <w:t>1</w:t>
      </w:r>
      <w:bookmarkStart w:id="883" w:name="_Toc296346595"/>
      <w:bookmarkStart w:id="884" w:name="_Toc337558792"/>
      <w:bookmarkStart w:id="885" w:name="_Toc296503094"/>
      <w:r>
        <w:rPr>
          <w:color w:val="auto"/>
          <w:highlight w:val="none"/>
          <w:shd w:val="clear"/>
        </w:rPr>
        <w:t>0.5 承包人的合理化建议</w:t>
      </w:r>
      <w:bookmarkEnd w:id="882"/>
    </w:p>
    <w:bookmarkEnd w:id="883"/>
    <w:bookmarkEnd w:id="884"/>
    <w:bookmarkEnd w:id="885"/>
    <w:p w14:paraId="04F9F1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承包人提出合理化建议的，应向监理人提交合理化建议说明，说明建议的内容和理由，以及实施该建议对合同价格和工期的影响。</w:t>
      </w:r>
    </w:p>
    <w:p w14:paraId="03B3DC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62F46D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合理化建议降低了合同价格或者提高了工程经济效益的，发包人可对承包人给予奖励，奖励的方法和金额在专用合同条款中约定。</w:t>
      </w:r>
    </w:p>
    <w:p w14:paraId="7EBE7328">
      <w:pPr>
        <w:pStyle w:val="33"/>
        <w:rPr>
          <w:color w:val="auto"/>
          <w:highlight w:val="none"/>
          <w:shd w:val="clear"/>
        </w:rPr>
      </w:pPr>
      <w:bookmarkStart w:id="886" w:name="_Toc351203573"/>
      <w:r>
        <w:rPr>
          <w:color w:val="auto"/>
          <w:highlight w:val="none"/>
          <w:shd w:val="clear"/>
        </w:rPr>
        <w:t>1</w:t>
      </w:r>
      <w:bookmarkStart w:id="887" w:name="_Toc337558793"/>
      <w:r>
        <w:rPr>
          <w:color w:val="auto"/>
          <w:highlight w:val="none"/>
          <w:shd w:val="clear"/>
        </w:rPr>
        <w:t>0.6 变更引起的工期调整</w:t>
      </w:r>
      <w:bookmarkEnd w:id="886"/>
      <w:bookmarkEnd w:id="887"/>
    </w:p>
    <w:p w14:paraId="6B54D4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因变更引起工期变化的，合同当事人均可要求调整合同工期，由合同当事人按照第4.4款〔商定或确定〕并参考工程所在地的工期定额标准确定增减工期天数。</w:t>
      </w:r>
    </w:p>
    <w:p w14:paraId="307454FA">
      <w:pPr>
        <w:pStyle w:val="33"/>
        <w:rPr>
          <w:color w:val="auto"/>
          <w:highlight w:val="none"/>
          <w:shd w:val="clear"/>
        </w:rPr>
      </w:pPr>
      <w:bookmarkStart w:id="888" w:name="_Toc351203574"/>
      <w:r>
        <w:rPr>
          <w:color w:val="auto"/>
          <w:highlight w:val="none"/>
          <w:shd w:val="clear"/>
        </w:rPr>
        <w:t>10.7 暂估价</w:t>
      </w:r>
      <w:bookmarkEnd w:id="888"/>
    </w:p>
    <w:p w14:paraId="79ECBD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暂估价专业分包工程、服务、材料和工程设备的明细由合同当事人在专用合同条款中约定。</w:t>
      </w:r>
    </w:p>
    <w:p w14:paraId="0A31D0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10.7.1 依法必须招标的暂估价项目</w:t>
      </w:r>
    </w:p>
    <w:p w14:paraId="3427E4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对于依法必须招标的暂估价项目，采取以下第1种方式确定。合同当事人也可以在专用合同条款中选择其他招标方式。</w:t>
      </w:r>
    </w:p>
    <w:p w14:paraId="7971AC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第1种方式：对于依法必须招标的暂估价项目，由承包人招标，对该暂估价项目的确认和批准按照以下约定执行：</w:t>
      </w:r>
    </w:p>
    <w:p w14:paraId="18E7A1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93712C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0D77B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5B4A9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EDD71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10.7.2不属于依法必须招标的暂估价项目</w:t>
      </w:r>
    </w:p>
    <w:p w14:paraId="1057B1F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除专用合同条款另有约定外，对于不属于依法必须招标的暂估价项目，采取以下第1种方式确定： </w:t>
      </w:r>
    </w:p>
    <w:p w14:paraId="0F53E7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第1种方式：对于不属于依法必须招标的暂估价项目，按本项约定确认和批准：</w:t>
      </w:r>
    </w:p>
    <w:p w14:paraId="20F1EE0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C459B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（2）发包人认为承包人确定的供应商、分包人无法满足工程质量或合同要求的，发包人可以要求承包人重新确定暂估价项目的供应商、分包人;</w:t>
      </w:r>
    </w:p>
    <w:p w14:paraId="156480A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（3）承包人应当在签订暂估价合同后7天内，将暂估价合同副本报送发包人留存。</w:t>
      </w:r>
    </w:p>
    <w:p w14:paraId="4BA7E4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第2种方式：承包人按照第10.7.1项〔依法必须招标的暂估价项目〕约定的第1种方式确定暂估价项目。</w:t>
      </w:r>
    </w:p>
    <w:p w14:paraId="02E7839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第3种方式：承包人直接实施的暂估价项目</w:t>
      </w:r>
    </w:p>
    <w:p w14:paraId="06AFAA7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承包人具备实施暂估价项目的资格和条件的，经发包人和承包人协商一致后，可由承包人自行实施暂估价项目，合同当事人可以在专用合同条款约定具体事项。</w:t>
      </w:r>
    </w:p>
    <w:p w14:paraId="1C2A9D8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9EAF54B">
      <w:pPr>
        <w:pStyle w:val="33"/>
        <w:rPr>
          <w:color w:val="auto"/>
          <w:highlight w:val="none"/>
          <w:shd w:val="clear"/>
        </w:rPr>
      </w:pPr>
      <w:bookmarkStart w:id="889" w:name="_Toc351203575"/>
      <w:r>
        <w:rPr>
          <w:color w:val="auto"/>
          <w:highlight w:val="none"/>
          <w:shd w:val="clear"/>
        </w:rPr>
        <w:t>1</w:t>
      </w:r>
      <w:bookmarkStart w:id="890" w:name="_Toc337558794"/>
      <w:bookmarkStart w:id="891" w:name="_Toc296503090"/>
      <w:bookmarkStart w:id="892" w:name="_Toc322522561"/>
      <w:bookmarkStart w:id="893" w:name="_Toc296346591"/>
      <w:r>
        <w:rPr>
          <w:color w:val="auto"/>
          <w:highlight w:val="none"/>
          <w:shd w:val="clear"/>
        </w:rPr>
        <w:t>0.8 暂列金额</w:t>
      </w:r>
      <w:bookmarkEnd w:id="889"/>
    </w:p>
    <w:bookmarkEnd w:id="890"/>
    <w:p w14:paraId="35D108F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暂列金额应按照发包人的要求使用，发包人的要求应通过监理人发出。合同当事人可以在专用合同条款中协商确定有关事项。</w:t>
      </w:r>
    </w:p>
    <w:bookmarkEnd w:id="891"/>
    <w:bookmarkEnd w:id="892"/>
    <w:bookmarkEnd w:id="893"/>
    <w:p w14:paraId="2F529FB9">
      <w:pPr>
        <w:pStyle w:val="33"/>
        <w:rPr>
          <w:color w:val="auto"/>
          <w:highlight w:val="none"/>
          <w:shd w:val="clear"/>
        </w:rPr>
      </w:pPr>
      <w:bookmarkStart w:id="894" w:name="_Toc351203576"/>
      <w:r>
        <w:rPr>
          <w:color w:val="auto"/>
          <w:highlight w:val="none"/>
          <w:shd w:val="clear"/>
        </w:rPr>
        <w:t>1</w:t>
      </w:r>
      <w:bookmarkStart w:id="895" w:name="_Toc296346592"/>
      <w:bookmarkStart w:id="896" w:name="_Toc337558796"/>
      <w:bookmarkStart w:id="897" w:name="_Toc296503091"/>
      <w:r>
        <w:rPr>
          <w:color w:val="auto"/>
          <w:highlight w:val="none"/>
          <w:shd w:val="clear"/>
        </w:rPr>
        <w:t>0.9 计日工</w:t>
      </w:r>
      <w:bookmarkEnd w:id="894"/>
      <w:r>
        <w:rPr>
          <w:color w:val="auto"/>
          <w:highlight w:val="none"/>
          <w:shd w:val="clear"/>
        </w:rPr>
        <w:t xml:space="preserve"> </w:t>
      </w:r>
      <w:bookmarkEnd w:id="895"/>
      <w:bookmarkEnd w:id="896"/>
      <w:bookmarkEnd w:id="897"/>
    </w:p>
    <w:p w14:paraId="0FC65B3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7A633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采用计日工计价的任何一项工作，承包人应在该项工作实施过程中，每天提交以下报表和有关凭证报送监理人审查：</w:t>
      </w:r>
    </w:p>
    <w:p w14:paraId="4E0382C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（1）工作名称、内容和数量；</w:t>
      </w:r>
    </w:p>
    <w:p w14:paraId="77BBE7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（2）投入该工作的所有人员的姓名、专业、工种、级别和耗用工时；</w:t>
      </w:r>
    </w:p>
    <w:p w14:paraId="7EB96E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（3）投入该工作的材料类别和数量；</w:t>
      </w:r>
    </w:p>
    <w:p w14:paraId="2AE276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（4）投入该工作的施工设备型号、台数和耗用台时；</w:t>
      </w:r>
    </w:p>
    <w:p w14:paraId="4CEEFA2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（5）其他有关资料和凭证。</w:t>
      </w:r>
    </w:p>
    <w:p w14:paraId="06FF6BF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计日工由承包人汇总后，列入最近一期进度付款申请单，由监理人审查并经发包人批准后列入进度付款。</w:t>
      </w:r>
    </w:p>
    <w:p w14:paraId="0FDD5BEA">
      <w:pPr>
        <w:pStyle w:val="26"/>
        <w:rPr>
          <w:color w:val="auto"/>
          <w:highlight w:val="none"/>
          <w:shd w:val="clear"/>
        </w:rPr>
      </w:pPr>
      <w:bookmarkStart w:id="898" w:name="_Toc351203577"/>
      <w:r>
        <w:rPr>
          <w:color w:val="auto"/>
          <w:highlight w:val="none"/>
          <w:shd w:val="clear"/>
        </w:rPr>
        <w:t>11.价格调整</w:t>
      </w:r>
      <w:bookmarkEnd w:id="898"/>
    </w:p>
    <w:p w14:paraId="3A1BE58B">
      <w:pPr>
        <w:pStyle w:val="33"/>
        <w:rPr>
          <w:color w:val="auto"/>
          <w:highlight w:val="none"/>
          <w:shd w:val="clear"/>
        </w:rPr>
      </w:pPr>
      <w:bookmarkStart w:id="899" w:name="_Toc351203578"/>
      <w:bookmarkStart w:id="900" w:name="_Toc296503092"/>
      <w:bookmarkStart w:id="901" w:name="_Toc296346593"/>
      <w:bookmarkStart w:id="902" w:name="_Toc337558797"/>
      <w:r>
        <w:rPr>
          <w:color w:val="auto"/>
          <w:highlight w:val="none"/>
          <w:shd w:val="clear"/>
        </w:rPr>
        <w:t>11.1 市场价格波动引起的调整</w:t>
      </w:r>
      <w:bookmarkEnd w:id="899"/>
    </w:p>
    <w:bookmarkEnd w:id="900"/>
    <w:bookmarkEnd w:id="901"/>
    <w:bookmarkEnd w:id="902"/>
    <w:p w14:paraId="36EC002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除专用合同条款另有约定外，市场价格波动超过合同当事人约定的范围，合同价格应当调整。合同当事人可以在专用合同条款中约定选择以下一种方式对合同价格进行调整：</w:t>
      </w:r>
    </w:p>
    <w:p w14:paraId="16CFE0D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第1种方式：采用价格指数进行价格调整。</w:t>
      </w:r>
    </w:p>
    <w:p w14:paraId="3FF27D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（1）价格调整公式</w:t>
      </w:r>
    </w:p>
    <w:p w14:paraId="7C3DB58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因人工、材料和设备等价格波动影响合同价格时，根据专用合同条款中约定的数据，按以下公式计算差额并调整合同价格：</w:t>
      </w:r>
    </w:p>
    <w:p w14:paraId="067F615B">
      <w:pPr>
        <w:pStyle w:val="22"/>
        <w:spacing w:line="360" w:lineRule="auto"/>
        <w:ind w:firstLine="420"/>
        <w:rPr>
          <w:rFonts w:ascii="Times New Roman" w:hAnsi="Times New Roman"/>
          <w:color w:val="auto"/>
          <w:highlight w:val="none"/>
          <w:shd w:val="clear"/>
        </w:rPr>
      </w:pPr>
      <w:r>
        <w:rPr>
          <w:rFonts w:hint="eastAsia" w:ascii="Times New Roman" w:hAnsi="Times New Roman"/>
          <w:color w:val="auto"/>
          <w:highlight w:val="none"/>
          <w:shd w:val="clear"/>
        </w:rPr>
        <w:object>
          <v:shape id="_x0000_i1025" o:spt="75" type="#_x0000_t75" style="height:43.8pt;width:360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14:paraId="076D50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公式中：ΔP——需调整的价格差额；</w:t>
      </w:r>
    </w:p>
    <w:p w14:paraId="3690858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object>
          <v:shape id="_x0000_i1026" o:spt="75" type="#_x0000_t75" style="height:18.45pt;width:18.45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ascii="Times New Roman" w:hAnsi="Times New Roman"/>
          <w:color w:val="auto"/>
          <w:highlight w:val="none"/>
          <w:shd w:val="clear"/>
        </w:rPr>
        <w:t>——约定的付款证书中承包人应得到的已完成工程量的金额。此项金额应不包括价格调整、不计质量保证金的扣留和支付、预付款的支付和扣回。约定的变更及其他金额已按现行价格计价的，也不计在内；</w:t>
      </w:r>
    </w:p>
    <w:p w14:paraId="1B9EB8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A——定值权重（即不调部分的权重）；</w:t>
      </w:r>
    </w:p>
    <w:p w14:paraId="01D9251A">
      <w:pPr>
        <w:pStyle w:val="22"/>
        <w:spacing w:line="360" w:lineRule="auto"/>
        <w:ind w:firstLine="420"/>
        <w:rPr>
          <w:rFonts w:ascii="Times New Roman" w:hAnsi="Times New Roman"/>
          <w:color w:val="auto"/>
          <w:highlight w:val="none"/>
          <w:shd w:val="clear"/>
        </w:rPr>
      </w:pPr>
      <w:r>
        <w:rPr>
          <w:rFonts w:hint="eastAsia" w:ascii="Times New Roman" w:hAnsi="Times New Roman"/>
          <w:color w:val="auto"/>
          <w:highlight w:val="none"/>
          <w:shd w:val="clear"/>
        </w:rPr>
        <w:object>
          <v:shape id="_x0000_i1027" o:spt="75" type="#_x0000_t75" style="height:20.75pt;width:100.8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hint="eastAsia" w:ascii="Times New Roman" w:hAnsi="Times New Roman"/>
          <w:color w:val="auto"/>
          <w:highlight w:val="none"/>
          <w:shd w:val="clear"/>
        </w:rPr>
        <w:t>——各可调因子的变值权重（即可调部分的权重），为各可调因子在签约合同价中所占的比例；</w:t>
      </w:r>
    </w:p>
    <w:p w14:paraId="5C44D202">
      <w:pPr>
        <w:pStyle w:val="22"/>
        <w:spacing w:line="360" w:lineRule="auto"/>
        <w:ind w:firstLine="420"/>
        <w:rPr>
          <w:rFonts w:ascii="Times New Roman" w:hAnsi="Times New Roman"/>
          <w:color w:val="auto"/>
          <w:highlight w:val="none"/>
          <w:shd w:val="clear"/>
        </w:rPr>
      </w:pPr>
      <w:r>
        <w:rPr>
          <w:rFonts w:hint="eastAsia" w:ascii="Times New Roman" w:hAnsi="Times New Roman"/>
          <w:color w:val="auto"/>
          <w:highlight w:val="none"/>
          <w:shd w:val="clear"/>
        </w:rPr>
        <w:object>
          <v:shape id="_x0000_i1028" o:spt="75" type="#_x0000_t75" style="height:20.75pt;width:101.95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ascii="Times New Roman" w:hAnsi="Times New Roman"/>
          <w:color w:val="auto"/>
          <w:highlight w:val="none"/>
          <w:shd w:val="clear"/>
        </w:rPr>
        <w:t>——各可调因子的现行价格指数，指约定的付款证书相关周期最后一天的前42天的各可调因子的价格指数；</w:t>
      </w:r>
    </w:p>
    <w:p w14:paraId="397C96D9">
      <w:pPr>
        <w:pStyle w:val="22"/>
        <w:spacing w:line="360" w:lineRule="auto"/>
        <w:ind w:firstLine="420"/>
        <w:rPr>
          <w:rFonts w:ascii="Times New Roman" w:hAnsi="Times New Roman"/>
          <w:color w:val="auto"/>
          <w:highlight w:val="none"/>
          <w:shd w:val="clear"/>
        </w:rPr>
      </w:pPr>
      <w:r>
        <w:rPr>
          <w:rFonts w:hint="eastAsia" w:ascii="Times New Roman" w:hAnsi="Times New Roman"/>
          <w:color w:val="auto"/>
          <w:highlight w:val="none"/>
          <w:shd w:val="clear"/>
        </w:rPr>
        <w:object>
          <v:shape id="_x0000_i1029" o:spt="75" type="#_x0000_t75" style="height:20.75pt;width:108.85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r>
        <w:rPr>
          <w:rFonts w:hint="eastAsia" w:ascii="Times New Roman" w:hAnsi="Times New Roman"/>
          <w:color w:val="auto"/>
          <w:highlight w:val="none"/>
          <w:shd w:val="clear"/>
        </w:rPr>
        <w:t>——各可调因子的基本价格指数，指基准日期的各可调因子的价格指数。</w:t>
      </w:r>
    </w:p>
    <w:p w14:paraId="36D3F5E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FB1E8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（2）暂时确定调整差额</w:t>
      </w:r>
    </w:p>
    <w:p w14:paraId="67268C1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在计算调整差额时无现行价格指数的，合同当事人同意暂用前次价格指数计算。实际价格指数有调整的，合同当事人进行相应调整。</w:t>
      </w:r>
    </w:p>
    <w:p w14:paraId="4CD9A0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（3）权重的调整</w:t>
      </w:r>
    </w:p>
    <w:p w14:paraId="53F607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因变更导致合同约定的权重不合理时，按照第4.4款〔商定或确定〕执行。</w:t>
      </w:r>
    </w:p>
    <w:p w14:paraId="209926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（4）因承包人原因工期延误后的价格调整</w:t>
      </w:r>
    </w:p>
    <w:p w14:paraId="2E5FDAA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因承包人原因未按期竣工的，对合同约定的竣工日期后继续施工的工程，在使用价格调整公式时，应采用计划竣工日期与实际竣工日期的两个价格指数中较低的一个作为现行价格指数。</w:t>
      </w:r>
    </w:p>
    <w:p w14:paraId="2E5306D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第2种方式：采用造价信息进行价格调整。</w:t>
      </w:r>
    </w:p>
    <w:p w14:paraId="423B24D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2018D7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09E13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（2）材料、工程设备价格变化的价款调整按照发包人提供的基准价格，按以下风险范围规定执行:</w:t>
      </w:r>
    </w:p>
    <w:p w14:paraId="0B6CA6C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247018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9134F3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③承包人在已标价工程量清单或预算书中载明材料单价等于基准价格的：除专用合同条款另有约定外，合同履行期间材料单价涨跌幅以基准价格为基础超过±5%时，其超过部分据实调整。</w:t>
      </w:r>
    </w:p>
    <w:p w14:paraId="54D2FEB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D83B257">
      <w:pPr>
        <w:pStyle w:val="22"/>
        <w:ind w:firstLine="420"/>
        <w:rPr>
          <w:rFonts w:ascii="Times New Roman" w:hAnsi="Times New Roman"/>
          <w:color w:val="auto"/>
          <w:highlight w:val="none"/>
          <w:shd w:val="clear"/>
        </w:rPr>
      </w:pPr>
      <w:bookmarkStart w:id="903" w:name="OLE_LINK3"/>
      <w:r>
        <w:rPr>
          <w:rFonts w:hint="eastAsia" w:ascii="Times New Roman" w:hAnsi="Times New Roman"/>
          <w:color w:val="auto"/>
          <w:highlight w:val="none"/>
          <w:shd w:val="clear"/>
        </w:rPr>
        <w:t>前述基准价格是指由发包人在招标文件或专用合同条款中给定的材料、工程设备的价格，该价格原则上应当按照省级或行业建设主管部门或其授权的工程造价管理机构发布的信息价编制。</w:t>
      </w:r>
    </w:p>
    <w:p w14:paraId="005D7BF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（3）施工机械台班单价或施工机械使用费发生变化超过省级或行业建设主管部门或其授权的工程造价管理机构规定的范围时，按规定调整合同价格。</w:t>
      </w:r>
    </w:p>
    <w:p w14:paraId="1D6A5E3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第3种方式：专用合同条款约定的其他方式。</w:t>
      </w:r>
    </w:p>
    <w:p w14:paraId="14AD64DD">
      <w:pPr>
        <w:pStyle w:val="33"/>
        <w:rPr>
          <w:color w:val="auto"/>
          <w:highlight w:val="none"/>
          <w:shd w:val="clear"/>
        </w:rPr>
      </w:pPr>
      <w:bookmarkStart w:id="904" w:name="_Toc351203579"/>
      <w:bookmarkStart w:id="905" w:name="_Toc296503093"/>
      <w:bookmarkStart w:id="906" w:name="_Toc337558798"/>
      <w:bookmarkStart w:id="907" w:name="_Toc296346594"/>
      <w:r>
        <w:rPr>
          <w:color w:val="auto"/>
          <w:highlight w:val="none"/>
          <w:shd w:val="clear"/>
        </w:rPr>
        <w:t>11.2 法律变化引起的调整</w:t>
      </w:r>
      <w:bookmarkEnd w:id="904"/>
    </w:p>
    <w:bookmarkEnd w:id="905"/>
    <w:bookmarkEnd w:id="906"/>
    <w:bookmarkEnd w:id="907"/>
    <w:p w14:paraId="5B031DF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1A188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因法律变化引起的合同价格和工期调整，合同当事人无法达成一致的，由总监理工程师按第4.4款〔商定或确定〕的约定处理。</w:t>
      </w:r>
    </w:p>
    <w:p w14:paraId="4D1025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因承包人原因造成工期延误，在工期延误期间出现法律变化的，由此增加的费用和（或）延误的工期由承包人承担。</w:t>
      </w:r>
    </w:p>
    <w:p w14:paraId="7F75BB51">
      <w:pPr>
        <w:pStyle w:val="26"/>
        <w:rPr>
          <w:color w:val="auto"/>
          <w:highlight w:val="none"/>
          <w:shd w:val="clear"/>
        </w:rPr>
      </w:pPr>
      <w:bookmarkStart w:id="908" w:name="_Toc351203580"/>
      <w:bookmarkStart w:id="909" w:name="_Toc337558799"/>
      <w:bookmarkStart w:id="910" w:name="_Toc296503096"/>
      <w:bookmarkStart w:id="911" w:name="_Toc296346597"/>
      <w:r>
        <w:rPr>
          <w:color w:val="auto"/>
          <w:highlight w:val="none"/>
          <w:shd w:val="clear"/>
        </w:rPr>
        <w:t>12.合同价格、计量与支付</w:t>
      </w:r>
      <w:bookmarkEnd w:id="908"/>
    </w:p>
    <w:bookmarkEnd w:id="909"/>
    <w:p w14:paraId="62A01985">
      <w:pPr>
        <w:pStyle w:val="33"/>
        <w:rPr>
          <w:color w:val="auto"/>
          <w:highlight w:val="none"/>
          <w:shd w:val="clear"/>
        </w:rPr>
      </w:pPr>
      <w:bookmarkStart w:id="912" w:name="_Toc351203581"/>
      <w:bookmarkStart w:id="913" w:name="_Toc337558800"/>
      <w:r>
        <w:rPr>
          <w:color w:val="auto"/>
          <w:highlight w:val="none"/>
          <w:shd w:val="clear"/>
        </w:rPr>
        <w:t>12.1 合同价</w:t>
      </w:r>
      <w:bookmarkEnd w:id="910"/>
      <w:bookmarkEnd w:id="911"/>
      <w:r>
        <w:rPr>
          <w:color w:val="auto"/>
          <w:highlight w:val="none"/>
          <w:shd w:val="clear"/>
        </w:rPr>
        <w:t>格形式</w:t>
      </w:r>
      <w:bookmarkEnd w:id="912"/>
    </w:p>
    <w:bookmarkEnd w:id="913"/>
    <w:p w14:paraId="32FFF0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发包人和承包人应在合同协议书中选择下列一种合同价格形式：</w:t>
      </w:r>
    </w:p>
    <w:p w14:paraId="1FB3F8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1.单价合同</w:t>
      </w:r>
    </w:p>
    <w:p w14:paraId="56419D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E3C01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2.总价合同</w:t>
      </w:r>
    </w:p>
    <w:p w14:paraId="4F0A52D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A17FB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3.其它价格形式</w:t>
      </w:r>
    </w:p>
    <w:p w14:paraId="650848B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合同当事人可在专用合同条款中约定其他合同价格形式。</w:t>
      </w:r>
    </w:p>
    <w:p w14:paraId="09D99601">
      <w:pPr>
        <w:pStyle w:val="33"/>
        <w:rPr>
          <w:color w:val="auto"/>
          <w:highlight w:val="none"/>
          <w:shd w:val="clear"/>
        </w:rPr>
      </w:pPr>
      <w:bookmarkStart w:id="914" w:name="_Toc296346598"/>
      <w:bookmarkStart w:id="915" w:name="_Toc296503097"/>
      <w:bookmarkStart w:id="916" w:name="_Toc351203582"/>
      <w:bookmarkStart w:id="917" w:name="_Toc337558801"/>
      <w:r>
        <w:rPr>
          <w:color w:val="auto"/>
          <w:highlight w:val="none"/>
          <w:shd w:val="clear"/>
        </w:rPr>
        <w:t xml:space="preserve">12.2 </w:t>
      </w:r>
      <w:bookmarkEnd w:id="914"/>
      <w:bookmarkEnd w:id="915"/>
      <w:bookmarkStart w:id="918" w:name="_Toc296503100"/>
      <w:bookmarkStart w:id="919" w:name="_Toc296346601"/>
      <w:r>
        <w:rPr>
          <w:color w:val="auto"/>
          <w:highlight w:val="none"/>
          <w:shd w:val="clear"/>
        </w:rPr>
        <w:t>预付款</w:t>
      </w:r>
      <w:bookmarkEnd w:id="916"/>
    </w:p>
    <w:bookmarkEnd w:id="917"/>
    <w:bookmarkEnd w:id="918"/>
    <w:bookmarkEnd w:id="919"/>
    <w:p w14:paraId="7B5C66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12.2.1 预付款的支付</w:t>
      </w:r>
    </w:p>
    <w:p w14:paraId="22E18AE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预付款的支付按照专用合同条款约定执行，但至迟应在开工通知载明的开工日期7天前支付。预付款应当用于材料、工程设备、施工设备的采购及修建临时工程、组织施工队伍进场等。</w:t>
      </w:r>
    </w:p>
    <w:p w14:paraId="419AF9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除专用合同条款另有约定外，预付款在进度付款中同比例扣回。</w:t>
      </w:r>
      <w:bookmarkEnd w:id="903"/>
      <w:r>
        <w:rPr>
          <w:rFonts w:hint="eastAsia" w:ascii="Times New Roman" w:hAnsi="Times New Roman"/>
          <w:color w:val="auto"/>
          <w:highlight w:val="none"/>
          <w:shd w:val="clear"/>
        </w:rPr>
        <w:t>在颁发工程接收证书前，提前解除合同的，尚未扣完的预付款应与合同价款一并结算。</w:t>
      </w:r>
    </w:p>
    <w:p w14:paraId="7174531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发包人逾期支付预付款超过7天的，承包人有权向发包人发出要求预付的催告通知，发包人收到通知后7天内仍未支付的，承包人有权暂停施工，并按第16.1.1项〔发包人违约的情形〕执行。</w:t>
      </w:r>
    </w:p>
    <w:p w14:paraId="16A49BC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12.2.2 预付款担保</w:t>
      </w:r>
    </w:p>
    <w:p w14:paraId="43FA10D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B63F9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发包人在工程款中逐期扣回预付款后，预付款担保额度应相应减少，但剩余的预付款担保金额不得低于未被扣回的预付款金额。</w:t>
      </w:r>
    </w:p>
    <w:p w14:paraId="7570C35D">
      <w:pPr>
        <w:pStyle w:val="33"/>
        <w:rPr>
          <w:color w:val="auto"/>
          <w:highlight w:val="none"/>
          <w:shd w:val="clear"/>
        </w:rPr>
      </w:pPr>
      <w:bookmarkStart w:id="920" w:name="_Toc351203583"/>
      <w:bookmarkStart w:id="921" w:name="_Toc337558802"/>
      <w:r>
        <w:rPr>
          <w:color w:val="auto"/>
          <w:highlight w:val="none"/>
          <w:shd w:val="clear"/>
        </w:rPr>
        <w:t>12.3 计量</w:t>
      </w:r>
      <w:bookmarkEnd w:id="920"/>
    </w:p>
    <w:bookmarkEnd w:id="921"/>
    <w:p w14:paraId="0203C2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12.3.1 计量原则</w:t>
      </w:r>
    </w:p>
    <w:p w14:paraId="6554B0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工程量计量按照合同约定的工程量计算规则、图纸及变更指示等进行计量。工程量计算规则应以相关的国家标准、行业标准等为依据，由合同当事人在专用合同条款中约定。</w:t>
      </w:r>
    </w:p>
    <w:p w14:paraId="7D1348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12.3.2 计量周期</w:t>
      </w:r>
    </w:p>
    <w:p w14:paraId="67D1BC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除专用合同条款另有约定外，工程量的计量按月进行。</w:t>
      </w:r>
    </w:p>
    <w:p w14:paraId="74293A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12.3.3 单价合同的计量</w:t>
      </w:r>
    </w:p>
    <w:p w14:paraId="6CA62A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除专用合同条款另有约定外，单价合同的计量按照本项约定执行：</w:t>
      </w:r>
    </w:p>
    <w:p w14:paraId="3DB06F9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（1）承包人应于每月25日向监理人报送上月20日至当月19日已完成的工程量报告，并附具进度付款申请单、已完成工程量报表和有关资料。</w:t>
      </w:r>
    </w:p>
    <w:p w14:paraId="34B685B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934B9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（3）监理人未在收到承包人提交的工程量报表后的7天内完成审核的，承包人报送的工程量报告中的工程量视为承包人实际完成的工程量，据此计算工程价款。</w:t>
      </w:r>
    </w:p>
    <w:p w14:paraId="56C55B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12.3.4 总价合同的计量</w:t>
      </w:r>
    </w:p>
    <w:p w14:paraId="6C44C21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除专用合同条款另有约定外，按月计量支付的总价合同，按照本项约定执行：</w:t>
      </w:r>
    </w:p>
    <w:p w14:paraId="24D60D4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（1）承包人应于每月25日向监理人报送上月20日至当月19日已完成的工程量报告，并附具进度付款申请单、已完成工程量报表和有关资料。</w:t>
      </w:r>
    </w:p>
    <w:p w14:paraId="42C7FD1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D4519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（3）监理人未在收到承包人提交的工程量报表后的7天内完成复核的，承包人提交的工程量报告中的工程量视为承包人实际完成的工程量。</w:t>
      </w:r>
    </w:p>
    <w:p w14:paraId="2EFD60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12.3.5 总价合同采用支付分解表计量支付的，可以按照第12.3.4项〔总价合同的计量〕约定进行计量，但合同价款按照支付分解表进行支付。</w:t>
      </w:r>
    </w:p>
    <w:p w14:paraId="495A41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12.3.6 其他价格形式合同的计量</w:t>
      </w:r>
    </w:p>
    <w:p w14:paraId="267DFB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合同当事人可在专用合同条款中约定其他价格形式合同的计量方式和程序。</w:t>
      </w:r>
    </w:p>
    <w:p w14:paraId="4A28C8D6">
      <w:pPr>
        <w:pStyle w:val="33"/>
        <w:rPr>
          <w:color w:val="auto"/>
          <w:highlight w:val="none"/>
          <w:shd w:val="clear"/>
        </w:rPr>
      </w:pPr>
      <w:bookmarkStart w:id="922" w:name="_Toc296346602"/>
      <w:bookmarkStart w:id="923" w:name="_Toc296503101"/>
      <w:bookmarkStart w:id="924" w:name="_Toc351203584"/>
      <w:bookmarkStart w:id="925" w:name="_Toc337558803"/>
      <w:r>
        <w:rPr>
          <w:color w:val="auto"/>
          <w:highlight w:val="none"/>
          <w:shd w:val="clear"/>
        </w:rPr>
        <w:t>12.4 工程进度款支</w:t>
      </w:r>
      <w:bookmarkEnd w:id="922"/>
      <w:bookmarkEnd w:id="923"/>
      <w:r>
        <w:rPr>
          <w:color w:val="auto"/>
          <w:highlight w:val="none"/>
          <w:shd w:val="clear"/>
        </w:rPr>
        <w:t>付</w:t>
      </w:r>
      <w:bookmarkEnd w:id="924"/>
    </w:p>
    <w:bookmarkEnd w:id="925"/>
    <w:p w14:paraId="19AD8772">
      <w:pPr>
        <w:pStyle w:val="22"/>
        <w:ind w:firstLine="420"/>
        <w:rPr>
          <w:rFonts w:ascii="Times New Roman" w:hAnsi="Times New Roman"/>
          <w:color w:val="auto"/>
          <w:highlight w:val="none"/>
          <w:shd w:val="clear"/>
        </w:rPr>
      </w:pPr>
      <w:bookmarkStart w:id="926" w:name="_Toc170805637"/>
      <w:bookmarkStart w:id="927" w:name="_Toc170804069"/>
      <w:bookmarkStart w:id="928" w:name="_Toc170805257"/>
      <w:r>
        <w:rPr>
          <w:rFonts w:hint="eastAsia" w:ascii="Times New Roman" w:hAnsi="Times New Roman"/>
          <w:color w:val="auto"/>
          <w:highlight w:val="none"/>
          <w:shd w:val="clear"/>
        </w:rPr>
        <w:t>12.4.1 付款周期</w:t>
      </w:r>
      <w:bookmarkEnd w:id="926"/>
      <w:bookmarkEnd w:id="927"/>
      <w:bookmarkEnd w:id="928"/>
    </w:p>
    <w:p w14:paraId="3131E1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除专用合同条款另有约定外，付款周期应按照第12.3.2项〔计量周期〕的约定与计量周期保持一致。</w:t>
      </w:r>
    </w:p>
    <w:p w14:paraId="61AE6B9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12.4.2 进度付款申请单的编制</w:t>
      </w:r>
    </w:p>
    <w:p w14:paraId="7B61C4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除专用合同条款另有约定外，进度付款申请单应包括下列内容：</w:t>
      </w:r>
    </w:p>
    <w:p w14:paraId="70C274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（1）截至本次付款周期已完成工作对应的金额；</w:t>
      </w:r>
    </w:p>
    <w:p w14:paraId="6EFEAB2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（2）根据第10条〔变更〕应增加和扣减的变更金额；</w:t>
      </w:r>
    </w:p>
    <w:p w14:paraId="3AF9C8B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（3）根据第12.2款〔预付款〕约定应支付的预付款和扣减的返还预付款；</w:t>
      </w:r>
    </w:p>
    <w:p w14:paraId="1B961F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（4）根据第15.3款〔质量保证金〕约定应扣减的质量保证金；</w:t>
      </w:r>
    </w:p>
    <w:p w14:paraId="69537B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（5）根据第19条〔索赔〕应增加和扣减的索赔金额；</w:t>
      </w:r>
    </w:p>
    <w:p w14:paraId="42C308E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（6）对已签发的进度款支付证书中出现错误的修正，应在本次进度付款中支付或扣除的金额；</w:t>
      </w:r>
    </w:p>
    <w:p w14:paraId="4F38596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（7）根据合同约定应增加和扣减的其他金额。</w:t>
      </w:r>
    </w:p>
    <w:p w14:paraId="3FCBCBEB">
      <w:pPr>
        <w:pStyle w:val="22"/>
        <w:ind w:firstLine="420"/>
        <w:rPr>
          <w:rFonts w:ascii="Times New Roman" w:hAnsi="Times New Roman"/>
          <w:color w:val="auto"/>
          <w:highlight w:val="none"/>
          <w:shd w:val="clear"/>
        </w:rPr>
      </w:pPr>
      <w:bookmarkStart w:id="929" w:name="_Toc170805258"/>
      <w:bookmarkStart w:id="930" w:name="_Toc170805638"/>
      <w:bookmarkStart w:id="931" w:name="_Toc170804070"/>
      <w:r>
        <w:rPr>
          <w:rFonts w:hint="eastAsia" w:ascii="Times New Roman" w:hAnsi="Times New Roman"/>
          <w:color w:val="auto"/>
          <w:highlight w:val="none"/>
          <w:shd w:val="clear"/>
        </w:rPr>
        <w:t>12.4.3 进度付款申请单的提交</w:t>
      </w:r>
      <w:bookmarkEnd w:id="929"/>
      <w:bookmarkEnd w:id="930"/>
      <w:bookmarkEnd w:id="931"/>
    </w:p>
    <w:p w14:paraId="085AD2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（1）单价合同进度付款申请单的提交</w:t>
      </w:r>
    </w:p>
    <w:p w14:paraId="1F5CD4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751333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（2）总价合同进度付款申请单的提交</w:t>
      </w:r>
    </w:p>
    <w:p w14:paraId="112714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总价合同按月计量支付的，承包人按照第12.3.4项〔总价合同的计量〕约定的时间按月向监理人提交进度付款申请单，并附上已完成工程量报表和有关资料。</w:t>
      </w:r>
    </w:p>
    <w:p w14:paraId="233D25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总价合同按支付分解表支付的，承包人应按照第12.4.6项〔支付分解表〕及第12.4.2项〔进度付款申请单的编制〕的约定向监理人提交进度付款申请单。</w:t>
      </w:r>
    </w:p>
    <w:p w14:paraId="7BD20A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（3）其他价格形式合同的进度付款申请单的提交</w:t>
      </w:r>
    </w:p>
    <w:p w14:paraId="43EB033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合同当事人可在专用合同条款中约定其他价格形式合同的进度付款申请单的编制和提交程序。</w:t>
      </w:r>
    </w:p>
    <w:p w14:paraId="29E7EA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12.4.4 进度款审核和支付</w:t>
      </w:r>
    </w:p>
    <w:p w14:paraId="410E3CA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A39706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89A70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（2）除专用合同条款另有约定外，发包人应在进度款支付证书或临时进度款支付证书签发后14天内完成支付，发包人逾期支付进度款的，应按照中国人民银行发布的同期同类贷款基准利率支付违约金。</w:t>
      </w:r>
    </w:p>
    <w:p w14:paraId="07DF3C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（3）发包人签发进度款支付证书或临时进度款支付证书，不表明发包人已同意、批准或接受了承包人完成的相应部分的工作。</w:t>
      </w:r>
    </w:p>
    <w:p w14:paraId="1A25E7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12.4.5 进度付款的修正</w:t>
      </w:r>
    </w:p>
    <w:p w14:paraId="3B2FBC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在对已签发的进度款支付证书进行阶段汇总和复核中发现错误、遗漏或重复的，发包人和承包人均有权提出修正申请。经发包人和承包人同意的修正，应在下期进度付款中支付或扣除。</w:t>
      </w:r>
    </w:p>
    <w:p w14:paraId="316E86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12.4.6 支付分解表</w:t>
      </w:r>
    </w:p>
    <w:p w14:paraId="7826851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1.支付分解表的编制要求</w:t>
      </w:r>
    </w:p>
    <w:p w14:paraId="78CBB5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（1）支付分解表中所列的每期付款金额，应为第12.4.2项〔进度付款申请单的编制〕第（1）目的估算金额；</w:t>
      </w:r>
    </w:p>
    <w:p w14:paraId="3A08087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（2）实际进度与施工进度计划不一致的，合同当事人可按照第4.4款〔商定或确定〕修改支付分解表；</w:t>
      </w:r>
    </w:p>
    <w:p w14:paraId="6139EA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（3）不采用支付分解表的，承包人应向发包人和监理人提交按季度编制的支付估算分解表，用于支付参考。</w:t>
      </w:r>
    </w:p>
    <w:p w14:paraId="05ED4E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2.总价合同支付分解表的编制与审批</w:t>
      </w:r>
    </w:p>
    <w:p w14:paraId="7BF811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6D6E13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（2）监理人应在收到支付分解表后7天内完成审核并报送发包人。发包人应在收到经监理人审核的支付分解表后7天内完成审批，经发包人批准的支付分解表为有约束力的支付分解表。</w:t>
      </w:r>
    </w:p>
    <w:p w14:paraId="2C8BC23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（3）发包人逾期未完成支付分解表审批的，也未及时要求承包人进行修正和提供补充资料的，则承包人提交的支付分解表视为已经获得发包人批准。</w:t>
      </w:r>
    </w:p>
    <w:p w14:paraId="08A5B4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3.单价合同的总价项目支付分解表的编制与审批</w:t>
      </w:r>
    </w:p>
    <w:p w14:paraId="5803F5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AE45FF5">
      <w:pPr>
        <w:pStyle w:val="33"/>
        <w:rPr>
          <w:color w:val="auto"/>
          <w:highlight w:val="none"/>
          <w:shd w:val="clear"/>
        </w:rPr>
      </w:pPr>
      <w:bookmarkStart w:id="932" w:name="_Toc351203585"/>
      <w:r>
        <w:rPr>
          <w:color w:val="auto"/>
          <w:highlight w:val="none"/>
          <w:shd w:val="clear"/>
        </w:rPr>
        <w:t>12.5 支付账户</w:t>
      </w:r>
      <w:bookmarkEnd w:id="932"/>
    </w:p>
    <w:p w14:paraId="16420D5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发包人应将合同价款支付至合同协议书中约定的承包人账户。</w:t>
      </w:r>
    </w:p>
    <w:p w14:paraId="7F060263">
      <w:pPr>
        <w:pStyle w:val="26"/>
        <w:rPr>
          <w:color w:val="auto"/>
          <w:highlight w:val="none"/>
          <w:shd w:val="clear"/>
        </w:rPr>
      </w:pPr>
      <w:bookmarkStart w:id="933" w:name="_Toc351203586"/>
      <w:bookmarkStart w:id="934" w:name="_Toc322522574"/>
      <w:bookmarkStart w:id="935" w:name="_Toc296503106"/>
      <w:bookmarkStart w:id="936" w:name="_Toc337558804"/>
      <w:bookmarkStart w:id="937" w:name="_Toc296346607"/>
      <w:r>
        <w:rPr>
          <w:color w:val="auto"/>
          <w:highlight w:val="none"/>
          <w:shd w:val="clear"/>
        </w:rPr>
        <w:t>13.验收和工程试车</w:t>
      </w:r>
      <w:bookmarkEnd w:id="933"/>
    </w:p>
    <w:bookmarkEnd w:id="934"/>
    <w:bookmarkEnd w:id="935"/>
    <w:bookmarkEnd w:id="936"/>
    <w:bookmarkEnd w:id="937"/>
    <w:p w14:paraId="24969CFB">
      <w:pPr>
        <w:pStyle w:val="33"/>
        <w:rPr>
          <w:color w:val="auto"/>
          <w:highlight w:val="none"/>
          <w:shd w:val="clear"/>
        </w:rPr>
      </w:pPr>
      <w:bookmarkStart w:id="938" w:name="_Toc351203587"/>
      <w:bookmarkStart w:id="939" w:name="_Toc337558805"/>
      <w:bookmarkStart w:id="940" w:name="_Toc296503110"/>
      <w:bookmarkStart w:id="941" w:name="_Toc296346611"/>
      <w:r>
        <w:rPr>
          <w:color w:val="auto"/>
          <w:highlight w:val="none"/>
          <w:shd w:val="clear"/>
        </w:rPr>
        <w:t>13.1 分部分项工程验收</w:t>
      </w:r>
      <w:bookmarkEnd w:id="938"/>
    </w:p>
    <w:bookmarkEnd w:id="939"/>
    <w:p w14:paraId="41111D5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13.1.1 分部分项工程质量应符合国家有关工程施工验收规范、标准及合同约定，承包人应按照施工组织设计的要求完成分部分项工程施工。</w:t>
      </w:r>
    </w:p>
    <w:p w14:paraId="489EF8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5B70A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分部分项工程的验收资料应当作为竣工资料的组成部分。</w:t>
      </w:r>
    </w:p>
    <w:p w14:paraId="2A29CB4F">
      <w:pPr>
        <w:pStyle w:val="33"/>
        <w:rPr>
          <w:color w:val="auto"/>
          <w:highlight w:val="none"/>
          <w:shd w:val="clear"/>
        </w:rPr>
      </w:pPr>
      <w:bookmarkStart w:id="942" w:name="_Toc351203588"/>
      <w:bookmarkStart w:id="943" w:name="_Toc337558806"/>
      <w:r>
        <w:rPr>
          <w:color w:val="auto"/>
          <w:highlight w:val="none"/>
          <w:shd w:val="clear"/>
        </w:rPr>
        <w:t>13.2 竣工验收</w:t>
      </w:r>
      <w:bookmarkEnd w:id="942"/>
    </w:p>
    <w:bookmarkEnd w:id="940"/>
    <w:bookmarkEnd w:id="941"/>
    <w:bookmarkEnd w:id="943"/>
    <w:p w14:paraId="2069608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13.2.1 竣工验收条件</w:t>
      </w:r>
    </w:p>
    <w:p w14:paraId="05A9EC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工程具备以下条件的，承包人可以申请竣工验收：</w:t>
      </w:r>
    </w:p>
    <w:p w14:paraId="62E9481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（1）除发包人同意的甩项工作和缺陷修补工作外，合同范围内的全部工程以及有关工作，包括合同要求的试验、试运行以及检验均已完成，并符合合同要求；</w:t>
      </w:r>
    </w:p>
    <w:p w14:paraId="2A7F90B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（2）已按合同约定编制了甩项工作和缺陷修补工作清单以及相应的施工计划；</w:t>
      </w:r>
    </w:p>
    <w:p w14:paraId="7AE0A28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（3）已按合同约定的内容和份数备齐竣工资料。</w:t>
      </w:r>
    </w:p>
    <w:p w14:paraId="16C94A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13.2.2 竣工验收程序</w:t>
      </w:r>
    </w:p>
    <w:p w14:paraId="433AED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除专用合同条款另有约定外，承包人申请竣工验收的，应当按照以下程序进行：</w:t>
      </w:r>
    </w:p>
    <w:p w14:paraId="46C890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769A66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B229C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（3）竣工验收合格的，发包人应在验收合格后14天内向承包人签发工程接收证书。发包人无正当理由逾期不颁发工程接收证书的，自验收合格后第15天起视为已颁发工程接收证书。</w:t>
      </w:r>
    </w:p>
    <w:p w14:paraId="09D62D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8AD8EA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54692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除专用合同条款另有约定外，发包人不按照本项约定组织竣工验收、颁发工程接收证书的，每逾期一天，应以签约合同价为基数，按照中国人民银行发布的同期同类贷款基准利率支付违约金。</w:t>
      </w:r>
    </w:p>
    <w:p w14:paraId="6F703A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13.2.3 竣工日期</w:t>
      </w:r>
    </w:p>
    <w:p w14:paraId="3F8525E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944" w:name="#go14"/>
      <w:bookmarkEnd w:id="944"/>
      <w:r>
        <w:rPr>
          <w:rFonts w:hint="eastAsia" w:ascii="Times New Roman" w:hAnsi="Times New Roman"/>
          <w:color w:val="auto"/>
          <w:highlight w:val="none"/>
          <w:shd w:val="clear"/>
        </w:rPr>
        <w:t>收申请报告的日期为实际竣工日期；工程未经竣工验收，发包人擅自使用的，以转移占有工程之日为实际竣工日期。</w:t>
      </w:r>
    </w:p>
    <w:p w14:paraId="720CB1DD">
      <w:pPr>
        <w:pStyle w:val="22"/>
        <w:ind w:firstLine="420"/>
        <w:rPr>
          <w:rFonts w:ascii="Times New Roman" w:hAnsi="Times New Roman"/>
          <w:color w:val="auto"/>
          <w:highlight w:val="none"/>
          <w:shd w:val="clear"/>
        </w:rPr>
      </w:pPr>
      <w:bookmarkStart w:id="945" w:name="_Toc170805259"/>
      <w:bookmarkStart w:id="946" w:name="_Toc170804071"/>
      <w:bookmarkStart w:id="947" w:name="_Toc170805639"/>
      <w:r>
        <w:rPr>
          <w:rFonts w:hint="eastAsia" w:ascii="Times New Roman" w:hAnsi="Times New Roman"/>
          <w:color w:val="auto"/>
          <w:highlight w:val="none"/>
          <w:shd w:val="clear"/>
        </w:rPr>
        <w:t>13.2.4 拒绝接收全部或部分工程</w:t>
      </w:r>
      <w:bookmarkEnd w:id="945"/>
      <w:bookmarkEnd w:id="946"/>
      <w:bookmarkEnd w:id="947"/>
    </w:p>
    <w:p w14:paraId="6C10510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901B9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13.2.5 移交、接收全部与部分工程</w:t>
      </w:r>
    </w:p>
    <w:p w14:paraId="6244F7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除专用合同条款另有约定外，合同当事人应当在颁发工程接收证书后7天内完成工程的移交。</w:t>
      </w:r>
    </w:p>
    <w:p w14:paraId="0AD5191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发包人无正当理由不接收工程的，发包人自应当接收工程之日起，承担工程照管、成品保护、保管等与工程有关的各项费用，合同当事人可以在专用合同条款中另行约定发包人逾期接收工程的违约责任。</w:t>
      </w:r>
    </w:p>
    <w:p w14:paraId="2C316B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承包人无正当理由不移交工程的，承包人应承担工程照管、成品保护、保管等与工程有关的各项费用，合同当事人可以在专用合同条款中另行约定承包人无正当理由不移交工程的违约责任。</w:t>
      </w:r>
    </w:p>
    <w:p w14:paraId="7F0100B1">
      <w:pPr>
        <w:pStyle w:val="33"/>
        <w:rPr>
          <w:color w:val="auto"/>
          <w:highlight w:val="none"/>
          <w:shd w:val="clear"/>
        </w:rPr>
      </w:pPr>
      <w:bookmarkStart w:id="948" w:name="_Toc351203589"/>
      <w:bookmarkStart w:id="949" w:name="_Toc296346612"/>
      <w:bookmarkStart w:id="950" w:name="_Toc337558807"/>
      <w:bookmarkStart w:id="951" w:name="_Toc296503111"/>
      <w:r>
        <w:rPr>
          <w:color w:val="auto"/>
          <w:highlight w:val="none"/>
          <w:shd w:val="clear"/>
        </w:rPr>
        <w:t>13.3 工程试车</w:t>
      </w:r>
      <w:bookmarkEnd w:id="948"/>
    </w:p>
    <w:bookmarkEnd w:id="949"/>
    <w:bookmarkEnd w:id="950"/>
    <w:bookmarkEnd w:id="951"/>
    <w:p w14:paraId="64847E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13.3.1 试车程序</w:t>
      </w:r>
    </w:p>
    <w:p w14:paraId="49E6E31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工程需要试车的，除专用合同条款另有约定外，试车内容应与承包人承包范围相一致，试车费用由承包人承担。工程试车应按如下程序进行：</w:t>
      </w:r>
    </w:p>
    <w:p w14:paraId="39A2F1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B0EF7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8321BE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564C8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13.3.2 试车中的责任</w:t>
      </w:r>
    </w:p>
    <w:p w14:paraId="46642C7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C0A1DC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B24571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13.3.3 投料试车</w:t>
      </w:r>
    </w:p>
    <w:p w14:paraId="3C2F0A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如需进行投料试车的，发包人应在工程竣工验收后组织投料试车。发包人要求在工程竣工验收前进行或需要承包人配合时，应征得承包人同意，并在专用合同条款中约定有关事项。</w:t>
      </w:r>
    </w:p>
    <w:p w14:paraId="73A7C49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62E6C58">
      <w:pPr>
        <w:pStyle w:val="33"/>
        <w:rPr>
          <w:color w:val="auto"/>
          <w:highlight w:val="none"/>
          <w:shd w:val="clear"/>
        </w:rPr>
      </w:pPr>
      <w:bookmarkStart w:id="952" w:name="_Toc351203590"/>
      <w:bookmarkStart w:id="953" w:name="_Toc337558808"/>
      <w:r>
        <w:rPr>
          <w:color w:val="auto"/>
          <w:highlight w:val="none"/>
          <w:shd w:val="clear"/>
        </w:rPr>
        <w:t>13.4 提前交付单位工程的验收</w:t>
      </w:r>
      <w:bookmarkEnd w:id="952"/>
    </w:p>
    <w:bookmarkEnd w:id="953"/>
    <w:p w14:paraId="3DFF0D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13.4.1 发包人需要在工程竣工前使用单位工程的，或承包人提出提前交付已经竣工的单位工程且经发包人同意的，可进行单位工程验收，验收的程序按照第13.2款〔竣工验收〕的约定进行。</w:t>
      </w:r>
    </w:p>
    <w:p w14:paraId="7CA8C9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验收合格后，由监理人向承包人出具经发包人签认的单位工程接收证书。已签发单位工程接收证书的单位工程由发包人负责照管。单位工程的验收成果和结论作为整体工程竣工验收申请报告的附件。</w:t>
      </w:r>
    </w:p>
    <w:p w14:paraId="724C7A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13.4.2 发包人要求在工程竣工前交付单位工程，由此导致承包人费用增加和（或）工期延误的，由发包人承担由此增加的费用和（或）延误的工期，并支付承包人合理的利润。</w:t>
      </w:r>
    </w:p>
    <w:p w14:paraId="7AF3776C">
      <w:pPr>
        <w:pStyle w:val="33"/>
        <w:rPr>
          <w:color w:val="auto"/>
          <w:highlight w:val="none"/>
          <w:shd w:val="clear"/>
        </w:rPr>
      </w:pPr>
      <w:bookmarkStart w:id="954" w:name="_Toc351203591"/>
      <w:r>
        <w:rPr>
          <w:color w:val="auto"/>
          <w:highlight w:val="none"/>
          <w:shd w:val="clear"/>
        </w:rPr>
        <w:t>13.5 施工期运行</w:t>
      </w:r>
      <w:bookmarkEnd w:id="954"/>
    </w:p>
    <w:p w14:paraId="693972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BF14E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13.5.2 在施工期运行中发现工程或工程设备损坏或存在缺陷的，由承包人按第15.2款〔缺陷责任期〕约定进行修复。</w:t>
      </w:r>
    </w:p>
    <w:p w14:paraId="53522EA7">
      <w:pPr>
        <w:pStyle w:val="33"/>
        <w:rPr>
          <w:color w:val="auto"/>
          <w:highlight w:val="none"/>
          <w:shd w:val="clear"/>
        </w:rPr>
      </w:pPr>
      <w:bookmarkStart w:id="955" w:name="_Toc296503112"/>
      <w:bookmarkStart w:id="956" w:name="_Toc296346613"/>
      <w:bookmarkStart w:id="957" w:name="_Toc351203592"/>
      <w:bookmarkStart w:id="958" w:name="_Toc337558809"/>
      <w:r>
        <w:rPr>
          <w:color w:val="auto"/>
          <w:highlight w:val="none"/>
          <w:shd w:val="clear"/>
        </w:rPr>
        <w:t>13.6 竣工退</w:t>
      </w:r>
      <w:bookmarkEnd w:id="955"/>
      <w:bookmarkEnd w:id="956"/>
      <w:r>
        <w:rPr>
          <w:color w:val="auto"/>
          <w:highlight w:val="none"/>
          <w:shd w:val="clear"/>
        </w:rPr>
        <w:t>场</w:t>
      </w:r>
      <w:bookmarkEnd w:id="957"/>
    </w:p>
    <w:bookmarkEnd w:id="958"/>
    <w:p w14:paraId="12D4AF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13.6.1 竣工退场</w:t>
      </w:r>
    </w:p>
    <w:p w14:paraId="04701E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颁发工程接收证书后，承包人应按以下要求对施工现场进行清理：</w:t>
      </w:r>
    </w:p>
    <w:p w14:paraId="5C5F55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（1）施工现场内残留的垃圾已全部清除出场；</w:t>
      </w:r>
    </w:p>
    <w:p w14:paraId="506A41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（2）临时工程已拆除，场地已进行清理、平整或复原；</w:t>
      </w:r>
    </w:p>
    <w:p w14:paraId="174F86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（3）按合同约定应撤离的人员、承包人施工设备和剩余的材料，包括废弃的施工设备和材料，已按计划撤离施工现场；</w:t>
      </w:r>
    </w:p>
    <w:p w14:paraId="60DF9F8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（4）施工现场周边及其附近道路、河道的施工堆积物，已全部清理；</w:t>
      </w:r>
    </w:p>
    <w:p w14:paraId="7DF88F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（5）施工现场其他场地清理工作已全部完成。</w:t>
      </w:r>
    </w:p>
    <w:p w14:paraId="43A44D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14E4F7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13.6.2 地表还原</w:t>
      </w:r>
    </w:p>
    <w:p w14:paraId="044A93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承包人应按发包人要求恢复临时占地及清理场地，承包人未按发包人的要求恢复临时占地，或者场地清理未达到合同约定要求的，发包人有权委托其他人恢复或清理，所发生的费用由承包人承担。</w:t>
      </w:r>
    </w:p>
    <w:p w14:paraId="3C14A23F">
      <w:pPr>
        <w:pStyle w:val="26"/>
        <w:rPr>
          <w:color w:val="auto"/>
          <w:highlight w:val="none"/>
          <w:shd w:val="clear"/>
        </w:rPr>
      </w:pPr>
      <w:bookmarkStart w:id="959" w:name="_Toc351203593"/>
      <w:bookmarkStart w:id="960" w:name="_Toc337558810"/>
      <w:bookmarkStart w:id="961" w:name="_Toc296346614"/>
      <w:bookmarkStart w:id="962" w:name="_Toc296503113"/>
      <w:r>
        <w:rPr>
          <w:color w:val="auto"/>
          <w:highlight w:val="none"/>
          <w:shd w:val="clear"/>
        </w:rPr>
        <w:t>14.竣工结算</w:t>
      </w:r>
      <w:bookmarkEnd w:id="959"/>
    </w:p>
    <w:bookmarkEnd w:id="960"/>
    <w:p w14:paraId="7EA11A02">
      <w:pPr>
        <w:pStyle w:val="33"/>
        <w:rPr>
          <w:color w:val="auto"/>
          <w:highlight w:val="none"/>
          <w:shd w:val="clear"/>
        </w:rPr>
      </w:pPr>
      <w:bookmarkStart w:id="963" w:name="_Toc351203594"/>
      <w:bookmarkStart w:id="964" w:name="_Toc337558811"/>
      <w:r>
        <w:rPr>
          <w:color w:val="auto"/>
          <w:highlight w:val="none"/>
          <w:shd w:val="clear"/>
        </w:rPr>
        <w:t>14.1 竣工结算申请</w:t>
      </w:r>
      <w:bookmarkEnd w:id="963"/>
    </w:p>
    <w:bookmarkEnd w:id="964"/>
    <w:p w14:paraId="056FB7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9E88EA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除专用合同条款另有约定外，竣工结算申请单应包括以下内容：</w:t>
      </w:r>
    </w:p>
    <w:p w14:paraId="59B4561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（1）竣工结算合同价格；</w:t>
      </w:r>
    </w:p>
    <w:p w14:paraId="76583C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（2）发包人已支付承包人的款项；</w:t>
      </w:r>
    </w:p>
    <w:p w14:paraId="321C7DC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（3）应扣留的质量保证金。已缴纳履约保证金的或提供其他工程质量担保方式的除外；</w:t>
      </w:r>
    </w:p>
    <w:p w14:paraId="0A123F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（4）发包人应支付承包人的合同价款。</w:t>
      </w:r>
    </w:p>
    <w:p w14:paraId="79224190">
      <w:pPr>
        <w:pStyle w:val="33"/>
        <w:rPr>
          <w:color w:val="auto"/>
          <w:highlight w:val="none"/>
          <w:shd w:val="clear"/>
        </w:rPr>
      </w:pPr>
      <w:bookmarkStart w:id="965" w:name="_Toc351203595"/>
      <w:bookmarkStart w:id="966" w:name="_Toc337558812"/>
      <w:r>
        <w:rPr>
          <w:color w:val="auto"/>
          <w:highlight w:val="none"/>
          <w:shd w:val="clear"/>
        </w:rPr>
        <w:t>14.2 竣工结算审核</w:t>
      </w:r>
      <w:bookmarkEnd w:id="965"/>
    </w:p>
    <w:bookmarkEnd w:id="966"/>
    <w:p w14:paraId="323A30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D6228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9B8F6E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7E55A3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4C36081">
      <w:pPr>
        <w:pStyle w:val="33"/>
        <w:rPr>
          <w:color w:val="auto"/>
          <w:highlight w:val="none"/>
          <w:shd w:val="clear"/>
        </w:rPr>
      </w:pPr>
      <w:bookmarkStart w:id="967" w:name="_Toc351203596"/>
      <w:bookmarkStart w:id="968" w:name="_Toc337558813"/>
      <w:r>
        <w:rPr>
          <w:color w:val="auto"/>
          <w:highlight w:val="none"/>
          <w:shd w:val="clear"/>
        </w:rPr>
        <w:t>14.3 甩项竣工协议</w:t>
      </w:r>
      <w:bookmarkEnd w:id="967"/>
    </w:p>
    <w:bookmarkEnd w:id="968"/>
    <w:p w14:paraId="5659EA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要求甩项竣工的，合同当事人应签订甩项竣工协议。在甩项竣工协议中应明确，合同当事人按照第14.1款〔竣工结算申请〕及14.2款〔竣工结算审核〕的约定，对已完合格工程进行结算，并支付相应合同价款。</w:t>
      </w:r>
    </w:p>
    <w:p w14:paraId="5294DEE1">
      <w:pPr>
        <w:pStyle w:val="33"/>
        <w:rPr>
          <w:color w:val="auto"/>
          <w:highlight w:val="none"/>
          <w:shd w:val="clear"/>
        </w:rPr>
      </w:pPr>
      <w:bookmarkStart w:id="969" w:name="_Toc351203597"/>
      <w:bookmarkStart w:id="970" w:name="_Toc337558814"/>
      <w:r>
        <w:rPr>
          <w:color w:val="auto"/>
          <w:highlight w:val="none"/>
          <w:shd w:val="clear"/>
        </w:rPr>
        <w:t>14.4 最终结清</w:t>
      </w:r>
      <w:bookmarkEnd w:id="969"/>
    </w:p>
    <w:bookmarkEnd w:id="970"/>
    <w:p w14:paraId="343744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14.4.1 最终结清申请单</w:t>
      </w:r>
    </w:p>
    <w:p w14:paraId="474A643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（1）除专用合同条款另有约定外，承包人应在缺陷责任期终止证书颁发后7天内，按专用合同条款约定的份数向发包人提交最终结清申请单，并提供相关证明材料。</w:t>
      </w:r>
    </w:p>
    <w:p w14:paraId="0BF2994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除专用合同条款另有约定外，最终结清申请单应列明质量保证金、应扣除的质量保证金、缺陷责任期内发生的增减费用。</w:t>
      </w:r>
    </w:p>
    <w:p w14:paraId="74EED45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（2）发包人对最终结清申请单内容有异议的，有权要求承包人进行修正和提供补充资料，承包人应向发包人提交修正后的最终结清申请单。</w:t>
      </w:r>
    </w:p>
    <w:p w14:paraId="0955EDF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14.4.2 最终结清证书和支付</w:t>
      </w:r>
    </w:p>
    <w:p w14:paraId="40980D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437B0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76D01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（3）承包人对发包人颁发的最终结清证书有异议的，按第20条〔争议解决〕的约定办理。</w:t>
      </w:r>
    </w:p>
    <w:p w14:paraId="7BD44DEE">
      <w:pPr>
        <w:pStyle w:val="26"/>
        <w:rPr>
          <w:color w:val="auto"/>
          <w:highlight w:val="none"/>
          <w:shd w:val="clear"/>
        </w:rPr>
      </w:pPr>
      <w:bookmarkStart w:id="971" w:name="_Toc351203598"/>
      <w:bookmarkStart w:id="972" w:name="_Toc337558815"/>
      <w:r>
        <w:rPr>
          <w:color w:val="auto"/>
          <w:highlight w:val="none"/>
          <w:shd w:val="clear"/>
        </w:rPr>
        <w:t>15.缺陷责任与保修</w:t>
      </w:r>
      <w:bookmarkEnd w:id="971"/>
    </w:p>
    <w:bookmarkEnd w:id="961"/>
    <w:bookmarkEnd w:id="962"/>
    <w:bookmarkEnd w:id="972"/>
    <w:p w14:paraId="1ABE9115">
      <w:pPr>
        <w:pStyle w:val="33"/>
        <w:rPr>
          <w:color w:val="auto"/>
          <w:highlight w:val="none"/>
          <w:shd w:val="clear"/>
        </w:rPr>
      </w:pPr>
      <w:bookmarkStart w:id="973" w:name="_Toc351203599"/>
      <w:bookmarkStart w:id="974" w:name="_Toc337558816"/>
      <w:bookmarkStart w:id="975" w:name="_Toc296346615"/>
      <w:bookmarkStart w:id="976" w:name="_Toc296503114"/>
      <w:r>
        <w:rPr>
          <w:color w:val="auto"/>
          <w:highlight w:val="none"/>
          <w:shd w:val="clear"/>
        </w:rPr>
        <w:t>15.1 工程保修的原则</w:t>
      </w:r>
      <w:bookmarkEnd w:id="973"/>
    </w:p>
    <w:bookmarkEnd w:id="974"/>
    <w:p w14:paraId="1BD0A2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在工程移交发包人后，因承包人原因产生的质量缺陷，承包人应承担质量缺陷责任和保修义务。缺陷责任期届满，承包人仍应按合同约定的工程各部位保修年限承担保修义务。</w:t>
      </w:r>
    </w:p>
    <w:p w14:paraId="2DF9DA57">
      <w:pPr>
        <w:pStyle w:val="33"/>
        <w:rPr>
          <w:color w:val="auto"/>
          <w:highlight w:val="none"/>
          <w:shd w:val="clear"/>
        </w:rPr>
      </w:pPr>
      <w:bookmarkStart w:id="977" w:name="_Toc351203600"/>
      <w:bookmarkStart w:id="978" w:name="_Toc337558817"/>
      <w:r>
        <w:rPr>
          <w:color w:val="auto"/>
          <w:highlight w:val="none"/>
          <w:shd w:val="clear"/>
        </w:rPr>
        <w:t>15.2 缺陷责任期</w:t>
      </w:r>
      <w:bookmarkEnd w:id="975"/>
      <w:bookmarkEnd w:id="976"/>
      <w:bookmarkEnd w:id="977"/>
    </w:p>
    <w:bookmarkEnd w:id="978"/>
    <w:p w14:paraId="6539F5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15.2.1 缺陷责任期从工程通过竣工验收之日起计算，合同当事人应在专用合同条款约定缺陷责任期的具体期限，但该期限最长不超过24个月。</w:t>
      </w:r>
    </w:p>
    <w:p w14:paraId="7B8CFF2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B2657F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90940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由他人原因造成的缺陷，发包人负责组织维修，承包人不承担费用，且发包人不得从保证金中扣除费用。</w:t>
      </w:r>
    </w:p>
    <w:p w14:paraId="32FD2B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15.2.3 任何一项缺陷或损坏修复后，经检查证明其影响了工程或工程设备的使用性能，承包人应重新进行合同约定的试验和试运行，试验和试运行的全部费用应由责任方承担。</w:t>
      </w:r>
    </w:p>
    <w:p w14:paraId="357B7B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D30B8AC">
      <w:pPr>
        <w:pStyle w:val="33"/>
        <w:rPr>
          <w:color w:val="auto"/>
          <w:highlight w:val="none"/>
          <w:shd w:val="clear"/>
        </w:rPr>
      </w:pPr>
      <w:bookmarkStart w:id="979" w:name="_Toc351203601"/>
      <w:bookmarkStart w:id="980" w:name="_Toc337558818"/>
      <w:bookmarkStart w:id="981" w:name="_Toc296346616"/>
      <w:bookmarkStart w:id="982" w:name="_Toc296503115"/>
      <w:r>
        <w:rPr>
          <w:color w:val="auto"/>
          <w:highlight w:val="none"/>
          <w:shd w:val="clear"/>
        </w:rPr>
        <w:t>15.3 质量保证金</w:t>
      </w:r>
      <w:bookmarkEnd w:id="979"/>
    </w:p>
    <w:bookmarkEnd w:id="980"/>
    <w:p w14:paraId="3129841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经合同当事人协商一致扣留质量保证金的，应在专用合同条款中予以明确。</w:t>
      </w:r>
    </w:p>
    <w:p w14:paraId="20BD25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在工程项目竣工前，承包人已经提供履约担保的，发包人不得同时预留工程质量保证金。</w:t>
      </w:r>
    </w:p>
    <w:p w14:paraId="13553D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15.3.1 承包人提供质量保证金的方式</w:t>
      </w:r>
    </w:p>
    <w:p w14:paraId="48339D0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承包人提供质量保证金有以下三种方式：</w:t>
      </w:r>
    </w:p>
    <w:p w14:paraId="7F1D04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（1）质量保证金保函；</w:t>
      </w:r>
    </w:p>
    <w:p w14:paraId="173E56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（2）相应比例的工程款；</w:t>
      </w:r>
    </w:p>
    <w:p w14:paraId="4D7C10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（3）双方约定的其他方式。</w:t>
      </w:r>
    </w:p>
    <w:p w14:paraId="2B98960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除专用合同条款另有约定外，质量保证金原则上采用上述第（1）种方式。</w:t>
      </w:r>
    </w:p>
    <w:p w14:paraId="17BFD0C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15.3.2 质量保证金的扣留</w:t>
      </w:r>
    </w:p>
    <w:p w14:paraId="34B9140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质量保证金的扣留有以下三种方式：</w:t>
      </w:r>
    </w:p>
    <w:p w14:paraId="3B42DB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（1）在支付工程进度款时逐次扣留，在此情形下，质量保证金的计算基数不包括预付款的支付、扣回以及价格调整的金额；</w:t>
      </w:r>
    </w:p>
    <w:p w14:paraId="0EE0921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（2）工</w:t>
      </w:r>
      <w:bookmarkStart w:id="983" w:name="#go6"/>
      <w:bookmarkEnd w:id="983"/>
      <w:r>
        <w:rPr>
          <w:rFonts w:hint="eastAsia" w:ascii="Times New Roman" w:hAnsi="Times New Roman"/>
          <w:color w:val="auto"/>
          <w:highlight w:val="none"/>
          <w:shd w:val="clear"/>
        </w:rPr>
        <w:t>程竣工结算时一次性扣留质量保证金；</w:t>
      </w:r>
    </w:p>
    <w:p w14:paraId="58505BC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（3）双方约定的其他扣留方式。</w:t>
      </w:r>
    </w:p>
    <w:p w14:paraId="1DDDFE0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除专用合同条款另有约定外，质量保证金的扣留原则上采用上述第（1）种方式。</w:t>
      </w:r>
    </w:p>
    <w:p w14:paraId="6867C58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w:t>
      </w:r>
      <w:bookmarkStart w:id="984" w:name="#go4"/>
      <w:bookmarkEnd w:id="984"/>
      <w:r>
        <w:rPr>
          <w:rFonts w:hint="eastAsia" w:ascii="Times New Roman" w:hAnsi="Times New Roman"/>
          <w:color w:val="auto"/>
          <w:highlight w:val="none"/>
          <w:shd w:val="clear"/>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011F4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发包人在退还质量保证金的同时按照中国人民银行发布的同期同类贷款基准利率支付利息。</w:t>
      </w:r>
    </w:p>
    <w:p w14:paraId="7BEE38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15.3.3 质量保证金的退还</w:t>
      </w:r>
    </w:p>
    <w:p w14:paraId="7CF408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缺陷责任期内，承包人认真履行合同约定的责任，到期后，承包人可向发包人申请返还保证金。</w:t>
      </w:r>
    </w:p>
    <w:p w14:paraId="38E56E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4DB82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发包人和承包人对保证金预留、返还以及工程维修质量、费用有争议的，按本合同第20条约定的争议和纠纷解决程序处理。</w:t>
      </w:r>
    </w:p>
    <w:p w14:paraId="0423D37F">
      <w:pPr>
        <w:pStyle w:val="33"/>
        <w:rPr>
          <w:color w:val="auto"/>
          <w:highlight w:val="none"/>
          <w:shd w:val="clear"/>
        </w:rPr>
      </w:pPr>
      <w:bookmarkStart w:id="985" w:name="_Toc351203602"/>
      <w:bookmarkStart w:id="986" w:name="_Toc337558819"/>
      <w:r>
        <w:rPr>
          <w:color w:val="auto"/>
          <w:highlight w:val="none"/>
          <w:shd w:val="clear"/>
        </w:rPr>
        <w:t>15.4 保修</w:t>
      </w:r>
      <w:bookmarkEnd w:id="985"/>
    </w:p>
    <w:bookmarkEnd w:id="981"/>
    <w:bookmarkEnd w:id="982"/>
    <w:bookmarkEnd w:id="986"/>
    <w:p w14:paraId="6D754F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15.4.1 保修责任</w:t>
      </w:r>
    </w:p>
    <w:p w14:paraId="488093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79FA6D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发包人未经竣工验收擅自使用工程的，保修期自转移占有之日起算。</w:t>
      </w:r>
    </w:p>
    <w:p w14:paraId="12D09D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15.4.2 修复费用</w:t>
      </w:r>
    </w:p>
    <w:p w14:paraId="682FCE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保修期内，修复的费用按照以下约定处理：</w:t>
      </w:r>
    </w:p>
    <w:p w14:paraId="0D1850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（1）保修期内，因承包人原因造成工程的缺陷、损坏，承包人应负责修复，并承担修复的费用以及因工程的缺陷、损坏造成的人身伤害和财产损失；</w:t>
      </w:r>
    </w:p>
    <w:p w14:paraId="78CEC1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（2）保修期内，因发包人使用不当造成工程的缺陷、损坏，可以委托承包人修复，但发包人应承担修复的费用，并支付承包人合理利润；</w:t>
      </w:r>
    </w:p>
    <w:p w14:paraId="2EDE04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（3）因其他原因造成工程的缺陷、损坏，可以委托承包人修复，发包人应承担修复的费用，并支付承包人合理的利润，因工程的缺陷、损坏造成的人身伤害和财产损失由责任方承担。</w:t>
      </w:r>
    </w:p>
    <w:p w14:paraId="165E8C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15.4.3 修复通知</w:t>
      </w:r>
    </w:p>
    <w:p w14:paraId="4443851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D56C6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15.4.4 未能修复</w:t>
      </w:r>
    </w:p>
    <w:p w14:paraId="34F9187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32BB5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15.4.5 承包人出入权</w:t>
      </w:r>
    </w:p>
    <w:p w14:paraId="4EEFA0F0">
      <w:pPr>
        <w:pStyle w:val="22"/>
        <w:keepLines/>
        <w:wordWrap/>
        <w:ind w:firstLine="420"/>
        <w:rPr>
          <w:rFonts w:ascii="Times New Roman" w:hAnsi="Times New Roman"/>
          <w:color w:val="auto"/>
          <w:highlight w:val="none"/>
          <w:shd w:val="clear"/>
        </w:rPr>
      </w:pPr>
      <w:r>
        <w:rPr>
          <w:rFonts w:hint="eastAsia" w:ascii="Times New Roman" w:hAnsi="Times New Roman"/>
          <w:color w:val="auto"/>
          <w:highlight w:val="none"/>
          <w:shd w:val="clear"/>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9FDEE7A">
      <w:pPr>
        <w:pStyle w:val="26"/>
        <w:rPr>
          <w:color w:val="auto"/>
          <w:highlight w:val="none"/>
          <w:shd w:val="clear"/>
        </w:rPr>
      </w:pPr>
      <w:bookmarkStart w:id="987" w:name="_Toc351203603"/>
      <w:bookmarkStart w:id="988" w:name="_Toc337558820"/>
      <w:r>
        <w:rPr>
          <w:rFonts w:hint="eastAsia"/>
          <w:color w:val="auto"/>
          <w:highlight w:val="none"/>
          <w:shd w:val="clear"/>
        </w:rPr>
        <w:t>16.违约</w:t>
      </w:r>
      <w:bookmarkEnd w:id="987"/>
    </w:p>
    <w:bookmarkEnd w:id="988"/>
    <w:p w14:paraId="7DB2AF9C">
      <w:pPr>
        <w:pStyle w:val="33"/>
        <w:rPr>
          <w:color w:val="auto"/>
          <w:highlight w:val="none"/>
          <w:shd w:val="clear"/>
        </w:rPr>
      </w:pPr>
      <w:bookmarkStart w:id="989" w:name="_Toc296346630"/>
      <w:bookmarkStart w:id="990" w:name="_Toc296503129"/>
      <w:bookmarkStart w:id="991" w:name="_Toc351203604"/>
      <w:bookmarkStart w:id="992" w:name="_Toc337558821"/>
      <w:r>
        <w:rPr>
          <w:color w:val="auto"/>
          <w:highlight w:val="none"/>
          <w:shd w:val="clear"/>
        </w:rPr>
        <w:t>16.1 发</w:t>
      </w:r>
      <w:bookmarkEnd w:id="989"/>
      <w:bookmarkEnd w:id="990"/>
      <w:r>
        <w:rPr>
          <w:color w:val="auto"/>
          <w:highlight w:val="none"/>
          <w:shd w:val="clear"/>
        </w:rPr>
        <w:t>包人违约</w:t>
      </w:r>
      <w:bookmarkEnd w:id="991"/>
    </w:p>
    <w:bookmarkEnd w:id="992"/>
    <w:p w14:paraId="4B07E616">
      <w:pPr>
        <w:pStyle w:val="22"/>
        <w:keepLines/>
        <w:wordWrap/>
        <w:ind w:firstLine="420"/>
        <w:rPr>
          <w:rFonts w:ascii="Times New Roman" w:hAnsi="Times New Roman"/>
          <w:color w:val="auto"/>
          <w:highlight w:val="none"/>
          <w:shd w:val="clear"/>
        </w:rPr>
      </w:pPr>
      <w:r>
        <w:rPr>
          <w:rFonts w:hint="eastAsia" w:ascii="Times New Roman" w:hAnsi="Times New Roman"/>
          <w:color w:val="auto"/>
          <w:highlight w:val="none"/>
          <w:shd w:val="clear"/>
        </w:rPr>
        <w:t>16.1.1 发包人违约的情形</w:t>
      </w:r>
    </w:p>
    <w:p w14:paraId="0912C1EC">
      <w:pPr>
        <w:pStyle w:val="22"/>
        <w:keepLines/>
        <w:wordWrap/>
        <w:ind w:firstLine="420"/>
        <w:rPr>
          <w:rFonts w:ascii="Times New Roman" w:hAnsi="Times New Roman"/>
          <w:color w:val="auto"/>
          <w:highlight w:val="none"/>
          <w:shd w:val="clear"/>
        </w:rPr>
      </w:pPr>
      <w:r>
        <w:rPr>
          <w:rFonts w:hint="eastAsia" w:ascii="Times New Roman" w:hAnsi="Times New Roman"/>
          <w:color w:val="auto"/>
          <w:highlight w:val="none"/>
          <w:shd w:val="clear"/>
        </w:rPr>
        <w:t>在合同履行过程中发生的下列情形，属于发包人违约：</w:t>
      </w:r>
    </w:p>
    <w:p w14:paraId="2FA62B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（1）因发包人原因未能在计划开工日期前7天内下达开工通知的；</w:t>
      </w:r>
    </w:p>
    <w:p w14:paraId="14E8C38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（2）因发包人原因未能按合同约定支付合同价款的；</w:t>
      </w:r>
    </w:p>
    <w:p w14:paraId="40A30C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（3）发包人违反第10.1款〔变更的范围〕第（2）项约定，自行实施被取消的工作或转由他人实施的；</w:t>
      </w:r>
    </w:p>
    <w:p w14:paraId="4A31FB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（4）发包人提供的材料、工程设备的规格、数量或质量不符合合同约定，或因发包人原因导致交货日期延误或交货地点变更等情况的；</w:t>
      </w:r>
    </w:p>
    <w:p w14:paraId="7A9BFF9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（5）因发包人违反合同约定造成暂停施工的；</w:t>
      </w:r>
    </w:p>
    <w:p w14:paraId="4DA9C5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（6）发包人无正当理由没有在约定期限内发出复工指示，导致承包人无法复工的；</w:t>
      </w:r>
    </w:p>
    <w:p w14:paraId="04FAA68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（7）发包人明确表示或者以其行为表明不履行合同主要义务的；</w:t>
      </w:r>
    </w:p>
    <w:p w14:paraId="1ED237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（8）发包人未能按照合同约定履行其他义务的。</w:t>
      </w:r>
    </w:p>
    <w:p w14:paraId="019E2E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C7BE98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16.1.2 发包人违约的责任</w:t>
      </w:r>
    </w:p>
    <w:p w14:paraId="28BBDF2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发包人应承担因其违约给承包人增加的费用和（或）延误的工期，并支付承包人合理的利润。此外，合同当事人可在专用合同条款中另行约定发包人违约责任的承担方式和计算方法。</w:t>
      </w:r>
    </w:p>
    <w:p w14:paraId="4A6CB61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16.1.3 因发包人违约解除合同</w:t>
      </w:r>
    </w:p>
    <w:p w14:paraId="47928D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C4C24E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16.1.4 因发包人违约解除合同后的付款</w:t>
      </w:r>
    </w:p>
    <w:p w14:paraId="70304F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承包人按照本款约定解除合同的，发包人应在解除合同后28天内支付下列款项，并解除履约担保：</w:t>
      </w:r>
    </w:p>
    <w:p w14:paraId="08674B2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（1）合同解除前所完成工作的价款；</w:t>
      </w:r>
    </w:p>
    <w:p w14:paraId="7DB9F2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（2）承包人为工程施工订购并已付款的材料、工程设备和其他物品的价款；</w:t>
      </w:r>
    </w:p>
    <w:p w14:paraId="618F631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（3）承包人撤离施工现场以及遣散承包人人员的款项；</w:t>
      </w:r>
    </w:p>
    <w:p w14:paraId="54D9E5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（4）按照合同约定在合同解除前应支付的违约金；</w:t>
      </w:r>
    </w:p>
    <w:p w14:paraId="46400E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（5）按照合同约定应当支付给承包人的其他款项；</w:t>
      </w:r>
    </w:p>
    <w:p w14:paraId="228B54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（6）按照合同约定应退还的质量保证金；</w:t>
      </w:r>
    </w:p>
    <w:p w14:paraId="5636925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（7）因解除合同给承包人造成的损失。</w:t>
      </w:r>
    </w:p>
    <w:p w14:paraId="0699D3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合同当事人未能就解除合同后的结清达成一致的，按照第20条〔争议解决〕的约定处理。</w:t>
      </w:r>
    </w:p>
    <w:p w14:paraId="564173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承包人应妥善做好已完工程和与工程有关的已购材料、工程设备的保护和移交工作，并将施工设备和人员撤出施工现场，发包人应为承包人撤出提供必要条件。</w:t>
      </w:r>
    </w:p>
    <w:p w14:paraId="28058660">
      <w:pPr>
        <w:pStyle w:val="33"/>
        <w:rPr>
          <w:color w:val="auto"/>
          <w:highlight w:val="none"/>
          <w:shd w:val="clear"/>
        </w:rPr>
      </w:pPr>
      <w:bookmarkStart w:id="993" w:name="_Toc351203605"/>
      <w:bookmarkStart w:id="994" w:name="_Toc296503131"/>
      <w:bookmarkStart w:id="995" w:name="_Toc337558822"/>
      <w:bookmarkStart w:id="996" w:name="_Toc296346632"/>
      <w:r>
        <w:rPr>
          <w:color w:val="auto"/>
          <w:highlight w:val="none"/>
          <w:shd w:val="clear"/>
        </w:rPr>
        <w:t>16.2 承包人违约</w:t>
      </w:r>
      <w:bookmarkEnd w:id="993"/>
    </w:p>
    <w:bookmarkEnd w:id="994"/>
    <w:bookmarkEnd w:id="995"/>
    <w:bookmarkEnd w:id="996"/>
    <w:p w14:paraId="7700DC1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16.2.1 承包人违约的情形</w:t>
      </w:r>
    </w:p>
    <w:p w14:paraId="7708B95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在合同履行过程中发生的下列情形，属于承包人违约：</w:t>
      </w:r>
    </w:p>
    <w:p w14:paraId="24BC48F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（1）承包人违反合同约定进行转包或违法分包的；</w:t>
      </w:r>
    </w:p>
    <w:p w14:paraId="664791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（2）承包人违反合同约定采购和使用不合格的材料和工程设备的；</w:t>
      </w:r>
    </w:p>
    <w:p w14:paraId="62A8CB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（3）因承包人原因导致工程质量不符合合同要求的；</w:t>
      </w:r>
    </w:p>
    <w:p w14:paraId="00A367C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（4）承包人违反第8.9款〔材料与设备专用要求〕的约定，未经批准，私自将已按照合同约定进入施工现场的材料或设备撤离施工现场的；</w:t>
      </w:r>
    </w:p>
    <w:p w14:paraId="17D06D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（5）承包人未能按施工进度计划及时完成合同约定的工作，造成工期延误的；</w:t>
      </w:r>
    </w:p>
    <w:p w14:paraId="320849B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（6）承包人在缺陷责任期及保修期内，未能在合理期限对工程缺陷进行修复，或拒绝按发包人要求进行修复的；</w:t>
      </w:r>
    </w:p>
    <w:p w14:paraId="02FFCD8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（7）承包人明确表示或者以其行为表明不履行合同主要义务的；</w:t>
      </w:r>
    </w:p>
    <w:p w14:paraId="2A7B808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（8）承包人未能按照合同约定履行其他义务的。</w:t>
      </w:r>
    </w:p>
    <w:p w14:paraId="5EFF89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承包人发生除本项第（7）目约定以外的其他违约情况时，监理人可向承包人发出整改通知，要求其在指定的期限内改正。</w:t>
      </w:r>
    </w:p>
    <w:p w14:paraId="0C5014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16.2.2 承包人违约的责任</w:t>
      </w:r>
    </w:p>
    <w:p w14:paraId="7728E86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承包人应承担因其违约行为而增加的费用和（或）延误的工期。此外，合同当事人可在专用合同条款中另行约定承包人违约责任的承担方式和计算方法。</w:t>
      </w:r>
    </w:p>
    <w:p w14:paraId="77699E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16.2.3 因承包人违约解除合同</w:t>
      </w:r>
    </w:p>
    <w:p w14:paraId="29FFD16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61176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16.2.4因承包人违约解除合同后的处理</w:t>
      </w:r>
    </w:p>
    <w:p w14:paraId="76F2253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因承包人原因导致合同解除的，则合同当事人应在合同解除后28天内完成估价、付款和清算，并按以下约定执行：</w:t>
      </w:r>
    </w:p>
    <w:p w14:paraId="428A1F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（1）合同解除后，按第4.4款〔商定或确定〕商定或确定承包人实际完成工作对应的合同价款，以及承包人已提供的材料、工程设备、施工设备和临时工程等的价值；</w:t>
      </w:r>
    </w:p>
    <w:p w14:paraId="47E068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（2）合同解除后，承包人应支付的违约金；</w:t>
      </w:r>
    </w:p>
    <w:p w14:paraId="07077D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（3）合同解除后，因解除合同给发包人造成的损失；</w:t>
      </w:r>
    </w:p>
    <w:p w14:paraId="456944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（4）合同解除后，承包人应按照发包人要求和监理人的指示完成现场的清理和撤离；</w:t>
      </w:r>
    </w:p>
    <w:p w14:paraId="726648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（5）发包人和承包人应在合同解除后进行清算，出具最终结清付款证书，结清全部款项。</w:t>
      </w:r>
    </w:p>
    <w:p w14:paraId="5903B2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因承包人违约解除合同的，发包人有权暂停对承包人的付款，查清各项付款和已扣款项。发包人和承包人未能就合同解除后的清算和款项支付达成一致的，按照第20条〔争议解决〕的约定处理。</w:t>
      </w:r>
    </w:p>
    <w:p w14:paraId="7DE46E4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16.2.5采购合同权益转让</w:t>
      </w:r>
    </w:p>
    <w:p w14:paraId="3F66C0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404341D">
      <w:pPr>
        <w:pStyle w:val="33"/>
        <w:rPr>
          <w:color w:val="auto"/>
          <w:highlight w:val="none"/>
          <w:shd w:val="clear"/>
        </w:rPr>
      </w:pPr>
      <w:bookmarkStart w:id="997" w:name="_Toc351203606"/>
      <w:r>
        <w:rPr>
          <w:color w:val="auto"/>
          <w:highlight w:val="none"/>
          <w:shd w:val="clear"/>
        </w:rPr>
        <w:t>16.3 第三人造成的违约</w:t>
      </w:r>
      <w:bookmarkEnd w:id="997"/>
    </w:p>
    <w:p w14:paraId="10502B9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在履行合同过程中，一方当事人因第三人的原因造成违约的，应当向对方当事人承担违约责任。一方当事人和第三人之间的纠纷，依照法律规定或者按照约定解决。</w:t>
      </w:r>
    </w:p>
    <w:p w14:paraId="6EA4ADF2">
      <w:pPr>
        <w:pStyle w:val="26"/>
        <w:rPr>
          <w:color w:val="auto"/>
          <w:highlight w:val="none"/>
          <w:shd w:val="clear"/>
        </w:rPr>
      </w:pPr>
      <w:bookmarkStart w:id="998" w:name="_Toc351203607"/>
      <w:bookmarkStart w:id="999" w:name="_Toc296503116"/>
      <w:bookmarkStart w:id="1000" w:name="_Toc296346617"/>
      <w:bookmarkStart w:id="1001" w:name="_Toc337558823"/>
      <w:r>
        <w:rPr>
          <w:color w:val="auto"/>
          <w:highlight w:val="none"/>
          <w:shd w:val="clear"/>
        </w:rPr>
        <w:t>17.不可抗力</w:t>
      </w:r>
      <w:bookmarkEnd w:id="998"/>
      <w:r>
        <w:rPr>
          <w:color w:val="auto"/>
          <w:highlight w:val="none"/>
          <w:shd w:val="clear"/>
        </w:rPr>
        <w:t xml:space="preserve"> </w:t>
      </w:r>
      <w:bookmarkEnd w:id="999"/>
      <w:bookmarkEnd w:id="1000"/>
      <w:bookmarkEnd w:id="1001"/>
    </w:p>
    <w:p w14:paraId="3EB20D4F">
      <w:pPr>
        <w:pStyle w:val="33"/>
        <w:rPr>
          <w:color w:val="auto"/>
          <w:highlight w:val="none"/>
          <w:shd w:val="clear"/>
        </w:rPr>
      </w:pPr>
      <w:bookmarkStart w:id="1002" w:name="_Toc351203608"/>
      <w:bookmarkStart w:id="1003" w:name="_Toc296503117"/>
      <w:bookmarkStart w:id="1004" w:name="_Toc337558824"/>
      <w:bookmarkStart w:id="1005" w:name="_Toc296346618"/>
      <w:r>
        <w:rPr>
          <w:color w:val="auto"/>
          <w:highlight w:val="none"/>
          <w:shd w:val="clear"/>
        </w:rPr>
        <w:t>17.1 不可抗力的确认</w:t>
      </w:r>
      <w:bookmarkEnd w:id="1002"/>
    </w:p>
    <w:bookmarkEnd w:id="1003"/>
    <w:bookmarkEnd w:id="1004"/>
    <w:bookmarkEnd w:id="1005"/>
    <w:p w14:paraId="4FB554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不可抗力是指合同当事人在签订合同时不可预见，在合同履行过程中不可避免且不能克服的自然灾害和社会性突发事件，如地震、海啸、瘟疫、骚乱、戒严、暴动、战争和专用合同条款中约定的其他情形。</w:t>
      </w:r>
    </w:p>
    <w:p w14:paraId="7A85487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63B2266">
      <w:pPr>
        <w:pStyle w:val="33"/>
        <w:rPr>
          <w:color w:val="auto"/>
          <w:highlight w:val="none"/>
          <w:shd w:val="clear"/>
        </w:rPr>
      </w:pPr>
      <w:bookmarkStart w:id="1006" w:name="_Toc351203609"/>
      <w:bookmarkStart w:id="1007" w:name="_Toc296346619"/>
      <w:bookmarkStart w:id="1008" w:name="_Toc337558825"/>
      <w:bookmarkStart w:id="1009" w:name="_Toc296503118"/>
      <w:r>
        <w:rPr>
          <w:color w:val="auto"/>
          <w:highlight w:val="none"/>
          <w:shd w:val="clear"/>
        </w:rPr>
        <w:t>17.2 不可抗力的通知</w:t>
      </w:r>
      <w:bookmarkEnd w:id="1006"/>
    </w:p>
    <w:bookmarkEnd w:id="1007"/>
    <w:bookmarkEnd w:id="1008"/>
    <w:bookmarkEnd w:id="1009"/>
    <w:p w14:paraId="05A3A36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合同一方当事人遇到不可抗力事件，使其履行合同义务受到阻碍时，应立即通知合同另一方当事人和监理人，书面说明不可抗力和受阻碍的详细情况，并提供必要的证明。</w:t>
      </w:r>
    </w:p>
    <w:p w14:paraId="71C0AC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不可抗力持续发生的，合同一方当事人应及时向合同另一方当事人和监理人提交中间报告，说明不可抗力和履行合同受阻的情况，并于不可抗力事件结束后28天内提交最终报告及有关资料。</w:t>
      </w:r>
    </w:p>
    <w:p w14:paraId="07A2497B">
      <w:pPr>
        <w:pStyle w:val="33"/>
        <w:rPr>
          <w:color w:val="auto"/>
          <w:highlight w:val="none"/>
          <w:shd w:val="clear"/>
        </w:rPr>
      </w:pPr>
      <w:bookmarkStart w:id="1010" w:name="_Toc351203610"/>
      <w:bookmarkStart w:id="1011" w:name="_Toc296503119"/>
      <w:bookmarkStart w:id="1012" w:name="_Toc296346620"/>
      <w:bookmarkStart w:id="1013" w:name="_Toc337558826"/>
      <w:r>
        <w:rPr>
          <w:color w:val="auto"/>
          <w:highlight w:val="none"/>
          <w:shd w:val="clear"/>
        </w:rPr>
        <w:t>17.3 不可抗力后果的承担</w:t>
      </w:r>
      <w:bookmarkEnd w:id="1010"/>
    </w:p>
    <w:bookmarkEnd w:id="1011"/>
    <w:bookmarkEnd w:id="1012"/>
    <w:bookmarkEnd w:id="1013"/>
    <w:p w14:paraId="77E99C5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17.3.1 不可抗力引起的后果及造成的损失由合同当事人按照法律规定及合同约定各自承担。不可抗力发生前已完成的工程应当按照合同约定进行计量支付。</w:t>
      </w:r>
    </w:p>
    <w:p w14:paraId="5820B4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17.3.2 不可抗力导致的人员伤亡、财产损失、费用增加和（或）工期延误等后果，由合同当事人按以下原则承担：</w:t>
      </w:r>
    </w:p>
    <w:p w14:paraId="79AD80F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（1）永久工程、已运至施工现场的材料和工程设备的损坏，以及因工程损坏造成的第三人人员伤亡和财产损失由发包人承担；</w:t>
      </w:r>
    </w:p>
    <w:p w14:paraId="103929F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（2）承包人施工设备的损坏由承包人承担；</w:t>
      </w:r>
    </w:p>
    <w:p w14:paraId="7C0AF4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（3）发包人和承包人承担各自人员伤亡和财产的损失；</w:t>
      </w:r>
    </w:p>
    <w:p w14:paraId="4B648F9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BE517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（5）因不可抗力引起或将引起工期延误，发包人要求赶工的，由此增加的赶工费用由发包人承担；</w:t>
      </w:r>
    </w:p>
    <w:p w14:paraId="4ECA2BC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（6）承包人在停工期间按照发包人要求照管、清理和修复工程的费用由发包人承担。</w:t>
      </w:r>
    </w:p>
    <w:p w14:paraId="3CFF3D4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不可抗力发生后，合同当事人均应采取措施尽量避免和减少损失的扩大，任何一方当事人没有采取有效措施导致损失扩大的，应对扩大的损失承担责任。</w:t>
      </w:r>
    </w:p>
    <w:p w14:paraId="26DF87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因合同一方迟延履行合同义务，在迟延履行期间遭遇不可抗力的，不免除其违约责任。</w:t>
      </w:r>
    </w:p>
    <w:p w14:paraId="684C8331">
      <w:pPr>
        <w:pStyle w:val="33"/>
        <w:rPr>
          <w:color w:val="auto"/>
          <w:highlight w:val="none"/>
          <w:shd w:val="clear"/>
        </w:rPr>
      </w:pPr>
      <w:bookmarkStart w:id="1014" w:name="_Toc351203611"/>
      <w:bookmarkStart w:id="1015" w:name="_Toc337558827"/>
      <w:r>
        <w:rPr>
          <w:color w:val="auto"/>
          <w:highlight w:val="none"/>
          <w:shd w:val="clear"/>
        </w:rPr>
        <w:t>17.4 因不可抗力解除合同</w:t>
      </w:r>
      <w:bookmarkEnd w:id="1014"/>
    </w:p>
    <w:bookmarkEnd w:id="1015"/>
    <w:p w14:paraId="5A51D29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因不可抗力导致合同无法履行连续超过84天或累计超过140天的，发包人和承包人均有权解除合同。合同解除后，由双方当事人按照第4.4款〔商定或确定〕商定或确定发包人应支付的款项，该款项包括：</w:t>
      </w:r>
    </w:p>
    <w:p w14:paraId="10095C0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（1）合同解除前承包人已完成工作的价款；</w:t>
      </w:r>
    </w:p>
    <w:p w14:paraId="521D2D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（2）承包人为工程订购的并已交付给承包人，或承包人有责任接受交付的材料、工程设备和其他物品的价款；</w:t>
      </w:r>
    </w:p>
    <w:p w14:paraId="4457F1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（3）发包人要求承包人退货或解除订货合同而产生的费用，或因不能退货或解除合同而产生的损失；</w:t>
      </w:r>
    </w:p>
    <w:p w14:paraId="7CE2FC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（4）承包人撤离施工现场以及遣散承包人人员的费用；</w:t>
      </w:r>
    </w:p>
    <w:p w14:paraId="2B03E7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（5）按照合同约定在合同解除前应支付给承包人的其他款项；</w:t>
      </w:r>
    </w:p>
    <w:p w14:paraId="4FD0B4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（6）扣减承包人按照合同约定应向发包人支付的款项；</w:t>
      </w:r>
    </w:p>
    <w:p w14:paraId="14B7F58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（7）双方商定或确定的其他款项。</w:t>
      </w:r>
    </w:p>
    <w:p w14:paraId="705220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除专用合同条款另有约定外，合同解除后，发包人应在商定或确定上述款项后28天内完成上述款项的支付。</w:t>
      </w:r>
    </w:p>
    <w:p w14:paraId="19B83830">
      <w:pPr>
        <w:pStyle w:val="26"/>
        <w:rPr>
          <w:color w:val="auto"/>
          <w:highlight w:val="none"/>
          <w:shd w:val="clear"/>
        </w:rPr>
      </w:pPr>
      <w:bookmarkStart w:id="1016" w:name="_Toc351203612"/>
      <w:bookmarkStart w:id="1017" w:name="_Toc296503120"/>
      <w:bookmarkStart w:id="1018" w:name="_Toc296346621"/>
      <w:bookmarkStart w:id="1019" w:name="_Toc337558828"/>
      <w:r>
        <w:rPr>
          <w:color w:val="auto"/>
          <w:highlight w:val="none"/>
          <w:shd w:val="clear"/>
        </w:rPr>
        <w:t>18.保险</w:t>
      </w:r>
      <w:bookmarkEnd w:id="1016"/>
    </w:p>
    <w:bookmarkEnd w:id="1017"/>
    <w:bookmarkEnd w:id="1018"/>
    <w:bookmarkEnd w:id="1019"/>
    <w:p w14:paraId="4B50574A">
      <w:pPr>
        <w:pStyle w:val="33"/>
        <w:rPr>
          <w:color w:val="auto"/>
          <w:highlight w:val="none"/>
          <w:shd w:val="clear"/>
        </w:rPr>
      </w:pPr>
      <w:bookmarkStart w:id="1020" w:name="_Toc351203613"/>
      <w:bookmarkStart w:id="1021" w:name="_Toc337558829"/>
      <w:bookmarkStart w:id="1022" w:name="_Toc296346622"/>
      <w:bookmarkStart w:id="1023" w:name="_Toc296503121"/>
      <w:r>
        <w:rPr>
          <w:color w:val="auto"/>
          <w:highlight w:val="none"/>
          <w:shd w:val="clear"/>
        </w:rPr>
        <w:t>18.1 工程保险</w:t>
      </w:r>
      <w:bookmarkEnd w:id="1020"/>
    </w:p>
    <w:bookmarkEnd w:id="1021"/>
    <w:bookmarkEnd w:id="1022"/>
    <w:bookmarkEnd w:id="1023"/>
    <w:p w14:paraId="643181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除专用合同条款另有约定外，发包人应投保建筑工程一切险或安装工程一切险；发包人委托承包人投保的，因投保产生的保险费和其他相关费用由发包人承担。</w:t>
      </w:r>
    </w:p>
    <w:p w14:paraId="5A34BC1D">
      <w:pPr>
        <w:pStyle w:val="33"/>
        <w:rPr>
          <w:color w:val="auto"/>
          <w:highlight w:val="none"/>
          <w:shd w:val="clear"/>
        </w:rPr>
      </w:pPr>
      <w:bookmarkStart w:id="1024" w:name="_Toc351203614"/>
      <w:bookmarkStart w:id="1025" w:name="_Toc296503122"/>
      <w:bookmarkStart w:id="1026" w:name="_Toc296346623"/>
      <w:bookmarkStart w:id="1027" w:name="_Toc337558830"/>
      <w:r>
        <w:rPr>
          <w:color w:val="auto"/>
          <w:highlight w:val="none"/>
          <w:shd w:val="clear"/>
        </w:rPr>
        <w:t>18.2 工伤保险</w:t>
      </w:r>
      <w:bookmarkEnd w:id="1024"/>
    </w:p>
    <w:bookmarkEnd w:id="1025"/>
    <w:bookmarkEnd w:id="1026"/>
    <w:bookmarkEnd w:id="1027"/>
    <w:p w14:paraId="3421838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18.2.1 发包人应依照法律规定参加工伤保险，并为在施工现场的全部员工办理工伤保险，缴纳工伤保险费，并要求监理人及由发包人为履行合同聘请的第三方依法参加工伤保险。</w:t>
      </w:r>
    </w:p>
    <w:p w14:paraId="04C051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18.2.2 承包人应依照法律规定参加工伤保险，并为其履行合同的全部员工办理工伤保险，缴纳工伤保险费，并要求分包人及由承包人为履行合同聘请的第三方依法参加工伤保险。</w:t>
      </w:r>
    </w:p>
    <w:p w14:paraId="610830B4">
      <w:pPr>
        <w:pStyle w:val="33"/>
        <w:rPr>
          <w:color w:val="auto"/>
          <w:highlight w:val="none"/>
          <w:shd w:val="clear"/>
        </w:rPr>
      </w:pPr>
      <w:bookmarkStart w:id="1028" w:name="_Toc351203615"/>
      <w:bookmarkStart w:id="1029" w:name="_Toc337558831"/>
      <w:bookmarkStart w:id="1030" w:name="_Toc296346626"/>
      <w:bookmarkStart w:id="1031" w:name="_Toc296503125"/>
      <w:r>
        <w:rPr>
          <w:color w:val="auto"/>
          <w:highlight w:val="none"/>
          <w:shd w:val="clear"/>
        </w:rPr>
        <w:t>18.3 其他保险</w:t>
      </w:r>
      <w:bookmarkEnd w:id="1028"/>
    </w:p>
    <w:bookmarkEnd w:id="1029"/>
    <w:bookmarkEnd w:id="1030"/>
    <w:bookmarkEnd w:id="1031"/>
    <w:p w14:paraId="124151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发包人和承包人可以为其施工现场的全部人员办理意外伤害保险并支付保险费，包括其员工及为履行合同聘请的第三方的人员，具体事项由合同当事人在专用合同条款约定。</w:t>
      </w:r>
    </w:p>
    <w:p w14:paraId="6EDF27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除专用合同条款另有约定外，承包人应为其施工设备等办理财产保险。</w:t>
      </w:r>
    </w:p>
    <w:p w14:paraId="01FC7C6E">
      <w:pPr>
        <w:pStyle w:val="33"/>
        <w:rPr>
          <w:color w:val="auto"/>
          <w:highlight w:val="none"/>
          <w:shd w:val="clear"/>
        </w:rPr>
      </w:pPr>
      <w:bookmarkStart w:id="1032" w:name="_Toc351203616"/>
      <w:r>
        <w:rPr>
          <w:color w:val="auto"/>
          <w:highlight w:val="none"/>
          <w:shd w:val="clear"/>
        </w:rPr>
        <w:t>18.4 持续保险</w:t>
      </w:r>
      <w:bookmarkEnd w:id="1032"/>
    </w:p>
    <w:p w14:paraId="4E3E2A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合同当事人应与保险人保持联系，使保险人能够随时了解工程实施中的变动，并确保按保险合同条款要求持续保险。</w:t>
      </w:r>
    </w:p>
    <w:p w14:paraId="41EBA6D9">
      <w:pPr>
        <w:pStyle w:val="33"/>
        <w:rPr>
          <w:color w:val="auto"/>
          <w:highlight w:val="none"/>
          <w:shd w:val="clear"/>
        </w:rPr>
      </w:pPr>
      <w:bookmarkStart w:id="1033" w:name="_Toc351203617"/>
      <w:bookmarkStart w:id="1034" w:name="_Toc296346627"/>
      <w:bookmarkStart w:id="1035" w:name="_Toc337558832"/>
      <w:bookmarkStart w:id="1036" w:name="_Toc296503126"/>
      <w:r>
        <w:rPr>
          <w:color w:val="auto"/>
          <w:highlight w:val="none"/>
          <w:shd w:val="clear"/>
        </w:rPr>
        <w:t>18.5 保险凭证</w:t>
      </w:r>
      <w:bookmarkEnd w:id="1033"/>
    </w:p>
    <w:bookmarkEnd w:id="1034"/>
    <w:bookmarkEnd w:id="1035"/>
    <w:bookmarkEnd w:id="1036"/>
    <w:p w14:paraId="086CAF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合同当事人应及时向另一方当事人提交其已投保的各项保险的凭证和保险单复印件。</w:t>
      </w:r>
    </w:p>
    <w:p w14:paraId="4C9EEEDA">
      <w:pPr>
        <w:pStyle w:val="33"/>
        <w:rPr>
          <w:color w:val="auto"/>
          <w:highlight w:val="none"/>
          <w:shd w:val="clear"/>
        </w:rPr>
      </w:pPr>
      <w:bookmarkStart w:id="1037" w:name="_Toc351203618"/>
      <w:bookmarkStart w:id="1038" w:name="_Toc296346628"/>
      <w:bookmarkStart w:id="1039" w:name="_Toc337558833"/>
      <w:bookmarkStart w:id="1040" w:name="_Toc296503127"/>
      <w:r>
        <w:rPr>
          <w:color w:val="auto"/>
          <w:highlight w:val="none"/>
          <w:shd w:val="clear"/>
        </w:rPr>
        <w:t>18.6 未按约定投保的补救</w:t>
      </w:r>
      <w:bookmarkEnd w:id="1037"/>
    </w:p>
    <w:bookmarkEnd w:id="1038"/>
    <w:bookmarkEnd w:id="1039"/>
    <w:bookmarkEnd w:id="1040"/>
    <w:p w14:paraId="083E117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18.6.1 发包人未按合同约定办理保险，或未能使保险持续有效的，则承包人可代为办理，所需费用由发包人承担。发包人未按合同约定办理保险，导致未能得到足额赔偿的，由发包人负责补足。</w:t>
      </w:r>
    </w:p>
    <w:p w14:paraId="502FD34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18.6.2 承包人未按合同约定办理保险，或未能使保险持续有效的，则发包人可代为办理，所需费用由承包人承担。承包人未按合同约定办理保险，导致未能得到足额赔偿的，由承包人负责补足。</w:t>
      </w:r>
    </w:p>
    <w:p w14:paraId="55C8F93F">
      <w:pPr>
        <w:pStyle w:val="33"/>
        <w:rPr>
          <w:color w:val="auto"/>
          <w:highlight w:val="none"/>
          <w:shd w:val="clear"/>
        </w:rPr>
      </w:pPr>
      <w:bookmarkStart w:id="1041" w:name="_Toc351203619"/>
      <w:bookmarkStart w:id="1042" w:name="_Toc337558834"/>
      <w:r>
        <w:rPr>
          <w:color w:val="auto"/>
          <w:highlight w:val="none"/>
          <w:shd w:val="clear"/>
        </w:rPr>
        <w:t>18.7 通知义务</w:t>
      </w:r>
      <w:bookmarkEnd w:id="1041"/>
    </w:p>
    <w:bookmarkEnd w:id="1042"/>
    <w:p w14:paraId="1A0ED76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除专用合同条款另有约定外，发包人变更除工伤保险之外的保险合同时，应事先征得承包人同意，并通知监理人；承包人变更除工伤保险之外的保险合同时，应事先征得发包人同意，并通知监理人。</w:t>
      </w:r>
    </w:p>
    <w:p w14:paraId="466A6B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保险事故发生时，投保人应按照保险合同规定的条件和期限及时向保险人报告。发包人和承包人应当在知道保险事故发生后及时通知对方。</w:t>
      </w:r>
    </w:p>
    <w:p w14:paraId="7BA61D5C">
      <w:pPr>
        <w:pStyle w:val="26"/>
        <w:rPr>
          <w:color w:val="auto"/>
          <w:highlight w:val="none"/>
          <w:shd w:val="clear"/>
        </w:rPr>
      </w:pPr>
      <w:bookmarkStart w:id="1043" w:name="_Toc351203620"/>
      <w:bookmarkStart w:id="1044" w:name="_Toc296346641"/>
      <w:bookmarkStart w:id="1045" w:name="_Toc296503140"/>
      <w:bookmarkStart w:id="1046" w:name="_Toc337558835"/>
      <w:r>
        <w:rPr>
          <w:color w:val="auto"/>
          <w:highlight w:val="none"/>
          <w:shd w:val="clear"/>
        </w:rPr>
        <w:t>19.索赔</w:t>
      </w:r>
      <w:bookmarkEnd w:id="1043"/>
    </w:p>
    <w:bookmarkEnd w:id="1044"/>
    <w:bookmarkEnd w:id="1045"/>
    <w:bookmarkEnd w:id="1046"/>
    <w:p w14:paraId="2EC14A4F">
      <w:pPr>
        <w:pStyle w:val="33"/>
        <w:rPr>
          <w:color w:val="auto"/>
          <w:highlight w:val="none"/>
          <w:shd w:val="clear"/>
        </w:rPr>
      </w:pPr>
      <w:bookmarkStart w:id="1047" w:name="_Toc351203621"/>
      <w:bookmarkStart w:id="1048" w:name="_Toc296346642"/>
      <w:bookmarkStart w:id="1049" w:name="_Toc296503141"/>
      <w:bookmarkStart w:id="1050" w:name="_Toc337558836"/>
      <w:r>
        <w:rPr>
          <w:color w:val="auto"/>
          <w:highlight w:val="none"/>
          <w:shd w:val="clear"/>
        </w:rPr>
        <w:t>19.1 承包人的索赔</w:t>
      </w:r>
      <w:bookmarkEnd w:id="1047"/>
    </w:p>
    <w:bookmarkEnd w:id="1048"/>
    <w:bookmarkEnd w:id="1049"/>
    <w:bookmarkEnd w:id="1050"/>
    <w:p w14:paraId="484C842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根据合同约定，承包人认为有权得到追加付款和（或）延长工期的，应按以下程序向发包人提出索赔：</w:t>
      </w:r>
    </w:p>
    <w:p w14:paraId="3A76A2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44A12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（2）承包人应在发出索赔意向通知书后28天内，向监理人正式递交索赔报告；索赔报告应详细说明索赔理由以及要求追加的付款金额和（或）延长的工期，并附必要的记录和证明材料；</w:t>
      </w:r>
    </w:p>
    <w:p w14:paraId="58A9C15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（3）索赔事件具有持续影响的，承包人应按合理时间间隔继续递交延续索赔通知，说明持续影响的实际情况和记录，列出累计的追加付款金额和（或）工期延长天数；</w:t>
      </w:r>
    </w:p>
    <w:p w14:paraId="036BF0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（4）在索赔事件影响结束后28天内，承包人应向监理人递交最终索赔报告，说明最终要求索赔的追加付款金额和（或）延长的工期，并附必要的记录和证明材料。</w:t>
      </w:r>
    </w:p>
    <w:p w14:paraId="5EF6C8B9">
      <w:pPr>
        <w:pStyle w:val="33"/>
        <w:rPr>
          <w:color w:val="auto"/>
          <w:highlight w:val="none"/>
          <w:shd w:val="clear"/>
        </w:rPr>
      </w:pPr>
      <w:bookmarkStart w:id="1051" w:name="_Toc351203622"/>
      <w:bookmarkStart w:id="1052" w:name="_Toc296503142"/>
      <w:bookmarkStart w:id="1053" w:name="_Toc337558837"/>
      <w:bookmarkStart w:id="1054" w:name="_Toc296346643"/>
      <w:r>
        <w:rPr>
          <w:color w:val="auto"/>
          <w:highlight w:val="none"/>
          <w:shd w:val="clear"/>
        </w:rPr>
        <w:t>19.2 对承包人索赔的处理</w:t>
      </w:r>
      <w:bookmarkEnd w:id="1051"/>
    </w:p>
    <w:bookmarkEnd w:id="1052"/>
    <w:bookmarkEnd w:id="1053"/>
    <w:bookmarkEnd w:id="1054"/>
    <w:p w14:paraId="3C7F5A1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对承包人索赔的处理如下：</w:t>
      </w:r>
    </w:p>
    <w:p w14:paraId="7CAF17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（1）监理人应在收到索赔报告后14天内完成审查并报送发包人。监理人对索赔报告存在异议的，有权要求承包人提交全部原始记录副本；</w:t>
      </w:r>
    </w:p>
    <w:p w14:paraId="642504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（2）发包人应在监理人收到索赔报告或有关索赔的进一步证明材料后的28天内，由监理人向承包人出具经发包人签认的索赔处理结果。发包人逾期答复的，则视为认可承包人的索赔要求；</w:t>
      </w:r>
    </w:p>
    <w:p w14:paraId="7B1876D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（3）承包人接受索赔处理结果的，索赔款项在当期进度款中进行支付；承包人不接受索赔处理结果的，按照第20条〔争议解决〕约定处理。</w:t>
      </w:r>
    </w:p>
    <w:p w14:paraId="74948220">
      <w:pPr>
        <w:pStyle w:val="33"/>
        <w:rPr>
          <w:color w:val="auto"/>
          <w:highlight w:val="none"/>
          <w:shd w:val="clear"/>
        </w:rPr>
      </w:pPr>
      <w:bookmarkStart w:id="1055" w:name="_Toc351203623"/>
      <w:bookmarkStart w:id="1056" w:name="_Toc337558838"/>
      <w:bookmarkStart w:id="1057" w:name="_Toc296346644"/>
      <w:bookmarkStart w:id="1058" w:name="_Toc296503143"/>
      <w:r>
        <w:rPr>
          <w:color w:val="auto"/>
          <w:highlight w:val="none"/>
          <w:shd w:val="clear"/>
        </w:rPr>
        <w:t>19.3 发包人的索赔</w:t>
      </w:r>
      <w:bookmarkEnd w:id="1055"/>
    </w:p>
    <w:bookmarkEnd w:id="1056"/>
    <w:bookmarkEnd w:id="1057"/>
    <w:bookmarkEnd w:id="1058"/>
    <w:p w14:paraId="00510C6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根据合同约定，发包人认为有权得到赔付金额和（或）延长缺陷责任期的，监理人应向承包人发出通知并附有详细的证明。</w:t>
      </w:r>
    </w:p>
    <w:p w14:paraId="40565C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C22EA94">
      <w:pPr>
        <w:pStyle w:val="33"/>
        <w:rPr>
          <w:color w:val="auto"/>
          <w:highlight w:val="none"/>
          <w:shd w:val="clear"/>
        </w:rPr>
      </w:pPr>
      <w:bookmarkStart w:id="1059" w:name="_Toc351203624"/>
      <w:bookmarkStart w:id="1060" w:name="_Toc337558839"/>
      <w:bookmarkStart w:id="1061" w:name="_Toc296503144"/>
      <w:bookmarkStart w:id="1062" w:name="_Toc296346645"/>
      <w:r>
        <w:rPr>
          <w:color w:val="auto"/>
          <w:highlight w:val="none"/>
          <w:shd w:val="clear"/>
        </w:rPr>
        <w:t>19.4 对发包人索赔的处理</w:t>
      </w:r>
      <w:bookmarkEnd w:id="1059"/>
    </w:p>
    <w:bookmarkEnd w:id="1060"/>
    <w:bookmarkEnd w:id="1061"/>
    <w:bookmarkEnd w:id="1062"/>
    <w:p w14:paraId="728E02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对发包人索赔的处理如下：</w:t>
      </w:r>
    </w:p>
    <w:p w14:paraId="4D109C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（1）承包人收到发包人提交的索赔报告后，应及时审查索赔报告的内容、查验发包人证明材料；</w:t>
      </w:r>
    </w:p>
    <w:p w14:paraId="11554C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（2）承包人应在收到索赔报告或有关索赔的进一步证明材料后28天内，将索赔处理结果答复发包人。如果承包人未在上述期限内作出答复的，则视为对发包人索赔要求的认可；</w:t>
      </w:r>
    </w:p>
    <w:p w14:paraId="106151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（3）承包人接受索赔处理结果的，发包人可从应支付给承包人的合同价款中扣除赔付的金额或延长缺陷责任期；发包人不接受索赔处理结果的，按第20条〔争议解决〕约定处理。</w:t>
      </w:r>
    </w:p>
    <w:p w14:paraId="007BCC09">
      <w:pPr>
        <w:pStyle w:val="33"/>
        <w:rPr>
          <w:color w:val="auto"/>
          <w:highlight w:val="none"/>
          <w:shd w:val="clear"/>
        </w:rPr>
      </w:pPr>
      <w:bookmarkStart w:id="1063" w:name="_Toc351203625"/>
      <w:r>
        <w:rPr>
          <w:color w:val="auto"/>
          <w:highlight w:val="none"/>
          <w:shd w:val="clear"/>
        </w:rPr>
        <w:t>19.5 提出索赔的期限</w:t>
      </w:r>
      <w:bookmarkEnd w:id="1063"/>
    </w:p>
    <w:p w14:paraId="284F27E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（1）承包人按第14.2款〔竣工结算审核〕约定接收竣工付款证书后，应被视为已无权再提出在工程接收证书颁发前所发生的任何索赔。</w:t>
      </w:r>
    </w:p>
    <w:p w14:paraId="7FBB5A7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（2）承包人按第14.4款〔最终结清〕提交的最终结清申请单中，只限于提出工程接收证书颁发后发生的索赔。提出索赔的期限自接受最终结清证书时终止。</w:t>
      </w:r>
    </w:p>
    <w:p w14:paraId="518B0C8B">
      <w:pPr>
        <w:pStyle w:val="26"/>
        <w:rPr>
          <w:color w:val="auto"/>
          <w:highlight w:val="none"/>
          <w:shd w:val="clear"/>
        </w:rPr>
      </w:pPr>
      <w:bookmarkStart w:id="1064" w:name="_Toc351203626"/>
      <w:r>
        <w:rPr>
          <w:color w:val="auto"/>
          <w:highlight w:val="none"/>
          <w:shd w:val="clear"/>
        </w:rPr>
        <w:t>20</w:t>
      </w:r>
      <w:bookmarkStart w:id="1065" w:name="_Toc296346647"/>
      <w:bookmarkStart w:id="1066" w:name="_Toc296503146"/>
      <w:bookmarkStart w:id="1067" w:name="_Toc337558840"/>
      <w:r>
        <w:rPr>
          <w:color w:val="auto"/>
          <w:highlight w:val="none"/>
          <w:shd w:val="clear"/>
        </w:rPr>
        <w:t>.争议解决</w:t>
      </w:r>
      <w:bookmarkEnd w:id="1064"/>
    </w:p>
    <w:bookmarkEnd w:id="1065"/>
    <w:bookmarkEnd w:id="1066"/>
    <w:bookmarkEnd w:id="1067"/>
    <w:p w14:paraId="5E6D0949">
      <w:pPr>
        <w:pStyle w:val="33"/>
        <w:rPr>
          <w:color w:val="auto"/>
          <w:highlight w:val="none"/>
          <w:shd w:val="clear"/>
        </w:rPr>
      </w:pPr>
      <w:bookmarkStart w:id="1068" w:name="_Toc351203627"/>
      <w:bookmarkStart w:id="1069" w:name="_Toc337558841"/>
      <w:bookmarkStart w:id="1070" w:name="_Toc296503147"/>
      <w:bookmarkStart w:id="1071" w:name="_Toc296346648"/>
      <w:r>
        <w:rPr>
          <w:color w:val="auto"/>
          <w:highlight w:val="none"/>
          <w:shd w:val="clear"/>
        </w:rPr>
        <w:t>20.1 和解</w:t>
      </w:r>
      <w:bookmarkEnd w:id="1068"/>
    </w:p>
    <w:bookmarkEnd w:id="1069"/>
    <w:bookmarkEnd w:id="1070"/>
    <w:bookmarkEnd w:id="1071"/>
    <w:p w14:paraId="180A18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合同当事人可以就争议自行和解，自行和解达成协议的经双方签字并盖章后作为合同补充文件，双方均应遵照执行。</w:t>
      </w:r>
    </w:p>
    <w:p w14:paraId="56635DED">
      <w:pPr>
        <w:pStyle w:val="33"/>
        <w:rPr>
          <w:color w:val="auto"/>
          <w:highlight w:val="none"/>
          <w:shd w:val="clear"/>
        </w:rPr>
      </w:pPr>
      <w:bookmarkStart w:id="1072" w:name="_Toc351203628"/>
      <w:r>
        <w:rPr>
          <w:color w:val="auto"/>
          <w:highlight w:val="none"/>
          <w:shd w:val="clear"/>
        </w:rPr>
        <w:t>20</w:t>
      </w:r>
      <w:bookmarkStart w:id="1073" w:name="_Toc337558842"/>
      <w:bookmarkStart w:id="1074" w:name="_Toc296346649"/>
      <w:bookmarkStart w:id="1075" w:name="_Toc296503148"/>
      <w:r>
        <w:rPr>
          <w:color w:val="auto"/>
          <w:highlight w:val="none"/>
          <w:shd w:val="clear"/>
        </w:rPr>
        <w:t>.2 调解</w:t>
      </w:r>
      <w:bookmarkEnd w:id="1072"/>
    </w:p>
    <w:bookmarkEnd w:id="1073"/>
    <w:bookmarkEnd w:id="1074"/>
    <w:bookmarkEnd w:id="1075"/>
    <w:p w14:paraId="3D173C7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合同当事人可以就争议请求建设行政主管部门、行业协会或其他第三方进行调解，调解达成协议的，经双方签字并盖章后作为合同补充文件，双方均应遵照执行。</w:t>
      </w:r>
    </w:p>
    <w:p w14:paraId="3F7691BE">
      <w:pPr>
        <w:pStyle w:val="33"/>
        <w:rPr>
          <w:color w:val="auto"/>
          <w:highlight w:val="none"/>
          <w:shd w:val="clear"/>
        </w:rPr>
      </w:pPr>
      <w:bookmarkStart w:id="1076" w:name="_Toc351203629"/>
      <w:bookmarkStart w:id="1077" w:name="_Toc296503149"/>
      <w:bookmarkStart w:id="1078" w:name="_Toc296346650"/>
      <w:bookmarkStart w:id="1079" w:name="_Toc337558843"/>
      <w:r>
        <w:rPr>
          <w:color w:val="auto"/>
          <w:highlight w:val="none"/>
          <w:shd w:val="clear"/>
        </w:rPr>
        <w:t>20.3 争议评审</w:t>
      </w:r>
      <w:bookmarkEnd w:id="1076"/>
    </w:p>
    <w:bookmarkEnd w:id="1077"/>
    <w:bookmarkEnd w:id="1078"/>
    <w:bookmarkEnd w:id="1079"/>
    <w:p w14:paraId="42C205E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合同当事人在专用合同条款中约定采取争议评审方式解决争议以及评审规则，并按下列约定执行：</w:t>
      </w:r>
    </w:p>
    <w:p w14:paraId="286A687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20.3.1 争议评审小组的确定</w:t>
      </w:r>
    </w:p>
    <w:p w14:paraId="15371B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合同当事人可以共同选择一名或三名争议评审员，组成争议评审小组。除专用合同条款另有约定外，合同当事人应当自合同签订后28天内，或者争议发生后14天内，选定争议评审员。</w:t>
      </w:r>
    </w:p>
    <w:p w14:paraId="7E2843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69AC420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除专用合同条款另有约定外，评审员报酬由发包人和承包人各承担一半。</w:t>
      </w:r>
    </w:p>
    <w:p w14:paraId="106D4C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20.3.2 争议评审小组的决定</w:t>
      </w:r>
    </w:p>
    <w:p w14:paraId="4C0A61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545144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20.3.3 争议评审小组决定的效力</w:t>
      </w:r>
    </w:p>
    <w:p w14:paraId="0628DC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争议评审小组作出的书面决定经合同当事人签字确认后，对双方具有约束力，双方应遵照执行。</w:t>
      </w:r>
    </w:p>
    <w:p w14:paraId="688E2E1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任何一方当事人不接受争议评审小组决定或不履行争议评审小组决定的，双方可选择采用其他争议解决方式。</w:t>
      </w:r>
    </w:p>
    <w:p w14:paraId="318B2CFB">
      <w:pPr>
        <w:pStyle w:val="33"/>
        <w:rPr>
          <w:color w:val="auto"/>
          <w:highlight w:val="none"/>
          <w:shd w:val="clear"/>
        </w:rPr>
      </w:pPr>
      <w:bookmarkStart w:id="1080" w:name="_Toc351203630"/>
      <w:bookmarkStart w:id="1081" w:name="_Toc296346651"/>
      <w:bookmarkStart w:id="1082" w:name="_Toc296503150"/>
      <w:bookmarkStart w:id="1083" w:name="_Toc337558844"/>
      <w:r>
        <w:rPr>
          <w:color w:val="auto"/>
          <w:highlight w:val="none"/>
          <w:shd w:val="clear"/>
        </w:rPr>
        <w:t>20.4 仲裁或诉讼</w:t>
      </w:r>
      <w:bookmarkEnd w:id="1080"/>
    </w:p>
    <w:bookmarkEnd w:id="1081"/>
    <w:bookmarkEnd w:id="1082"/>
    <w:bookmarkEnd w:id="1083"/>
    <w:p w14:paraId="43495FF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因合同及合同有关事项产生的争议，合同当事人可以在专用合同条款中约定以下一种方式解决争议：</w:t>
      </w:r>
    </w:p>
    <w:p w14:paraId="70F45F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（1）向约定的仲裁委员会申请仲裁；</w:t>
      </w:r>
    </w:p>
    <w:p w14:paraId="6A083A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（2）向有管辖权的人民法院起诉。</w:t>
      </w:r>
    </w:p>
    <w:p w14:paraId="58B3974A">
      <w:pPr>
        <w:pStyle w:val="33"/>
        <w:rPr>
          <w:color w:val="auto"/>
          <w:highlight w:val="none"/>
          <w:shd w:val="clear"/>
        </w:rPr>
      </w:pPr>
      <w:bookmarkStart w:id="1084" w:name="_Toc351203631"/>
      <w:bookmarkStart w:id="1085" w:name="_Toc296503152"/>
      <w:bookmarkStart w:id="1086" w:name="_Toc337558845"/>
      <w:bookmarkStart w:id="1087" w:name="_Toc296346653"/>
      <w:r>
        <w:rPr>
          <w:color w:val="auto"/>
          <w:highlight w:val="none"/>
          <w:shd w:val="clear"/>
        </w:rPr>
        <w:t>20.5 争议解决条款效力</w:t>
      </w:r>
      <w:bookmarkEnd w:id="1084"/>
    </w:p>
    <w:bookmarkEnd w:id="1085"/>
    <w:bookmarkEnd w:id="1086"/>
    <w:bookmarkEnd w:id="1087"/>
    <w:p w14:paraId="7CBFD0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合同有关争议解决的条款独立存在，合同的变更、解除、终止、无效或者被撤销均不影响其效力。</w:t>
      </w:r>
    </w:p>
    <w:p w14:paraId="65B7E136">
      <w:pPr>
        <w:pStyle w:val="26"/>
        <w:jc w:val="center"/>
        <w:rPr>
          <w:bCs w:val="0"/>
          <w:color w:val="auto"/>
          <w:highlight w:val="none"/>
          <w:shd w:val="clear"/>
        </w:rPr>
      </w:pPr>
      <w:bookmarkStart w:id="1088" w:name="_Toc351203632"/>
      <w:r>
        <w:rPr>
          <w:rFonts w:eastAsia="华文中宋"/>
          <w:b/>
          <w:color w:val="auto"/>
          <w:sz w:val="44"/>
          <w:highlight w:val="none"/>
          <w:shd w:val="clear"/>
        </w:rPr>
        <w:br w:type="page"/>
      </w:r>
      <w:bookmarkStart w:id="1089" w:name="_Toc170805260"/>
      <w:bookmarkStart w:id="1090" w:name="_Toc170805640"/>
      <w:bookmarkStart w:id="1091" w:name="_Toc170804072"/>
      <w:r>
        <w:rPr>
          <w:bCs w:val="0"/>
          <w:color w:val="auto"/>
          <w:highlight w:val="none"/>
          <w:shd w:val="clear"/>
        </w:rPr>
        <w:t>第三部分 专用合同条款</w:t>
      </w:r>
      <w:bookmarkEnd w:id="1088"/>
      <w:bookmarkEnd w:id="1089"/>
      <w:bookmarkEnd w:id="1090"/>
      <w:bookmarkEnd w:id="1091"/>
    </w:p>
    <w:p w14:paraId="5A47CCE0">
      <w:pPr>
        <w:pStyle w:val="26"/>
        <w:rPr>
          <w:color w:val="auto"/>
          <w:highlight w:val="none"/>
          <w:shd w:val="clear"/>
        </w:rPr>
      </w:pPr>
      <w:bookmarkStart w:id="1092" w:name="_Toc351203633"/>
      <w:bookmarkStart w:id="1093" w:name="_Toc170805641"/>
      <w:bookmarkStart w:id="1094" w:name="_Toc170804073"/>
      <w:bookmarkStart w:id="1095" w:name="_Toc170805261"/>
      <w:permStart w:id="94" w:edGrp="everyone"/>
      <w:r>
        <w:rPr>
          <w:rFonts w:hint="eastAsia"/>
          <w:color w:val="auto"/>
          <w:highlight w:val="none"/>
          <w:shd w:val="clear"/>
        </w:rPr>
        <w:t>1</w:t>
      </w:r>
      <w:bookmarkStart w:id="1096" w:name="_Toc296503156"/>
      <w:bookmarkStart w:id="1097" w:name="_Toc296890984"/>
      <w:bookmarkStart w:id="1098" w:name="_Toc292559866"/>
      <w:bookmarkStart w:id="1099" w:name="_Toc296891196"/>
      <w:bookmarkStart w:id="1100" w:name="_Toc296346657"/>
      <w:bookmarkStart w:id="1101" w:name="_Toc292559361"/>
      <w:bookmarkStart w:id="1102" w:name="_Toc297048342"/>
      <w:bookmarkStart w:id="1103" w:name="_Toc296944495"/>
      <w:bookmarkStart w:id="1104" w:name="_Toc296347155"/>
      <w:bookmarkStart w:id="1105" w:name="_Toc297120456"/>
      <w:r>
        <w:rPr>
          <w:rFonts w:hint="eastAsia"/>
          <w:color w:val="auto"/>
          <w:highlight w:val="none"/>
          <w:shd w:val="clear"/>
        </w:rPr>
        <w:t>.一般约定</w:t>
      </w:r>
      <w:bookmarkEnd w:id="1092"/>
      <w:bookmarkEnd w:id="1093"/>
      <w:bookmarkEnd w:id="1094"/>
      <w:bookmarkEnd w:id="1095"/>
    </w:p>
    <w:bookmarkEnd w:id="1096"/>
    <w:bookmarkEnd w:id="1097"/>
    <w:bookmarkEnd w:id="1098"/>
    <w:bookmarkEnd w:id="1099"/>
    <w:bookmarkEnd w:id="1100"/>
    <w:bookmarkEnd w:id="1101"/>
    <w:bookmarkEnd w:id="1102"/>
    <w:bookmarkEnd w:id="1103"/>
    <w:bookmarkEnd w:id="1104"/>
    <w:bookmarkEnd w:id="1105"/>
    <w:p w14:paraId="0F8B9BAC">
      <w:pPr>
        <w:pStyle w:val="33"/>
        <w:rPr>
          <w:color w:val="auto"/>
          <w:highlight w:val="none"/>
          <w:shd w:val="clear"/>
        </w:rPr>
      </w:pPr>
      <w:bookmarkStart w:id="1106" w:name="_Toc170804074"/>
      <w:bookmarkStart w:id="1107" w:name="_Toc170805262"/>
      <w:bookmarkStart w:id="1108" w:name="_Toc170805642"/>
      <w:r>
        <w:rPr>
          <w:color w:val="auto"/>
          <w:highlight w:val="none"/>
          <w:shd w:val="clear"/>
        </w:rPr>
        <w:t>1.1 词语定义</w:t>
      </w:r>
      <w:bookmarkEnd w:id="1106"/>
      <w:bookmarkEnd w:id="1107"/>
      <w:bookmarkEnd w:id="1108"/>
    </w:p>
    <w:p w14:paraId="79DFD75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 合同</w:t>
      </w:r>
    </w:p>
    <w:p w14:paraId="1B553E36">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1.1.1.10 其他合同文件包括：</w:t>
      </w:r>
      <w:r>
        <w:rPr>
          <w:rFonts w:hint="eastAsia" w:ascii="Times New Roman" w:hAnsi="Times New Roman"/>
          <w:b/>
          <w:bCs/>
          <w:color w:val="auto"/>
          <w:highlight w:val="none"/>
          <w:u w:val="single"/>
          <w:shd w:val="clear"/>
          <w:lang w:val="en-US" w:eastAsia="zh-CN"/>
        </w:rPr>
        <w:t>（1）施工合同协议书；（2）施工合同补充协议；（3）施工合同专用条款；（4）中标通知书；（5）图纸；（6）投标文件及其附件；（7）施工合同通用条款；（8）标准、规范及有关技术文件</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1674E8B0">
      <w:pPr>
        <w:pStyle w:val="22"/>
        <w:ind w:firstLine="420"/>
        <w:rPr>
          <w:rFonts w:hint="eastAsia" w:ascii="Times New Roman" w:hAnsi="Times New Roman"/>
          <w:color w:val="auto"/>
          <w:highlight w:val="none"/>
          <w:shd w:val="clear"/>
        </w:rPr>
      </w:pPr>
      <w:r>
        <w:rPr>
          <w:rFonts w:hint="eastAsia" w:ascii="Times New Roman" w:hAnsi="Times New Roman"/>
          <w:b/>
          <w:bCs/>
          <w:color w:val="auto"/>
          <w:highlight w:val="none"/>
          <w:shd w:val="clear"/>
        </w:rPr>
        <w:t>合同履行中，发包人与承包人有关工程的洽商、变更等书面协议或文件视为本合同的组成部分。其他执行通用条款。</w:t>
      </w:r>
    </w:p>
    <w:p w14:paraId="30405F2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 合同当事人及其他相关方</w:t>
      </w:r>
    </w:p>
    <w:p w14:paraId="30903F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1.1.2.4 监理人：</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u w:val="none"/>
          <w:shd w:val="clear"/>
          <w:lang w:val="en-US" w:eastAsia="zh-CN"/>
        </w:rPr>
        <w:t>；</w:t>
      </w:r>
    </w:p>
    <w:p w14:paraId="28D0B4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名    称：</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699C77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资质类别和等级：</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329554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联系电话：</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25DDCA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电子信箱：</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48B390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通信地址：</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2BC039E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1.1.2.5 设计人：</w:t>
      </w:r>
    </w:p>
    <w:p w14:paraId="087AC6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名    称：</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691E56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资质类别和等级：</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4BF3B2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联系电话：</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5F208B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电子信箱：</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7E93384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通信地址：</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70E228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1.1.3 工程和设备</w:t>
      </w:r>
    </w:p>
    <w:p w14:paraId="2F3D44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1.1.3.7 作为施工现场组成部分的其他场所包括：</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5C718D5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1.1.3.9 永久占地包括：</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0B48473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1.1.3.10 临时占地包括：</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6EE1693D">
      <w:pPr>
        <w:pStyle w:val="33"/>
        <w:rPr>
          <w:color w:val="auto"/>
          <w:highlight w:val="none"/>
          <w:shd w:val="clear"/>
        </w:rPr>
      </w:pPr>
      <w:bookmarkStart w:id="1109" w:name="_Toc170804075"/>
      <w:bookmarkStart w:id="1110" w:name="_Toc170805263"/>
      <w:bookmarkStart w:id="1111" w:name="_Toc170805643"/>
      <w:r>
        <w:rPr>
          <w:color w:val="auto"/>
          <w:highlight w:val="none"/>
          <w:shd w:val="clear"/>
        </w:rPr>
        <w:t>1.3 法律</w:t>
      </w:r>
      <w:bookmarkEnd w:id="1109"/>
      <w:bookmarkEnd w:id="1110"/>
      <w:bookmarkEnd w:id="1111"/>
      <w:r>
        <w:rPr>
          <w:color w:val="auto"/>
          <w:highlight w:val="none"/>
          <w:shd w:val="clear"/>
        </w:rPr>
        <w:t xml:space="preserve"> </w:t>
      </w:r>
    </w:p>
    <w:p w14:paraId="588F3BF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适用于合同的其他规范性文件：</w:t>
      </w:r>
      <w:r>
        <w:rPr>
          <w:rFonts w:hint="eastAsia" w:ascii="Times New Roman" w:hAnsi="Times New Roman"/>
          <w:b/>
          <w:bCs/>
          <w:color w:val="auto"/>
          <w:highlight w:val="none"/>
          <w:u w:val="single"/>
          <w:shd w:val="clear"/>
        </w:rPr>
        <w:t>现行的《中华人民共和国合同法》、《中华人民共和国招标投标法》、《建设工程质量管理条例》、《建设工程安全生产管理条例》等有关工程建设的法律、法规及地方政府颁布的有关规定。</w:t>
      </w:r>
    </w:p>
    <w:p w14:paraId="09FBBD9C">
      <w:pPr>
        <w:pStyle w:val="33"/>
        <w:rPr>
          <w:color w:val="auto"/>
          <w:highlight w:val="none"/>
          <w:shd w:val="clear"/>
        </w:rPr>
      </w:pPr>
      <w:bookmarkStart w:id="1112" w:name="_Toc170805264"/>
      <w:bookmarkStart w:id="1113" w:name="_Toc170805644"/>
      <w:bookmarkStart w:id="1114" w:name="_Toc170804076"/>
      <w:r>
        <w:rPr>
          <w:color w:val="auto"/>
          <w:highlight w:val="none"/>
          <w:shd w:val="clear"/>
        </w:rPr>
        <w:t>1.4 标准和规范</w:t>
      </w:r>
      <w:bookmarkEnd w:id="1112"/>
      <w:bookmarkEnd w:id="1113"/>
      <w:bookmarkEnd w:id="1114"/>
    </w:p>
    <w:p w14:paraId="19A5C5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1.4.1 适用于工程的标准规范包括：</w:t>
      </w:r>
      <w:r>
        <w:rPr>
          <w:rFonts w:hint="eastAsia" w:ascii="Times New Roman" w:hAnsi="Times New Roman"/>
          <w:b/>
          <w:bCs/>
          <w:color w:val="auto"/>
          <w:highlight w:val="none"/>
          <w:u w:val="single"/>
          <w:shd w:val="clear"/>
        </w:rPr>
        <w:t>现行国家、行业及安徽省、蚌埠市有关验收规范和技术标准。当对同一问题国家、地方和行业颁布的标准、规范产生不一致时，以严格者为准。</w:t>
      </w:r>
    </w:p>
    <w:p w14:paraId="07953E20">
      <w:pPr>
        <w:pStyle w:val="22"/>
        <w:ind w:firstLine="420"/>
        <w:rPr>
          <w:rFonts w:ascii="Times New Roman" w:hAnsi="Times New Roman"/>
          <w:color w:val="auto"/>
          <w:highlight w:val="none"/>
          <w:shd w:val="clear"/>
        </w:rPr>
      </w:pPr>
      <w:bookmarkStart w:id="1115" w:name="_Toc170805265"/>
      <w:bookmarkStart w:id="1116" w:name="_Toc170805645"/>
      <w:bookmarkStart w:id="1117" w:name="_Toc170804077"/>
      <w:r>
        <w:rPr>
          <w:rFonts w:hint="eastAsia" w:ascii="Times New Roman" w:hAnsi="Times New Roman"/>
          <w:color w:val="auto"/>
          <w:highlight w:val="none"/>
          <w:shd w:val="clear"/>
        </w:rPr>
        <w:t>1.4.2 发包人提供国外标准、规范的名称：</w:t>
      </w:r>
      <w:r>
        <w:rPr>
          <w:rFonts w:hint="eastAsia" w:ascii="宋体" w:hAnsi="宋体" w:cs="宋体"/>
          <w:color w:val="auto"/>
          <w:kern w:val="0"/>
          <w:sz w:val="24"/>
          <w:highlight w:val="none"/>
          <w:u w:val="single"/>
          <w:shd w:val="clear"/>
        </w:rPr>
        <w:t xml:space="preserve">        /         </w:t>
      </w:r>
      <w:r>
        <w:rPr>
          <w:rFonts w:hint="eastAsia" w:ascii="Times New Roman" w:hAnsi="Times New Roman"/>
          <w:color w:val="auto"/>
          <w:highlight w:val="none"/>
          <w:shd w:val="clear"/>
        </w:rPr>
        <w:t>；</w:t>
      </w:r>
      <w:bookmarkEnd w:id="1115"/>
      <w:bookmarkEnd w:id="1116"/>
      <w:bookmarkEnd w:id="1117"/>
    </w:p>
    <w:p w14:paraId="037D07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发包人提供国外标准、规范的份数：</w:t>
      </w:r>
      <w:r>
        <w:rPr>
          <w:rFonts w:hint="eastAsia" w:ascii="宋体" w:hAnsi="宋体" w:cs="宋体"/>
          <w:color w:val="auto"/>
          <w:kern w:val="0"/>
          <w:sz w:val="24"/>
          <w:highlight w:val="none"/>
          <w:u w:val="single"/>
          <w:shd w:val="clear"/>
        </w:rPr>
        <w:t xml:space="preserve">        /         </w:t>
      </w:r>
      <w:r>
        <w:rPr>
          <w:rFonts w:hint="eastAsia" w:ascii="Times New Roman" w:hAnsi="Times New Roman"/>
          <w:color w:val="auto"/>
          <w:highlight w:val="none"/>
          <w:shd w:val="clear"/>
        </w:rPr>
        <w:t>；</w:t>
      </w:r>
    </w:p>
    <w:p w14:paraId="6E9863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发包人提供国外标准、规范的名称：</w:t>
      </w:r>
      <w:r>
        <w:rPr>
          <w:rFonts w:hint="eastAsia" w:ascii="宋体" w:hAnsi="宋体" w:cs="宋体"/>
          <w:color w:val="auto"/>
          <w:kern w:val="0"/>
          <w:sz w:val="24"/>
          <w:highlight w:val="none"/>
          <w:u w:val="single"/>
          <w:shd w:val="clear"/>
        </w:rPr>
        <w:t xml:space="preserve">        /         </w:t>
      </w:r>
      <w:r>
        <w:rPr>
          <w:rFonts w:hint="eastAsia" w:ascii="Times New Roman" w:hAnsi="Times New Roman"/>
          <w:color w:val="auto"/>
          <w:highlight w:val="none"/>
          <w:shd w:val="clear"/>
        </w:rPr>
        <w:t>。</w:t>
      </w:r>
    </w:p>
    <w:p w14:paraId="673B66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1.4.3 发包人对工程的技术标准和功能要求的特殊要求：</w:t>
      </w:r>
      <w:r>
        <w:rPr>
          <w:rFonts w:hint="eastAsia" w:ascii="Times New Roman" w:hAnsi="Times New Roman"/>
          <w:b/>
          <w:bCs/>
          <w:color w:val="auto"/>
          <w:highlight w:val="none"/>
          <w:u w:val="single"/>
          <w:shd w:val="clear"/>
        </w:rPr>
        <w:t>详见工程量清单</w:t>
      </w:r>
      <w:r>
        <w:rPr>
          <w:rFonts w:hint="eastAsia" w:ascii="Times New Roman" w:hAnsi="Times New Roman"/>
          <w:color w:val="auto"/>
          <w:highlight w:val="none"/>
          <w:u w:val="single"/>
          <w:shd w:val="clear"/>
        </w:rPr>
        <w:t>。</w:t>
      </w:r>
    </w:p>
    <w:p w14:paraId="6CDEFBF2">
      <w:pPr>
        <w:pStyle w:val="33"/>
        <w:rPr>
          <w:color w:val="auto"/>
          <w:highlight w:val="none"/>
          <w:shd w:val="clear"/>
        </w:rPr>
      </w:pPr>
      <w:bookmarkStart w:id="1118" w:name="_Toc170804078"/>
      <w:bookmarkStart w:id="1119" w:name="_Toc170805646"/>
      <w:bookmarkStart w:id="1120" w:name="_Toc170805266"/>
      <w:r>
        <w:rPr>
          <w:color w:val="auto"/>
          <w:highlight w:val="none"/>
          <w:shd w:val="clear"/>
        </w:rPr>
        <w:t>1.5 合同文件的优先顺序</w:t>
      </w:r>
      <w:bookmarkEnd w:id="1118"/>
      <w:bookmarkEnd w:id="1119"/>
      <w:bookmarkEnd w:id="1120"/>
    </w:p>
    <w:p w14:paraId="417471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合同文件组成及优先顺序为</w:t>
      </w:r>
      <w:r>
        <w:rPr>
          <w:rFonts w:hint="eastAsia" w:ascii="Times New Roman" w:hAnsi="Times New Roman"/>
          <w:color w:val="auto"/>
          <w:highlight w:val="none"/>
          <w:shd w:val="clear"/>
          <w:lang w:eastAsia="zh-CN"/>
        </w:rPr>
        <w:t>：</w:t>
      </w:r>
      <w:r>
        <w:rPr>
          <w:rFonts w:hint="eastAsia" w:ascii="Times New Roman" w:hAnsi="Times New Roman"/>
          <w:b/>
          <w:bCs/>
          <w:color w:val="auto"/>
          <w:highlight w:val="none"/>
          <w:u w:val="single"/>
          <w:shd w:val="clear"/>
        </w:rPr>
        <w:t>参照通用条款</w:t>
      </w:r>
      <w:r>
        <w:rPr>
          <w:rFonts w:hint="eastAsia" w:ascii="Times New Roman" w:hAnsi="Times New Roman"/>
          <w:color w:val="auto"/>
          <w:highlight w:val="none"/>
          <w:shd w:val="clear"/>
        </w:rPr>
        <w:t>。</w:t>
      </w:r>
    </w:p>
    <w:p w14:paraId="2B4039EC">
      <w:pPr>
        <w:pStyle w:val="33"/>
        <w:rPr>
          <w:color w:val="auto"/>
          <w:highlight w:val="none"/>
          <w:shd w:val="clear"/>
        </w:rPr>
      </w:pPr>
      <w:bookmarkStart w:id="1121" w:name="_Toc170805267"/>
      <w:bookmarkStart w:id="1122" w:name="_Toc170805647"/>
      <w:bookmarkStart w:id="1123" w:name="_Toc170804079"/>
      <w:r>
        <w:rPr>
          <w:color w:val="auto"/>
          <w:highlight w:val="none"/>
          <w:shd w:val="clear"/>
        </w:rPr>
        <w:t>1.6 图纸和承包人文件</w:t>
      </w:r>
      <w:bookmarkEnd w:id="1121"/>
      <w:bookmarkEnd w:id="1122"/>
      <w:bookmarkEnd w:id="1123"/>
      <w:r>
        <w:rPr>
          <w:color w:val="auto"/>
          <w:highlight w:val="none"/>
          <w:shd w:val="clear"/>
        </w:rPr>
        <w:tab/>
      </w:r>
    </w:p>
    <w:p w14:paraId="59FACD07">
      <w:pPr>
        <w:pStyle w:val="22"/>
        <w:ind w:firstLine="420"/>
        <w:rPr>
          <w:rFonts w:ascii="Times New Roman" w:hAnsi="Times New Roman"/>
          <w:color w:val="auto"/>
          <w:highlight w:val="none"/>
          <w:shd w:val="clear"/>
        </w:rPr>
      </w:pPr>
      <w:bookmarkStart w:id="1124" w:name="_Toc170805648"/>
      <w:bookmarkStart w:id="1125" w:name="_Toc170804080"/>
      <w:bookmarkStart w:id="1126" w:name="_Toc170805268"/>
      <w:r>
        <w:rPr>
          <w:rFonts w:hint="eastAsia" w:ascii="Times New Roman" w:hAnsi="Times New Roman"/>
          <w:color w:val="auto"/>
          <w:highlight w:val="none"/>
          <w:shd w:val="clear"/>
        </w:rPr>
        <w:t>1.6.1 图纸的提供</w:t>
      </w:r>
      <w:bookmarkEnd w:id="1124"/>
      <w:bookmarkEnd w:id="1125"/>
      <w:bookmarkEnd w:id="1126"/>
    </w:p>
    <w:p w14:paraId="05986B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发包人向承包人提供图纸的期限：</w:t>
      </w:r>
      <w:r>
        <w:rPr>
          <w:rFonts w:hint="eastAsia" w:ascii="Times New Roman" w:hAnsi="Times New Roman"/>
          <w:b/>
          <w:bCs/>
          <w:color w:val="auto"/>
          <w:highlight w:val="none"/>
          <w:u w:val="single"/>
          <w:shd w:val="clear"/>
        </w:rPr>
        <w:t>开工前10天</w:t>
      </w:r>
      <w:r>
        <w:rPr>
          <w:rFonts w:hint="eastAsia" w:ascii="Times New Roman" w:hAnsi="Times New Roman"/>
          <w:color w:val="auto"/>
          <w:highlight w:val="none"/>
          <w:shd w:val="clear"/>
        </w:rPr>
        <w:t>；</w:t>
      </w:r>
    </w:p>
    <w:p w14:paraId="4361AF5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发包人向承包人提供图纸的数量：</w:t>
      </w:r>
      <w:r>
        <w:rPr>
          <w:rFonts w:hint="eastAsia" w:ascii="Times New Roman" w:hAnsi="Times New Roman"/>
          <w:b/>
          <w:bCs/>
          <w:color w:val="auto"/>
          <w:highlight w:val="none"/>
          <w:u w:val="single"/>
          <w:shd w:val="clear"/>
        </w:rPr>
        <w:t>提供2套（含竣工图1套），不足的由承包人自行复制，费用自理；工程竣工验收合格后全部图纸归还发包人，未经发包人许可不得将图纸泄露给第三方</w:t>
      </w:r>
      <w:r>
        <w:rPr>
          <w:rFonts w:hint="eastAsia" w:ascii="Times New Roman" w:hAnsi="Times New Roman"/>
          <w:color w:val="auto"/>
          <w:highlight w:val="none"/>
          <w:shd w:val="clear"/>
        </w:rPr>
        <w:t>；</w:t>
      </w:r>
    </w:p>
    <w:p w14:paraId="158FCD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发包人向承包人提供图纸的内容：</w:t>
      </w:r>
      <w:r>
        <w:rPr>
          <w:rFonts w:hint="eastAsia" w:ascii="Times New Roman" w:hAnsi="Times New Roman"/>
          <w:b/>
          <w:bCs/>
          <w:color w:val="auto"/>
          <w:highlight w:val="none"/>
          <w:u w:val="single"/>
          <w:shd w:val="clear"/>
        </w:rPr>
        <w:t>所有涉及本工程的图纸资料，承包人不准外借，除施工单位自己存档的，其余在工程结束全部交还发包人。未经发包人许可将图纸泄露给第三方，承包人应向发包人支付合同总价款3%的违约金，并赔偿由此给发包人造成的损失</w:t>
      </w:r>
      <w:r>
        <w:rPr>
          <w:rFonts w:hint="eastAsia" w:ascii="Times New Roman" w:hAnsi="Times New Roman"/>
          <w:color w:val="auto"/>
          <w:highlight w:val="none"/>
          <w:u w:val="single"/>
          <w:shd w:val="clear"/>
        </w:rPr>
        <w:t>。</w:t>
      </w:r>
    </w:p>
    <w:p w14:paraId="48BC695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1.6.4 承包人文件</w:t>
      </w:r>
    </w:p>
    <w:p w14:paraId="7F22E57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需要由承包人提供的文件，包括：</w:t>
      </w:r>
      <w:r>
        <w:rPr>
          <w:rFonts w:hint="eastAsia" w:ascii="Times New Roman" w:hAnsi="Times New Roman"/>
          <w:b/>
          <w:bCs/>
          <w:color w:val="auto"/>
          <w:highlight w:val="none"/>
          <w:u w:val="single"/>
          <w:shd w:val="clear"/>
        </w:rPr>
        <w:t>包括但不限于施工组织方案、施工进度计划、专项施工方案、材料进场计划、劳动力及用款计划书等、施工总平面</w:t>
      </w:r>
      <w:r>
        <w:rPr>
          <w:rFonts w:hint="eastAsia" w:ascii="Times New Roman" w:hAnsi="Times New Roman"/>
          <w:b/>
          <w:bCs/>
          <w:color w:val="auto"/>
          <w:highlight w:val="none"/>
          <w:u w:val="single"/>
          <w:shd w:val="clear"/>
        </w:rPr>
        <w:t>；</w:t>
      </w:r>
    </w:p>
    <w:p w14:paraId="78CA91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承包人提供的文件的期限为：</w:t>
      </w:r>
      <w:r>
        <w:rPr>
          <w:rFonts w:hint="eastAsia" w:ascii="Times New Roman" w:hAnsi="Times New Roman"/>
          <w:b/>
          <w:bCs/>
          <w:color w:val="auto"/>
          <w:highlight w:val="none"/>
          <w:u w:val="single"/>
          <w:shd w:val="clear"/>
        </w:rPr>
        <w:t>承包人在收到施工图纸后7日内</w:t>
      </w:r>
      <w:r>
        <w:rPr>
          <w:rFonts w:hint="eastAsia" w:ascii="Times New Roman" w:hAnsi="Times New Roman"/>
          <w:color w:val="auto"/>
          <w:highlight w:val="none"/>
          <w:u w:val="single"/>
          <w:shd w:val="clear"/>
        </w:rPr>
        <w:t>；</w:t>
      </w:r>
    </w:p>
    <w:p w14:paraId="0E3F91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承包人提供的文件的数量为：</w:t>
      </w:r>
      <w:r>
        <w:rPr>
          <w:rFonts w:hint="eastAsia" w:ascii="Times New Roman" w:hAnsi="Times New Roman"/>
          <w:b/>
          <w:bCs/>
          <w:color w:val="auto"/>
          <w:highlight w:val="none"/>
          <w:u w:val="single"/>
          <w:shd w:val="clear"/>
        </w:rPr>
        <w:t>满足发包人、监理人所需，具体数量由发包人确定</w:t>
      </w:r>
      <w:r>
        <w:rPr>
          <w:rFonts w:hint="eastAsia" w:ascii="Times New Roman" w:hAnsi="Times New Roman"/>
          <w:color w:val="auto"/>
          <w:highlight w:val="none"/>
          <w:shd w:val="clear"/>
        </w:rPr>
        <w:t>；</w:t>
      </w:r>
    </w:p>
    <w:p w14:paraId="37CAAC1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承包人提供的文件的形式为：</w:t>
      </w:r>
      <w:r>
        <w:rPr>
          <w:rFonts w:hint="eastAsia" w:ascii="Times New Roman" w:hAnsi="Times New Roman"/>
          <w:b/>
          <w:bCs/>
          <w:color w:val="auto"/>
          <w:highlight w:val="none"/>
          <w:u w:val="single"/>
          <w:shd w:val="clear"/>
        </w:rPr>
        <w:t>纸质版及电子版</w:t>
      </w:r>
      <w:r>
        <w:rPr>
          <w:rFonts w:hint="eastAsia" w:ascii="Times New Roman" w:hAnsi="Times New Roman"/>
          <w:color w:val="auto"/>
          <w:highlight w:val="none"/>
          <w:shd w:val="clear"/>
        </w:rPr>
        <w:t>；</w:t>
      </w:r>
    </w:p>
    <w:p w14:paraId="7537BC2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发包人审批承包人文件的期限：</w:t>
      </w:r>
      <w:r>
        <w:rPr>
          <w:rFonts w:hint="eastAsia" w:ascii="Times New Roman" w:hAnsi="Times New Roman"/>
          <w:b/>
          <w:bCs/>
          <w:color w:val="auto"/>
          <w:highlight w:val="none"/>
          <w:u w:val="single"/>
          <w:shd w:val="clear"/>
        </w:rPr>
        <w:t>收到承包人文件后7日内组织审核批准或提出修改意见</w:t>
      </w:r>
      <w:r>
        <w:rPr>
          <w:rFonts w:hint="eastAsia" w:ascii="Times New Roman" w:hAnsi="Times New Roman"/>
          <w:color w:val="auto"/>
          <w:highlight w:val="none"/>
          <w:shd w:val="clear"/>
        </w:rPr>
        <w:t>。</w:t>
      </w:r>
    </w:p>
    <w:p w14:paraId="763AE66E">
      <w:pPr>
        <w:pStyle w:val="22"/>
        <w:ind w:firstLine="420"/>
        <w:rPr>
          <w:rFonts w:ascii="Times New Roman" w:hAnsi="Times New Roman"/>
          <w:color w:val="auto"/>
          <w:highlight w:val="none"/>
          <w:shd w:val="clear"/>
        </w:rPr>
      </w:pPr>
      <w:bookmarkStart w:id="1127" w:name="_Toc170805649"/>
      <w:bookmarkStart w:id="1128" w:name="_Toc170804081"/>
      <w:bookmarkStart w:id="1129" w:name="_Toc170805269"/>
      <w:r>
        <w:rPr>
          <w:rFonts w:hint="eastAsia" w:ascii="Times New Roman" w:hAnsi="Times New Roman"/>
          <w:color w:val="auto"/>
          <w:highlight w:val="none"/>
          <w:shd w:val="clear"/>
        </w:rPr>
        <w:t>1.6.5 现场图纸准备</w:t>
      </w:r>
      <w:bookmarkEnd w:id="1127"/>
      <w:bookmarkEnd w:id="1128"/>
      <w:bookmarkEnd w:id="1129"/>
    </w:p>
    <w:p w14:paraId="4CA7134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关于现场图纸准备的约定：</w:t>
      </w:r>
      <w:r>
        <w:rPr>
          <w:rFonts w:hint="eastAsia" w:ascii="Times New Roman" w:hAnsi="Times New Roman"/>
          <w:b/>
          <w:bCs/>
          <w:color w:val="auto"/>
          <w:highlight w:val="none"/>
          <w:u w:val="single"/>
          <w:shd w:val="clear"/>
        </w:rPr>
        <w:t>由承包人自行准备所需图纸，满足工程所需</w:t>
      </w:r>
      <w:r>
        <w:rPr>
          <w:rFonts w:hint="eastAsia" w:ascii="Times New Roman" w:hAnsi="Times New Roman"/>
          <w:color w:val="auto"/>
          <w:highlight w:val="none"/>
          <w:shd w:val="clear"/>
        </w:rPr>
        <w:t>。</w:t>
      </w:r>
    </w:p>
    <w:p w14:paraId="409C6F3A">
      <w:pPr>
        <w:pStyle w:val="33"/>
        <w:rPr>
          <w:color w:val="auto"/>
          <w:highlight w:val="none"/>
          <w:shd w:val="clear"/>
        </w:rPr>
      </w:pPr>
      <w:bookmarkStart w:id="1130" w:name="_Toc170805650"/>
      <w:bookmarkStart w:id="1131" w:name="_Toc170804082"/>
      <w:bookmarkStart w:id="1132" w:name="_Toc170805270"/>
      <w:r>
        <w:rPr>
          <w:color w:val="auto"/>
          <w:highlight w:val="none"/>
          <w:shd w:val="clear"/>
        </w:rPr>
        <w:t>1.7 联络</w:t>
      </w:r>
      <w:bookmarkEnd w:id="1130"/>
      <w:bookmarkEnd w:id="1131"/>
      <w:bookmarkEnd w:id="1132"/>
    </w:p>
    <w:p w14:paraId="4C63E0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1.7.1 发包人和承包人应当在</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b/>
          <w:bCs/>
          <w:color w:val="auto"/>
          <w:highlight w:val="none"/>
          <w:u w:val="single"/>
          <w:shd w:val="clear"/>
          <w:lang w:val="en-US" w:eastAsia="zh-CN"/>
        </w:rPr>
        <w:t>10</w:t>
      </w:r>
      <w:r>
        <w:rPr>
          <w:rFonts w:hint="eastAsia" w:ascii="Times New Roman" w:hAnsi="Times New Roman"/>
          <w:color w:val="auto"/>
          <w:highlight w:val="none"/>
          <w:shd w:val="clear"/>
        </w:rPr>
        <w:t>天内将与合同有关的通知、批准、证明、证书、指示、指令、要求、请求、同意、意见、确定和决定等书面函件送达对方当事人。</w:t>
      </w:r>
    </w:p>
    <w:p w14:paraId="2EA3E10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1.7.2 发包人接收文件的地点：</w:t>
      </w:r>
      <w:r>
        <w:rPr>
          <w:rFonts w:hint="eastAsia" w:ascii="Times New Roman" w:hAnsi="Times New Roman"/>
          <w:b/>
          <w:bCs/>
          <w:color w:val="auto"/>
          <w:highlight w:val="none"/>
          <w:u w:val="single"/>
          <w:shd w:val="clear"/>
        </w:rPr>
        <w:t>发包人施工现场办公室</w:t>
      </w:r>
      <w:r>
        <w:rPr>
          <w:rFonts w:hint="eastAsia" w:ascii="Times New Roman" w:hAnsi="Times New Roman"/>
          <w:color w:val="auto"/>
          <w:highlight w:val="none"/>
          <w:shd w:val="clear"/>
        </w:rPr>
        <w:t>；</w:t>
      </w:r>
    </w:p>
    <w:p w14:paraId="5FFD74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发包人指定的接收人为：</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195FEF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承包人接收文件的地点：</w:t>
      </w:r>
      <w:r>
        <w:rPr>
          <w:rFonts w:hint="eastAsia" w:ascii="Times New Roman" w:hAnsi="Times New Roman"/>
          <w:b/>
          <w:bCs/>
          <w:color w:val="auto"/>
          <w:highlight w:val="none"/>
          <w:u w:val="single"/>
          <w:shd w:val="clear"/>
        </w:rPr>
        <w:t>承包人施工现场办公室</w:t>
      </w:r>
      <w:r>
        <w:rPr>
          <w:rFonts w:hint="eastAsia" w:ascii="Times New Roman" w:hAnsi="Times New Roman"/>
          <w:color w:val="auto"/>
          <w:highlight w:val="none"/>
          <w:shd w:val="clear"/>
        </w:rPr>
        <w:t>；</w:t>
      </w:r>
    </w:p>
    <w:p w14:paraId="1080FC1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承包人指定的接收人为：</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3F5421A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监理人接收文件的地点：</w:t>
      </w:r>
      <w:r>
        <w:rPr>
          <w:rFonts w:hint="eastAsia" w:ascii="Times New Roman" w:hAnsi="Times New Roman"/>
          <w:b/>
          <w:bCs/>
          <w:color w:val="auto"/>
          <w:highlight w:val="none"/>
          <w:u w:val="single"/>
          <w:shd w:val="clear"/>
        </w:rPr>
        <w:t>监理人施工现场办公室</w:t>
      </w:r>
      <w:r>
        <w:rPr>
          <w:rFonts w:hint="eastAsia" w:ascii="Times New Roman" w:hAnsi="Times New Roman"/>
          <w:color w:val="auto"/>
          <w:highlight w:val="none"/>
          <w:shd w:val="clear"/>
        </w:rPr>
        <w:t>；</w:t>
      </w:r>
    </w:p>
    <w:p w14:paraId="199AC9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监理人指定的接收人为：</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622192FB">
      <w:pPr>
        <w:pStyle w:val="33"/>
        <w:rPr>
          <w:color w:val="auto"/>
          <w:highlight w:val="none"/>
          <w:shd w:val="clear"/>
        </w:rPr>
      </w:pPr>
      <w:bookmarkStart w:id="1133" w:name="_Toc170805271"/>
      <w:bookmarkStart w:id="1134" w:name="_Toc170805651"/>
      <w:bookmarkStart w:id="1135" w:name="_Toc170804083"/>
      <w:r>
        <w:rPr>
          <w:color w:val="auto"/>
          <w:highlight w:val="none"/>
          <w:shd w:val="clear"/>
        </w:rPr>
        <w:t>1.10 交通运输</w:t>
      </w:r>
      <w:bookmarkEnd w:id="1133"/>
      <w:bookmarkEnd w:id="1134"/>
      <w:bookmarkEnd w:id="1135"/>
    </w:p>
    <w:p w14:paraId="3D108B4A">
      <w:pPr>
        <w:pStyle w:val="22"/>
        <w:ind w:firstLine="420"/>
        <w:rPr>
          <w:rFonts w:ascii="Times New Roman" w:hAnsi="Times New Roman"/>
          <w:color w:val="auto"/>
          <w:highlight w:val="none"/>
          <w:shd w:val="clear"/>
        </w:rPr>
      </w:pPr>
      <w:bookmarkStart w:id="1136" w:name="_Toc170805652"/>
      <w:bookmarkStart w:id="1137" w:name="_Toc170805272"/>
      <w:bookmarkStart w:id="1138" w:name="_Toc170804084"/>
      <w:r>
        <w:rPr>
          <w:rFonts w:hint="eastAsia" w:ascii="Times New Roman" w:hAnsi="Times New Roman"/>
          <w:color w:val="auto"/>
          <w:highlight w:val="none"/>
          <w:shd w:val="clear"/>
        </w:rPr>
        <w:t>1</w:t>
      </w:r>
      <w:bookmarkStart w:id="1139" w:name="_Toc300934943"/>
      <w:bookmarkStart w:id="1140" w:name="_Toc303539100"/>
      <w:bookmarkStart w:id="1141" w:name="_Toc318581155"/>
      <w:bookmarkStart w:id="1142" w:name="_Toc312677986"/>
      <w:bookmarkStart w:id="1143" w:name="_Toc304295521"/>
      <w:r>
        <w:rPr>
          <w:rFonts w:hint="eastAsia" w:ascii="Times New Roman" w:hAnsi="Times New Roman"/>
          <w:color w:val="auto"/>
          <w:highlight w:val="none"/>
          <w:shd w:val="clear"/>
        </w:rPr>
        <w:t>.10.1 出入现场的权利</w:t>
      </w:r>
      <w:bookmarkEnd w:id="1136"/>
      <w:bookmarkEnd w:id="1137"/>
      <w:bookmarkEnd w:id="1138"/>
    </w:p>
    <w:p w14:paraId="3EBC632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关于出入现场的权利的约定：</w:t>
      </w:r>
      <w:r>
        <w:rPr>
          <w:rFonts w:hint="eastAsia" w:ascii="Times New Roman" w:hAnsi="Times New Roman"/>
          <w:b/>
          <w:bCs/>
          <w:color w:val="auto"/>
          <w:highlight w:val="none"/>
          <w:u w:val="single"/>
          <w:shd w:val="clear"/>
        </w:rPr>
        <w:t>发包人应根据施工需要，负责取得出入施工现场所需的批准手续和全部权利，以及取得因施工所需修建道路以及其他基础设施的权利。承包人承担修建临时道路及其他临时基础设施的费用。承包人协助发包人办理修建场内外道路以及其他基础设施的手续</w:t>
      </w:r>
      <w:r>
        <w:rPr>
          <w:rFonts w:hint="eastAsia" w:ascii="Times New Roman" w:hAnsi="Times New Roman"/>
          <w:color w:val="auto"/>
          <w:highlight w:val="none"/>
          <w:shd w:val="clear"/>
        </w:rPr>
        <w:t>。</w:t>
      </w:r>
    </w:p>
    <w:bookmarkEnd w:id="1139"/>
    <w:bookmarkEnd w:id="1140"/>
    <w:bookmarkEnd w:id="1141"/>
    <w:bookmarkEnd w:id="1142"/>
    <w:bookmarkEnd w:id="1143"/>
    <w:p w14:paraId="5C33F39B">
      <w:pPr>
        <w:pStyle w:val="22"/>
        <w:ind w:firstLine="420"/>
        <w:rPr>
          <w:rFonts w:ascii="Times New Roman" w:hAnsi="Times New Roman"/>
          <w:color w:val="auto"/>
          <w:highlight w:val="none"/>
          <w:shd w:val="clear"/>
        </w:rPr>
      </w:pPr>
      <w:bookmarkStart w:id="1144" w:name="_Toc170805273"/>
      <w:bookmarkStart w:id="1145" w:name="_Toc170805653"/>
      <w:bookmarkStart w:id="1146" w:name="_Toc170804085"/>
      <w:r>
        <w:rPr>
          <w:rFonts w:hint="eastAsia" w:ascii="Times New Roman" w:hAnsi="Times New Roman"/>
          <w:color w:val="auto"/>
          <w:highlight w:val="none"/>
          <w:shd w:val="clear"/>
        </w:rPr>
        <w:t>1</w:t>
      </w:r>
      <w:bookmarkStart w:id="1147" w:name="_Toc318581156"/>
      <w:bookmarkStart w:id="1148" w:name="_Toc303539101"/>
      <w:bookmarkStart w:id="1149" w:name="_Toc304295522"/>
      <w:bookmarkStart w:id="1150" w:name="_Toc312677987"/>
      <w:bookmarkStart w:id="1151" w:name="_Toc300934944"/>
      <w:r>
        <w:rPr>
          <w:rFonts w:hint="eastAsia" w:ascii="Times New Roman" w:hAnsi="Times New Roman"/>
          <w:color w:val="auto"/>
          <w:highlight w:val="none"/>
          <w:shd w:val="clear"/>
        </w:rPr>
        <w:t>.10.3 场内交通</w:t>
      </w:r>
      <w:bookmarkEnd w:id="1144"/>
      <w:bookmarkEnd w:id="1145"/>
      <w:bookmarkEnd w:id="1146"/>
    </w:p>
    <w:p w14:paraId="50155C7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关于场外交通和场内交通的边界的约定：</w:t>
      </w:r>
      <w:r>
        <w:rPr>
          <w:rFonts w:hint="eastAsia" w:ascii="Times New Roman" w:hAnsi="Times New Roman"/>
          <w:b/>
          <w:bCs/>
          <w:color w:val="auto"/>
          <w:highlight w:val="none"/>
          <w:u w:val="single"/>
          <w:shd w:val="clear"/>
        </w:rPr>
        <w:t>承包人在投标前应充分踏勘现场，以现场条件为准</w:t>
      </w:r>
      <w:r>
        <w:rPr>
          <w:rFonts w:hint="eastAsia" w:ascii="Times New Roman" w:hAnsi="Times New Roman"/>
          <w:color w:val="auto"/>
          <w:highlight w:val="none"/>
          <w:shd w:val="clear"/>
        </w:rPr>
        <w:t>。</w:t>
      </w:r>
    </w:p>
    <w:p w14:paraId="5E8A5026">
      <w:pPr>
        <w:pStyle w:val="22"/>
        <w:ind w:firstLine="420"/>
        <w:rPr>
          <w:rFonts w:ascii="Times New Roman" w:hAnsi="Times New Roman"/>
          <w:color w:val="auto"/>
          <w:highlight w:val="none"/>
          <w:u w:val="single"/>
          <w:shd w:val="clear"/>
        </w:rPr>
      </w:pPr>
      <w:r>
        <w:rPr>
          <w:rFonts w:hint="eastAsia" w:ascii="Times New Roman" w:hAnsi="Times New Roman"/>
          <w:color w:val="auto"/>
          <w:highlight w:val="none"/>
          <w:shd w:val="clear"/>
        </w:rPr>
        <w:t>关于发包人向承包人免费提供满足工程施工需要的场内道路和交通设施的约定：</w:t>
      </w:r>
      <w:bookmarkEnd w:id="1147"/>
      <w:bookmarkEnd w:id="1148"/>
      <w:bookmarkEnd w:id="1149"/>
      <w:bookmarkEnd w:id="1150"/>
      <w:bookmarkEnd w:id="1151"/>
      <w:bookmarkStart w:id="1152" w:name="_Toc318581157"/>
      <w:r>
        <w:rPr>
          <w:rFonts w:hint="eastAsia" w:ascii="Times New Roman" w:hAnsi="Times New Roman"/>
          <w:b/>
          <w:bCs/>
          <w:color w:val="auto"/>
          <w:highlight w:val="none"/>
          <w:u w:val="single"/>
          <w:shd w:val="clear"/>
        </w:rPr>
        <w:t>承包人可利用场内已有道路及交通设施，但承包人应自行考虑载荷和使用年限，并承担对其的加固、改造、修复、重建等所有费用</w:t>
      </w:r>
      <w:r>
        <w:rPr>
          <w:rFonts w:hint="eastAsia" w:ascii="Times New Roman" w:hAnsi="Times New Roman"/>
          <w:b/>
          <w:bCs/>
          <w:color w:val="auto"/>
          <w:highlight w:val="none"/>
          <w:u w:val="single"/>
          <w:shd w:val="clear"/>
        </w:rPr>
        <w:t>。</w:t>
      </w:r>
    </w:p>
    <w:p w14:paraId="7B319DBD">
      <w:pPr>
        <w:pStyle w:val="22"/>
        <w:ind w:firstLine="420"/>
        <w:rPr>
          <w:rFonts w:ascii="Times New Roman" w:hAnsi="Times New Roman"/>
          <w:color w:val="auto"/>
          <w:highlight w:val="none"/>
          <w:shd w:val="clear"/>
        </w:rPr>
      </w:pPr>
      <w:bookmarkStart w:id="1153" w:name="_Toc170805654"/>
      <w:bookmarkStart w:id="1154" w:name="_Toc170804086"/>
      <w:bookmarkStart w:id="1155" w:name="_Toc170805274"/>
      <w:r>
        <w:rPr>
          <w:rFonts w:hint="eastAsia" w:ascii="Times New Roman" w:hAnsi="Times New Roman"/>
          <w:color w:val="auto"/>
          <w:highlight w:val="none"/>
          <w:shd w:val="clear"/>
        </w:rPr>
        <w:t>1.10.4 超大件和超重件的运输</w:t>
      </w:r>
      <w:bookmarkEnd w:id="1153"/>
      <w:bookmarkEnd w:id="1154"/>
      <w:bookmarkEnd w:id="1155"/>
    </w:p>
    <w:p w14:paraId="397D56F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运输超大件或超重件所需的道路和桥梁临时加固改造费用和其他有关费用由</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b/>
          <w:bCs/>
          <w:color w:val="auto"/>
          <w:highlight w:val="none"/>
          <w:u w:val="single"/>
          <w:shd w:val="clear"/>
          <w:lang w:val="en-US" w:eastAsia="zh-CN"/>
        </w:rPr>
        <w:t xml:space="preserve">承包人 </w:t>
      </w:r>
      <w:r>
        <w:rPr>
          <w:rFonts w:hint="eastAsia" w:ascii="Times New Roman" w:hAnsi="Times New Roman"/>
          <w:color w:val="auto"/>
          <w:highlight w:val="none"/>
          <w:shd w:val="clear"/>
        </w:rPr>
        <w:t>承担。</w:t>
      </w:r>
    </w:p>
    <w:bookmarkEnd w:id="1152"/>
    <w:p w14:paraId="187F2784">
      <w:pPr>
        <w:pStyle w:val="33"/>
        <w:rPr>
          <w:color w:val="auto"/>
          <w:highlight w:val="none"/>
          <w:shd w:val="clear"/>
        </w:rPr>
      </w:pPr>
      <w:bookmarkStart w:id="1156" w:name="_Toc170805655"/>
      <w:bookmarkStart w:id="1157" w:name="_Toc170805275"/>
      <w:bookmarkStart w:id="1158" w:name="_Toc170804087"/>
      <w:r>
        <w:rPr>
          <w:color w:val="auto"/>
          <w:highlight w:val="none"/>
          <w:shd w:val="clear"/>
        </w:rPr>
        <w:t>1.11 知识产权</w:t>
      </w:r>
      <w:bookmarkEnd w:id="1156"/>
      <w:bookmarkEnd w:id="1157"/>
      <w:bookmarkEnd w:id="1158"/>
    </w:p>
    <w:p w14:paraId="611BB33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b/>
          <w:bCs/>
          <w:color w:val="auto"/>
          <w:highlight w:val="none"/>
          <w:u w:val="single"/>
          <w:shd w:val="clear"/>
          <w:lang w:val="en-US" w:eastAsia="zh-CN"/>
        </w:rPr>
        <w:t>发包人</w:t>
      </w:r>
      <w:r>
        <w:rPr>
          <w:rFonts w:hint="eastAsia" w:ascii="Times New Roman" w:hAnsi="Times New Roman"/>
          <w:color w:val="auto"/>
          <w:highlight w:val="none"/>
          <w:shd w:val="clear"/>
        </w:rPr>
        <w:t>。</w:t>
      </w:r>
    </w:p>
    <w:p w14:paraId="7EB8258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关于发包人提供的上述文件的使用限制的要求：</w:t>
      </w:r>
      <w:r>
        <w:rPr>
          <w:rFonts w:hint="eastAsia" w:ascii="Times New Roman" w:hAnsi="Times New Roman"/>
          <w:b/>
          <w:bCs/>
          <w:color w:val="auto"/>
          <w:highlight w:val="none"/>
          <w:u w:val="single"/>
          <w:shd w:val="clear"/>
        </w:rPr>
        <w:t>承包人仅可用于本项目工程施工，未经发包人许可，承包人不得向第三方出卖、交换、泄露或透露。否则，承包人应承担一切法律责任并赔偿发包人由此造成的经济损失</w:t>
      </w:r>
      <w:r>
        <w:rPr>
          <w:rFonts w:hint="eastAsia" w:ascii="Times New Roman" w:hAnsi="Times New Roman"/>
          <w:color w:val="auto"/>
          <w:highlight w:val="none"/>
          <w:shd w:val="clear"/>
        </w:rPr>
        <w:t>。</w:t>
      </w:r>
    </w:p>
    <w:p w14:paraId="79842A8B">
      <w:pPr>
        <w:pStyle w:val="22"/>
        <w:ind w:firstLine="420"/>
        <w:rPr>
          <w:rFonts w:ascii="Times New Roman" w:hAnsi="Times New Roman"/>
          <w:color w:val="auto"/>
          <w:highlight w:val="none"/>
          <w:shd w:val="clear"/>
        </w:rPr>
      </w:pPr>
      <w:bookmarkStart w:id="1159" w:name="_Toc170805276"/>
      <w:bookmarkStart w:id="1160" w:name="_Toc170805656"/>
      <w:bookmarkStart w:id="1161" w:name="_Toc170804088"/>
      <w:r>
        <w:rPr>
          <w:rFonts w:hint="eastAsia" w:ascii="Times New Roman" w:hAnsi="Times New Roman"/>
          <w:color w:val="auto"/>
          <w:highlight w:val="none"/>
          <w:shd w:val="clear"/>
        </w:rPr>
        <w:t>1.11.2 关于承包人为实施工程所编制文件的著作权的归属：</w:t>
      </w:r>
      <w:r>
        <w:rPr>
          <w:rFonts w:hint="eastAsia" w:ascii="Times New Roman" w:hAnsi="Times New Roman"/>
          <w:b/>
          <w:bCs/>
          <w:color w:val="auto"/>
          <w:highlight w:val="none"/>
          <w:u w:val="single"/>
          <w:shd w:val="clear"/>
        </w:rPr>
        <w:t>承包人和发包人共有</w:t>
      </w:r>
      <w:r>
        <w:rPr>
          <w:rFonts w:hint="eastAsia" w:ascii="Times New Roman" w:hAnsi="Times New Roman"/>
          <w:color w:val="auto"/>
          <w:highlight w:val="none"/>
          <w:shd w:val="clear"/>
        </w:rPr>
        <w:t>。</w:t>
      </w:r>
      <w:bookmarkEnd w:id="1159"/>
      <w:bookmarkEnd w:id="1160"/>
      <w:bookmarkEnd w:id="1161"/>
    </w:p>
    <w:p w14:paraId="5E60FE6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关于承包人提供的上述文件的使用限制的要求：</w:t>
      </w:r>
      <w:r>
        <w:rPr>
          <w:rFonts w:hint="eastAsia" w:ascii="Times New Roman" w:hAnsi="Times New Roman"/>
          <w:b/>
          <w:bCs/>
          <w:color w:val="auto"/>
          <w:highlight w:val="none"/>
          <w:u w:val="single"/>
          <w:shd w:val="clear"/>
        </w:rPr>
        <w:t>发包人仅可用于本项目工程施工，未经承包人许可，发包人不得向第三方出卖、交换、泄露或透露。否则，发包人应承担一切法律责任并赔偿承包人由此造成的经济损失。</w:t>
      </w:r>
    </w:p>
    <w:p w14:paraId="4A0D4CAD">
      <w:pPr>
        <w:pStyle w:val="22"/>
        <w:ind w:firstLine="420"/>
        <w:rPr>
          <w:rFonts w:ascii="Times New Roman" w:hAnsi="Times New Roman"/>
          <w:b/>
          <w:bCs/>
          <w:color w:val="auto"/>
          <w:highlight w:val="none"/>
          <w:u w:val="single"/>
          <w:shd w:val="clear"/>
        </w:rPr>
      </w:pPr>
      <w:bookmarkStart w:id="1162" w:name="_Toc170805277"/>
      <w:bookmarkStart w:id="1163" w:name="_Toc170804089"/>
      <w:bookmarkStart w:id="1164" w:name="_Toc170805657"/>
      <w:r>
        <w:rPr>
          <w:rFonts w:hint="eastAsia" w:ascii="Times New Roman" w:hAnsi="Times New Roman"/>
          <w:color w:val="auto"/>
          <w:highlight w:val="none"/>
          <w:shd w:val="clear"/>
        </w:rPr>
        <w:t>1.11.4 承包人在施工过程中所采用的专利、专有技术、技术秘密的使用费的承担方式：</w:t>
      </w:r>
      <w:r>
        <w:rPr>
          <w:rFonts w:hint="eastAsia" w:ascii="Times New Roman" w:hAnsi="Times New Roman"/>
          <w:b/>
          <w:bCs/>
          <w:color w:val="auto"/>
          <w:highlight w:val="none"/>
          <w:u w:val="single"/>
          <w:shd w:val="clear"/>
        </w:rPr>
        <w:t>由承包人承担</w:t>
      </w:r>
      <w:r>
        <w:rPr>
          <w:rFonts w:hint="eastAsia" w:ascii="Times New Roman" w:hAnsi="Times New Roman"/>
          <w:b/>
          <w:bCs/>
          <w:color w:val="auto"/>
          <w:highlight w:val="none"/>
          <w:u w:val="single"/>
          <w:shd w:val="clear"/>
        </w:rPr>
        <w:t>。</w:t>
      </w:r>
      <w:bookmarkEnd w:id="1162"/>
      <w:bookmarkEnd w:id="1163"/>
      <w:bookmarkEnd w:id="1164"/>
    </w:p>
    <w:p w14:paraId="7B4361B6">
      <w:pPr>
        <w:pStyle w:val="33"/>
        <w:rPr>
          <w:color w:val="auto"/>
          <w:highlight w:val="none"/>
          <w:shd w:val="clear"/>
        </w:rPr>
      </w:pPr>
      <w:bookmarkStart w:id="1165" w:name="_Toc170804090"/>
      <w:bookmarkStart w:id="1166" w:name="_Toc170805278"/>
      <w:bookmarkStart w:id="1167" w:name="_Toc170805658"/>
      <w:r>
        <w:rPr>
          <w:color w:val="auto"/>
          <w:highlight w:val="none"/>
          <w:shd w:val="clear"/>
        </w:rPr>
        <w:t>1.13 工程量清单错误的修正</w:t>
      </w:r>
      <w:bookmarkEnd w:id="1165"/>
      <w:bookmarkEnd w:id="1166"/>
      <w:bookmarkEnd w:id="1167"/>
    </w:p>
    <w:p w14:paraId="63086D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出现工程量清单错误时，是否调整合同价格：</w:t>
      </w:r>
      <w:r>
        <w:rPr>
          <w:rFonts w:hint="eastAsia" w:ascii="Times New Roman" w:hAnsi="Times New Roman"/>
          <w:b/>
          <w:bCs/>
          <w:color w:val="auto"/>
          <w:highlight w:val="none"/>
          <w:u w:val="single"/>
          <w:shd w:val="clear"/>
        </w:rPr>
        <w:t>是</w:t>
      </w:r>
      <w:r>
        <w:rPr>
          <w:rFonts w:hint="eastAsia" w:ascii="Times New Roman" w:hAnsi="Times New Roman"/>
          <w:color w:val="auto"/>
          <w:highlight w:val="none"/>
          <w:shd w:val="clear"/>
        </w:rPr>
        <w:t>。</w:t>
      </w:r>
    </w:p>
    <w:p w14:paraId="5555988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允许调整合同价格的工程量偏差范围：</w:t>
      </w:r>
      <w:r>
        <w:rPr>
          <w:rFonts w:hint="eastAsia" w:ascii="Times New Roman" w:hAnsi="Times New Roman"/>
          <w:b/>
          <w:bCs/>
          <w:color w:val="auto"/>
          <w:highlight w:val="none"/>
          <w:u w:val="single"/>
          <w:shd w:val="clear"/>
        </w:rPr>
        <w:t>10</w:t>
      </w:r>
      <w:r>
        <w:rPr>
          <w:rFonts w:hint="eastAsia" w:ascii="Times New Roman" w:hAnsi="Times New Roman"/>
          <w:b/>
          <w:bCs/>
          <w:color w:val="auto"/>
          <w:highlight w:val="none"/>
          <w:u w:val="single"/>
          <w:shd w:val="clear"/>
          <w:lang w:val="en-US" w:eastAsia="zh-CN"/>
        </w:rPr>
        <w:t>%</w:t>
      </w:r>
      <w:r>
        <w:rPr>
          <w:rFonts w:hint="eastAsia" w:ascii="Times New Roman" w:hAnsi="Times New Roman"/>
          <w:color w:val="auto"/>
          <w:highlight w:val="none"/>
          <w:shd w:val="clear"/>
        </w:rPr>
        <w:t>。</w:t>
      </w:r>
    </w:p>
    <w:p w14:paraId="4FCA7646">
      <w:pPr>
        <w:pStyle w:val="26"/>
        <w:rPr>
          <w:color w:val="auto"/>
          <w:highlight w:val="none"/>
          <w:shd w:val="clear"/>
        </w:rPr>
      </w:pPr>
      <w:bookmarkStart w:id="1168" w:name="_Toc170805279"/>
      <w:bookmarkStart w:id="1169" w:name="_Toc170804091"/>
      <w:bookmarkStart w:id="1170" w:name="_Toc351203634"/>
      <w:bookmarkStart w:id="1171" w:name="_Toc170805659"/>
      <w:r>
        <w:rPr>
          <w:rFonts w:hint="eastAsia"/>
          <w:color w:val="auto"/>
          <w:highlight w:val="none"/>
          <w:shd w:val="clear"/>
        </w:rPr>
        <w:t>2</w:t>
      </w:r>
      <w:bookmarkStart w:id="1172" w:name="_Toc292559362"/>
      <w:bookmarkStart w:id="1173" w:name="_Toc296891197"/>
      <w:bookmarkStart w:id="1174" w:name="_Toc292559867"/>
      <w:bookmarkStart w:id="1175" w:name="_Toc297048343"/>
      <w:bookmarkStart w:id="1176" w:name="_Toc296890985"/>
      <w:bookmarkStart w:id="1177" w:name="_Toc297120457"/>
      <w:bookmarkStart w:id="1178" w:name="_Toc296503157"/>
      <w:bookmarkStart w:id="1179" w:name="_Toc296346658"/>
      <w:bookmarkStart w:id="1180" w:name="_Toc296347156"/>
      <w:bookmarkStart w:id="1181" w:name="_Toc296944496"/>
      <w:r>
        <w:rPr>
          <w:rFonts w:hint="eastAsia"/>
          <w:color w:val="auto"/>
          <w:highlight w:val="none"/>
          <w:shd w:val="clear"/>
        </w:rPr>
        <w:t>.发包人</w:t>
      </w:r>
      <w:bookmarkEnd w:id="1168"/>
      <w:bookmarkEnd w:id="1169"/>
      <w:bookmarkEnd w:id="1170"/>
      <w:bookmarkEnd w:id="1171"/>
    </w:p>
    <w:bookmarkEnd w:id="1172"/>
    <w:bookmarkEnd w:id="1173"/>
    <w:bookmarkEnd w:id="1174"/>
    <w:bookmarkEnd w:id="1175"/>
    <w:bookmarkEnd w:id="1176"/>
    <w:bookmarkEnd w:id="1177"/>
    <w:bookmarkEnd w:id="1178"/>
    <w:bookmarkEnd w:id="1179"/>
    <w:bookmarkEnd w:id="1180"/>
    <w:bookmarkEnd w:id="1181"/>
    <w:p w14:paraId="25282A7B">
      <w:pPr>
        <w:pStyle w:val="33"/>
        <w:rPr>
          <w:color w:val="auto"/>
          <w:highlight w:val="none"/>
          <w:shd w:val="clear"/>
        </w:rPr>
      </w:pPr>
      <w:bookmarkStart w:id="1182" w:name="_Toc170805280"/>
      <w:bookmarkStart w:id="1183" w:name="_Toc170805660"/>
      <w:bookmarkStart w:id="1184" w:name="_Toc170804092"/>
      <w:r>
        <w:rPr>
          <w:color w:val="auto"/>
          <w:highlight w:val="none"/>
          <w:shd w:val="clear"/>
        </w:rPr>
        <w:t>2.2 发包人代表</w:t>
      </w:r>
      <w:bookmarkEnd w:id="1182"/>
      <w:bookmarkEnd w:id="1183"/>
      <w:bookmarkEnd w:id="1184"/>
    </w:p>
    <w:p w14:paraId="10F27C5D">
      <w:pPr>
        <w:spacing w:line="360" w:lineRule="auto"/>
        <w:ind w:firstLine="400" w:firstLineChars="200"/>
        <w:rPr>
          <w:rFonts w:ascii="Times New Roman" w:hAnsi="Times New Roman"/>
          <w:color w:val="auto"/>
          <w:sz w:val="20"/>
          <w:szCs w:val="20"/>
          <w:highlight w:val="none"/>
          <w:shd w:val="clear"/>
        </w:rPr>
      </w:pPr>
      <w:r>
        <w:rPr>
          <w:rFonts w:hint="eastAsia" w:ascii="Times New Roman" w:hAnsi="Times New Roman"/>
          <w:color w:val="auto"/>
          <w:sz w:val="20"/>
          <w:szCs w:val="20"/>
          <w:highlight w:val="none"/>
          <w:shd w:val="clear"/>
        </w:rPr>
        <w:t>发包人代表：</w:t>
      </w:r>
    </w:p>
    <w:p w14:paraId="4199C0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姓    名：</w:t>
      </w:r>
      <w:r>
        <w:rPr>
          <w:rFonts w:hint="eastAsia" w:ascii="宋体" w:hAnsi="宋体" w:cs="宋体"/>
          <w:color w:val="auto"/>
          <w:sz w:val="24"/>
          <w:highlight w:val="none"/>
          <w:u w:val="single"/>
          <w:shd w:val="clear"/>
        </w:rPr>
        <w:t></w:t>
      </w:r>
      <w:r>
        <w:rPr>
          <w:rFonts w:hint="eastAsia" w:ascii="Times New Roman" w:hAnsi="Times New Roman"/>
          <w:color w:val="auto"/>
          <w:highlight w:val="none"/>
          <w:shd w:val="clear"/>
        </w:rPr>
        <w:t>；</w:t>
      </w:r>
    </w:p>
    <w:p w14:paraId="428610C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身份证号：</w:t>
      </w:r>
      <w:r>
        <w:rPr>
          <w:rFonts w:hint="eastAsia" w:ascii="宋体" w:hAnsi="宋体" w:cs="宋体"/>
          <w:color w:val="auto"/>
          <w:sz w:val="24"/>
          <w:highlight w:val="none"/>
          <w:u w:val="single"/>
          <w:shd w:val="clear"/>
        </w:rPr>
        <w:t></w:t>
      </w:r>
      <w:r>
        <w:rPr>
          <w:rFonts w:hint="eastAsia" w:ascii="Times New Roman" w:hAnsi="Times New Roman"/>
          <w:color w:val="auto"/>
          <w:highlight w:val="none"/>
          <w:shd w:val="clear"/>
        </w:rPr>
        <w:t>；</w:t>
      </w:r>
    </w:p>
    <w:p w14:paraId="2C3D69E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职    务：</w:t>
      </w:r>
      <w:r>
        <w:rPr>
          <w:rFonts w:hint="eastAsia" w:ascii="宋体" w:hAnsi="宋体" w:cs="宋体"/>
          <w:color w:val="auto"/>
          <w:sz w:val="24"/>
          <w:highlight w:val="none"/>
          <w:u w:val="single"/>
          <w:shd w:val="clear"/>
        </w:rPr>
        <w:t></w:t>
      </w:r>
      <w:r>
        <w:rPr>
          <w:rFonts w:hint="eastAsia" w:ascii="Times New Roman" w:hAnsi="Times New Roman"/>
          <w:color w:val="auto"/>
          <w:highlight w:val="none"/>
          <w:shd w:val="clear"/>
        </w:rPr>
        <w:t>；</w:t>
      </w:r>
    </w:p>
    <w:p w14:paraId="4B144F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联系电话：</w:t>
      </w:r>
      <w:r>
        <w:rPr>
          <w:rFonts w:hint="eastAsia" w:ascii="宋体" w:hAnsi="宋体" w:cs="宋体"/>
          <w:color w:val="auto"/>
          <w:sz w:val="24"/>
          <w:highlight w:val="none"/>
          <w:u w:val="single"/>
          <w:shd w:val="clear"/>
        </w:rPr>
        <w:t></w:t>
      </w:r>
      <w:r>
        <w:rPr>
          <w:rFonts w:hint="eastAsia" w:ascii="Times New Roman" w:hAnsi="Times New Roman"/>
          <w:color w:val="auto"/>
          <w:highlight w:val="none"/>
          <w:shd w:val="clear"/>
        </w:rPr>
        <w:t>；</w:t>
      </w:r>
    </w:p>
    <w:p w14:paraId="653535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电子信箱：</w:t>
      </w:r>
      <w:r>
        <w:rPr>
          <w:rFonts w:hint="eastAsia" w:ascii="宋体" w:hAnsi="宋体" w:cs="宋体"/>
          <w:color w:val="auto"/>
          <w:sz w:val="24"/>
          <w:highlight w:val="none"/>
          <w:u w:val="single"/>
          <w:shd w:val="clear"/>
        </w:rPr>
        <w:t></w:t>
      </w:r>
      <w:r>
        <w:rPr>
          <w:rFonts w:hint="eastAsia" w:ascii="Times New Roman" w:hAnsi="Times New Roman"/>
          <w:color w:val="auto"/>
          <w:highlight w:val="none"/>
          <w:shd w:val="clear"/>
        </w:rPr>
        <w:t>；</w:t>
      </w:r>
    </w:p>
    <w:p w14:paraId="455B92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通信地址：</w:t>
      </w:r>
      <w:r>
        <w:rPr>
          <w:rFonts w:hint="eastAsia" w:ascii="宋体" w:hAnsi="宋体" w:cs="宋体"/>
          <w:color w:val="auto"/>
          <w:sz w:val="24"/>
          <w:highlight w:val="none"/>
          <w:u w:val="single"/>
          <w:shd w:val="clear"/>
        </w:rPr>
        <w:t></w:t>
      </w:r>
      <w:r>
        <w:rPr>
          <w:rFonts w:hint="eastAsia" w:ascii="Times New Roman" w:hAnsi="Times New Roman"/>
          <w:color w:val="auto"/>
          <w:highlight w:val="none"/>
          <w:shd w:val="clear"/>
        </w:rPr>
        <w:t>。</w:t>
      </w:r>
    </w:p>
    <w:p w14:paraId="65F42A81">
      <w:pPr>
        <w:pStyle w:val="22"/>
        <w:ind w:firstLine="420"/>
        <w:rPr>
          <w:rFonts w:hint="eastAsia" w:ascii="Times New Roman" w:hAnsi="Times New Roman"/>
          <w:b/>
          <w:bCs/>
          <w:color w:val="auto"/>
          <w:highlight w:val="none"/>
          <w:u w:val="single"/>
          <w:shd w:val="clear"/>
        </w:rPr>
      </w:pPr>
      <w:r>
        <w:rPr>
          <w:rFonts w:hint="eastAsia" w:ascii="Times New Roman" w:hAnsi="Times New Roman"/>
          <w:color w:val="auto"/>
          <w:highlight w:val="none"/>
          <w:shd w:val="clear"/>
        </w:rPr>
        <w:t>发包人对发包人代表的授权范围如下：</w:t>
      </w:r>
      <w:r>
        <w:rPr>
          <w:rFonts w:hint="eastAsia" w:ascii="Times New Roman" w:hAnsi="Times New Roman"/>
          <w:b/>
          <w:bCs/>
          <w:color w:val="auto"/>
          <w:highlight w:val="none"/>
          <w:u w:val="single"/>
          <w:shd w:val="clear"/>
        </w:rPr>
        <w:t>（1）为本项目发包人的全权代表，行使合同约定的权利，履行合同约定的职责。发包人代表可委托有关具体管理人员承担自己部分权力和职责。</w:t>
      </w:r>
    </w:p>
    <w:p w14:paraId="4F1B8D5F">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（2）发包人的任何指令和文件只有经发包人代表签字加盖公章后方可生效，没有发包人代表签字的任何来自发包人的书面文件承包人均可拒绝执行。</w:t>
      </w:r>
    </w:p>
    <w:p w14:paraId="2DA29D0D">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发包人代表的指令、通知由其本人签字后，以书面形式交给承包人，承包人在回执上加盖承包人公章或承包人项目管理部门印章或承包人人员在回执上签署姓名和收到时间后即行生效。如承包人或承包人人员未签署收到时间，以发包人指令发出的时间为指令生效时间，承包人拒绝签收的，发包人可以本合同条款约定的联系方式邮寄送达。确有必要时，发包人代表发出口头指令，并在24小时内给予书面确认。</w:t>
      </w:r>
    </w:p>
    <w:p w14:paraId="1798C40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承包人对发包人代表的指令应予执行，发包人代表不能及时给予书面确认的，承包人应于工程师发出口头指令后二个工作日内提出书面确认要求，发包人代表应在承包人提出书面确认要求后二个工作日内予以答复。承包人认为发包人代表指令不合理，应在收到指令后24小时内提出书面申告，发包人代表在收到承包人申告后48小时内作出修改指令或继续原指令的决定，以书面形式通知承包人。紧急情况下，发包人代表要求承包人立即执行的指令或承包人虽有异议，但发包人代表决定仍继续执行的指令，承包人应予执行。因指令错误，发生的费用和给承包人造成的直接经济损失由发包人承担，延误的工期相应顺延。</w:t>
      </w:r>
    </w:p>
    <w:p w14:paraId="1339A06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对于经承包人或承包人代表签署而送达发包人的任何书面文件，发包人代表应签署明确的答复意见。若发包人代表签署的答复意见不明或未签署答复意见，则发包人代表的签字均应理解为工程师已收到承包人的书面文件，并非确认该文件中承包人提出的任何要求。除发包人代表授权，发包人代表以外的其他人对承包人文件的任何签署均对发包人无约束力。</w:t>
      </w:r>
    </w:p>
    <w:p w14:paraId="650239EE">
      <w:pPr>
        <w:pStyle w:val="22"/>
        <w:ind w:firstLine="420"/>
        <w:rPr>
          <w:rFonts w:ascii="Times New Roman" w:hAnsi="Times New Roman"/>
          <w:b/>
          <w:color w:val="auto"/>
          <w:szCs w:val="20"/>
          <w:highlight w:val="none"/>
          <w:shd w:val="clear"/>
        </w:rPr>
      </w:pPr>
      <w:r>
        <w:rPr>
          <w:rFonts w:hint="eastAsia" w:ascii="Times New Roman" w:hAnsi="Times New Roman"/>
          <w:b/>
          <w:bCs/>
          <w:color w:val="auto"/>
          <w:highlight w:val="none"/>
          <w:u w:val="single"/>
          <w:shd w:val="clear"/>
        </w:rPr>
        <w:t>（5）发包人代表换人，发包人应提前七天通知承包人，后任应继续承担前任应负的责任。</w:t>
      </w:r>
    </w:p>
    <w:p w14:paraId="21754AE9">
      <w:pPr>
        <w:pStyle w:val="33"/>
        <w:rPr>
          <w:color w:val="auto"/>
          <w:highlight w:val="none"/>
          <w:shd w:val="clear"/>
        </w:rPr>
      </w:pPr>
      <w:bookmarkStart w:id="1185" w:name="_Toc170805661"/>
      <w:bookmarkStart w:id="1186" w:name="_Toc170804093"/>
      <w:bookmarkStart w:id="1187" w:name="_Toc170805281"/>
      <w:r>
        <w:rPr>
          <w:color w:val="auto"/>
          <w:highlight w:val="none"/>
          <w:shd w:val="clear"/>
        </w:rPr>
        <w:t>2.4 施工现场、施工条件和基础资料的提供</w:t>
      </w:r>
      <w:bookmarkEnd w:id="1185"/>
      <w:bookmarkEnd w:id="1186"/>
      <w:bookmarkEnd w:id="1187"/>
    </w:p>
    <w:p w14:paraId="2BC7924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2.4.1 提供施工现场</w:t>
      </w:r>
    </w:p>
    <w:p w14:paraId="224297A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关于发包人移交施工现场的期限要求：</w:t>
      </w:r>
      <w:r>
        <w:rPr>
          <w:rFonts w:hint="eastAsia" w:ascii="Times New Roman" w:hAnsi="Times New Roman"/>
          <w:b/>
          <w:bCs/>
          <w:color w:val="auto"/>
          <w:highlight w:val="none"/>
          <w:u w:val="single"/>
          <w:shd w:val="clear"/>
        </w:rPr>
        <w:t>已具备移交条件，签约后3日内移交</w:t>
      </w:r>
      <w:r>
        <w:rPr>
          <w:rFonts w:hint="eastAsia" w:ascii="Times New Roman" w:hAnsi="Times New Roman"/>
          <w:color w:val="auto"/>
          <w:highlight w:val="none"/>
          <w:shd w:val="clear"/>
        </w:rPr>
        <w:t>。</w:t>
      </w:r>
    </w:p>
    <w:p w14:paraId="6FC021C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2.4.2 提供施工条件</w:t>
      </w:r>
    </w:p>
    <w:p w14:paraId="12163B8C">
      <w:pPr>
        <w:pStyle w:val="22"/>
        <w:ind w:firstLine="420"/>
        <w:rPr>
          <w:rFonts w:hint="eastAsia" w:ascii="Times New Roman" w:hAnsi="Times New Roman"/>
          <w:b/>
          <w:bCs/>
          <w:color w:val="auto"/>
          <w:highlight w:val="none"/>
          <w:u w:val="single"/>
          <w:shd w:val="clear"/>
        </w:rPr>
      </w:pPr>
      <w:r>
        <w:rPr>
          <w:rFonts w:hint="eastAsia" w:ascii="Times New Roman" w:hAnsi="Times New Roman"/>
          <w:color w:val="auto"/>
          <w:highlight w:val="none"/>
          <w:shd w:val="clear"/>
        </w:rPr>
        <w:t>关于发包人应负责提供施工所需要的条件，包括：</w:t>
      </w:r>
      <w:r>
        <w:rPr>
          <w:rFonts w:hint="eastAsia" w:ascii="Times New Roman" w:hAnsi="Times New Roman"/>
          <w:b/>
          <w:bCs/>
          <w:color w:val="auto"/>
          <w:highlight w:val="none"/>
          <w:u w:val="single"/>
          <w:shd w:val="clear"/>
        </w:rPr>
        <w:t>（1）发包人负责协调将施工所需的水、电、电讯线路接至施工场地，具体由承包人实施；</w:t>
      </w:r>
    </w:p>
    <w:p w14:paraId="2956A34F">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（2）发包人负责协调施工场地与公共道路的通道开通；</w:t>
      </w:r>
    </w:p>
    <w:p w14:paraId="2A5B8AF9">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（3）发包人负责办理施工所需证件、批件，承包人负责协助办理；</w:t>
      </w:r>
    </w:p>
    <w:p w14:paraId="38DBC547">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(4)其他发包人负责提供的施工条件。</w:t>
      </w:r>
    </w:p>
    <w:p w14:paraId="622BF874">
      <w:pPr>
        <w:pStyle w:val="33"/>
        <w:rPr>
          <w:color w:val="auto"/>
          <w:highlight w:val="none"/>
          <w:shd w:val="clear"/>
        </w:rPr>
      </w:pPr>
      <w:bookmarkStart w:id="1188" w:name="_Toc170805662"/>
      <w:bookmarkStart w:id="1189" w:name="_Toc170804094"/>
      <w:bookmarkStart w:id="1190" w:name="_Toc170805282"/>
      <w:r>
        <w:rPr>
          <w:color w:val="auto"/>
          <w:highlight w:val="none"/>
          <w:shd w:val="clear"/>
        </w:rPr>
        <w:t>2.5 资金来源证明及支付担保</w:t>
      </w:r>
      <w:bookmarkEnd w:id="1188"/>
      <w:bookmarkEnd w:id="1189"/>
      <w:bookmarkEnd w:id="1190"/>
    </w:p>
    <w:p w14:paraId="4BE754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发包人提供资金来源证明的期限要求：</w:t>
      </w:r>
      <w:r>
        <w:rPr>
          <w:rFonts w:hint="eastAsia" w:ascii="Times New Roman" w:hAnsi="Times New Roman"/>
          <w:b/>
          <w:bCs/>
          <w:color w:val="auto"/>
          <w:highlight w:val="none"/>
          <w:u w:val="single"/>
          <w:shd w:val="clear"/>
        </w:rPr>
        <w:t>合同签订后 30 日内</w:t>
      </w:r>
      <w:r>
        <w:rPr>
          <w:rFonts w:hint="eastAsia" w:ascii="Times New Roman" w:hAnsi="Times New Roman"/>
          <w:color w:val="auto"/>
          <w:highlight w:val="none"/>
          <w:shd w:val="clear"/>
        </w:rPr>
        <w:t>。</w:t>
      </w:r>
    </w:p>
    <w:p w14:paraId="04AD34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发包人是否提供支付担保：</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b/>
          <w:bCs/>
          <w:color w:val="auto"/>
          <w:highlight w:val="none"/>
          <w:u w:val="single"/>
          <w:shd w:val="clear"/>
        </w:rPr>
        <w:t>是</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1A6F8CB7">
      <w:pPr>
        <w:pStyle w:val="22"/>
        <w:ind w:firstLine="420"/>
        <w:rPr>
          <w:rFonts w:hint="eastAsia" w:ascii="Times New Roman" w:hAnsi="Times New Roman"/>
          <w:b/>
          <w:bCs/>
          <w:color w:val="auto"/>
          <w:highlight w:val="none"/>
          <w:u w:val="single"/>
          <w:shd w:val="clear"/>
        </w:rPr>
      </w:pPr>
      <w:r>
        <w:rPr>
          <w:rFonts w:hint="eastAsia" w:ascii="Times New Roman" w:hAnsi="Times New Roman"/>
          <w:color w:val="auto"/>
          <w:highlight w:val="none"/>
          <w:shd w:val="clear"/>
        </w:rPr>
        <w:t>发包人提供支付担保的形式：</w:t>
      </w:r>
      <w:r>
        <w:rPr>
          <w:rFonts w:hint="eastAsia" w:ascii="Times New Roman" w:hAnsi="Times New Roman"/>
          <w:b/>
          <w:bCs/>
          <w:color w:val="auto"/>
          <w:highlight w:val="none"/>
          <w:u w:val="single"/>
          <w:shd w:val="clear"/>
        </w:rPr>
        <w:t xml:space="preserve">银行保函、担保公司担保、第三方担保、保证保 </w:t>
      </w:r>
    </w:p>
    <w:p w14:paraId="03C158C0">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险等。</w:t>
      </w:r>
      <w:r>
        <w:rPr>
          <w:rFonts w:hint="eastAsia" w:ascii="Times New Roman" w:hAnsi="Times New Roman"/>
          <w:b/>
          <w:bCs/>
          <w:color w:val="auto"/>
          <w:highlight w:val="none"/>
          <w:u w:val="single"/>
          <w:shd w:val="clear"/>
          <w:lang w:eastAsia="zh-CN"/>
        </w:rPr>
        <w:t>（</w:t>
      </w:r>
      <w:r>
        <w:rPr>
          <w:rFonts w:hint="eastAsia" w:ascii="Times New Roman" w:hAnsi="Times New Roman"/>
          <w:b/>
          <w:bCs/>
          <w:color w:val="auto"/>
          <w:highlight w:val="none"/>
          <w:u w:val="single"/>
          <w:shd w:val="clear"/>
        </w:rPr>
        <w:t>注:政府投资项目可以提供有权部门出具的相应资金保障证明</w:t>
      </w:r>
      <w:r>
        <w:rPr>
          <w:rFonts w:hint="eastAsia" w:ascii="Times New Roman" w:hAnsi="Times New Roman"/>
          <w:b/>
          <w:bCs/>
          <w:color w:val="auto"/>
          <w:highlight w:val="none"/>
          <w:u w:val="single"/>
          <w:shd w:val="clear"/>
          <w:lang w:eastAsia="zh-CN"/>
        </w:rPr>
        <w:t>）</w:t>
      </w:r>
      <w:r>
        <w:rPr>
          <w:rFonts w:hint="eastAsia" w:ascii="Times New Roman" w:hAnsi="Times New Roman"/>
          <w:color w:val="auto"/>
          <w:highlight w:val="none"/>
          <w:shd w:val="clear"/>
        </w:rPr>
        <w:t>。</w:t>
      </w:r>
    </w:p>
    <w:p w14:paraId="2B7669BC">
      <w:pPr>
        <w:pStyle w:val="26"/>
        <w:rPr>
          <w:color w:val="auto"/>
          <w:highlight w:val="none"/>
          <w:shd w:val="clear"/>
        </w:rPr>
      </w:pPr>
      <w:bookmarkStart w:id="1191" w:name="_Toc351203635"/>
      <w:bookmarkStart w:id="1192" w:name="_Toc170805663"/>
      <w:bookmarkStart w:id="1193" w:name="_Toc170805283"/>
      <w:bookmarkStart w:id="1194" w:name="_Toc170804095"/>
      <w:r>
        <w:rPr>
          <w:rFonts w:hint="eastAsia"/>
          <w:color w:val="auto"/>
          <w:highlight w:val="none"/>
          <w:shd w:val="clear"/>
        </w:rPr>
        <w:t>3</w:t>
      </w:r>
      <w:bookmarkStart w:id="1195" w:name="_Toc296503158"/>
      <w:bookmarkStart w:id="1196" w:name="_Toc292559868"/>
      <w:bookmarkStart w:id="1197" w:name="_Toc296944497"/>
      <w:bookmarkStart w:id="1198" w:name="_Toc296346659"/>
      <w:bookmarkStart w:id="1199" w:name="_Toc296890986"/>
      <w:bookmarkStart w:id="1200" w:name="_Toc297120458"/>
      <w:bookmarkStart w:id="1201" w:name="_Toc292559363"/>
      <w:bookmarkStart w:id="1202" w:name="_Toc297048344"/>
      <w:bookmarkStart w:id="1203" w:name="_Toc296347157"/>
      <w:bookmarkStart w:id="1204" w:name="_Toc296891198"/>
      <w:r>
        <w:rPr>
          <w:rFonts w:hint="eastAsia"/>
          <w:color w:val="auto"/>
          <w:highlight w:val="none"/>
          <w:shd w:val="clear"/>
        </w:rPr>
        <w:t>.承包人</w:t>
      </w:r>
      <w:bookmarkEnd w:id="1191"/>
      <w:bookmarkEnd w:id="1192"/>
      <w:bookmarkEnd w:id="1193"/>
      <w:bookmarkEnd w:id="1194"/>
    </w:p>
    <w:bookmarkEnd w:id="1195"/>
    <w:bookmarkEnd w:id="1196"/>
    <w:bookmarkEnd w:id="1197"/>
    <w:bookmarkEnd w:id="1198"/>
    <w:bookmarkEnd w:id="1199"/>
    <w:bookmarkEnd w:id="1200"/>
    <w:bookmarkEnd w:id="1201"/>
    <w:bookmarkEnd w:id="1202"/>
    <w:bookmarkEnd w:id="1203"/>
    <w:bookmarkEnd w:id="1204"/>
    <w:p w14:paraId="78C31CAC">
      <w:pPr>
        <w:pStyle w:val="33"/>
        <w:rPr>
          <w:color w:val="auto"/>
          <w:highlight w:val="none"/>
          <w:shd w:val="clear"/>
        </w:rPr>
      </w:pPr>
      <w:bookmarkStart w:id="1205" w:name="_Toc170805284"/>
      <w:bookmarkStart w:id="1206" w:name="_Toc170805664"/>
      <w:bookmarkStart w:id="1207" w:name="_Toc170804096"/>
      <w:r>
        <w:rPr>
          <w:color w:val="auto"/>
          <w:highlight w:val="none"/>
          <w:shd w:val="clear"/>
        </w:rPr>
        <w:t>3.1 承包人的一般义务</w:t>
      </w:r>
      <w:bookmarkEnd w:id="1205"/>
      <w:bookmarkEnd w:id="1206"/>
      <w:bookmarkEnd w:id="1207"/>
    </w:p>
    <w:p w14:paraId="702FE85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（9）承包人提交的竣工资料的内容：</w:t>
      </w:r>
      <w:r>
        <w:rPr>
          <w:rFonts w:hint="eastAsia" w:ascii="Times New Roman" w:hAnsi="Times New Roman"/>
          <w:b/>
          <w:bCs/>
          <w:color w:val="auto"/>
          <w:highlight w:val="none"/>
          <w:u w:val="single"/>
          <w:shd w:val="clear"/>
        </w:rPr>
        <w:t>执行国家相关标准、规范的规定</w:t>
      </w:r>
      <w:r>
        <w:rPr>
          <w:rFonts w:hint="eastAsia" w:ascii="Times New Roman" w:hAnsi="Times New Roman"/>
          <w:color w:val="auto"/>
          <w:highlight w:val="none"/>
          <w:shd w:val="clear"/>
        </w:rPr>
        <w:t>。</w:t>
      </w:r>
    </w:p>
    <w:p w14:paraId="78F16D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承包人需要提交的竣工资料套数：</w:t>
      </w:r>
      <w:r>
        <w:rPr>
          <w:rFonts w:hint="eastAsia" w:ascii="Times New Roman" w:hAnsi="Times New Roman"/>
          <w:b/>
          <w:bCs/>
          <w:color w:val="auto"/>
          <w:highlight w:val="none"/>
          <w:u w:val="single"/>
          <w:shd w:val="clear"/>
        </w:rPr>
        <w:t>执行国家相关标准、规范的规定并满足实际验收需要</w:t>
      </w:r>
      <w:r>
        <w:rPr>
          <w:rFonts w:hint="eastAsia" w:ascii="Times New Roman" w:hAnsi="Times New Roman"/>
          <w:color w:val="auto"/>
          <w:highlight w:val="none"/>
          <w:shd w:val="clear"/>
        </w:rPr>
        <w:t>。</w:t>
      </w:r>
    </w:p>
    <w:p w14:paraId="6103D41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承包人提交的竣工资料的费用承担：</w:t>
      </w:r>
      <w:r>
        <w:rPr>
          <w:rFonts w:hint="eastAsia" w:ascii="Times New Roman" w:hAnsi="Times New Roman"/>
          <w:b/>
          <w:bCs/>
          <w:color w:val="auto"/>
          <w:highlight w:val="none"/>
          <w:u w:val="single"/>
          <w:shd w:val="clear"/>
        </w:rPr>
        <w:t>所需费用已包含在投标报价中</w:t>
      </w:r>
      <w:r>
        <w:rPr>
          <w:rFonts w:hint="eastAsia" w:ascii="Times New Roman" w:hAnsi="Times New Roman"/>
          <w:color w:val="auto"/>
          <w:highlight w:val="none"/>
          <w:shd w:val="clear"/>
        </w:rPr>
        <w:t>。</w:t>
      </w:r>
    </w:p>
    <w:p w14:paraId="6AEC86E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承包人提交的竣工资料移交时间：</w:t>
      </w:r>
      <w:r>
        <w:rPr>
          <w:rFonts w:hint="eastAsia" w:ascii="Times New Roman" w:hAnsi="Times New Roman"/>
          <w:b/>
          <w:bCs/>
          <w:color w:val="auto"/>
          <w:highlight w:val="none"/>
          <w:u w:val="single"/>
          <w:shd w:val="clear"/>
        </w:rPr>
        <w:t>执行国家相关标准、规范的规定并满足发包人实际需要</w:t>
      </w:r>
      <w:r>
        <w:rPr>
          <w:rFonts w:hint="eastAsia" w:ascii="Times New Roman" w:hAnsi="Times New Roman"/>
          <w:color w:val="auto"/>
          <w:highlight w:val="none"/>
          <w:shd w:val="clear"/>
        </w:rPr>
        <w:t>。</w:t>
      </w:r>
    </w:p>
    <w:p w14:paraId="0EFFC16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承包人提交的竣工资料形式要求：</w:t>
      </w:r>
      <w:r>
        <w:rPr>
          <w:rFonts w:hint="eastAsia" w:ascii="Times New Roman" w:hAnsi="Times New Roman"/>
          <w:b/>
          <w:bCs/>
          <w:color w:val="auto"/>
          <w:highlight w:val="none"/>
          <w:u w:val="single"/>
          <w:shd w:val="clear"/>
        </w:rPr>
        <w:t>书面形式，具备电子资料条件的，同时提供电子资料</w:t>
      </w:r>
      <w:r>
        <w:rPr>
          <w:rFonts w:hint="eastAsia" w:ascii="Times New Roman" w:hAnsi="Times New Roman"/>
          <w:color w:val="auto"/>
          <w:highlight w:val="none"/>
          <w:shd w:val="clear"/>
        </w:rPr>
        <w:t>。</w:t>
      </w:r>
    </w:p>
    <w:p w14:paraId="7780F75B">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（10）承包人应履行的其他义务：</w:t>
      </w:r>
    </w:p>
    <w:p w14:paraId="6119E0A7">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1）负责按时开工建设。</w:t>
      </w:r>
    </w:p>
    <w:p w14:paraId="45800642">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2）负责施工生产、建设质量、施工安全、工程进度的管理，并承担相应的责任。</w:t>
      </w:r>
    </w:p>
    <w:p w14:paraId="0C0CC2F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3）负责工程款内部计量支付工作。</w:t>
      </w:r>
    </w:p>
    <w:p w14:paraId="06C0846B">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4）接受发包人对施工建设的监督管理。</w:t>
      </w:r>
    </w:p>
    <w:p w14:paraId="7AD3E64C">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5）负责与工程相关保险的办理、支付和理赔。</w:t>
      </w:r>
    </w:p>
    <w:p w14:paraId="65275CD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6）要保证农民工工资及时支付，并承担因拖延支付引起的一切责任。</w:t>
      </w:r>
    </w:p>
    <w:p w14:paraId="3D8CBCBD">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7）负责本项目的质量保修期内的维修。</w:t>
      </w:r>
    </w:p>
    <w:p w14:paraId="25965777">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8）协助发包人办理开工建设所需的合法手续。</w:t>
      </w:r>
    </w:p>
    <w:p w14:paraId="6C139FD7">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9）负责及时办理审计工作的相关事项。</w:t>
      </w:r>
    </w:p>
    <w:p w14:paraId="1A32A635">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10)对发包人进行必要的人员培训、移交资料、维保、售后服务等一切工作；</w:t>
      </w:r>
    </w:p>
    <w:p w14:paraId="6B3AEDDF">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11)向发包人提供与所供设备相符的技术资料，如样本、图纸、操作手册、使用说明、维修指南或服务手册等，并提供设备组装和维修所需的专用工具和辅助材料。</w:t>
      </w:r>
    </w:p>
    <w:p w14:paraId="3F6FED0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12) 在竣工验收前按监理单位书面通知的要求，拆除、清运承包人的临时设施及承包人产生的建筑垃圾，并承担相应费用。竣工移交前现场清理应达到有关规定要求，若整改后仍不能满足要求，发包人可另行委托处理，发生费用由承包人承担。</w:t>
      </w:r>
    </w:p>
    <w:p w14:paraId="6E53BDF0">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13）在其他专业安装施工期间，承包人须安排专人在现场负责解决与其他专业交叉施工有可能出现的问题，做好协调配合工作。</w:t>
      </w:r>
    </w:p>
    <w:p w14:paraId="6DFE93C8">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14）负责完成本合同约定承包人应做的其他工作。</w:t>
      </w:r>
    </w:p>
    <w:p w14:paraId="04AC6252">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15）负责各项验收专家费用及其他一切费用。</w:t>
      </w:r>
    </w:p>
    <w:p w14:paraId="70BCA4B8">
      <w:pPr>
        <w:pStyle w:val="22"/>
        <w:ind w:firstLine="420"/>
        <w:rPr>
          <w:rFonts w:hint="default" w:ascii="Times New Roman" w:hAnsi="Times New Roman" w:eastAsia="宋体"/>
          <w:b/>
          <w:bCs/>
          <w:color w:val="auto"/>
          <w:highlight w:val="none"/>
          <w:u w:val="single"/>
          <w:shd w:val="clear"/>
          <w:lang w:val="en-US" w:eastAsia="zh-CN"/>
        </w:rPr>
      </w:pPr>
      <w:r>
        <w:rPr>
          <w:rFonts w:hint="eastAsia" w:ascii="Times New Roman" w:hAnsi="Times New Roman"/>
          <w:b/>
          <w:bCs/>
          <w:color w:val="auto"/>
          <w:highlight w:val="none"/>
          <w:u w:val="single"/>
          <w:shd w:val="clear"/>
          <w:lang w:val="en-US" w:eastAsia="zh-CN"/>
        </w:rPr>
        <w:t>16）承包人承诺足额按时支付农民工工资，如有拖欠同意由承包人核实，并认可承包人在应付而未付的款项范围内优先给付农民工，发包人所给付的款项从应付款中予以扣除。</w:t>
      </w:r>
    </w:p>
    <w:p w14:paraId="64449098">
      <w:pPr>
        <w:pStyle w:val="33"/>
        <w:rPr>
          <w:color w:val="auto"/>
          <w:highlight w:val="none"/>
          <w:shd w:val="clear"/>
        </w:rPr>
      </w:pPr>
      <w:bookmarkStart w:id="1208" w:name="_Toc170805285"/>
      <w:bookmarkStart w:id="1209" w:name="_Toc170805665"/>
      <w:bookmarkStart w:id="1210" w:name="_Toc170804097"/>
      <w:r>
        <w:rPr>
          <w:color w:val="auto"/>
          <w:highlight w:val="none"/>
          <w:shd w:val="clear"/>
        </w:rPr>
        <w:t>3.2 项目经理</w:t>
      </w:r>
      <w:bookmarkEnd w:id="1208"/>
      <w:bookmarkEnd w:id="1209"/>
      <w:bookmarkEnd w:id="1210"/>
    </w:p>
    <w:p w14:paraId="356C08E3">
      <w:pPr>
        <w:spacing w:line="360" w:lineRule="auto"/>
        <w:ind w:firstLine="400" w:firstLineChars="200"/>
        <w:rPr>
          <w:rFonts w:ascii="Times New Roman" w:hAnsi="Times New Roman"/>
          <w:snapToGrid w:val="0"/>
          <w:color w:val="auto"/>
          <w:kern w:val="0"/>
          <w:sz w:val="20"/>
          <w:szCs w:val="20"/>
          <w:highlight w:val="none"/>
          <w:shd w:val="clear"/>
        </w:rPr>
      </w:pPr>
      <w:r>
        <w:rPr>
          <w:rFonts w:hint="eastAsia" w:ascii="Times New Roman" w:hAnsi="Times New Roman"/>
          <w:snapToGrid w:val="0"/>
          <w:color w:val="auto"/>
          <w:kern w:val="0"/>
          <w:sz w:val="20"/>
          <w:szCs w:val="20"/>
          <w:highlight w:val="none"/>
          <w:shd w:val="clear"/>
        </w:rPr>
        <w:t>3.2.1 项目经理：</w:t>
      </w:r>
    </w:p>
    <w:p w14:paraId="0C9DB5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姓    名：</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19356D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身份证号：</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31C5496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建造师执业资格等级：</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789CAC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建造师注册证书号：</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2D8A40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建造师执业印章号：</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2BCB73D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安全生产考核合格证书号：</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3727622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联系电话：</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7CEE7A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电子信箱：</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63E0F02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通信地址：</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476AF6F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承包人对项目经理的授权范围如下：</w:t>
      </w:r>
      <w:r>
        <w:rPr>
          <w:rFonts w:hint="eastAsia" w:ascii="Times New Roman" w:hAnsi="Times New Roman"/>
          <w:b/>
          <w:bCs/>
          <w:color w:val="auto"/>
          <w:highlight w:val="none"/>
          <w:u w:val="single"/>
          <w:shd w:val="clear"/>
        </w:rPr>
        <w:t>负责施工组织；现场技术、安全、质量、进度管理；变更签证、验收和结（决）算；资料整理、收集、归档、管理、移交等</w:t>
      </w:r>
      <w:r>
        <w:rPr>
          <w:rFonts w:hint="eastAsia" w:ascii="Times New Roman" w:hAnsi="Times New Roman"/>
          <w:color w:val="auto"/>
          <w:highlight w:val="none"/>
          <w:shd w:val="clear"/>
        </w:rPr>
        <w:t>。</w:t>
      </w:r>
    </w:p>
    <w:p w14:paraId="6D905A6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关于项目经理每月在施工现场的时间要求：</w:t>
      </w:r>
      <w:r>
        <w:rPr>
          <w:rFonts w:hint="eastAsia" w:ascii="Times New Roman" w:hAnsi="Times New Roman"/>
          <w:b/>
          <w:bCs/>
          <w:color w:val="auto"/>
          <w:highlight w:val="none"/>
          <w:u w:val="single"/>
          <w:shd w:val="clear"/>
        </w:rPr>
        <w:t>每月不少于22天</w:t>
      </w:r>
      <w:r>
        <w:rPr>
          <w:rFonts w:hint="eastAsia" w:ascii="Times New Roman" w:hAnsi="Times New Roman"/>
          <w:color w:val="auto"/>
          <w:highlight w:val="none"/>
          <w:shd w:val="clear"/>
        </w:rPr>
        <w:t>。</w:t>
      </w:r>
    </w:p>
    <w:p w14:paraId="55E946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承包人未提交劳动合同，以及没有为项目经理缴纳社会保险证明的违约责任：</w:t>
      </w:r>
      <w:r>
        <w:rPr>
          <w:rFonts w:hint="eastAsia" w:ascii="Times New Roman" w:hAnsi="Times New Roman"/>
          <w:b/>
          <w:bCs/>
          <w:color w:val="auto"/>
          <w:highlight w:val="none"/>
          <w:u w:val="single"/>
          <w:shd w:val="clear"/>
        </w:rPr>
        <w:t>责令限期提交劳动合同，补缴社会保险并承担2万元每人次违约金。</w:t>
      </w:r>
    </w:p>
    <w:p w14:paraId="713C23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项目经理未经批准，擅自离开施工现场的违约责任：</w:t>
      </w:r>
      <w:r>
        <w:rPr>
          <w:rFonts w:hint="eastAsia" w:ascii="Times New Roman" w:hAnsi="Times New Roman"/>
          <w:b/>
          <w:bCs/>
          <w:color w:val="auto"/>
          <w:highlight w:val="none"/>
          <w:u w:val="single"/>
          <w:shd w:val="clear"/>
        </w:rPr>
        <w:t>未经</w:t>
      </w:r>
      <w:r>
        <w:rPr>
          <w:rFonts w:hint="eastAsia" w:ascii="Times New Roman" w:hAnsi="Times New Roman"/>
          <w:b/>
          <w:bCs/>
          <w:color w:val="auto"/>
          <w:highlight w:val="none"/>
          <w:u w:val="single"/>
          <w:shd w:val="clear"/>
          <w:lang w:val="en-US" w:eastAsia="zh-CN"/>
        </w:rPr>
        <w:t>发包</w:t>
      </w:r>
      <w:r>
        <w:rPr>
          <w:rFonts w:hint="eastAsia" w:ascii="Times New Roman" w:hAnsi="Times New Roman"/>
          <w:b/>
          <w:bCs/>
          <w:color w:val="auto"/>
          <w:highlight w:val="none"/>
          <w:u w:val="single"/>
          <w:shd w:val="clear"/>
        </w:rPr>
        <w:t>人批准，项目经理擅自离开工地现场，课以承包人</w:t>
      </w:r>
      <w:r>
        <w:rPr>
          <w:rFonts w:hint="eastAsia" w:ascii="Times New Roman" w:hAnsi="Times New Roman"/>
          <w:b/>
          <w:bCs/>
          <w:color w:val="auto"/>
          <w:highlight w:val="none"/>
          <w:u w:val="single"/>
          <w:shd w:val="clear"/>
          <w:lang w:val="en-US" w:eastAsia="zh-CN"/>
        </w:rPr>
        <w:t>10</w:t>
      </w:r>
      <w:r>
        <w:rPr>
          <w:rFonts w:hint="eastAsia" w:ascii="Times New Roman" w:hAnsi="Times New Roman"/>
          <w:b/>
          <w:bCs/>
          <w:color w:val="auto"/>
          <w:highlight w:val="none"/>
          <w:u w:val="single"/>
          <w:shd w:val="clear"/>
        </w:rPr>
        <w:t>000元/人·天的违约金；累计离开达到14天的，发包人有权解除合同，由此产生的一切责任与费用由承包人承担。发包人可于工程款支付中直接扣除违约金</w:t>
      </w:r>
      <w:r>
        <w:rPr>
          <w:rFonts w:hint="eastAsia" w:ascii="Times New Roman" w:hAnsi="Times New Roman"/>
          <w:color w:val="auto"/>
          <w:highlight w:val="none"/>
          <w:shd w:val="clear"/>
        </w:rPr>
        <w:t>。</w:t>
      </w:r>
    </w:p>
    <w:p w14:paraId="2B1CE40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3.2.3 承包人擅自更换项目经理的违约责任：</w:t>
      </w:r>
      <w:r>
        <w:rPr>
          <w:rFonts w:hint="eastAsia" w:ascii="Times New Roman" w:hAnsi="Times New Roman"/>
          <w:b/>
          <w:bCs/>
          <w:color w:val="auto"/>
          <w:highlight w:val="none"/>
          <w:u w:val="single"/>
          <w:shd w:val="clear"/>
        </w:rPr>
        <w:t>承包人未经发包人同意擅自更换项目经理的，承包人应向发包人支付10万元</w:t>
      </w:r>
      <w:r>
        <w:rPr>
          <w:rFonts w:hint="eastAsia" w:ascii="Times New Roman" w:hAnsi="Times New Roman"/>
          <w:b/>
          <w:bCs/>
          <w:color w:val="auto"/>
          <w:highlight w:val="none"/>
          <w:u w:val="single"/>
          <w:shd w:val="clear"/>
          <w:lang w:val="en-US" w:eastAsia="zh-CN"/>
        </w:rPr>
        <w:t>/次</w:t>
      </w:r>
      <w:r>
        <w:rPr>
          <w:rFonts w:hint="eastAsia" w:ascii="Times New Roman" w:hAnsi="Times New Roman"/>
          <w:b/>
          <w:bCs/>
          <w:color w:val="auto"/>
          <w:highlight w:val="none"/>
          <w:u w:val="single"/>
          <w:shd w:val="clear"/>
        </w:rPr>
        <w:t>违约金，发包人可于工程款支付中直接扣除违约金</w:t>
      </w:r>
      <w:r>
        <w:rPr>
          <w:rFonts w:hint="eastAsia" w:ascii="Times New Roman" w:hAnsi="Times New Roman"/>
          <w:color w:val="auto"/>
          <w:highlight w:val="none"/>
          <w:shd w:val="clear"/>
        </w:rPr>
        <w:t>。</w:t>
      </w:r>
    </w:p>
    <w:p w14:paraId="0E6408F5">
      <w:pPr>
        <w:pStyle w:val="22"/>
        <w:ind w:firstLine="420"/>
        <w:rPr>
          <w:rFonts w:ascii="Times New Roman" w:hAnsi="Times New Roman"/>
          <w:color w:val="auto"/>
          <w:highlight w:val="none"/>
          <w:shd w:val="clear"/>
        </w:rPr>
      </w:pPr>
      <w:bookmarkStart w:id="1211" w:name="_Toc170804098"/>
      <w:bookmarkStart w:id="1212" w:name="_Toc170805286"/>
      <w:bookmarkStart w:id="1213" w:name="_Toc170805666"/>
      <w:r>
        <w:rPr>
          <w:rFonts w:hint="eastAsia" w:ascii="Times New Roman" w:hAnsi="Times New Roman"/>
          <w:color w:val="auto"/>
          <w:highlight w:val="none"/>
          <w:shd w:val="clear"/>
        </w:rPr>
        <w:t>3.2.4 承包人无正当理由拒绝更换项目经理的违约责任：</w:t>
      </w:r>
      <w:r>
        <w:rPr>
          <w:rFonts w:hint="eastAsia" w:ascii="Times New Roman" w:hAnsi="Times New Roman"/>
          <w:b/>
          <w:bCs/>
          <w:color w:val="auto"/>
          <w:highlight w:val="none"/>
          <w:u w:val="single"/>
          <w:shd w:val="clear"/>
        </w:rPr>
        <w:t>承包人无正当理由拒绝更换项目经理，承包人应向发包人支付10万元</w:t>
      </w:r>
      <w:r>
        <w:rPr>
          <w:rFonts w:hint="eastAsia" w:ascii="Times New Roman" w:hAnsi="Times New Roman"/>
          <w:b/>
          <w:bCs/>
          <w:color w:val="auto"/>
          <w:highlight w:val="none"/>
          <w:u w:val="single"/>
          <w:shd w:val="clear"/>
          <w:lang w:val="en-US" w:eastAsia="zh-CN"/>
        </w:rPr>
        <w:t>/次</w:t>
      </w:r>
      <w:r>
        <w:rPr>
          <w:rFonts w:hint="eastAsia" w:ascii="Times New Roman" w:hAnsi="Times New Roman"/>
          <w:b/>
          <w:bCs/>
          <w:color w:val="auto"/>
          <w:highlight w:val="none"/>
          <w:u w:val="single"/>
          <w:shd w:val="clear"/>
        </w:rPr>
        <w:t>违约金，发包人可于工程款支付中直接扣除违约金</w:t>
      </w:r>
      <w:r>
        <w:rPr>
          <w:rFonts w:hint="eastAsia" w:ascii="Times New Roman" w:hAnsi="Times New Roman"/>
          <w:color w:val="auto"/>
          <w:highlight w:val="none"/>
          <w:shd w:val="clear"/>
        </w:rPr>
        <w:t>。</w:t>
      </w:r>
      <w:bookmarkEnd w:id="1211"/>
      <w:bookmarkEnd w:id="1212"/>
      <w:bookmarkEnd w:id="1213"/>
    </w:p>
    <w:p w14:paraId="2EB84585">
      <w:pPr>
        <w:pStyle w:val="33"/>
        <w:rPr>
          <w:color w:val="auto"/>
          <w:highlight w:val="none"/>
          <w:shd w:val="clear"/>
        </w:rPr>
      </w:pPr>
      <w:bookmarkStart w:id="1214" w:name="_Toc170805287"/>
      <w:bookmarkStart w:id="1215" w:name="_Toc170805667"/>
      <w:bookmarkStart w:id="1216" w:name="_Toc170804099"/>
      <w:r>
        <w:rPr>
          <w:color w:val="auto"/>
          <w:highlight w:val="none"/>
          <w:shd w:val="clear"/>
        </w:rPr>
        <w:t>3.3 承包人人员</w:t>
      </w:r>
      <w:bookmarkEnd w:id="1214"/>
      <w:bookmarkEnd w:id="1215"/>
      <w:bookmarkEnd w:id="1216"/>
    </w:p>
    <w:p w14:paraId="6E4FC0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3.3.1 承包人提交项目管理机构及施工现场管理人员安排报告的期限：</w:t>
      </w:r>
      <w:r>
        <w:rPr>
          <w:rFonts w:hint="eastAsia" w:ascii="Times New Roman" w:hAnsi="Times New Roman"/>
          <w:b/>
          <w:bCs/>
          <w:color w:val="auto"/>
          <w:highlight w:val="none"/>
          <w:u w:val="single"/>
          <w:shd w:val="clear"/>
        </w:rPr>
        <w:t>开工前</w:t>
      </w:r>
      <w:r>
        <w:rPr>
          <w:rFonts w:hint="eastAsia" w:ascii="Times New Roman" w:hAnsi="Times New Roman"/>
          <w:b/>
          <w:bCs/>
          <w:color w:val="auto"/>
          <w:highlight w:val="none"/>
          <w:u w:val="single"/>
          <w:shd w:val="clear"/>
          <w:lang w:val="en-US" w:eastAsia="zh-CN"/>
        </w:rPr>
        <w:t>7</w:t>
      </w:r>
      <w:r>
        <w:rPr>
          <w:rFonts w:hint="eastAsia" w:ascii="Times New Roman" w:hAnsi="Times New Roman"/>
          <w:b/>
          <w:bCs/>
          <w:color w:val="auto"/>
          <w:highlight w:val="none"/>
          <w:u w:val="single"/>
          <w:shd w:val="clear"/>
        </w:rPr>
        <w:t>天。</w:t>
      </w:r>
    </w:p>
    <w:p w14:paraId="481B4132">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3.3.3 承包人无正当理由拒绝撤换主要施工管理人员的违约责任：</w:t>
      </w:r>
      <w:r>
        <w:rPr>
          <w:rFonts w:hint="eastAsia" w:ascii="Times New Roman" w:hAnsi="Times New Roman"/>
          <w:b/>
          <w:bCs/>
          <w:color w:val="auto"/>
          <w:highlight w:val="none"/>
          <w:u w:val="single"/>
          <w:shd w:val="clear"/>
        </w:rPr>
        <w:t>承包人无正当理由拒绝撤换主要施工管理人员的，承包人应向发包人支付</w:t>
      </w:r>
      <w:r>
        <w:rPr>
          <w:rFonts w:hint="eastAsia" w:ascii="Times New Roman" w:hAnsi="Times New Roman"/>
          <w:b/>
          <w:bCs/>
          <w:color w:val="auto"/>
          <w:highlight w:val="none"/>
          <w:u w:val="single"/>
          <w:shd w:val="clear"/>
          <w:lang w:val="en-US" w:eastAsia="zh-CN"/>
        </w:rPr>
        <w:t>5</w:t>
      </w:r>
      <w:r>
        <w:rPr>
          <w:rFonts w:hint="eastAsia" w:ascii="Times New Roman" w:hAnsi="Times New Roman"/>
          <w:b/>
          <w:bCs/>
          <w:color w:val="auto"/>
          <w:highlight w:val="none"/>
          <w:u w:val="single"/>
          <w:shd w:val="clear"/>
        </w:rPr>
        <w:t>万元/人违约金，发包人可于工程款支付中直接扣除违约金</w:t>
      </w:r>
      <w:r>
        <w:rPr>
          <w:rFonts w:hint="eastAsia" w:ascii="Times New Roman" w:hAnsi="Times New Roman"/>
          <w:color w:val="auto"/>
          <w:highlight w:val="none"/>
          <w:shd w:val="clear"/>
        </w:rPr>
        <w:t>。</w:t>
      </w:r>
    </w:p>
    <w:p w14:paraId="4505BC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3.3.4 承包人主要施工管理人员离开施工现场的批准要求： </w:t>
      </w:r>
      <w:r>
        <w:rPr>
          <w:rFonts w:hint="eastAsia" w:ascii="Times New Roman" w:hAnsi="Times New Roman"/>
          <w:b/>
          <w:bCs/>
          <w:color w:val="auto"/>
          <w:highlight w:val="none"/>
          <w:u w:val="single"/>
          <w:shd w:val="clear"/>
        </w:rPr>
        <w:t>须经过发包人同意</w:t>
      </w:r>
      <w:r>
        <w:rPr>
          <w:rFonts w:hint="eastAsia" w:ascii="Times New Roman" w:hAnsi="Times New Roman"/>
          <w:color w:val="auto"/>
          <w:highlight w:val="none"/>
          <w:shd w:val="clear"/>
        </w:rPr>
        <w:t>。</w:t>
      </w:r>
    </w:p>
    <w:p w14:paraId="082D97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3.3.5承包人擅自更换主要施工管理人员的违约责任：</w:t>
      </w:r>
      <w:r>
        <w:rPr>
          <w:rFonts w:hint="eastAsia" w:ascii="Times New Roman" w:hAnsi="Times New Roman"/>
          <w:b/>
          <w:bCs/>
          <w:color w:val="auto"/>
          <w:highlight w:val="none"/>
          <w:u w:val="single"/>
          <w:shd w:val="clear"/>
        </w:rPr>
        <w:t>承包人未经发包人同意擅自更换主要施工管理人员的，承包人应向发包人支付</w:t>
      </w:r>
      <w:r>
        <w:rPr>
          <w:rFonts w:hint="eastAsia" w:ascii="Times New Roman" w:hAnsi="Times New Roman"/>
          <w:b/>
          <w:bCs/>
          <w:color w:val="auto"/>
          <w:highlight w:val="none"/>
          <w:u w:val="single"/>
          <w:shd w:val="clear"/>
          <w:lang w:val="en-US" w:eastAsia="zh-CN"/>
        </w:rPr>
        <w:t>5</w:t>
      </w:r>
      <w:r>
        <w:rPr>
          <w:rFonts w:hint="eastAsia" w:ascii="Times New Roman" w:hAnsi="Times New Roman"/>
          <w:b/>
          <w:bCs/>
          <w:color w:val="auto"/>
          <w:highlight w:val="none"/>
          <w:u w:val="single"/>
          <w:shd w:val="clear"/>
        </w:rPr>
        <w:t>万元/人·次违约金，发包人可于工程款支付中直接扣除违约金。</w:t>
      </w:r>
    </w:p>
    <w:p w14:paraId="58116E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承包人主要施工管理人员擅自离开施工现场的违约责任：</w:t>
      </w:r>
      <w:r>
        <w:rPr>
          <w:rFonts w:hint="eastAsia" w:ascii="Times New Roman" w:hAnsi="Times New Roman"/>
          <w:b/>
          <w:bCs/>
          <w:color w:val="auto"/>
          <w:highlight w:val="none"/>
          <w:u w:val="single"/>
          <w:shd w:val="clear"/>
        </w:rPr>
        <w:t>未经发包人批准，</w:t>
      </w:r>
      <w:r>
        <w:rPr>
          <w:rFonts w:hint="eastAsia" w:ascii="Times New Roman" w:hAnsi="Times New Roman"/>
          <w:b/>
          <w:bCs/>
          <w:color w:val="auto"/>
          <w:highlight w:val="none"/>
          <w:u w:val="single"/>
          <w:shd w:val="clear"/>
          <w:lang w:val="en-US" w:eastAsia="zh-CN"/>
        </w:rPr>
        <w:t>技术负责人</w:t>
      </w:r>
      <w:r>
        <w:rPr>
          <w:rFonts w:hint="eastAsia" w:ascii="Times New Roman" w:hAnsi="Times New Roman"/>
          <w:b/>
          <w:bCs/>
          <w:color w:val="auto"/>
          <w:highlight w:val="none"/>
          <w:u w:val="single"/>
          <w:shd w:val="clear"/>
        </w:rPr>
        <w:t xml:space="preserve">擅自离开工地现场承包人应向发包人支付 </w:t>
      </w:r>
      <w:r>
        <w:rPr>
          <w:rFonts w:hint="eastAsia" w:ascii="Times New Roman" w:hAnsi="Times New Roman"/>
          <w:b/>
          <w:bCs/>
          <w:color w:val="auto"/>
          <w:highlight w:val="none"/>
          <w:u w:val="single"/>
          <w:shd w:val="clear"/>
          <w:lang w:val="en-US" w:eastAsia="zh-CN"/>
        </w:rPr>
        <w:t>10</w:t>
      </w:r>
      <w:r>
        <w:rPr>
          <w:rFonts w:hint="eastAsia" w:ascii="Times New Roman" w:hAnsi="Times New Roman"/>
          <w:b/>
          <w:bCs/>
          <w:color w:val="auto"/>
          <w:highlight w:val="none"/>
          <w:u w:val="single"/>
          <w:shd w:val="clear"/>
        </w:rPr>
        <w:t>000元/人·天违约金</w:t>
      </w:r>
      <w:r>
        <w:rPr>
          <w:rFonts w:hint="eastAsia" w:ascii="Times New Roman" w:hAnsi="Times New Roman"/>
          <w:b/>
          <w:bCs/>
          <w:color w:val="auto"/>
          <w:highlight w:val="none"/>
          <w:u w:val="single"/>
          <w:shd w:val="clear"/>
          <w:lang w:eastAsia="zh-CN"/>
        </w:rPr>
        <w:t>，</w:t>
      </w:r>
      <w:r>
        <w:rPr>
          <w:rFonts w:hint="eastAsia" w:ascii="Times New Roman" w:hAnsi="Times New Roman"/>
          <w:b/>
          <w:bCs/>
          <w:color w:val="auto"/>
          <w:highlight w:val="none"/>
          <w:u w:val="single"/>
          <w:shd w:val="clear"/>
          <w:lang w:val="en-US" w:eastAsia="zh-CN"/>
        </w:rPr>
        <w:t>其他</w:t>
      </w:r>
      <w:r>
        <w:rPr>
          <w:rFonts w:hint="eastAsia" w:ascii="Times New Roman" w:hAnsi="Times New Roman"/>
          <w:b/>
          <w:bCs/>
          <w:color w:val="auto"/>
          <w:highlight w:val="none"/>
          <w:u w:val="single"/>
          <w:shd w:val="clear"/>
        </w:rPr>
        <w:t>主要施工管理人员</w:t>
      </w:r>
      <w:r>
        <w:rPr>
          <w:rFonts w:hint="eastAsia" w:ascii="Times New Roman" w:hAnsi="Times New Roman"/>
          <w:b/>
          <w:bCs/>
          <w:color w:val="auto"/>
          <w:highlight w:val="none"/>
          <w:u w:val="single"/>
          <w:shd w:val="clear"/>
        </w:rPr>
        <w:t xml:space="preserve">擅自离开工地现场承包人应向发包人支付 </w:t>
      </w:r>
      <w:r>
        <w:rPr>
          <w:rFonts w:hint="eastAsia" w:ascii="Times New Roman" w:hAnsi="Times New Roman"/>
          <w:b/>
          <w:bCs/>
          <w:color w:val="auto"/>
          <w:highlight w:val="none"/>
          <w:u w:val="single"/>
          <w:shd w:val="clear"/>
          <w:lang w:val="en-US" w:eastAsia="zh-CN"/>
        </w:rPr>
        <w:t>2</w:t>
      </w:r>
      <w:r>
        <w:rPr>
          <w:rFonts w:hint="eastAsia" w:ascii="Times New Roman" w:hAnsi="Times New Roman"/>
          <w:b/>
          <w:bCs/>
          <w:color w:val="auto"/>
          <w:highlight w:val="none"/>
          <w:u w:val="single"/>
          <w:shd w:val="clear"/>
        </w:rPr>
        <w:t>000元/人·天违约金，情节严重的，发包人有权解除合同，由此产生的一切责任与费用由承包人承担。发包人可于工程款支付中直接扣除违约金</w:t>
      </w:r>
      <w:r>
        <w:rPr>
          <w:rFonts w:hint="eastAsia" w:ascii="Times New Roman" w:hAnsi="Times New Roman"/>
          <w:color w:val="auto"/>
          <w:highlight w:val="none"/>
          <w:shd w:val="clear"/>
        </w:rPr>
        <w:t>。</w:t>
      </w:r>
    </w:p>
    <w:p w14:paraId="2FB82B8A">
      <w:pPr>
        <w:pStyle w:val="33"/>
        <w:rPr>
          <w:color w:val="auto"/>
          <w:highlight w:val="none"/>
          <w:shd w:val="clear"/>
        </w:rPr>
      </w:pPr>
      <w:bookmarkStart w:id="1217" w:name="_Toc170804100"/>
      <w:bookmarkStart w:id="1218" w:name="_Toc170805288"/>
      <w:bookmarkStart w:id="1219" w:name="_Toc170805668"/>
      <w:r>
        <w:rPr>
          <w:color w:val="auto"/>
          <w:highlight w:val="none"/>
          <w:shd w:val="clear"/>
        </w:rPr>
        <w:t>3</w:t>
      </w:r>
      <w:bookmarkStart w:id="1220" w:name="_Toc297048345"/>
      <w:bookmarkStart w:id="1221" w:name="_Toc296347158"/>
      <w:bookmarkStart w:id="1222" w:name="_Toc297120459"/>
      <w:bookmarkStart w:id="1223" w:name="_Toc296944498"/>
      <w:bookmarkStart w:id="1224" w:name="_Toc296890987"/>
      <w:bookmarkStart w:id="1225" w:name="_Toc292559869"/>
      <w:bookmarkStart w:id="1226" w:name="_Toc312677988"/>
      <w:bookmarkStart w:id="1227" w:name="_Toc300934945"/>
      <w:bookmarkStart w:id="1228" w:name="_Toc296503159"/>
      <w:bookmarkStart w:id="1229" w:name="_Toc297216151"/>
      <w:bookmarkStart w:id="1230" w:name="_Toc292559364"/>
      <w:bookmarkStart w:id="1231" w:name="_Toc303539102"/>
      <w:bookmarkStart w:id="1232" w:name="_Toc304295523"/>
      <w:bookmarkStart w:id="1233" w:name="_Toc297123492"/>
      <w:bookmarkStart w:id="1234" w:name="_Toc296346660"/>
      <w:bookmarkStart w:id="1235" w:name="_Toc296891199"/>
      <w:r>
        <w:rPr>
          <w:color w:val="auto"/>
          <w:highlight w:val="none"/>
          <w:shd w:val="clear"/>
        </w:rPr>
        <w:t>.5 分包</w:t>
      </w:r>
      <w:bookmarkEnd w:id="1217"/>
      <w:bookmarkEnd w:id="1218"/>
      <w:bookmarkEnd w:id="1219"/>
    </w:p>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14:paraId="476B0A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w:t>
      </w:r>
      <w:bookmarkStart w:id="1236" w:name="_Toc297123493"/>
      <w:bookmarkStart w:id="1237" w:name="_Toc296890988"/>
      <w:bookmarkStart w:id="1238" w:name="_Toc300934946"/>
      <w:bookmarkStart w:id="1239" w:name="_Toc296347159"/>
      <w:bookmarkStart w:id="1240" w:name="_Toc296944499"/>
      <w:bookmarkStart w:id="1241" w:name="_Toc296503160"/>
      <w:bookmarkStart w:id="1242" w:name="_Toc296346661"/>
      <w:bookmarkStart w:id="1243" w:name="_Toc297048346"/>
      <w:bookmarkStart w:id="1244" w:name="_Toc296891200"/>
      <w:bookmarkStart w:id="1245" w:name="_Toc303539103"/>
      <w:bookmarkStart w:id="1246" w:name="_Toc297216152"/>
      <w:bookmarkStart w:id="1247" w:name="_Toc292559870"/>
      <w:bookmarkStart w:id="1248" w:name="_Toc292559365"/>
      <w:bookmarkStart w:id="1249" w:name="_Toc297120460"/>
      <w:bookmarkStart w:id="1250" w:name="_Toc304295524"/>
      <w:bookmarkStart w:id="1251" w:name="_Toc312677989"/>
      <w:bookmarkStart w:id="1252" w:name="_Toc318581158"/>
      <w:r>
        <w:rPr>
          <w:rFonts w:hint="eastAsia" w:ascii="Times New Roman" w:hAnsi="Times New Roman"/>
          <w:color w:val="auto"/>
          <w:highlight w:val="none"/>
          <w:shd w:val="clear"/>
        </w:rPr>
        <w:t>.5.1 分包的一般约定</w:t>
      </w:r>
    </w:p>
    <w:p w14:paraId="708A20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禁止分包的工程包括：</w:t>
      </w:r>
      <w:r>
        <w:rPr>
          <w:rFonts w:hint="eastAsia" w:ascii="宋体" w:hAnsi="宋体" w:cs="宋体"/>
          <w:color w:val="auto"/>
          <w:sz w:val="24"/>
          <w:highlight w:val="none"/>
          <w:u w:val="single"/>
          <w:shd w:val="clear"/>
        </w:rPr>
        <w:t xml:space="preserve">  </w:t>
      </w:r>
      <w:r>
        <w:rPr>
          <w:rFonts w:hint="eastAsia" w:cs="宋体"/>
          <w:color w:val="auto"/>
          <w:sz w:val="24"/>
          <w:highlight w:val="none"/>
          <w:u w:val="single"/>
          <w:shd w:val="clear"/>
          <w:lang w:val="en-US" w:eastAsia="zh-CN"/>
        </w:rPr>
        <w:t>/</w:t>
      </w:r>
      <w:r>
        <w:rPr>
          <w:rFonts w:hint="eastAsia" w:ascii="宋体" w:hAnsi="宋体" w:cs="宋体"/>
          <w:color w:val="auto"/>
          <w:sz w:val="24"/>
          <w:highlight w:val="none"/>
          <w:u w:val="single"/>
          <w:shd w:val="clear"/>
        </w:rPr>
        <w:t xml:space="preserve"> </w:t>
      </w:r>
      <w:r>
        <w:rPr>
          <w:rFonts w:hint="eastAsia" w:ascii="宋体" w:hAnsi="宋体" w:cs="宋体"/>
          <w:b/>
          <w:color w:val="auto"/>
          <w:sz w:val="24"/>
          <w:highlight w:val="none"/>
          <w:u w:val="single"/>
          <w:shd w:val="clear"/>
        </w:rPr>
        <w:t xml:space="preserve">    </w:t>
      </w:r>
      <w:r>
        <w:rPr>
          <w:rFonts w:hint="eastAsia" w:ascii="Times New Roman" w:hAnsi="Times New Roman"/>
          <w:color w:val="auto"/>
          <w:highlight w:val="none"/>
          <w:shd w:val="clear"/>
        </w:rPr>
        <w:t>。</w:t>
      </w:r>
    </w:p>
    <w:p w14:paraId="7E17747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主体结构、关键性工作的范围：</w:t>
      </w:r>
      <w:r>
        <w:rPr>
          <w:rFonts w:hint="eastAsia" w:ascii="宋体" w:hAnsi="宋体" w:cs="宋体"/>
          <w:color w:val="auto"/>
          <w:sz w:val="24"/>
          <w:highlight w:val="none"/>
          <w:u w:val="single"/>
          <w:shd w:val="clear"/>
        </w:rPr>
        <w:t xml:space="preserve">  </w:t>
      </w:r>
      <w:r>
        <w:rPr>
          <w:rFonts w:hint="eastAsia" w:cs="宋体"/>
          <w:color w:val="auto"/>
          <w:sz w:val="24"/>
          <w:highlight w:val="none"/>
          <w:u w:val="single"/>
          <w:shd w:val="clear"/>
          <w:lang w:val="en-US" w:eastAsia="zh-CN"/>
        </w:rPr>
        <w:t>/</w:t>
      </w:r>
      <w:r>
        <w:rPr>
          <w:rFonts w:hint="eastAsia" w:ascii="宋体" w:hAnsi="宋体" w:cs="宋体"/>
          <w:color w:val="auto"/>
          <w:sz w:val="24"/>
          <w:highlight w:val="none"/>
          <w:u w:val="single"/>
          <w:shd w:val="clear"/>
        </w:rPr>
        <w:t xml:space="preserve"> </w:t>
      </w:r>
      <w:r>
        <w:rPr>
          <w:rFonts w:hint="eastAsia" w:ascii="宋体" w:hAnsi="宋体" w:cs="宋体"/>
          <w:b/>
          <w:color w:val="auto"/>
          <w:sz w:val="24"/>
          <w:highlight w:val="none"/>
          <w:u w:val="single"/>
          <w:shd w:val="clear"/>
        </w:rPr>
        <w:t xml:space="preserve">    </w:t>
      </w:r>
      <w:r>
        <w:rPr>
          <w:rFonts w:hint="eastAsia" w:ascii="Times New Roman" w:hAnsi="Times New Roman"/>
          <w:color w:val="auto"/>
          <w:highlight w:val="none"/>
          <w:shd w:val="clear"/>
        </w:rPr>
        <w:t>。</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Start w:id="1253" w:name="_Toc297048347"/>
      <w:bookmarkStart w:id="1254" w:name="_Toc303539104"/>
      <w:bookmarkStart w:id="1255" w:name="_Toc304295525"/>
      <w:bookmarkStart w:id="1256" w:name="_Toc300934947"/>
      <w:bookmarkStart w:id="1257" w:name="_Toc297120461"/>
      <w:bookmarkStart w:id="1258" w:name="_Toc296890989"/>
      <w:bookmarkStart w:id="1259" w:name="_Toc297216153"/>
      <w:bookmarkStart w:id="1260" w:name="_Toc296891201"/>
      <w:bookmarkStart w:id="1261" w:name="_Toc296346662"/>
      <w:bookmarkStart w:id="1262" w:name="_Toc296944500"/>
      <w:bookmarkStart w:id="1263" w:name="_Toc296503161"/>
      <w:bookmarkStart w:id="1264" w:name="_Toc297123494"/>
      <w:bookmarkStart w:id="1265" w:name="_Toc296347160"/>
    </w:p>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14:paraId="64DCBA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w:t>
      </w:r>
      <w:bookmarkStart w:id="1266" w:name="_Toc318581159"/>
      <w:bookmarkStart w:id="1267" w:name="_Toc312677990"/>
      <w:r>
        <w:rPr>
          <w:rFonts w:hint="eastAsia" w:ascii="Times New Roman" w:hAnsi="Times New Roman"/>
          <w:color w:val="auto"/>
          <w:highlight w:val="none"/>
          <w:shd w:val="clear"/>
        </w:rPr>
        <w:t>.5.2 分包的确定</w:t>
      </w:r>
    </w:p>
    <w:p w14:paraId="02E3DC31">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允许分包的专业工程包括：</w:t>
      </w:r>
      <w:r>
        <w:rPr>
          <w:rFonts w:hint="eastAsia" w:ascii="Times New Roman" w:hAnsi="Times New Roman"/>
          <w:color w:val="auto"/>
          <w:highlight w:val="none"/>
          <w:u w:val="single"/>
          <w:shd w:val="clear"/>
          <w:lang w:val="en-US" w:eastAsia="zh-CN"/>
        </w:rPr>
        <w:t>/</w:t>
      </w:r>
      <w:r>
        <w:rPr>
          <w:rFonts w:hint="eastAsia" w:ascii="Times New Roman" w:hAnsi="Times New Roman"/>
          <w:color w:val="auto"/>
          <w:highlight w:val="none"/>
          <w:shd w:val="clear"/>
        </w:rPr>
        <w:t xml:space="preserve"> 。</w:t>
      </w:r>
    </w:p>
    <w:p w14:paraId="7A82EA7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其他关于分包的约定：</w:t>
      </w:r>
      <w:r>
        <w:rPr>
          <w:rFonts w:hint="eastAsia" w:ascii="Times New Roman" w:hAnsi="Times New Roman"/>
          <w:color w:val="auto"/>
          <w:highlight w:val="none"/>
          <w:shd w:val="clear"/>
          <w:lang w:val="en-US" w:eastAsia="zh-CN"/>
        </w:rPr>
        <w:t>/</w:t>
      </w:r>
      <w:r>
        <w:rPr>
          <w:rFonts w:hint="eastAsia" w:ascii="宋体" w:hAnsi="宋体" w:cs="宋体"/>
          <w:b/>
          <w:color w:val="auto"/>
          <w:sz w:val="24"/>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w:t>
      </w:r>
    </w:p>
    <w:p w14:paraId="0B69A69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3.5.4 分包合同价款</w:t>
      </w:r>
    </w:p>
    <w:p w14:paraId="6F287A5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关于分包合同价款支付的约定：</w:t>
      </w:r>
      <w:r>
        <w:rPr>
          <w:rFonts w:hint="eastAsia" w:ascii="宋体" w:hAnsi="宋体" w:cs="宋体"/>
          <w:color w:val="auto"/>
          <w:sz w:val="24"/>
          <w:highlight w:val="none"/>
          <w:u w:val="single"/>
          <w:shd w:val="clear"/>
        </w:rPr>
        <w:t></w:t>
      </w:r>
      <w:r>
        <w:rPr>
          <w:rFonts w:hint="eastAsia" w:cs="宋体"/>
          <w:color w:val="auto"/>
          <w:sz w:val="24"/>
          <w:highlight w:val="none"/>
          <w:u w:val="single"/>
          <w:shd w:val="clear"/>
          <w:lang w:val="en-US" w:eastAsia="zh-CN"/>
        </w:rPr>
        <w:t>/</w:t>
      </w:r>
      <w:r>
        <w:rPr>
          <w:rFonts w:hint="eastAsia" w:ascii="宋体" w:hAnsi="宋体" w:cs="宋体"/>
          <w:b/>
          <w:color w:val="auto"/>
          <w:sz w:val="24"/>
          <w:highlight w:val="none"/>
          <w:u w:val="single"/>
          <w:shd w:val="clear"/>
        </w:rPr>
        <w:t xml:space="preserve">  </w:t>
      </w:r>
      <w:r>
        <w:rPr>
          <w:rFonts w:hint="eastAsia" w:ascii="Times New Roman" w:hAnsi="Times New Roman"/>
          <w:color w:val="auto"/>
          <w:highlight w:val="none"/>
          <w:shd w:val="clear"/>
        </w:rPr>
        <w:t xml:space="preserve"> 。</w:t>
      </w:r>
    </w:p>
    <w:bookmarkEnd w:id="1266"/>
    <w:bookmarkEnd w:id="1267"/>
    <w:p w14:paraId="7EE96D9B">
      <w:pPr>
        <w:pStyle w:val="33"/>
        <w:rPr>
          <w:color w:val="auto"/>
          <w:highlight w:val="none"/>
          <w:shd w:val="clear"/>
        </w:rPr>
      </w:pPr>
      <w:bookmarkStart w:id="1268" w:name="_Toc170805669"/>
      <w:bookmarkStart w:id="1269" w:name="_Toc170805289"/>
      <w:bookmarkStart w:id="1270" w:name="_Toc170804101"/>
      <w:r>
        <w:rPr>
          <w:color w:val="auto"/>
          <w:highlight w:val="none"/>
          <w:shd w:val="clear"/>
        </w:rPr>
        <w:t>3.6 工程照管与成品、半成品保护</w:t>
      </w:r>
      <w:bookmarkEnd w:id="1268"/>
      <w:bookmarkEnd w:id="1269"/>
      <w:bookmarkEnd w:id="1270"/>
    </w:p>
    <w:p w14:paraId="5C1EE0F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承包人负责照管工程及工程相关的材料、工程设备的起始时间： </w:t>
      </w:r>
      <w:r>
        <w:rPr>
          <w:rFonts w:hint="eastAsia" w:ascii="Times New Roman" w:hAnsi="Times New Roman"/>
          <w:b/>
          <w:bCs/>
          <w:color w:val="auto"/>
          <w:highlight w:val="none"/>
          <w:u w:val="single"/>
          <w:shd w:val="clear"/>
        </w:rPr>
        <w:t>施工期间至竣工验收后移交</w:t>
      </w:r>
      <w:r>
        <w:rPr>
          <w:rFonts w:hint="eastAsia" w:ascii="Times New Roman" w:hAnsi="Times New Roman"/>
          <w:color w:val="auto"/>
          <w:highlight w:val="none"/>
          <w:shd w:val="clear"/>
        </w:rPr>
        <w:t>。</w:t>
      </w:r>
    </w:p>
    <w:p w14:paraId="27AA830F">
      <w:pPr>
        <w:pStyle w:val="33"/>
        <w:rPr>
          <w:color w:val="auto"/>
          <w:highlight w:val="none"/>
          <w:shd w:val="clear"/>
        </w:rPr>
      </w:pPr>
      <w:bookmarkStart w:id="1271" w:name="_Toc170805670"/>
      <w:bookmarkStart w:id="1272" w:name="_Toc170804102"/>
      <w:bookmarkStart w:id="1273" w:name="_Toc170805290"/>
      <w:r>
        <w:rPr>
          <w:color w:val="auto"/>
          <w:highlight w:val="none"/>
          <w:shd w:val="clear"/>
        </w:rPr>
        <w:t>3.7 履约担保</w:t>
      </w:r>
      <w:bookmarkEnd w:id="1271"/>
      <w:bookmarkEnd w:id="1272"/>
      <w:bookmarkEnd w:id="1273"/>
    </w:p>
    <w:p w14:paraId="5372A9E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承包人是否提供履约担保：</w:t>
      </w:r>
      <w:r>
        <w:rPr>
          <w:rFonts w:hint="eastAsia" w:ascii="Times New Roman" w:hAnsi="Times New Roman"/>
          <w:b/>
          <w:bCs/>
          <w:color w:val="auto"/>
          <w:highlight w:val="none"/>
          <w:u w:val="single"/>
          <w:shd w:val="clear"/>
        </w:rPr>
        <w:t>承包人提供履约担保</w:t>
      </w:r>
      <w:r>
        <w:rPr>
          <w:rFonts w:hint="eastAsia" w:ascii="Times New Roman" w:hAnsi="Times New Roman"/>
          <w:color w:val="auto"/>
          <w:highlight w:val="none"/>
          <w:shd w:val="clear"/>
        </w:rPr>
        <w:t>。</w:t>
      </w:r>
    </w:p>
    <w:p w14:paraId="5449A7F7">
      <w:pPr>
        <w:pStyle w:val="22"/>
        <w:ind w:firstLine="420"/>
        <w:rPr>
          <w:rFonts w:hint="eastAsia" w:ascii="Times New Roman" w:hAnsi="Times New Roman"/>
          <w:b/>
          <w:bCs/>
          <w:color w:val="auto"/>
          <w:highlight w:val="none"/>
          <w:u w:val="single"/>
          <w:shd w:val="clear"/>
        </w:rPr>
      </w:pPr>
      <w:r>
        <w:rPr>
          <w:rFonts w:hint="eastAsia" w:ascii="Times New Roman" w:hAnsi="Times New Roman"/>
          <w:color w:val="auto"/>
          <w:highlight w:val="none"/>
          <w:shd w:val="clear"/>
        </w:rPr>
        <w:t>承包人提供履约担保的形式、金额及期限的：</w:t>
      </w:r>
      <w:r>
        <w:rPr>
          <w:rFonts w:hint="eastAsia" w:ascii="Times New Roman" w:hAnsi="Times New Roman"/>
          <w:b/>
          <w:bCs/>
          <w:color w:val="auto"/>
          <w:highlight w:val="none"/>
          <w:u w:val="single"/>
          <w:shd w:val="clear"/>
        </w:rPr>
        <w:t xml:space="preserve">①形式：银行转账、见索即付银行保函、投保保险公司建设工程施工合同履约保证保险； </w:t>
      </w:r>
    </w:p>
    <w:p w14:paraId="5CB9BEA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 xml:space="preserve">②金额：中标价*2%； </w:t>
      </w:r>
    </w:p>
    <w:p w14:paraId="47AA2E63">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 xml:space="preserve">③提供期限：中标人在中标通知书发出后，签订合同前提供； </w:t>
      </w:r>
    </w:p>
    <w:p w14:paraId="70ED838B">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④退还方式及时间：履约担保返还时限最迟不得超过项目竣工验收合格后28天。</w:t>
      </w:r>
    </w:p>
    <w:p w14:paraId="62DC7044">
      <w:pPr>
        <w:pStyle w:val="26"/>
        <w:rPr>
          <w:color w:val="auto"/>
          <w:highlight w:val="none"/>
          <w:shd w:val="clear"/>
        </w:rPr>
      </w:pPr>
      <w:bookmarkStart w:id="1274" w:name="_Toc170805671"/>
      <w:bookmarkStart w:id="1275" w:name="_Toc351203636"/>
      <w:bookmarkStart w:id="1276" w:name="_Toc170804103"/>
      <w:bookmarkStart w:id="1277" w:name="_Toc170805291"/>
      <w:r>
        <w:rPr>
          <w:rFonts w:hint="eastAsia"/>
          <w:color w:val="auto"/>
          <w:highlight w:val="none"/>
          <w:shd w:val="clear"/>
        </w:rPr>
        <w:t>4</w:t>
      </w:r>
      <w:bookmarkStart w:id="1278" w:name="_Toc267251413"/>
      <w:bookmarkStart w:id="1279" w:name="_Toc296891202"/>
      <w:bookmarkStart w:id="1280" w:name="_Toc296944501"/>
      <w:bookmarkStart w:id="1281" w:name="_Toc296890990"/>
      <w:bookmarkStart w:id="1282" w:name="_Toc296346663"/>
      <w:bookmarkStart w:id="1283" w:name="_Toc297120462"/>
      <w:bookmarkStart w:id="1284" w:name="_Toc296347161"/>
      <w:bookmarkStart w:id="1285" w:name="_Toc297048348"/>
      <w:bookmarkStart w:id="1286" w:name="_Toc292559871"/>
      <w:bookmarkStart w:id="1287" w:name="_Toc292559366"/>
      <w:bookmarkStart w:id="1288" w:name="_Toc296503162"/>
      <w:r>
        <w:rPr>
          <w:rFonts w:hint="eastAsia"/>
          <w:color w:val="auto"/>
          <w:highlight w:val="none"/>
          <w:shd w:val="clear"/>
        </w:rPr>
        <w:t>.监</w:t>
      </w:r>
      <w:bookmarkEnd w:id="1278"/>
      <w:bookmarkEnd w:id="1279"/>
      <w:bookmarkEnd w:id="1280"/>
      <w:bookmarkEnd w:id="1281"/>
      <w:bookmarkEnd w:id="1282"/>
      <w:bookmarkEnd w:id="1283"/>
      <w:bookmarkEnd w:id="1284"/>
      <w:bookmarkEnd w:id="1285"/>
      <w:bookmarkEnd w:id="1286"/>
      <w:bookmarkEnd w:id="1287"/>
      <w:bookmarkEnd w:id="1288"/>
      <w:r>
        <w:rPr>
          <w:rFonts w:hint="eastAsia"/>
          <w:color w:val="auto"/>
          <w:highlight w:val="none"/>
          <w:shd w:val="clear"/>
        </w:rPr>
        <w:t>理人</w:t>
      </w:r>
      <w:bookmarkEnd w:id="1274"/>
      <w:bookmarkEnd w:id="1275"/>
      <w:bookmarkEnd w:id="1276"/>
      <w:bookmarkEnd w:id="1277"/>
    </w:p>
    <w:p w14:paraId="3DCBDBD0">
      <w:pPr>
        <w:pStyle w:val="33"/>
        <w:rPr>
          <w:color w:val="auto"/>
          <w:highlight w:val="none"/>
          <w:shd w:val="clear"/>
        </w:rPr>
      </w:pPr>
      <w:bookmarkStart w:id="1289" w:name="_Toc170805672"/>
      <w:bookmarkStart w:id="1290" w:name="_Toc170804104"/>
      <w:bookmarkStart w:id="1291" w:name="_Toc170805292"/>
      <w:r>
        <w:rPr>
          <w:color w:val="auto"/>
          <w:highlight w:val="none"/>
          <w:shd w:val="clear"/>
        </w:rPr>
        <w:t>4.1 监理人的一般规定</w:t>
      </w:r>
      <w:bookmarkEnd w:id="1289"/>
      <w:bookmarkEnd w:id="1290"/>
      <w:bookmarkEnd w:id="1291"/>
    </w:p>
    <w:p w14:paraId="73C8B3C2">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关于监理人的监理内容：</w:t>
      </w:r>
    </w:p>
    <w:p w14:paraId="6B1FE125">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工程质量控制：审查承包人的质量保证体系和控制措施，依据施工承包合同、设计文件、技术规范与质量检验验收标准，对施工质量进行全面控制和检查。按有关规定对工程质量进行检查、签证和验收。协助发包人调查处理工程质量事故等。</w:t>
      </w:r>
    </w:p>
    <w:p w14:paraId="5FFD1526">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（2）工程进度控制：审查承包人提交的工程进度计划，并以此作为工程进度控制的依据，督促承包人采取切实措施实现合同工期要求。</w:t>
      </w:r>
    </w:p>
    <w:p w14:paraId="15B26417">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（3）工程投资控制：审核承包人完成的工程量和价款，签署付款建议；对合同变更或增加项目，提出初审意见，报发包人审批确定。受理索赔申请，进行索赔调查，提出处理意见等。</w:t>
      </w:r>
    </w:p>
    <w:p w14:paraId="0BA67AFF">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施工安全监督：督促并检查承包人建立施工安全体系，完善安全措施、劳动防护和环境保护设施等，整个施工过程中定期和不定期检查、突击抽查安全施工和设备安全运行，发现安全事故隐患时有权直接下达停工令等。</w:t>
      </w:r>
    </w:p>
    <w:p w14:paraId="55355E2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（5）合同管理：协助、配合发包人管理各种合同。</w:t>
      </w:r>
    </w:p>
    <w:p w14:paraId="29D7B2E9">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（6）档案资料管理：对工程资料及档案及时进行整编，并在工程竣工验收时移交发包人。资料的归档和备案必须按照当地建设行政主管部门的规定执行，并承担此规定中的所有权力、义务和责任（包括处罚）。</w:t>
      </w:r>
    </w:p>
    <w:p w14:paraId="755583A6">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（7）现场文明施工管理、协调工作：全方位监督管理施工现场，协调发包人与承包人的相互配合关系，编发会议纪要并检查落实等。</w:t>
      </w:r>
    </w:p>
    <w:p w14:paraId="29B66EA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（8）督促发包人按施工承包合同的规定落实必须提供的施工条件，检查工程承包人的开工准备工作（包括施工安全体系），具备开工条件后，征得发包人同意，签发开工通知。</w:t>
      </w:r>
    </w:p>
    <w:p w14:paraId="26A69B4B">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（9）审查承包人递交的施工组织设计、计划、临建工程布置等。</w:t>
      </w:r>
    </w:p>
    <w:p w14:paraId="163261B2">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（10）研究、讨论、答复承包人提出的建议和意见。</w:t>
      </w:r>
    </w:p>
    <w:p w14:paraId="50BC7EBF">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（11）按有关规定进行验收，核查、签证承包人编制的竣工图纸和资料等。</w:t>
      </w:r>
    </w:p>
    <w:p w14:paraId="6A574A7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关于监理人的监理权限：</w:t>
      </w:r>
      <w:r>
        <w:rPr>
          <w:rFonts w:hint="eastAsia" w:ascii="Times New Roman" w:hAnsi="Times New Roman"/>
          <w:b/>
          <w:bCs/>
          <w:color w:val="auto"/>
          <w:highlight w:val="none"/>
          <w:u w:val="single"/>
          <w:shd w:val="clear"/>
        </w:rPr>
        <w:t>监理人无权单方面确定合同变更、增加项目、增加项目的合同价款、索赔费用、签发开工通知 ，须经过发包人同意。</w:t>
      </w:r>
    </w:p>
    <w:p w14:paraId="31D0925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关于监理人在施工现场的办公场所、生活场所的提供和费用承担的约定：</w:t>
      </w:r>
      <w:r>
        <w:rPr>
          <w:rFonts w:hint="eastAsia" w:ascii="Times New Roman" w:hAnsi="Times New Roman"/>
          <w:b/>
          <w:bCs/>
          <w:color w:val="auto"/>
          <w:highlight w:val="none"/>
          <w:u w:val="single"/>
          <w:shd w:val="clear"/>
        </w:rPr>
        <w:t>若发包人提出要求，监理人在施工现场的办公场所、生活场所由承包人提供，所发生的费用由发包人或监理人承担（依据监理委托合同）</w:t>
      </w:r>
      <w:r>
        <w:rPr>
          <w:rFonts w:hint="eastAsia" w:ascii="Times New Roman" w:hAnsi="Times New Roman"/>
          <w:color w:val="auto"/>
          <w:highlight w:val="none"/>
          <w:shd w:val="clear"/>
        </w:rPr>
        <w:t>。</w:t>
      </w:r>
    </w:p>
    <w:p w14:paraId="298B0F04">
      <w:pPr>
        <w:pStyle w:val="33"/>
        <w:rPr>
          <w:color w:val="auto"/>
          <w:highlight w:val="none"/>
          <w:shd w:val="clear"/>
        </w:rPr>
      </w:pPr>
      <w:bookmarkStart w:id="1292" w:name="_Toc170805673"/>
      <w:bookmarkStart w:id="1293" w:name="_Toc170805293"/>
      <w:bookmarkStart w:id="1294" w:name="_Toc170804105"/>
      <w:r>
        <w:rPr>
          <w:color w:val="auto"/>
          <w:highlight w:val="none"/>
          <w:shd w:val="clear"/>
        </w:rPr>
        <w:t>4.2 监理人员</w:t>
      </w:r>
      <w:bookmarkEnd w:id="1292"/>
      <w:bookmarkEnd w:id="1293"/>
      <w:bookmarkEnd w:id="1294"/>
    </w:p>
    <w:p w14:paraId="56CBC62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总监理工程师：</w:t>
      </w:r>
    </w:p>
    <w:p w14:paraId="627D74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姓    名：</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01E749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职    务：</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2101EC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监理工程师执业资格证书号：</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61CA95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联系电话：</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33DB349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电子信箱：</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7B7CEB9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通信地址：</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02676A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关于监理人的其他约定：</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547FF8B9">
      <w:pPr>
        <w:pStyle w:val="33"/>
        <w:rPr>
          <w:color w:val="auto"/>
          <w:highlight w:val="none"/>
          <w:shd w:val="clear"/>
        </w:rPr>
      </w:pPr>
      <w:bookmarkStart w:id="1295" w:name="_Toc170804106"/>
      <w:bookmarkStart w:id="1296" w:name="_Toc170805674"/>
      <w:bookmarkStart w:id="1297" w:name="_Toc170805294"/>
      <w:r>
        <w:rPr>
          <w:color w:val="auto"/>
          <w:highlight w:val="none"/>
          <w:shd w:val="clear"/>
        </w:rPr>
        <w:t>4.4 商定或确定</w:t>
      </w:r>
      <w:bookmarkEnd w:id="1295"/>
      <w:bookmarkEnd w:id="1296"/>
      <w:bookmarkEnd w:id="1297"/>
    </w:p>
    <w:p w14:paraId="5988F006">
      <w:pPr>
        <w:pStyle w:val="22"/>
        <w:ind w:firstLine="420"/>
        <w:rPr>
          <w:rFonts w:ascii="Times New Roman" w:hAnsi="Times New Roman"/>
          <w:color w:val="auto"/>
          <w:highlight w:val="none"/>
          <w:shd w:val="clear"/>
        </w:rPr>
      </w:pPr>
      <w:bookmarkStart w:id="1298" w:name="_Toc267251418"/>
      <w:r>
        <w:rPr>
          <w:rFonts w:hint="eastAsia" w:ascii="Times New Roman" w:hAnsi="Times New Roman"/>
          <w:color w:val="auto"/>
          <w:highlight w:val="none"/>
          <w:shd w:val="clear"/>
        </w:rPr>
        <w:t>在发包人和承包人不能通过协商达成一致意见时，发包人授权监理人对以下事项进行确定：</w:t>
      </w:r>
      <w:r>
        <w:rPr>
          <w:rFonts w:hint="eastAsia" w:ascii="Times New Roman" w:hAnsi="Times New Roman"/>
          <w:b/>
          <w:bCs/>
          <w:color w:val="auto"/>
          <w:highlight w:val="none"/>
          <w:u w:val="single"/>
          <w:shd w:val="clear"/>
        </w:rPr>
        <w:t>不授权监理人确定</w:t>
      </w:r>
      <w:r>
        <w:rPr>
          <w:rFonts w:hint="eastAsia" w:ascii="Times New Roman" w:hAnsi="Times New Roman"/>
          <w:color w:val="auto"/>
          <w:highlight w:val="none"/>
          <w:shd w:val="clear"/>
        </w:rPr>
        <w:t>。</w:t>
      </w:r>
    </w:p>
    <w:p w14:paraId="756D0033">
      <w:pPr>
        <w:pStyle w:val="26"/>
        <w:rPr>
          <w:color w:val="auto"/>
          <w:highlight w:val="none"/>
          <w:shd w:val="clear"/>
        </w:rPr>
      </w:pPr>
      <w:bookmarkStart w:id="1299" w:name="_Toc351203637"/>
      <w:bookmarkStart w:id="1300" w:name="_Toc170805675"/>
      <w:bookmarkStart w:id="1301" w:name="_Toc170805295"/>
      <w:bookmarkStart w:id="1302" w:name="_Toc170804107"/>
      <w:r>
        <w:rPr>
          <w:rFonts w:hint="eastAsia"/>
          <w:color w:val="auto"/>
          <w:highlight w:val="none"/>
          <w:shd w:val="clear"/>
        </w:rPr>
        <w:t>5</w:t>
      </w:r>
      <w:bookmarkEnd w:id="1298"/>
      <w:bookmarkStart w:id="1303" w:name="_Toc292559367"/>
      <w:bookmarkStart w:id="1304" w:name="_Toc297120463"/>
      <w:bookmarkStart w:id="1305" w:name="_Toc296944502"/>
      <w:bookmarkStart w:id="1306" w:name="_Toc297048349"/>
      <w:bookmarkStart w:id="1307" w:name="_Toc296891203"/>
      <w:bookmarkStart w:id="1308" w:name="_Toc296346664"/>
      <w:bookmarkStart w:id="1309" w:name="_Toc296503163"/>
      <w:bookmarkStart w:id="1310" w:name="_Toc296890991"/>
      <w:bookmarkStart w:id="1311" w:name="_Toc296347162"/>
      <w:bookmarkStart w:id="1312" w:name="_Toc292559872"/>
      <w:r>
        <w:rPr>
          <w:rFonts w:hint="eastAsia"/>
          <w:color w:val="auto"/>
          <w:highlight w:val="none"/>
          <w:shd w:val="clear"/>
        </w:rPr>
        <w:t>.工程质量</w:t>
      </w:r>
      <w:bookmarkEnd w:id="1299"/>
      <w:bookmarkEnd w:id="1300"/>
      <w:bookmarkEnd w:id="1301"/>
      <w:bookmarkEnd w:id="1302"/>
    </w:p>
    <w:p w14:paraId="71ADA58D">
      <w:pPr>
        <w:pStyle w:val="33"/>
        <w:rPr>
          <w:color w:val="auto"/>
          <w:highlight w:val="none"/>
          <w:shd w:val="clear"/>
        </w:rPr>
      </w:pPr>
      <w:bookmarkStart w:id="1313" w:name="_Toc170805296"/>
      <w:bookmarkStart w:id="1314" w:name="_Toc170804108"/>
      <w:bookmarkStart w:id="1315" w:name="_Toc170805676"/>
      <w:r>
        <w:rPr>
          <w:color w:val="auto"/>
          <w:highlight w:val="none"/>
          <w:shd w:val="clear"/>
        </w:rPr>
        <w:t>5.1 质量要求</w:t>
      </w:r>
      <w:bookmarkEnd w:id="1313"/>
      <w:bookmarkEnd w:id="1314"/>
      <w:bookmarkEnd w:id="1315"/>
    </w:p>
    <w:p w14:paraId="2DB50A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w:t>
      </w:r>
      <w:bookmarkStart w:id="1316" w:name="_Toc297216155"/>
      <w:bookmarkStart w:id="1317" w:name="_Toc297123496"/>
      <w:bookmarkStart w:id="1318" w:name="_Toc303539106"/>
      <w:bookmarkStart w:id="1319" w:name="_Toc318581164"/>
      <w:bookmarkStart w:id="1320" w:name="_Toc300934949"/>
      <w:bookmarkStart w:id="1321" w:name="_Toc312677997"/>
      <w:bookmarkStart w:id="1322" w:name="_Toc304295527"/>
      <w:r>
        <w:rPr>
          <w:rFonts w:hint="eastAsia" w:ascii="Times New Roman" w:hAnsi="Times New Roman"/>
          <w:color w:val="auto"/>
          <w:highlight w:val="none"/>
          <w:shd w:val="clear"/>
        </w:rPr>
        <w:t>.1.1 特殊质量标准和要求：</w:t>
      </w:r>
      <w:r>
        <w:rPr>
          <w:rFonts w:hint="eastAsia" w:ascii="Times New Roman" w:hAnsi="Times New Roman"/>
          <w:b/>
          <w:bCs/>
          <w:color w:val="auto"/>
          <w:highlight w:val="none"/>
          <w:u w:val="single"/>
          <w:shd w:val="clear"/>
        </w:rPr>
        <w:t>详见招标文件、图纸和工程量清单</w:t>
      </w:r>
      <w:r>
        <w:rPr>
          <w:rFonts w:hint="eastAsia" w:ascii="Times New Roman" w:hAnsi="Times New Roman"/>
          <w:color w:val="auto"/>
          <w:highlight w:val="none"/>
          <w:shd w:val="clear"/>
        </w:rPr>
        <w:t>。</w:t>
      </w:r>
    </w:p>
    <w:p w14:paraId="155A3F5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关于工程奖项的约定：</w:t>
      </w:r>
      <w:r>
        <w:rPr>
          <w:rFonts w:hint="eastAsia" w:ascii="Times New Roman" w:hAnsi="Times New Roman"/>
          <w:b/>
          <w:bCs/>
          <w:color w:val="auto"/>
          <w:highlight w:val="none"/>
          <w:shd w:val="clear"/>
          <w:lang w:val="en-US" w:eastAsia="zh-CN"/>
        </w:rPr>
        <w:t>无</w:t>
      </w:r>
      <w:r>
        <w:rPr>
          <w:rFonts w:hint="eastAsia" w:ascii="Times New Roman" w:hAnsi="Times New Roman"/>
          <w:color w:val="auto"/>
          <w:highlight w:val="none"/>
          <w:shd w:val="clear"/>
        </w:rPr>
        <w:t>。</w:t>
      </w:r>
    </w:p>
    <w:p w14:paraId="423BB123">
      <w:pPr>
        <w:pStyle w:val="33"/>
        <w:rPr>
          <w:color w:val="auto"/>
          <w:highlight w:val="none"/>
          <w:shd w:val="clear"/>
        </w:rPr>
      </w:pPr>
      <w:bookmarkStart w:id="1323" w:name="_Toc170805297"/>
      <w:bookmarkStart w:id="1324" w:name="_Toc170805677"/>
      <w:bookmarkStart w:id="1325" w:name="_Toc170804109"/>
      <w:r>
        <w:rPr>
          <w:color w:val="auto"/>
          <w:highlight w:val="none"/>
          <w:shd w:val="clear"/>
        </w:rPr>
        <w:t>5.3 隐蔽工程检查</w:t>
      </w:r>
      <w:bookmarkEnd w:id="1323"/>
      <w:bookmarkEnd w:id="1324"/>
      <w:bookmarkEnd w:id="1325"/>
    </w:p>
    <w:p w14:paraId="070753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5.3.2 承包人提前通知监理人隐蔽工程检查的期限的约定：</w:t>
      </w:r>
      <w:r>
        <w:rPr>
          <w:rFonts w:hint="eastAsia" w:ascii="Times New Roman" w:hAnsi="Times New Roman"/>
          <w:b/>
          <w:bCs/>
          <w:color w:val="auto"/>
          <w:highlight w:val="none"/>
          <w:u w:val="single"/>
          <w:shd w:val="clear"/>
        </w:rPr>
        <w:t>工程隐蔽部位经承包人自检确认具备覆盖条件的，承包人应在共同检查前至少24小时书面通知业主代表检查，通知中应载明隐蔽检查的内容、时间和地点，并应附有自检记录和必要的检查资料</w:t>
      </w:r>
      <w:r>
        <w:rPr>
          <w:rFonts w:hint="eastAsia" w:ascii="Times New Roman" w:hAnsi="Times New Roman"/>
          <w:b/>
          <w:bCs/>
          <w:color w:val="auto"/>
          <w:highlight w:val="none"/>
          <w:u w:val="single"/>
          <w:shd w:val="clear"/>
        </w:rPr>
        <w:t>。</w:t>
      </w:r>
    </w:p>
    <w:p w14:paraId="3F23A9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监理人不能按时进行检查时，应提前</w:t>
      </w:r>
      <w:r>
        <w:rPr>
          <w:rFonts w:hint="eastAsia" w:ascii="Times New Roman" w:hAnsi="Times New Roman"/>
          <w:b/>
          <w:bCs/>
          <w:color w:val="auto"/>
          <w:highlight w:val="none"/>
          <w:u w:val="single"/>
          <w:shd w:val="clear"/>
          <w:lang w:val="en-US" w:eastAsia="zh-CN"/>
        </w:rPr>
        <w:t>4</w:t>
      </w:r>
      <w:r>
        <w:rPr>
          <w:rFonts w:hint="eastAsia" w:ascii="Times New Roman" w:hAnsi="Times New Roman"/>
          <w:color w:val="auto"/>
          <w:highlight w:val="none"/>
          <w:shd w:val="clear"/>
        </w:rPr>
        <w:t>小时提交书面延期要求。</w:t>
      </w:r>
    </w:p>
    <w:p w14:paraId="5618AD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关于延期最长不得超过：</w:t>
      </w:r>
      <w:r>
        <w:rPr>
          <w:rFonts w:hint="eastAsia" w:ascii="Times New Roman" w:hAnsi="Times New Roman"/>
          <w:b/>
          <w:bCs/>
          <w:color w:val="auto"/>
          <w:highlight w:val="none"/>
          <w:u w:val="single"/>
          <w:shd w:val="clear"/>
          <w:lang w:val="en-US" w:eastAsia="zh-CN"/>
        </w:rPr>
        <w:t>24</w:t>
      </w:r>
      <w:r>
        <w:rPr>
          <w:rFonts w:hint="eastAsia" w:ascii="Times New Roman" w:hAnsi="Times New Roman"/>
          <w:color w:val="auto"/>
          <w:highlight w:val="none"/>
          <w:shd w:val="clear"/>
        </w:rPr>
        <w:t>小时。</w:t>
      </w:r>
    </w:p>
    <w:p w14:paraId="0BC0971E">
      <w:pPr>
        <w:pStyle w:val="26"/>
        <w:rPr>
          <w:color w:val="auto"/>
          <w:highlight w:val="none"/>
          <w:shd w:val="clear"/>
        </w:rPr>
      </w:pPr>
      <w:bookmarkStart w:id="1326" w:name="_Toc351203638"/>
      <w:bookmarkStart w:id="1327" w:name="_Toc170805298"/>
      <w:bookmarkStart w:id="1328" w:name="_Toc170805678"/>
      <w:bookmarkStart w:id="1329" w:name="_Toc170804110"/>
      <w:r>
        <w:rPr>
          <w:rFonts w:hint="eastAsia"/>
          <w:color w:val="auto"/>
          <w:highlight w:val="none"/>
          <w:shd w:val="clear"/>
        </w:rPr>
        <w:t>6.安全文明施工与环境保护</w:t>
      </w:r>
      <w:bookmarkEnd w:id="1326"/>
      <w:bookmarkEnd w:id="1327"/>
      <w:bookmarkEnd w:id="1328"/>
      <w:bookmarkEnd w:id="1329"/>
    </w:p>
    <w:p w14:paraId="76721FCE">
      <w:pPr>
        <w:pStyle w:val="33"/>
        <w:rPr>
          <w:color w:val="auto"/>
          <w:highlight w:val="none"/>
          <w:shd w:val="clear"/>
        </w:rPr>
      </w:pPr>
      <w:bookmarkStart w:id="1330" w:name="_Toc170805679"/>
      <w:bookmarkStart w:id="1331" w:name="_Toc170805299"/>
      <w:bookmarkStart w:id="1332" w:name="_Toc170804111"/>
      <w:r>
        <w:rPr>
          <w:color w:val="auto"/>
          <w:highlight w:val="none"/>
          <w:shd w:val="clear"/>
        </w:rPr>
        <w:t>6.1 安全文明施工</w:t>
      </w:r>
      <w:bookmarkEnd w:id="1330"/>
      <w:bookmarkEnd w:id="1331"/>
      <w:bookmarkEnd w:id="1332"/>
    </w:p>
    <w:p w14:paraId="3EA84163">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6.1.1 项目安全生产的达标目标及相应事项的约定：</w:t>
      </w:r>
    </w:p>
    <w:p w14:paraId="78827996">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1、遵守国家和工程所在地有关安全生产的要求，对于在履行合同期间发生一切安全事故均由乙方自行负责，与甲方无关。</w:t>
      </w:r>
    </w:p>
    <w:p w14:paraId="6898B56F">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2、清理外运建筑物内原有垃圾，拆除；</w:t>
      </w:r>
    </w:p>
    <w:p w14:paraId="67B613CE">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3、自行勘察施工现场，充分考虑工程场地、周边环境及施工困难，合理安排施工时间，施工时要减少噪音，并做好安全防范；</w:t>
      </w:r>
    </w:p>
    <w:p w14:paraId="61688BFF">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4、所有建筑垃圾要及时清运到市政部门允许倾到的地方，对楼道和室内进行卫生保洁，这些费用应包含在投标报价内；</w:t>
      </w:r>
    </w:p>
    <w:p w14:paraId="133B0DBC">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5、服从相关部门管理及规定，并缴纳相应押金。</w:t>
      </w:r>
    </w:p>
    <w:p w14:paraId="5B8AAE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6.1.4 关于治安保卫的特别约定：</w:t>
      </w:r>
      <w:r>
        <w:rPr>
          <w:rFonts w:hint="eastAsia" w:ascii="Times New Roman" w:hAnsi="Times New Roman"/>
          <w:b/>
          <w:bCs/>
          <w:color w:val="auto"/>
          <w:highlight w:val="none"/>
          <w:u w:val="single"/>
          <w:shd w:val="clear"/>
        </w:rPr>
        <w:t>由承包人负责，并承担相应费用</w:t>
      </w:r>
      <w:r>
        <w:rPr>
          <w:rFonts w:hint="eastAsia" w:ascii="Times New Roman" w:hAnsi="Times New Roman"/>
          <w:color w:val="auto"/>
          <w:highlight w:val="none"/>
          <w:shd w:val="clear"/>
        </w:rPr>
        <w:t>。</w:t>
      </w:r>
    </w:p>
    <w:p w14:paraId="724F905A">
      <w:pPr>
        <w:pStyle w:val="22"/>
        <w:ind w:firstLine="420"/>
        <w:rPr>
          <w:rFonts w:ascii="Times New Roman" w:hAnsi="Times New Roman"/>
          <w:b/>
          <w:bCs/>
          <w:color w:val="auto"/>
          <w:highlight w:val="none"/>
          <w:u w:val="single"/>
          <w:shd w:val="clear"/>
        </w:rPr>
      </w:pPr>
      <w:r>
        <w:rPr>
          <w:rFonts w:hint="eastAsia" w:ascii="Times New Roman" w:hAnsi="Times New Roman"/>
          <w:color w:val="auto"/>
          <w:highlight w:val="none"/>
          <w:shd w:val="clear"/>
        </w:rPr>
        <w:t>关于编制施工场地治安管理计划的约定：</w:t>
      </w:r>
      <w:r>
        <w:rPr>
          <w:rFonts w:hint="eastAsia" w:ascii="Times New Roman" w:hAnsi="Times New Roman"/>
          <w:b/>
          <w:bCs/>
          <w:color w:val="auto"/>
          <w:highlight w:val="none"/>
          <w:u w:val="single"/>
          <w:shd w:val="clear"/>
        </w:rPr>
        <w:t>遵守国家和工程所在地有关要求并满足发包人的合理要求</w:t>
      </w:r>
      <w:r>
        <w:rPr>
          <w:rFonts w:hint="eastAsia" w:ascii="Times New Roman" w:hAnsi="Times New Roman"/>
          <w:b/>
          <w:bCs/>
          <w:color w:val="auto"/>
          <w:highlight w:val="none"/>
          <w:u w:val="single"/>
          <w:shd w:val="clear"/>
        </w:rPr>
        <w:t>。</w:t>
      </w:r>
    </w:p>
    <w:p w14:paraId="7161CE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6.1.5 文明施工</w:t>
      </w:r>
    </w:p>
    <w:p w14:paraId="504921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合同当事人对文明施工的要求：</w:t>
      </w:r>
      <w:r>
        <w:rPr>
          <w:rFonts w:hint="eastAsia" w:ascii="Times New Roman" w:hAnsi="Times New Roman"/>
          <w:b/>
          <w:bCs/>
          <w:color w:val="auto"/>
          <w:highlight w:val="none"/>
          <w:u w:val="single"/>
          <w:shd w:val="clear"/>
        </w:rPr>
        <w:t>符合蚌埠市</w:t>
      </w:r>
      <w:r>
        <w:rPr>
          <w:rFonts w:hint="eastAsia" w:ascii="Times New Roman" w:hAnsi="Times New Roman"/>
          <w:b/>
          <w:bCs/>
          <w:color w:val="auto"/>
          <w:highlight w:val="none"/>
          <w:u w:val="single"/>
          <w:shd w:val="clear"/>
          <w:lang w:eastAsia="zh-CN"/>
        </w:rPr>
        <w:t>、</w:t>
      </w:r>
      <w:r>
        <w:rPr>
          <w:rFonts w:hint="eastAsia" w:ascii="Times New Roman" w:hAnsi="Times New Roman"/>
          <w:b/>
          <w:bCs/>
          <w:color w:val="auto"/>
          <w:highlight w:val="none"/>
          <w:u w:val="single"/>
          <w:shd w:val="clear"/>
          <w:lang w:val="en-US" w:eastAsia="zh-CN"/>
        </w:rPr>
        <w:t>固镇县</w:t>
      </w:r>
      <w:r>
        <w:rPr>
          <w:rFonts w:hint="eastAsia" w:ascii="Times New Roman" w:hAnsi="Times New Roman"/>
          <w:b/>
          <w:bCs/>
          <w:color w:val="auto"/>
          <w:highlight w:val="none"/>
          <w:u w:val="single"/>
          <w:shd w:val="clear"/>
        </w:rPr>
        <w:t>对施工场地文明施工和清洁卫生的有关要求</w:t>
      </w:r>
      <w:r>
        <w:rPr>
          <w:rFonts w:hint="eastAsia" w:ascii="Times New Roman" w:hAnsi="Times New Roman"/>
          <w:color w:val="auto"/>
          <w:highlight w:val="none"/>
          <w:shd w:val="clear"/>
        </w:rPr>
        <w:t>。</w:t>
      </w:r>
    </w:p>
    <w:p w14:paraId="20A7DC9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6.1.6 关于安全文明施工费支付比例和支付期限的约定</w:t>
      </w:r>
      <w:r>
        <w:rPr>
          <w:rFonts w:hint="eastAsia" w:ascii="Times New Roman" w:hAnsi="Times New Roman"/>
          <w:color w:val="auto"/>
          <w:highlight w:val="none"/>
          <w:shd w:val="clear"/>
          <w:lang w:eastAsia="zh-CN"/>
        </w:rPr>
        <w:t>：</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bookmarkEnd w:id="1316"/>
    <w:bookmarkEnd w:id="1317"/>
    <w:bookmarkEnd w:id="1318"/>
    <w:bookmarkEnd w:id="1319"/>
    <w:bookmarkEnd w:id="1320"/>
    <w:bookmarkEnd w:id="1321"/>
    <w:bookmarkEnd w:id="1322"/>
    <w:p w14:paraId="62C55B20">
      <w:pPr>
        <w:pStyle w:val="26"/>
        <w:rPr>
          <w:color w:val="auto"/>
          <w:highlight w:val="none"/>
          <w:shd w:val="clear"/>
        </w:rPr>
      </w:pPr>
      <w:bookmarkStart w:id="1333" w:name="_Toc170805680"/>
      <w:bookmarkStart w:id="1334" w:name="_Toc170805300"/>
      <w:bookmarkStart w:id="1335" w:name="_Toc351203639"/>
      <w:bookmarkStart w:id="1336" w:name="_Toc170804112"/>
      <w:r>
        <w:rPr>
          <w:rFonts w:hint="eastAsia"/>
          <w:color w:val="auto"/>
          <w:highlight w:val="none"/>
          <w:shd w:val="clear"/>
        </w:rPr>
        <w:t>7.工期和进度</w:t>
      </w:r>
      <w:bookmarkEnd w:id="1333"/>
      <w:bookmarkEnd w:id="1334"/>
      <w:bookmarkEnd w:id="1335"/>
      <w:bookmarkEnd w:id="1336"/>
    </w:p>
    <w:p w14:paraId="4845BA29">
      <w:pPr>
        <w:pStyle w:val="33"/>
        <w:rPr>
          <w:color w:val="auto"/>
          <w:highlight w:val="none"/>
          <w:shd w:val="clear"/>
        </w:rPr>
      </w:pPr>
      <w:bookmarkStart w:id="1337" w:name="_Toc170804113"/>
      <w:bookmarkStart w:id="1338" w:name="_Toc170805681"/>
      <w:bookmarkStart w:id="1339" w:name="_Toc170805301"/>
      <w:r>
        <w:rPr>
          <w:color w:val="auto"/>
          <w:highlight w:val="none"/>
          <w:shd w:val="clear"/>
        </w:rPr>
        <w:t>7.1 施工组织设计</w:t>
      </w:r>
      <w:bookmarkEnd w:id="1337"/>
      <w:bookmarkEnd w:id="1338"/>
      <w:bookmarkEnd w:id="1339"/>
    </w:p>
    <w:p w14:paraId="360381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7.1.1 合同当事人约定的施工组织设计应包括的其他内容：</w:t>
      </w:r>
      <w:r>
        <w:rPr>
          <w:rFonts w:hint="eastAsia" w:ascii="Times New Roman" w:hAnsi="Times New Roman"/>
          <w:b/>
          <w:bCs/>
          <w:color w:val="auto"/>
          <w:highlight w:val="none"/>
          <w:u w:val="single"/>
          <w:shd w:val="clear"/>
        </w:rPr>
        <w:t>包括材料、半成品、成品，专业分包等供应进场计划、人员安排、质保体系、安全文明施工措施、施工机械配置及施工现场布置、工程进度计划、主要技术措施、应急预案等内容，对专项工程还应按规定编制专项施工方案</w:t>
      </w:r>
      <w:r>
        <w:rPr>
          <w:rFonts w:hint="eastAsia" w:ascii="Times New Roman" w:hAnsi="Times New Roman"/>
          <w:color w:val="auto"/>
          <w:highlight w:val="none"/>
          <w:shd w:val="clear"/>
        </w:rPr>
        <w:t>。</w:t>
      </w:r>
    </w:p>
    <w:p w14:paraId="3F7B89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7.1.2 施工组织设计的提交和修改</w:t>
      </w:r>
    </w:p>
    <w:p w14:paraId="014389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承包人提交详细施工组织设计的期限的约定：</w:t>
      </w:r>
      <w:r>
        <w:rPr>
          <w:rFonts w:hint="eastAsia" w:ascii="Times New Roman" w:hAnsi="Times New Roman"/>
          <w:b/>
          <w:bCs/>
          <w:color w:val="auto"/>
          <w:highlight w:val="none"/>
          <w:u w:val="single"/>
          <w:shd w:val="clear"/>
        </w:rPr>
        <w:t>承包人应在开工7天前，向业主代表提交详细的施工组织设计，并由业主代表报送发包人</w:t>
      </w:r>
      <w:r>
        <w:rPr>
          <w:rFonts w:hint="eastAsia" w:ascii="Times New Roman" w:hAnsi="Times New Roman"/>
          <w:b/>
          <w:bCs/>
          <w:color w:val="auto"/>
          <w:highlight w:val="none"/>
          <w:u w:val="single"/>
          <w:shd w:val="clear"/>
        </w:rPr>
        <w:t>。</w:t>
      </w:r>
    </w:p>
    <w:p w14:paraId="16F874E6">
      <w:pPr>
        <w:pStyle w:val="22"/>
        <w:ind w:firstLine="420"/>
        <w:rPr>
          <w:rFonts w:hint="eastAsia" w:ascii="Times New Roman" w:hAnsi="Times New Roman" w:eastAsia="宋体"/>
          <w:b/>
          <w:bCs/>
          <w:color w:val="auto"/>
          <w:highlight w:val="none"/>
          <w:u w:val="single"/>
          <w:shd w:val="clear"/>
          <w:lang w:val="en-US" w:eastAsia="zh-CN"/>
        </w:rPr>
      </w:pPr>
      <w:r>
        <w:rPr>
          <w:rFonts w:hint="eastAsia" w:ascii="Times New Roman" w:hAnsi="Times New Roman"/>
          <w:color w:val="auto"/>
          <w:highlight w:val="none"/>
          <w:shd w:val="clear"/>
        </w:rPr>
        <w:t>发包人和监理人在收到详细的施工组织设计后确认或提出修改意见的期限：</w:t>
      </w:r>
      <w:r>
        <w:rPr>
          <w:rFonts w:hint="eastAsia" w:ascii="Times New Roman" w:hAnsi="Times New Roman"/>
          <w:b/>
          <w:bCs/>
          <w:color w:val="auto"/>
          <w:highlight w:val="none"/>
          <w:u w:val="single"/>
          <w:shd w:val="clear"/>
        </w:rPr>
        <w:t>收到后7日内进行确认和提出修改意见</w:t>
      </w:r>
      <w:r>
        <w:rPr>
          <w:rFonts w:hint="eastAsia" w:ascii="Times New Roman" w:hAnsi="Times New Roman"/>
          <w:b/>
          <w:bCs/>
          <w:color w:val="auto"/>
          <w:highlight w:val="none"/>
          <w:u w:val="single"/>
          <w:shd w:val="clear"/>
          <w:lang w:eastAsia="zh-CN"/>
        </w:rPr>
        <w:t>。</w:t>
      </w:r>
    </w:p>
    <w:p w14:paraId="54A94810">
      <w:pPr>
        <w:pStyle w:val="33"/>
        <w:rPr>
          <w:color w:val="auto"/>
          <w:highlight w:val="none"/>
          <w:shd w:val="clear"/>
        </w:rPr>
      </w:pPr>
      <w:bookmarkStart w:id="1340" w:name="_Toc170805682"/>
      <w:bookmarkStart w:id="1341" w:name="_Toc170805302"/>
      <w:bookmarkStart w:id="1342" w:name="_Toc170804114"/>
      <w:r>
        <w:rPr>
          <w:color w:val="auto"/>
          <w:highlight w:val="none"/>
          <w:shd w:val="clear"/>
        </w:rPr>
        <w:t>7</w:t>
      </w:r>
      <w:bookmarkStart w:id="1343" w:name="_Toc300934966"/>
      <w:bookmarkStart w:id="1344" w:name="_Toc312678005"/>
      <w:bookmarkStart w:id="1345" w:name="_Toc303539123"/>
      <w:bookmarkStart w:id="1346" w:name="_Toc304295541"/>
      <w:bookmarkStart w:id="1347" w:name="_Toc312677479"/>
      <w:bookmarkStart w:id="1348" w:name="_Toc297216173"/>
      <w:bookmarkStart w:id="1349" w:name="_Toc297123514"/>
      <w:r>
        <w:rPr>
          <w:color w:val="auto"/>
          <w:highlight w:val="none"/>
          <w:shd w:val="clear"/>
        </w:rPr>
        <w:t>.2 施工进度计划</w:t>
      </w:r>
      <w:bookmarkEnd w:id="1340"/>
      <w:bookmarkEnd w:id="1341"/>
      <w:bookmarkEnd w:id="1342"/>
    </w:p>
    <w:p w14:paraId="7D3E6F1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7.2.2 施工进度计划的修订</w:t>
      </w:r>
    </w:p>
    <w:p w14:paraId="5F3946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发包人和监理人在收到修订的施工进度计划后确认或提出修改意见的期限：</w:t>
      </w:r>
      <w:r>
        <w:rPr>
          <w:rFonts w:hint="eastAsia" w:ascii="Times New Roman" w:hAnsi="Times New Roman"/>
          <w:b/>
          <w:bCs/>
          <w:color w:val="auto"/>
          <w:highlight w:val="none"/>
          <w:u w:val="single"/>
          <w:shd w:val="clear"/>
        </w:rPr>
        <w:t>收到后7日内进行确认和提出修改意见</w:t>
      </w:r>
      <w:r>
        <w:rPr>
          <w:rFonts w:hint="eastAsia" w:ascii="Times New Roman" w:hAnsi="Times New Roman"/>
          <w:color w:val="auto"/>
          <w:highlight w:val="none"/>
          <w:shd w:val="clear"/>
        </w:rPr>
        <w:t>。</w:t>
      </w:r>
    </w:p>
    <w:p w14:paraId="3352D20D">
      <w:pPr>
        <w:pStyle w:val="33"/>
        <w:rPr>
          <w:color w:val="auto"/>
          <w:highlight w:val="none"/>
          <w:shd w:val="clear"/>
        </w:rPr>
      </w:pPr>
      <w:bookmarkStart w:id="1350" w:name="_Toc170804115"/>
      <w:bookmarkStart w:id="1351" w:name="_Toc170805303"/>
      <w:bookmarkStart w:id="1352" w:name="_Toc170805683"/>
      <w:r>
        <w:rPr>
          <w:color w:val="auto"/>
          <w:highlight w:val="none"/>
          <w:shd w:val="clear"/>
        </w:rPr>
        <w:t>7.3 开工</w:t>
      </w:r>
      <w:bookmarkEnd w:id="1350"/>
      <w:bookmarkEnd w:id="1351"/>
      <w:bookmarkEnd w:id="1352"/>
    </w:p>
    <w:p w14:paraId="0B511A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7.3.1 开工准备</w:t>
      </w:r>
    </w:p>
    <w:p w14:paraId="4184FC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关于承包人提交工程开工报审表的期限：</w:t>
      </w:r>
      <w:r>
        <w:rPr>
          <w:rFonts w:hint="eastAsia" w:ascii="Times New Roman" w:hAnsi="Times New Roman"/>
          <w:b/>
          <w:bCs/>
          <w:color w:val="auto"/>
          <w:highlight w:val="none"/>
          <w:u w:val="single"/>
          <w:shd w:val="clear"/>
        </w:rPr>
        <w:t xml:space="preserve">    开工前10天   </w:t>
      </w:r>
      <w:r>
        <w:rPr>
          <w:rFonts w:hint="eastAsia" w:ascii="Times New Roman" w:hAnsi="Times New Roman"/>
          <w:color w:val="auto"/>
          <w:highlight w:val="none"/>
          <w:shd w:val="clear"/>
        </w:rPr>
        <w:t>。</w:t>
      </w:r>
    </w:p>
    <w:p w14:paraId="25D1FB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关于发包人应完成的其他开工准备工作及期限：</w:t>
      </w:r>
      <w:r>
        <w:rPr>
          <w:rFonts w:hint="eastAsia" w:ascii="Times New Roman" w:hAnsi="Times New Roman"/>
          <w:b/>
          <w:bCs/>
          <w:color w:val="auto"/>
          <w:highlight w:val="none"/>
          <w:u w:val="single"/>
          <w:shd w:val="clear"/>
        </w:rPr>
        <w:t>执行国家规定和合同约定</w:t>
      </w:r>
      <w:r>
        <w:rPr>
          <w:rFonts w:hint="eastAsia" w:ascii="Times New Roman" w:hAnsi="Times New Roman"/>
          <w:color w:val="auto"/>
          <w:highlight w:val="none"/>
          <w:shd w:val="clear"/>
        </w:rPr>
        <w:t>。</w:t>
      </w:r>
    </w:p>
    <w:p w14:paraId="03A9A86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关于承包人应完成的其他开工准备工作及期限：</w:t>
      </w:r>
      <w:r>
        <w:rPr>
          <w:rFonts w:hint="eastAsia" w:ascii="Times New Roman" w:hAnsi="Times New Roman"/>
          <w:b/>
          <w:bCs/>
          <w:color w:val="auto"/>
          <w:highlight w:val="none"/>
          <w:u w:val="single"/>
          <w:shd w:val="clear"/>
        </w:rPr>
        <w:t>执行国家规定和合同约定</w:t>
      </w:r>
      <w:r>
        <w:rPr>
          <w:rFonts w:hint="eastAsia" w:ascii="Times New Roman" w:hAnsi="Times New Roman"/>
          <w:color w:val="auto"/>
          <w:highlight w:val="none"/>
          <w:shd w:val="clear"/>
        </w:rPr>
        <w:t>。</w:t>
      </w:r>
    </w:p>
    <w:p w14:paraId="1EAD4D0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7.3.2 开工通知</w:t>
      </w:r>
    </w:p>
    <w:p w14:paraId="797103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因发包人原因造成监理人未能在计划开工日期之日起</w:t>
      </w:r>
      <w:r>
        <w:rPr>
          <w:rFonts w:hint="eastAsia" w:ascii="Times New Roman" w:hAnsi="Times New Roman"/>
          <w:b/>
          <w:bCs/>
          <w:color w:val="auto"/>
          <w:highlight w:val="none"/>
          <w:u w:val="single"/>
          <w:shd w:val="clear"/>
          <w:lang w:val="en-US" w:eastAsia="zh-CN"/>
        </w:rPr>
        <w:t>7</w:t>
      </w:r>
      <w:r>
        <w:rPr>
          <w:rFonts w:hint="eastAsia" w:ascii="Times New Roman" w:hAnsi="Times New Roman"/>
          <w:color w:val="auto"/>
          <w:highlight w:val="none"/>
          <w:shd w:val="clear"/>
        </w:rPr>
        <w:t>天内发出开工通知的，承包人有权提出价格调整要求，或者解除合同。</w:t>
      </w:r>
    </w:p>
    <w:bookmarkEnd w:id="1343"/>
    <w:bookmarkEnd w:id="1344"/>
    <w:bookmarkEnd w:id="1345"/>
    <w:bookmarkEnd w:id="1346"/>
    <w:bookmarkEnd w:id="1347"/>
    <w:bookmarkEnd w:id="1348"/>
    <w:bookmarkEnd w:id="1349"/>
    <w:p w14:paraId="7FAB856B">
      <w:pPr>
        <w:pStyle w:val="33"/>
        <w:rPr>
          <w:color w:val="auto"/>
          <w:highlight w:val="none"/>
          <w:shd w:val="clear"/>
        </w:rPr>
      </w:pPr>
      <w:bookmarkStart w:id="1353" w:name="_Toc170805304"/>
      <w:bookmarkStart w:id="1354" w:name="_Toc170805684"/>
      <w:bookmarkStart w:id="1355" w:name="_Toc170804116"/>
      <w:r>
        <w:rPr>
          <w:color w:val="auto"/>
          <w:highlight w:val="none"/>
          <w:shd w:val="clear"/>
        </w:rPr>
        <w:t>7.4 测量放线</w:t>
      </w:r>
      <w:bookmarkEnd w:id="1353"/>
      <w:bookmarkEnd w:id="1354"/>
      <w:bookmarkEnd w:id="1355"/>
    </w:p>
    <w:p w14:paraId="722A51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7.4.1 发包人通过监理人向承包人提供测量基准点、基准线和水准点及其书面资料的期限</w:t>
      </w:r>
      <w:r>
        <w:rPr>
          <w:rFonts w:hint="eastAsia" w:ascii="Times New Roman" w:hAnsi="Times New Roman"/>
          <w:color w:val="auto"/>
          <w:highlight w:val="none"/>
          <w:shd w:val="clear"/>
          <w:lang w:eastAsia="zh-CN"/>
        </w:rPr>
        <w:t>：</w:t>
      </w:r>
      <w:r>
        <w:rPr>
          <w:rFonts w:hint="eastAsia" w:ascii="Times New Roman" w:hAnsi="Times New Roman"/>
          <w:b/>
          <w:bCs/>
          <w:color w:val="auto"/>
          <w:highlight w:val="none"/>
          <w:u w:val="single"/>
          <w:shd w:val="clear"/>
        </w:rPr>
        <w:t>开工前7天</w:t>
      </w:r>
      <w:r>
        <w:rPr>
          <w:rFonts w:hint="eastAsia" w:ascii="Times New Roman" w:hAnsi="Times New Roman"/>
          <w:color w:val="auto"/>
          <w:highlight w:val="none"/>
          <w:shd w:val="clear"/>
        </w:rPr>
        <w:t>。</w:t>
      </w:r>
    </w:p>
    <w:p w14:paraId="5C8C6B22">
      <w:pPr>
        <w:pStyle w:val="33"/>
        <w:rPr>
          <w:color w:val="auto"/>
          <w:highlight w:val="none"/>
          <w:shd w:val="clear"/>
        </w:rPr>
      </w:pPr>
      <w:bookmarkStart w:id="1356" w:name="_Toc170804117"/>
      <w:bookmarkStart w:id="1357" w:name="_Toc170805305"/>
      <w:bookmarkStart w:id="1358" w:name="_Toc170805685"/>
      <w:r>
        <w:rPr>
          <w:color w:val="auto"/>
          <w:highlight w:val="none"/>
          <w:shd w:val="clear"/>
        </w:rPr>
        <w:t>7</w:t>
      </w:r>
      <w:bookmarkStart w:id="1359" w:name="_Toc312678010"/>
      <w:bookmarkStart w:id="1360" w:name="_Toc297123516"/>
      <w:bookmarkStart w:id="1361" w:name="_Toc300934968"/>
      <w:bookmarkStart w:id="1362" w:name="_Toc312677484"/>
      <w:bookmarkStart w:id="1363" w:name="_Toc297216175"/>
      <w:bookmarkStart w:id="1364" w:name="_Toc303539125"/>
      <w:bookmarkStart w:id="1365" w:name="_Toc304295546"/>
      <w:r>
        <w:rPr>
          <w:color w:val="auto"/>
          <w:highlight w:val="none"/>
          <w:shd w:val="clear"/>
        </w:rPr>
        <w:t>.5 工期延误</w:t>
      </w:r>
      <w:bookmarkEnd w:id="1356"/>
      <w:bookmarkEnd w:id="1357"/>
      <w:bookmarkEnd w:id="1358"/>
    </w:p>
    <w:bookmarkEnd w:id="1359"/>
    <w:bookmarkEnd w:id="1360"/>
    <w:bookmarkEnd w:id="1361"/>
    <w:bookmarkEnd w:id="1362"/>
    <w:bookmarkEnd w:id="1363"/>
    <w:bookmarkEnd w:id="1364"/>
    <w:bookmarkEnd w:id="1365"/>
    <w:p w14:paraId="11F6D8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7.5.1 因发包人原因导致工期延误</w:t>
      </w:r>
    </w:p>
    <w:p w14:paraId="45EF0906">
      <w:pPr>
        <w:pStyle w:val="22"/>
        <w:ind w:firstLine="420"/>
        <w:rPr>
          <w:rFonts w:hint="eastAsia" w:ascii="Times New Roman" w:hAnsi="Times New Roman" w:eastAsia="宋体"/>
          <w:b/>
          <w:bCs/>
          <w:color w:val="auto"/>
          <w:highlight w:val="none"/>
          <w:u w:val="single"/>
          <w:shd w:val="clear"/>
          <w:lang w:eastAsia="zh-CN"/>
        </w:rPr>
      </w:pPr>
      <w:r>
        <w:rPr>
          <w:rFonts w:hint="eastAsia" w:ascii="Times New Roman" w:hAnsi="Times New Roman"/>
          <w:color w:val="auto"/>
          <w:highlight w:val="none"/>
          <w:shd w:val="clear"/>
        </w:rPr>
        <w:t>（7）因发包人原因导致工期延误的其他情形：</w:t>
      </w:r>
      <w:r>
        <w:rPr>
          <w:rFonts w:hint="eastAsia" w:ascii="Times New Roman" w:hAnsi="Times New Roman"/>
          <w:b/>
          <w:bCs/>
          <w:color w:val="auto"/>
          <w:highlight w:val="none"/>
          <w:u w:val="single"/>
          <w:shd w:val="clear"/>
        </w:rPr>
        <w:t>执行国家规定</w:t>
      </w:r>
      <w:r>
        <w:rPr>
          <w:rFonts w:hint="eastAsia" w:ascii="Times New Roman" w:hAnsi="Times New Roman"/>
          <w:b/>
          <w:bCs/>
          <w:color w:val="auto"/>
          <w:highlight w:val="none"/>
          <w:u w:val="single"/>
          <w:shd w:val="clear"/>
          <w:lang w:eastAsia="zh-CN"/>
        </w:rPr>
        <w:t>。</w:t>
      </w:r>
    </w:p>
    <w:p w14:paraId="7E39FDF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w:t>
      </w:r>
      <w:bookmarkStart w:id="1366" w:name="_Toc312678012"/>
      <w:bookmarkStart w:id="1367" w:name="_Toc312677486"/>
      <w:bookmarkStart w:id="1368" w:name="_Toc318581169"/>
      <w:bookmarkStart w:id="1369" w:name="_Toc303539127"/>
      <w:bookmarkStart w:id="1370" w:name="_Toc304295548"/>
      <w:bookmarkStart w:id="1371" w:name="_Toc300934970"/>
      <w:bookmarkStart w:id="1372" w:name="_Toc297123518"/>
      <w:bookmarkStart w:id="1373" w:name="_Toc297216177"/>
      <w:r>
        <w:rPr>
          <w:rFonts w:hint="eastAsia" w:ascii="Times New Roman" w:hAnsi="Times New Roman"/>
          <w:color w:val="auto"/>
          <w:highlight w:val="none"/>
          <w:shd w:val="clear"/>
        </w:rPr>
        <w:t>.5.2 因承包人原因导致工期延误</w:t>
      </w:r>
    </w:p>
    <w:bookmarkEnd w:id="1366"/>
    <w:bookmarkEnd w:id="1367"/>
    <w:bookmarkEnd w:id="1368"/>
    <w:p w14:paraId="11D12EA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w:t>
      </w:r>
      <w:bookmarkStart w:id="1374" w:name="_Toc312678013"/>
      <w:bookmarkStart w:id="1375" w:name="_Toc312677487"/>
      <w:bookmarkStart w:id="1376" w:name="_Toc318581170"/>
      <w:r>
        <w:rPr>
          <w:rFonts w:hint="eastAsia" w:ascii="Times New Roman" w:hAnsi="Times New Roman"/>
          <w:color w:val="auto"/>
          <w:highlight w:val="none"/>
          <w:shd w:val="clear"/>
        </w:rPr>
        <w:t>承包人原因造成工期延误，逾期竣工违约金的计算方法为：</w:t>
      </w:r>
      <w:r>
        <w:rPr>
          <w:rFonts w:hint="eastAsia" w:ascii="Times New Roman" w:hAnsi="Times New Roman"/>
          <w:b/>
          <w:bCs/>
          <w:color w:val="auto"/>
          <w:highlight w:val="none"/>
          <w:u w:val="single"/>
          <w:shd w:val="clear"/>
        </w:rPr>
        <w:t>每延期竣工一天，承包人支付发包人合同价款的万分之</w:t>
      </w:r>
      <w:r>
        <w:rPr>
          <w:rFonts w:hint="eastAsia" w:ascii="Times New Roman" w:hAnsi="Times New Roman"/>
          <w:b/>
          <w:bCs/>
          <w:color w:val="auto"/>
          <w:highlight w:val="none"/>
          <w:u w:val="single"/>
          <w:shd w:val="clear"/>
          <w:lang w:val="en-US" w:eastAsia="zh-CN"/>
        </w:rPr>
        <w:t>二</w:t>
      </w:r>
      <w:r>
        <w:rPr>
          <w:rFonts w:hint="eastAsia" w:ascii="Times New Roman" w:hAnsi="Times New Roman"/>
          <w:b/>
          <w:bCs/>
          <w:color w:val="auto"/>
          <w:highlight w:val="none"/>
          <w:u w:val="single"/>
          <w:shd w:val="clear"/>
        </w:rPr>
        <w:t>的违约金；工程延期28日以上的，每日按合同价款万分之</w:t>
      </w:r>
      <w:r>
        <w:rPr>
          <w:rFonts w:hint="eastAsia" w:ascii="Times New Roman" w:hAnsi="Times New Roman"/>
          <w:b/>
          <w:bCs/>
          <w:color w:val="auto"/>
          <w:highlight w:val="none"/>
          <w:u w:val="single"/>
          <w:shd w:val="clear"/>
          <w:lang w:val="en-US" w:eastAsia="zh-CN"/>
        </w:rPr>
        <w:t>五</w:t>
      </w:r>
      <w:r>
        <w:rPr>
          <w:rFonts w:hint="eastAsia" w:ascii="Times New Roman" w:hAnsi="Times New Roman"/>
          <w:b/>
          <w:bCs/>
          <w:color w:val="auto"/>
          <w:highlight w:val="none"/>
          <w:u w:val="single"/>
          <w:shd w:val="clear"/>
        </w:rPr>
        <w:t>向发包人支付违约金。</w:t>
      </w:r>
      <w:bookmarkEnd w:id="1369"/>
      <w:bookmarkEnd w:id="1370"/>
      <w:bookmarkEnd w:id="1371"/>
      <w:bookmarkEnd w:id="1372"/>
      <w:bookmarkEnd w:id="1373"/>
      <w:bookmarkEnd w:id="1374"/>
      <w:bookmarkEnd w:id="1375"/>
    </w:p>
    <w:bookmarkEnd w:id="1376"/>
    <w:p w14:paraId="20F74D1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因承包人原因造成工期延误，逾</w:t>
      </w:r>
      <w:bookmarkStart w:id="1377" w:name="_Toc312678014"/>
      <w:bookmarkStart w:id="1378" w:name="_Toc318581171"/>
      <w:r>
        <w:rPr>
          <w:rFonts w:hint="eastAsia" w:ascii="Times New Roman" w:hAnsi="Times New Roman"/>
          <w:color w:val="auto"/>
          <w:highlight w:val="none"/>
          <w:shd w:val="clear"/>
        </w:rPr>
        <w:t>期竣工违约金的上限：</w:t>
      </w:r>
      <w:r>
        <w:rPr>
          <w:rFonts w:hint="eastAsia" w:ascii="Times New Roman" w:hAnsi="Times New Roman"/>
          <w:b/>
          <w:bCs/>
          <w:color w:val="auto"/>
          <w:highlight w:val="none"/>
          <w:u w:val="single"/>
          <w:shd w:val="clear"/>
        </w:rPr>
        <w:t>违约金最高限额为合同价款的2%</w:t>
      </w:r>
      <w:r>
        <w:rPr>
          <w:rFonts w:hint="eastAsia" w:ascii="Times New Roman" w:hAnsi="Times New Roman"/>
          <w:color w:val="auto"/>
          <w:highlight w:val="none"/>
          <w:shd w:val="clear"/>
        </w:rPr>
        <w:t>。</w:t>
      </w:r>
    </w:p>
    <w:bookmarkEnd w:id="1377"/>
    <w:bookmarkEnd w:id="1378"/>
    <w:p w14:paraId="4A54C9A3">
      <w:pPr>
        <w:pStyle w:val="33"/>
        <w:rPr>
          <w:color w:val="auto"/>
          <w:highlight w:val="none"/>
          <w:shd w:val="clear"/>
        </w:rPr>
      </w:pPr>
      <w:bookmarkStart w:id="1379" w:name="_Toc170805306"/>
      <w:bookmarkStart w:id="1380" w:name="_Toc170805686"/>
      <w:bookmarkStart w:id="1381" w:name="_Toc170804118"/>
      <w:r>
        <w:rPr>
          <w:color w:val="auto"/>
          <w:highlight w:val="none"/>
          <w:shd w:val="clear"/>
        </w:rPr>
        <w:t>7</w:t>
      </w:r>
      <w:bookmarkStart w:id="1382" w:name="_Toc297216178"/>
      <w:bookmarkStart w:id="1383" w:name="_Toc303539128"/>
      <w:bookmarkStart w:id="1384" w:name="_Toc312678015"/>
      <w:bookmarkStart w:id="1385" w:name="_Toc297123519"/>
      <w:bookmarkStart w:id="1386" w:name="_Toc304295549"/>
      <w:bookmarkStart w:id="1387" w:name="_Toc300934971"/>
      <w:r>
        <w:rPr>
          <w:color w:val="auto"/>
          <w:highlight w:val="none"/>
          <w:shd w:val="clear"/>
        </w:rPr>
        <w:t>.6 不</w:t>
      </w:r>
      <w:bookmarkEnd w:id="1382"/>
      <w:bookmarkEnd w:id="1383"/>
      <w:bookmarkEnd w:id="1384"/>
      <w:bookmarkEnd w:id="1385"/>
      <w:bookmarkEnd w:id="1386"/>
      <w:bookmarkEnd w:id="1387"/>
      <w:r>
        <w:rPr>
          <w:color w:val="auto"/>
          <w:highlight w:val="none"/>
          <w:shd w:val="clear"/>
        </w:rPr>
        <w:t>利物质条件</w:t>
      </w:r>
      <w:bookmarkEnd w:id="1379"/>
      <w:bookmarkEnd w:id="1380"/>
      <w:bookmarkEnd w:id="1381"/>
    </w:p>
    <w:p w14:paraId="31C85618">
      <w:pPr>
        <w:pStyle w:val="22"/>
        <w:ind w:firstLine="420"/>
        <w:rPr>
          <w:rFonts w:ascii="Times New Roman" w:hAnsi="Times New Roman"/>
          <w:color w:val="auto"/>
          <w:highlight w:val="none"/>
          <w:shd w:val="clear"/>
        </w:rPr>
      </w:pPr>
      <w:bookmarkStart w:id="1388" w:name="_Toc300934972"/>
      <w:bookmarkStart w:id="1389" w:name="_Toc312678016"/>
      <w:bookmarkStart w:id="1390" w:name="_Toc303539129"/>
      <w:bookmarkStart w:id="1391" w:name="_Toc318581172"/>
      <w:bookmarkStart w:id="1392" w:name="_Toc297123520"/>
      <w:bookmarkStart w:id="1393" w:name="_Toc297216179"/>
      <w:bookmarkStart w:id="1394" w:name="_Toc304295550"/>
      <w:r>
        <w:rPr>
          <w:rFonts w:hint="eastAsia" w:ascii="Times New Roman" w:hAnsi="Times New Roman"/>
          <w:color w:val="auto"/>
          <w:highlight w:val="none"/>
          <w:shd w:val="clear"/>
        </w:rPr>
        <w:t>不利物质条件的其他情形和有关约定：</w:t>
      </w:r>
      <w:r>
        <w:rPr>
          <w:rFonts w:hint="eastAsia" w:ascii="Times New Roman" w:hAnsi="Times New Roman"/>
          <w:b/>
          <w:bCs/>
          <w:color w:val="auto"/>
          <w:highlight w:val="none"/>
          <w:u w:val="single"/>
          <w:shd w:val="clear"/>
        </w:rPr>
        <w:t>执行国家规定和社会普遍认同的情形</w:t>
      </w:r>
      <w:r>
        <w:rPr>
          <w:rFonts w:hint="eastAsia" w:ascii="Times New Roman" w:hAnsi="Times New Roman"/>
          <w:color w:val="auto"/>
          <w:highlight w:val="none"/>
          <w:shd w:val="clear"/>
        </w:rPr>
        <w:t>。</w:t>
      </w:r>
    </w:p>
    <w:bookmarkEnd w:id="1388"/>
    <w:bookmarkEnd w:id="1389"/>
    <w:bookmarkEnd w:id="1390"/>
    <w:bookmarkEnd w:id="1391"/>
    <w:bookmarkEnd w:id="1392"/>
    <w:bookmarkEnd w:id="1393"/>
    <w:bookmarkEnd w:id="1394"/>
    <w:p w14:paraId="6D9BB56D">
      <w:pPr>
        <w:pStyle w:val="33"/>
        <w:rPr>
          <w:color w:val="auto"/>
          <w:highlight w:val="none"/>
          <w:shd w:val="clear"/>
        </w:rPr>
      </w:pPr>
      <w:bookmarkStart w:id="1395" w:name="_Toc170805307"/>
      <w:bookmarkStart w:id="1396" w:name="_Toc170805687"/>
      <w:bookmarkStart w:id="1397" w:name="_Toc170804119"/>
      <w:r>
        <w:rPr>
          <w:color w:val="auto"/>
          <w:highlight w:val="none"/>
          <w:shd w:val="clear"/>
        </w:rPr>
        <w:t>7</w:t>
      </w:r>
      <w:bookmarkStart w:id="1398" w:name="_Toc304295551"/>
      <w:bookmarkStart w:id="1399" w:name="_Toc303539130"/>
      <w:bookmarkStart w:id="1400" w:name="_Toc297216180"/>
      <w:bookmarkStart w:id="1401" w:name="_Toc312678017"/>
      <w:bookmarkStart w:id="1402" w:name="_Toc300934973"/>
      <w:bookmarkStart w:id="1403" w:name="_Toc297123521"/>
      <w:r>
        <w:rPr>
          <w:color w:val="auto"/>
          <w:highlight w:val="none"/>
          <w:shd w:val="clear"/>
        </w:rPr>
        <w:t>.7 异常恶劣的气候条件</w:t>
      </w:r>
      <w:bookmarkEnd w:id="1395"/>
      <w:bookmarkEnd w:id="1396"/>
      <w:bookmarkEnd w:id="1397"/>
    </w:p>
    <w:bookmarkEnd w:id="1398"/>
    <w:bookmarkEnd w:id="1399"/>
    <w:bookmarkEnd w:id="1400"/>
    <w:bookmarkEnd w:id="1401"/>
    <w:bookmarkEnd w:id="1402"/>
    <w:bookmarkEnd w:id="1403"/>
    <w:p w14:paraId="098C0738">
      <w:pPr>
        <w:spacing w:line="360" w:lineRule="auto"/>
        <w:ind w:firstLine="400" w:firstLineChars="200"/>
        <w:jc w:val="left"/>
        <w:rPr>
          <w:rFonts w:ascii="Times New Roman" w:hAnsi="Times New Roman"/>
          <w:color w:val="auto"/>
          <w:sz w:val="20"/>
          <w:szCs w:val="20"/>
          <w:highlight w:val="none"/>
          <w:shd w:val="clear"/>
        </w:rPr>
      </w:pPr>
      <w:r>
        <w:rPr>
          <w:rFonts w:hint="eastAsia" w:ascii="Times New Roman" w:hAnsi="Times New Roman"/>
          <w:color w:val="auto"/>
          <w:sz w:val="20"/>
          <w:szCs w:val="20"/>
          <w:highlight w:val="none"/>
          <w:shd w:val="clear"/>
        </w:rPr>
        <w:t>发包人和承包人同意以下情形视为异常恶劣的气候条件：</w:t>
      </w:r>
    </w:p>
    <w:p w14:paraId="5BFDA31E">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（1）</w:t>
      </w:r>
      <w:r>
        <w:rPr>
          <w:rFonts w:hint="eastAsia" w:ascii="Times New Roman" w:hAnsi="Times New Roman"/>
          <w:b/>
          <w:bCs/>
          <w:color w:val="auto"/>
          <w:highlight w:val="none"/>
          <w:u w:val="single"/>
          <w:shd w:val="clear"/>
        </w:rPr>
        <w:t>:(1) 暴雨或暴雪连续超过7天; (2) 温度超过40°C或低于- 10°C连续超过7天 ; (3)台风超过8级;（4）以上以本地气象报告为准</w:t>
      </w:r>
      <w:r>
        <w:rPr>
          <w:rFonts w:hint="eastAsia" w:ascii="Times New Roman" w:hAnsi="Times New Roman"/>
          <w:b/>
          <w:bCs/>
          <w:color w:val="auto"/>
          <w:highlight w:val="none"/>
          <w:u w:val="single"/>
          <w:shd w:val="clear"/>
        </w:rPr>
        <w:t>；</w:t>
      </w:r>
    </w:p>
    <w:p w14:paraId="2C67A372">
      <w:pPr>
        <w:pStyle w:val="33"/>
        <w:rPr>
          <w:color w:val="auto"/>
          <w:highlight w:val="none"/>
          <w:shd w:val="clear"/>
        </w:rPr>
      </w:pPr>
      <w:bookmarkStart w:id="1404" w:name="_Toc170804120"/>
      <w:bookmarkStart w:id="1405" w:name="_Toc170805688"/>
      <w:bookmarkStart w:id="1406" w:name="_Toc170805308"/>
      <w:r>
        <w:rPr>
          <w:color w:val="auto"/>
          <w:highlight w:val="none"/>
          <w:shd w:val="clear"/>
        </w:rPr>
        <w:t>7.9 提前竣工的奖励</w:t>
      </w:r>
      <w:bookmarkEnd w:id="1404"/>
      <w:bookmarkEnd w:id="1405"/>
      <w:bookmarkEnd w:id="1406"/>
    </w:p>
    <w:p w14:paraId="1EF615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7.9.2提前竣工的奖励：</w:t>
      </w:r>
      <w:r>
        <w:rPr>
          <w:rFonts w:hint="eastAsia" w:ascii="Times New Roman" w:hAnsi="Times New Roman"/>
          <w:b/>
          <w:bCs/>
          <w:color w:val="auto"/>
          <w:highlight w:val="none"/>
          <w:u w:val="single"/>
          <w:shd w:val="clear"/>
          <w:lang w:val="en-US" w:eastAsia="zh-CN"/>
        </w:rPr>
        <w:t>不奖励</w:t>
      </w:r>
      <w:r>
        <w:rPr>
          <w:rFonts w:hint="eastAsia" w:ascii="Times New Roman" w:hAnsi="Times New Roman"/>
          <w:b/>
          <w:bCs/>
          <w:color w:val="auto"/>
          <w:highlight w:val="none"/>
          <w:u w:val="single"/>
          <w:shd w:val="clear"/>
        </w:rPr>
        <w:t>。</w:t>
      </w:r>
    </w:p>
    <w:p w14:paraId="619CBA83">
      <w:pPr>
        <w:pStyle w:val="26"/>
        <w:rPr>
          <w:color w:val="auto"/>
          <w:highlight w:val="none"/>
          <w:shd w:val="clear"/>
        </w:rPr>
      </w:pPr>
      <w:bookmarkStart w:id="1407" w:name="_Toc170804121"/>
      <w:bookmarkStart w:id="1408" w:name="_Toc351203640"/>
      <w:bookmarkStart w:id="1409" w:name="_Toc170805309"/>
      <w:bookmarkStart w:id="1410" w:name="_Toc170805689"/>
      <w:r>
        <w:rPr>
          <w:rFonts w:hint="eastAsia"/>
          <w:color w:val="auto"/>
          <w:highlight w:val="none"/>
          <w:shd w:val="clear"/>
        </w:rPr>
        <w:t>8.材料与设备</w:t>
      </w:r>
      <w:bookmarkEnd w:id="1407"/>
      <w:bookmarkEnd w:id="1408"/>
      <w:bookmarkEnd w:id="1409"/>
      <w:bookmarkEnd w:id="1410"/>
    </w:p>
    <w:bookmarkEnd w:id="1303"/>
    <w:bookmarkEnd w:id="1304"/>
    <w:bookmarkEnd w:id="1305"/>
    <w:bookmarkEnd w:id="1306"/>
    <w:bookmarkEnd w:id="1307"/>
    <w:bookmarkEnd w:id="1308"/>
    <w:bookmarkEnd w:id="1309"/>
    <w:bookmarkEnd w:id="1310"/>
    <w:bookmarkEnd w:id="1311"/>
    <w:bookmarkEnd w:id="1312"/>
    <w:p w14:paraId="54AC179E">
      <w:pPr>
        <w:pStyle w:val="33"/>
        <w:rPr>
          <w:color w:val="auto"/>
          <w:highlight w:val="none"/>
          <w:shd w:val="clear"/>
        </w:rPr>
      </w:pPr>
      <w:bookmarkStart w:id="1411" w:name="_Toc170804122"/>
      <w:bookmarkStart w:id="1412" w:name="_Toc170805310"/>
      <w:bookmarkStart w:id="1413" w:name="_Toc170805690"/>
      <w:r>
        <w:rPr>
          <w:color w:val="auto"/>
          <w:highlight w:val="none"/>
          <w:shd w:val="clear"/>
        </w:rPr>
        <w:t>8</w:t>
      </w:r>
      <w:bookmarkStart w:id="1414" w:name="_Toc312677493"/>
      <w:bookmarkStart w:id="1415" w:name="_Toc296347166"/>
      <w:bookmarkStart w:id="1416" w:name="_Toc297216186"/>
      <w:bookmarkStart w:id="1417" w:name="_Toc312678019"/>
      <w:bookmarkStart w:id="1418" w:name="_Toc296346668"/>
      <w:bookmarkStart w:id="1419" w:name="_Toc300934979"/>
      <w:bookmarkStart w:id="1420" w:name="_Toc280868654"/>
      <w:bookmarkStart w:id="1421" w:name="_Toc297123527"/>
      <w:bookmarkStart w:id="1422" w:name="_Toc297120467"/>
      <w:bookmarkStart w:id="1423" w:name="_Toc304295556"/>
      <w:bookmarkStart w:id="1424" w:name="_Toc296503167"/>
      <w:bookmarkStart w:id="1425" w:name="_Toc292559877"/>
      <w:bookmarkStart w:id="1426" w:name="_Toc296891207"/>
      <w:bookmarkStart w:id="1427" w:name="_Toc297048353"/>
      <w:bookmarkStart w:id="1428" w:name="_Toc296944506"/>
      <w:bookmarkStart w:id="1429" w:name="_Toc296890995"/>
      <w:bookmarkStart w:id="1430" w:name="_Toc292559372"/>
      <w:bookmarkStart w:id="1431" w:name="_Toc303539136"/>
      <w:bookmarkStart w:id="1432" w:name="_Toc280868655"/>
      <w:bookmarkStart w:id="1433" w:name="_Toc280868656"/>
      <w:bookmarkStart w:id="1434" w:name="_Toc267251424"/>
      <w:r>
        <w:rPr>
          <w:color w:val="auto"/>
          <w:highlight w:val="none"/>
          <w:shd w:val="clear"/>
        </w:rPr>
        <w:t>.4 材料与工程设备的保管与使用</w:t>
      </w:r>
      <w:bookmarkEnd w:id="1411"/>
      <w:bookmarkEnd w:id="1412"/>
      <w:bookmarkEnd w:id="1413"/>
    </w:p>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14:paraId="6912F5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w:t>
      </w:r>
      <w:bookmarkStart w:id="1435" w:name="_Toc292559878"/>
      <w:bookmarkStart w:id="1436" w:name="_Toc292559373"/>
      <w:bookmarkStart w:id="1437" w:name="_Toc296890996"/>
      <w:bookmarkStart w:id="1438" w:name="_Toc312678020"/>
      <w:bookmarkStart w:id="1439" w:name="_Toc296944507"/>
      <w:bookmarkStart w:id="1440" w:name="_Toc300934980"/>
      <w:bookmarkStart w:id="1441" w:name="_Toc297048354"/>
      <w:bookmarkStart w:id="1442" w:name="_Toc296503168"/>
      <w:bookmarkStart w:id="1443" w:name="_Toc297123528"/>
      <w:bookmarkStart w:id="1444" w:name="_Toc296347167"/>
      <w:bookmarkStart w:id="1445" w:name="_Toc312677494"/>
      <w:bookmarkStart w:id="1446" w:name="_Toc296346669"/>
      <w:bookmarkStart w:id="1447" w:name="_Toc318581173"/>
      <w:bookmarkStart w:id="1448" w:name="_Toc297216187"/>
      <w:bookmarkStart w:id="1449" w:name="_Toc296891208"/>
      <w:bookmarkStart w:id="1450" w:name="_Toc303539137"/>
      <w:bookmarkStart w:id="1451" w:name="_Toc304295557"/>
      <w:bookmarkStart w:id="1452" w:name="_Toc297120468"/>
      <w:r>
        <w:rPr>
          <w:rFonts w:hint="eastAsia" w:ascii="Times New Roman" w:hAnsi="Times New Roman"/>
          <w:color w:val="auto"/>
          <w:highlight w:val="none"/>
          <w:shd w:val="clear"/>
        </w:rPr>
        <w:t>.4.1 发包人供应的材料设备的保管费用的承担：</w:t>
      </w:r>
      <w:r>
        <w:rPr>
          <w:rFonts w:hint="eastAsia" w:ascii="Times New Roman" w:hAnsi="Times New Roman"/>
          <w:b/>
          <w:bCs/>
          <w:color w:val="auto"/>
          <w:highlight w:val="none"/>
          <w:u w:val="single"/>
          <w:shd w:val="clear"/>
        </w:rPr>
        <w:t>由承包人承担</w:t>
      </w:r>
      <w:r>
        <w:rPr>
          <w:rFonts w:hint="eastAsia" w:ascii="Times New Roman" w:hAnsi="Times New Roman"/>
          <w:color w:val="auto"/>
          <w:highlight w:val="none"/>
          <w:shd w:val="clear"/>
        </w:rPr>
        <w:t>。</w:t>
      </w:r>
      <w:bookmarkEnd w:id="1435"/>
      <w:bookmarkEnd w:id="1436"/>
    </w:p>
    <w:p w14:paraId="174F8F60">
      <w:pPr>
        <w:pStyle w:val="33"/>
        <w:rPr>
          <w:color w:val="auto"/>
          <w:highlight w:val="none"/>
          <w:shd w:val="clear"/>
        </w:rPr>
      </w:pPr>
      <w:bookmarkStart w:id="1453" w:name="_Toc170805311"/>
      <w:bookmarkStart w:id="1454" w:name="_Toc170805691"/>
      <w:bookmarkStart w:id="1455" w:name="_Toc170804123"/>
      <w:r>
        <w:rPr>
          <w:color w:val="auto"/>
          <w:highlight w:val="none"/>
          <w:shd w:val="clear"/>
        </w:rPr>
        <w:t>8.6 样品</w:t>
      </w:r>
      <w:bookmarkEnd w:id="1453"/>
      <w:bookmarkEnd w:id="1454"/>
      <w:bookmarkEnd w:id="1455"/>
    </w:p>
    <w:p w14:paraId="623C0A5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8.6.1</w:t>
      </w:r>
      <w:r>
        <w:rPr>
          <w:rFonts w:hint="eastAsia" w:ascii="Times New Roman" w:hAnsi="Times New Roman"/>
          <w:color w:val="auto"/>
          <w:highlight w:val="none"/>
          <w:shd w:val="clear"/>
        </w:rPr>
        <w:tab/>
      </w:r>
      <w:r>
        <w:rPr>
          <w:rFonts w:hint="eastAsia" w:ascii="Times New Roman" w:hAnsi="Times New Roman"/>
          <w:color w:val="auto"/>
          <w:highlight w:val="none"/>
          <w:shd w:val="clear"/>
        </w:rPr>
        <w:t>样品的报送与封存</w:t>
      </w:r>
    </w:p>
    <w:p w14:paraId="3464F1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需要承包人报送样品的材料或工程设备，样品的种类、名称、规格、数量要求：</w:t>
      </w:r>
      <w:r>
        <w:rPr>
          <w:rFonts w:hint="eastAsia" w:ascii="Times New Roman" w:hAnsi="Times New Roman"/>
          <w:b/>
          <w:bCs/>
          <w:color w:val="auto"/>
          <w:highlight w:val="none"/>
          <w:u w:val="single"/>
          <w:shd w:val="clear"/>
        </w:rPr>
        <w:t>工程主要材料须提供样品，经监理、发包人同意后方可采购使用；承包人提供样品由发包人封存，作为结算审计依据。</w:t>
      </w:r>
    </w:p>
    <w:p w14:paraId="1F98B71E">
      <w:pPr>
        <w:pStyle w:val="33"/>
        <w:rPr>
          <w:color w:val="auto"/>
          <w:highlight w:val="none"/>
          <w:shd w:val="clear"/>
        </w:rPr>
      </w:pPr>
      <w:bookmarkStart w:id="1456" w:name="_Toc170805312"/>
      <w:bookmarkStart w:id="1457" w:name="_Toc170805692"/>
      <w:bookmarkStart w:id="1458" w:name="_Toc170804124"/>
      <w:r>
        <w:rPr>
          <w:rFonts w:hint="eastAsia"/>
          <w:color w:val="auto"/>
          <w:highlight w:val="none"/>
          <w:shd w:val="clear"/>
        </w:rPr>
        <w:t>8.</w:t>
      </w:r>
      <w:r>
        <w:rPr>
          <w:snapToGrid/>
          <w:color w:val="auto"/>
          <w:highlight w:val="none"/>
          <w:shd w:val="clear"/>
        </w:rPr>
        <w:t xml:space="preserve">8 </w:t>
      </w:r>
      <w:r>
        <w:rPr>
          <w:rFonts w:hint="eastAsia"/>
          <w:color w:val="auto"/>
          <w:highlight w:val="none"/>
          <w:shd w:val="clear"/>
        </w:rPr>
        <w:t>施工设备和临时设施</w:t>
      </w:r>
      <w:bookmarkEnd w:id="1456"/>
      <w:bookmarkEnd w:id="1457"/>
      <w:bookmarkEnd w:id="1458"/>
    </w:p>
    <w:p w14:paraId="40B5CCF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8.8.1 承包人提供的施工设备和临时设施</w:t>
      </w:r>
    </w:p>
    <w:p w14:paraId="198616F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关于修建临时设施费用承担的约定：</w:t>
      </w:r>
      <w:r>
        <w:rPr>
          <w:rFonts w:hint="eastAsia" w:ascii="Times New Roman" w:hAnsi="Times New Roman"/>
          <w:b/>
          <w:bCs/>
          <w:color w:val="auto"/>
          <w:highlight w:val="none"/>
          <w:u w:val="single"/>
          <w:shd w:val="clear"/>
        </w:rPr>
        <w:t>由承包人承担</w:t>
      </w:r>
      <w:r>
        <w:rPr>
          <w:rFonts w:hint="eastAsia" w:ascii="Times New Roman" w:hAnsi="Times New Roman"/>
          <w:color w:val="auto"/>
          <w:highlight w:val="none"/>
          <w:shd w:val="clear"/>
        </w:rPr>
        <w:t>。</w:t>
      </w:r>
    </w:p>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14:paraId="482C1B1C">
      <w:pPr>
        <w:pStyle w:val="26"/>
        <w:rPr>
          <w:color w:val="auto"/>
          <w:highlight w:val="none"/>
          <w:shd w:val="clear"/>
        </w:rPr>
      </w:pPr>
      <w:bookmarkStart w:id="1459" w:name="_Toc170805313"/>
      <w:bookmarkStart w:id="1460" w:name="_Toc351203641"/>
      <w:bookmarkStart w:id="1461" w:name="_Toc170804125"/>
      <w:bookmarkStart w:id="1462" w:name="_Toc170805693"/>
      <w:r>
        <w:rPr>
          <w:rFonts w:hint="eastAsia"/>
          <w:color w:val="auto"/>
          <w:highlight w:val="none"/>
          <w:shd w:val="clear"/>
        </w:rPr>
        <w:t>9</w:t>
      </w:r>
      <w:bookmarkEnd w:id="1432"/>
      <w:bookmarkEnd w:id="1433"/>
      <w:bookmarkEnd w:id="1434"/>
      <w:bookmarkStart w:id="1463" w:name="_Toc303539139"/>
      <w:bookmarkStart w:id="1464" w:name="_Toc304295559"/>
      <w:bookmarkStart w:id="1465" w:name="_Toc297216192"/>
      <w:bookmarkStart w:id="1466" w:name="_Toc312677495"/>
      <w:bookmarkStart w:id="1467" w:name="_Toc312678021"/>
      <w:bookmarkStart w:id="1468" w:name="_Toc297123533"/>
      <w:bookmarkStart w:id="1469" w:name="_Toc300934982"/>
      <w:bookmarkStart w:id="1470" w:name="_Toc292559378"/>
      <w:bookmarkStart w:id="1471" w:name="_Toc296347172"/>
      <w:bookmarkStart w:id="1472" w:name="_Toc296891213"/>
      <w:bookmarkStart w:id="1473" w:name="_Toc292559883"/>
      <w:bookmarkStart w:id="1474" w:name="_Toc296503173"/>
      <w:bookmarkStart w:id="1475" w:name="_Toc296944512"/>
      <w:bookmarkStart w:id="1476" w:name="_Toc267251428"/>
      <w:bookmarkStart w:id="1477" w:name="_Toc296346674"/>
      <w:bookmarkStart w:id="1478" w:name="_Toc297120473"/>
      <w:bookmarkStart w:id="1479" w:name="_Toc267251427"/>
      <w:bookmarkStart w:id="1480" w:name="_Toc297048359"/>
      <w:bookmarkStart w:id="1481" w:name="_Toc296891001"/>
      <w:r>
        <w:rPr>
          <w:rFonts w:hint="eastAsia"/>
          <w:color w:val="auto"/>
          <w:highlight w:val="none"/>
          <w:shd w:val="clear"/>
        </w:rPr>
        <w:t>.试验与检验</w:t>
      </w:r>
      <w:bookmarkEnd w:id="1459"/>
      <w:bookmarkEnd w:id="1460"/>
      <w:bookmarkEnd w:id="1461"/>
      <w:bookmarkEnd w:id="1462"/>
    </w:p>
    <w:bookmarkEnd w:id="1463"/>
    <w:bookmarkEnd w:id="1464"/>
    <w:bookmarkEnd w:id="1465"/>
    <w:bookmarkEnd w:id="1466"/>
    <w:bookmarkEnd w:id="1467"/>
    <w:bookmarkEnd w:id="1468"/>
    <w:bookmarkEnd w:id="1469"/>
    <w:p w14:paraId="5F18D40A">
      <w:pPr>
        <w:pStyle w:val="33"/>
        <w:rPr>
          <w:color w:val="auto"/>
          <w:highlight w:val="none"/>
          <w:shd w:val="clear"/>
        </w:rPr>
      </w:pPr>
      <w:bookmarkStart w:id="1482" w:name="_Toc170805314"/>
      <w:bookmarkStart w:id="1483" w:name="_Toc170805694"/>
      <w:bookmarkStart w:id="1484" w:name="_Toc170804126"/>
      <w:r>
        <w:rPr>
          <w:rFonts w:hint="eastAsia"/>
          <w:color w:val="auto"/>
          <w:highlight w:val="none"/>
          <w:shd w:val="clear"/>
        </w:rPr>
        <w:t>9</w:t>
      </w:r>
      <w:bookmarkStart w:id="1485" w:name="_Toc297216193"/>
      <w:bookmarkStart w:id="1486" w:name="_Toc300934983"/>
      <w:bookmarkStart w:id="1487" w:name="_Toc312677496"/>
      <w:bookmarkStart w:id="1488" w:name="_Toc297123534"/>
      <w:bookmarkStart w:id="1489" w:name="_Toc304295560"/>
      <w:bookmarkStart w:id="1490" w:name="_Toc303539140"/>
      <w:bookmarkStart w:id="1491" w:name="_Toc312678022"/>
      <w:r>
        <w:rPr>
          <w:rFonts w:hint="eastAsia"/>
          <w:color w:val="auto"/>
          <w:highlight w:val="none"/>
          <w:shd w:val="clear"/>
        </w:rPr>
        <w:t>.1 试验设备与试验人员</w:t>
      </w:r>
      <w:bookmarkEnd w:id="1482"/>
      <w:bookmarkEnd w:id="1483"/>
      <w:bookmarkEnd w:id="1484"/>
    </w:p>
    <w:bookmarkEnd w:id="1485"/>
    <w:bookmarkEnd w:id="1486"/>
    <w:bookmarkEnd w:id="1487"/>
    <w:bookmarkEnd w:id="1488"/>
    <w:bookmarkEnd w:id="1489"/>
    <w:bookmarkEnd w:id="1490"/>
    <w:bookmarkEnd w:id="1491"/>
    <w:p w14:paraId="568B7F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w:t>
      </w:r>
      <w:bookmarkStart w:id="1492" w:name="_Toc297123535"/>
      <w:bookmarkStart w:id="1493" w:name="_Toc300934984"/>
      <w:bookmarkStart w:id="1494" w:name="_Toc304295561"/>
      <w:bookmarkStart w:id="1495" w:name="_Toc303539141"/>
      <w:bookmarkStart w:id="1496" w:name="_Toc297216194"/>
      <w:bookmarkStart w:id="1497" w:name="_Toc312678023"/>
      <w:bookmarkStart w:id="1498" w:name="_Toc312677497"/>
      <w:bookmarkStart w:id="1499" w:name="_Toc318581174"/>
      <w:r>
        <w:rPr>
          <w:rFonts w:hint="eastAsia" w:ascii="Times New Roman" w:hAnsi="Times New Roman"/>
          <w:color w:val="auto"/>
          <w:highlight w:val="none"/>
          <w:shd w:val="clear"/>
        </w:rPr>
        <w:t>.1.2 试验设备</w:t>
      </w:r>
    </w:p>
    <w:p w14:paraId="40B241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施工现场需要配置的试验场所：</w:t>
      </w:r>
      <w:bookmarkEnd w:id="1492"/>
      <w:bookmarkEnd w:id="1493"/>
      <w:bookmarkEnd w:id="1494"/>
      <w:bookmarkEnd w:id="1495"/>
      <w:bookmarkEnd w:id="1496"/>
      <w:bookmarkEnd w:id="1497"/>
      <w:bookmarkEnd w:id="1498"/>
      <w:bookmarkStart w:id="1500" w:name="_Toc312677498"/>
      <w:bookmarkStart w:id="1501" w:name="_Toc297216195"/>
      <w:bookmarkStart w:id="1502" w:name="_Toc312678024"/>
      <w:bookmarkStart w:id="1503" w:name="_Toc300934985"/>
      <w:bookmarkStart w:id="1504" w:name="_Toc303539142"/>
      <w:bookmarkStart w:id="1505" w:name="_Toc297123536"/>
      <w:bookmarkStart w:id="1506" w:name="_Toc304295562"/>
      <w:r>
        <w:rPr>
          <w:rFonts w:hint="eastAsia" w:ascii="Times New Roman" w:hAnsi="Times New Roman"/>
          <w:b/>
          <w:bCs/>
          <w:color w:val="auto"/>
          <w:highlight w:val="none"/>
          <w:u w:val="single"/>
          <w:shd w:val="clear"/>
        </w:rPr>
        <w:t>根据国家规定，满足本项目需要</w:t>
      </w:r>
      <w:r>
        <w:rPr>
          <w:rFonts w:hint="eastAsia" w:ascii="Times New Roman" w:hAnsi="Times New Roman"/>
          <w:b/>
          <w:bCs/>
          <w:color w:val="auto"/>
          <w:highlight w:val="none"/>
          <w:shd w:val="clear"/>
        </w:rPr>
        <w:t>。</w:t>
      </w:r>
    </w:p>
    <w:p w14:paraId="1183B7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施工现场需要配备的试验设备：</w:t>
      </w:r>
      <w:r>
        <w:rPr>
          <w:rFonts w:hint="eastAsia" w:ascii="Times New Roman" w:hAnsi="Times New Roman"/>
          <w:b/>
          <w:bCs/>
          <w:color w:val="auto"/>
          <w:highlight w:val="none"/>
          <w:u w:val="single"/>
          <w:shd w:val="clear"/>
        </w:rPr>
        <w:t>根据国家规定，满足本项目需要。</w:t>
      </w:r>
    </w:p>
    <w:p w14:paraId="052F13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施工现场需要具备的其他试验条件：</w:t>
      </w:r>
      <w:r>
        <w:rPr>
          <w:rFonts w:hint="eastAsia" w:ascii="Times New Roman" w:hAnsi="Times New Roman"/>
          <w:b/>
          <w:bCs/>
          <w:color w:val="auto"/>
          <w:highlight w:val="none"/>
          <w:u w:val="single"/>
          <w:shd w:val="clear"/>
        </w:rPr>
        <w:t>根据国家规定，满足本项目需要</w:t>
      </w:r>
      <w:r>
        <w:rPr>
          <w:rFonts w:hint="eastAsia" w:ascii="Times New Roman" w:hAnsi="Times New Roman"/>
          <w:color w:val="auto"/>
          <w:highlight w:val="none"/>
          <w:shd w:val="clear"/>
        </w:rPr>
        <w:t>。</w:t>
      </w:r>
    </w:p>
    <w:p w14:paraId="7A189C7B">
      <w:pPr>
        <w:keepNext/>
        <w:keepLines/>
        <w:adjustRightInd w:val="0"/>
        <w:spacing w:line="400" w:lineRule="exact"/>
        <w:outlineLvl w:val="2"/>
        <w:rPr>
          <w:rFonts w:ascii="Times New Roman" w:hAnsi="Times New Roman"/>
          <w:color w:val="auto"/>
          <w:sz w:val="24"/>
          <w:szCs w:val="24"/>
          <w:highlight w:val="none"/>
          <w:shd w:val="clear"/>
        </w:rPr>
      </w:pPr>
      <w:bookmarkStart w:id="1507" w:name="_Toc170805315"/>
      <w:bookmarkStart w:id="1508" w:name="_Toc170804127"/>
      <w:bookmarkStart w:id="1509" w:name="_Toc170805695"/>
      <w:r>
        <w:rPr>
          <w:rFonts w:hint="eastAsia" w:ascii="Times New Roman" w:hAnsi="Times New Roman"/>
          <w:color w:val="auto"/>
          <w:sz w:val="24"/>
          <w:szCs w:val="24"/>
          <w:highlight w:val="none"/>
          <w:shd w:val="clear"/>
        </w:rPr>
        <w:t>9.4 现场工艺试验</w:t>
      </w:r>
      <w:bookmarkEnd w:id="1507"/>
      <w:bookmarkEnd w:id="1508"/>
      <w:bookmarkEnd w:id="1509"/>
      <w:r>
        <w:rPr>
          <w:rFonts w:hint="eastAsia" w:ascii="Times New Roman" w:hAnsi="Times New Roman"/>
          <w:color w:val="auto"/>
          <w:sz w:val="24"/>
          <w:szCs w:val="24"/>
          <w:highlight w:val="none"/>
          <w:shd w:val="clear"/>
        </w:rPr>
        <w:t xml:space="preserve"> </w:t>
      </w:r>
    </w:p>
    <w:p w14:paraId="1D380D2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现场工艺试验的有关约定：</w:t>
      </w:r>
      <w:r>
        <w:rPr>
          <w:rFonts w:hint="eastAsia" w:ascii="Times New Roman" w:hAnsi="Times New Roman"/>
          <w:b/>
          <w:bCs/>
          <w:color w:val="auto"/>
          <w:highlight w:val="none"/>
          <w:u w:val="single"/>
          <w:shd w:val="clear"/>
        </w:rPr>
        <w:t>根据国家规定，满足本项目需要</w:t>
      </w:r>
      <w:r>
        <w:rPr>
          <w:rFonts w:hint="eastAsia" w:ascii="Times New Roman" w:hAnsi="Times New Roman"/>
          <w:b/>
          <w:bCs/>
          <w:color w:val="auto"/>
          <w:highlight w:val="none"/>
          <w:u w:val="single"/>
          <w:shd w:val="clear"/>
        </w:rPr>
        <w:t>。</w:t>
      </w:r>
    </w:p>
    <w:bookmarkEnd w:id="1499"/>
    <w:bookmarkEnd w:id="1500"/>
    <w:bookmarkEnd w:id="1501"/>
    <w:bookmarkEnd w:id="1502"/>
    <w:bookmarkEnd w:id="1503"/>
    <w:bookmarkEnd w:id="1504"/>
    <w:bookmarkEnd w:id="1505"/>
    <w:bookmarkEnd w:id="1506"/>
    <w:p w14:paraId="0A5E3FCF">
      <w:pPr>
        <w:pStyle w:val="26"/>
        <w:rPr>
          <w:color w:val="auto"/>
          <w:highlight w:val="none"/>
          <w:shd w:val="clear"/>
        </w:rPr>
      </w:pPr>
      <w:bookmarkStart w:id="1510" w:name="_Toc170805696"/>
      <w:bookmarkStart w:id="1511" w:name="_Toc170804128"/>
      <w:bookmarkStart w:id="1512" w:name="_Toc351203642"/>
      <w:bookmarkStart w:id="1513" w:name="_Toc170805316"/>
      <w:r>
        <w:rPr>
          <w:rFonts w:hint="eastAsia"/>
          <w:color w:val="auto"/>
          <w:highlight w:val="none"/>
          <w:shd w:val="clear"/>
        </w:rPr>
        <w:t>1</w:t>
      </w:r>
      <w:bookmarkEnd w:id="1470"/>
      <w:bookmarkEnd w:id="1471"/>
      <w:bookmarkEnd w:id="1472"/>
      <w:bookmarkEnd w:id="1473"/>
      <w:bookmarkEnd w:id="1474"/>
      <w:bookmarkEnd w:id="1475"/>
      <w:bookmarkEnd w:id="1476"/>
      <w:bookmarkEnd w:id="1477"/>
      <w:bookmarkEnd w:id="1478"/>
      <w:bookmarkEnd w:id="1479"/>
      <w:bookmarkEnd w:id="1480"/>
      <w:bookmarkEnd w:id="1481"/>
      <w:bookmarkStart w:id="1514" w:name="_Toc303539146"/>
      <w:bookmarkStart w:id="1515" w:name="_Toc300934989"/>
      <w:bookmarkStart w:id="1516" w:name="_Toc297048379"/>
      <w:bookmarkStart w:id="1517" w:name="_Toc296944532"/>
      <w:bookmarkStart w:id="1518" w:name="_Toc296891233"/>
      <w:bookmarkStart w:id="1519" w:name="_Toc292559398"/>
      <w:bookmarkStart w:id="1520" w:name="_Toc297123540"/>
      <w:bookmarkStart w:id="1521" w:name="_Toc297216199"/>
      <w:bookmarkStart w:id="1522" w:name="_Toc296503193"/>
      <w:bookmarkStart w:id="1523" w:name="_Toc297120493"/>
      <w:bookmarkStart w:id="1524" w:name="_Toc296891021"/>
      <w:bookmarkStart w:id="1525" w:name="_Toc296346694"/>
      <w:bookmarkStart w:id="1526" w:name="_Toc304295566"/>
      <w:bookmarkStart w:id="1527" w:name="_Toc292559903"/>
      <w:bookmarkStart w:id="1528" w:name="_Toc296347192"/>
      <w:bookmarkStart w:id="1529" w:name="_Toc312678025"/>
      <w:bookmarkStart w:id="1530" w:name="_Toc312677499"/>
      <w:bookmarkStart w:id="1531" w:name="_Toc267251439"/>
      <w:bookmarkStart w:id="1532" w:name="_Toc267251435"/>
      <w:bookmarkStart w:id="1533" w:name="_Toc267251433"/>
      <w:bookmarkStart w:id="1534" w:name="_Toc267251437"/>
      <w:bookmarkStart w:id="1535" w:name="_Toc267251440"/>
      <w:bookmarkStart w:id="1536" w:name="_Toc267251441"/>
      <w:bookmarkStart w:id="1537" w:name="_Toc267251442"/>
      <w:r>
        <w:rPr>
          <w:rFonts w:hint="eastAsia"/>
          <w:color w:val="auto"/>
          <w:highlight w:val="none"/>
          <w:shd w:val="clear"/>
        </w:rPr>
        <w:t>0.变更</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bookmarkEnd w:id="1529"/>
    <w:bookmarkEnd w:id="1530"/>
    <w:p w14:paraId="5CC28E1D">
      <w:pPr>
        <w:pStyle w:val="33"/>
        <w:rPr>
          <w:color w:val="auto"/>
          <w:highlight w:val="none"/>
          <w:shd w:val="clear"/>
        </w:rPr>
      </w:pPr>
      <w:bookmarkStart w:id="1538" w:name="_Toc170805317"/>
      <w:bookmarkStart w:id="1539" w:name="_Toc170804129"/>
      <w:bookmarkStart w:id="1540" w:name="_Toc170805697"/>
      <w:r>
        <w:rPr>
          <w:rFonts w:hint="eastAsia"/>
          <w:color w:val="auto"/>
          <w:highlight w:val="none"/>
          <w:shd w:val="clear"/>
        </w:rPr>
        <w:t>1</w:t>
      </w:r>
      <w:bookmarkStart w:id="1541" w:name="_Toc296891234"/>
      <w:bookmarkStart w:id="1542" w:name="_Toc296346695"/>
      <w:bookmarkStart w:id="1543" w:name="_Toc312678026"/>
      <w:bookmarkStart w:id="1544" w:name="_Toc297123541"/>
      <w:bookmarkStart w:id="1545" w:name="_Toc292559904"/>
      <w:bookmarkStart w:id="1546" w:name="_Toc303539147"/>
      <w:bookmarkStart w:id="1547" w:name="_Toc297120494"/>
      <w:bookmarkStart w:id="1548" w:name="_Toc312677500"/>
      <w:bookmarkStart w:id="1549" w:name="_Toc304295567"/>
      <w:bookmarkStart w:id="1550" w:name="_Toc296503194"/>
      <w:bookmarkStart w:id="1551" w:name="_Toc296347193"/>
      <w:bookmarkStart w:id="1552" w:name="_Toc297048380"/>
      <w:bookmarkStart w:id="1553" w:name="_Toc296944533"/>
      <w:bookmarkStart w:id="1554" w:name="_Toc297216200"/>
      <w:bookmarkStart w:id="1555" w:name="_Toc296891022"/>
      <w:bookmarkStart w:id="1556" w:name="_Toc292559399"/>
      <w:bookmarkStart w:id="1557" w:name="_Toc300934990"/>
      <w:r>
        <w:rPr>
          <w:rFonts w:hint="eastAsia"/>
          <w:color w:val="auto"/>
          <w:highlight w:val="none"/>
          <w:shd w:val="clear"/>
        </w:rPr>
        <w:t>0.1 变更的范围</w:t>
      </w:r>
      <w:bookmarkEnd w:id="1538"/>
      <w:bookmarkEnd w:id="1539"/>
      <w:bookmarkEnd w:id="1540"/>
    </w:p>
    <w:p w14:paraId="475A3861">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关于变更的范围的约定：</w:t>
      </w:r>
    </w:p>
    <w:p w14:paraId="5B7C4F9A">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（1）增加或减少合同中任何工作，或追加额外的工作；</w:t>
      </w:r>
    </w:p>
    <w:p w14:paraId="1A80F65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（2）取消合同中任何工作，但转由他人实施的工作除外；</w:t>
      </w:r>
    </w:p>
    <w:p w14:paraId="67C28F4D">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（3）改变合同中任何工作的质量标准或其他特性；</w:t>
      </w:r>
    </w:p>
    <w:p w14:paraId="74EED71B">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（4）改变工程的基线、标高、位置和尺寸；</w:t>
      </w:r>
    </w:p>
    <w:p w14:paraId="2ED2C4EE">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（5）改变工程的时间安排或实施顺序。</w:t>
      </w:r>
    </w:p>
    <w:p w14:paraId="66D9A27E">
      <w:pPr>
        <w:pStyle w:val="33"/>
        <w:rPr>
          <w:color w:val="auto"/>
          <w:highlight w:val="none"/>
          <w:shd w:val="clear"/>
        </w:rPr>
      </w:pPr>
      <w:bookmarkStart w:id="1558" w:name="_Toc170804130"/>
      <w:bookmarkStart w:id="1559" w:name="_Toc170805318"/>
      <w:bookmarkStart w:id="1560" w:name="_Toc170805698"/>
      <w:r>
        <w:rPr>
          <w:rFonts w:hint="eastAsia"/>
          <w:color w:val="auto"/>
          <w:highlight w:val="none"/>
          <w:shd w:val="clear"/>
        </w:rPr>
        <w:t>10.4 变更估价</w:t>
      </w:r>
      <w:bookmarkEnd w:id="1558"/>
      <w:bookmarkEnd w:id="1559"/>
      <w:bookmarkEnd w:id="1560"/>
    </w:p>
    <w:p w14:paraId="463BB9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10.4.1 变更估价原则</w:t>
      </w:r>
    </w:p>
    <w:p w14:paraId="2A993AA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关于变更估价的约定:</w:t>
      </w:r>
    </w:p>
    <w:p w14:paraId="29DB1ED6">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（1）已标价工程量清单有相同项目的，按照相同项目单价认定；</w:t>
      </w:r>
    </w:p>
    <w:p w14:paraId="6B431D4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（2）已标价工程量清单中无相同项目，但有类似项目的，参照类似项目的单价认定；</w:t>
      </w:r>
    </w:p>
    <w:p w14:paraId="7C3FBC25">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3）变更导致实际完成的变更工程量与已标价工程量清单中列明的该项目工程量的变化幅度超过15%的，或已标价工程量清单或预算书中无相同项目及类似项目单价的，按照合理的成本与利润构成的原则，由合同当事人按照符合规定的程序确定变更工作的单价。</w:t>
      </w:r>
    </w:p>
    <w:p w14:paraId="3421D21A">
      <w:pPr>
        <w:pStyle w:val="33"/>
        <w:rPr>
          <w:color w:val="auto"/>
          <w:highlight w:val="none"/>
          <w:shd w:val="clear"/>
        </w:rPr>
      </w:pPr>
      <w:bookmarkStart w:id="1561" w:name="_Toc170805319"/>
      <w:bookmarkStart w:id="1562" w:name="_Toc170805699"/>
      <w:bookmarkStart w:id="1563" w:name="_Toc170804131"/>
      <w:r>
        <w:rPr>
          <w:rFonts w:hint="eastAsia"/>
          <w:color w:val="auto"/>
          <w:highlight w:val="none"/>
          <w:shd w:val="clear"/>
        </w:rPr>
        <w:t>1</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Start w:id="1564" w:name="_Toc296347196"/>
      <w:bookmarkStart w:id="1565" w:name="_Toc296891237"/>
      <w:bookmarkStart w:id="1566" w:name="_Toc297123544"/>
      <w:bookmarkStart w:id="1567" w:name="_Toc296891025"/>
      <w:bookmarkStart w:id="1568" w:name="_Toc300934993"/>
      <w:bookmarkStart w:id="1569" w:name="_Toc297048383"/>
      <w:bookmarkStart w:id="1570" w:name="_Toc296503197"/>
      <w:bookmarkStart w:id="1571" w:name="_Toc292559402"/>
      <w:bookmarkStart w:id="1572" w:name="_Toc297216203"/>
      <w:bookmarkStart w:id="1573" w:name="_Toc296944536"/>
      <w:bookmarkStart w:id="1574" w:name="_Toc292559907"/>
      <w:bookmarkStart w:id="1575" w:name="_Toc296346698"/>
      <w:bookmarkStart w:id="1576" w:name="_Toc297120497"/>
      <w:bookmarkStart w:id="1577" w:name="_Toc303539150"/>
      <w:bookmarkStart w:id="1578" w:name="_Toc312677503"/>
      <w:bookmarkStart w:id="1579" w:name="_Toc312678029"/>
      <w:bookmarkStart w:id="1580" w:name="_Toc304295570"/>
      <w:r>
        <w:rPr>
          <w:rFonts w:hint="eastAsia"/>
          <w:color w:val="auto"/>
          <w:highlight w:val="none"/>
          <w:shd w:val="clear"/>
        </w:rPr>
        <w:t xml:space="preserve">0.5 </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Start w:id="1581" w:name="_Toc296891031"/>
      <w:bookmarkStart w:id="1582" w:name="_Toc296347202"/>
      <w:bookmarkStart w:id="1583" w:name="_Toc292559913"/>
      <w:bookmarkStart w:id="1584" w:name="_Toc303539151"/>
      <w:bookmarkStart w:id="1585" w:name="_Toc297048389"/>
      <w:bookmarkStart w:id="1586" w:name="_Toc297123545"/>
      <w:bookmarkStart w:id="1587" w:name="_Toc297216204"/>
      <w:bookmarkStart w:id="1588" w:name="_Toc296503203"/>
      <w:bookmarkStart w:id="1589" w:name="_Toc292559408"/>
      <w:bookmarkStart w:id="1590" w:name="_Toc296346704"/>
      <w:bookmarkStart w:id="1591" w:name="_Toc297120503"/>
      <w:bookmarkStart w:id="1592" w:name="_Toc296944542"/>
      <w:bookmarkStart w:id="1593" w:name="_Toc300934994"/>
      <w:bookmarkStart w:id="1594" w:name="_Toc296891243"/>
      <w:r>
        <w:rPr>
          <w:rFonts w:hint="eastAsia"/>
          <w:color w:val="auto"/>
          <w:highlight w:val="none"/>
          <w:shd w:val="clear"/>
        </w:rPr>
        <w:t>承包人的合理化建议</w:t>
      </w:r>
      <w:bookmarkEnd w:id="1561"/>
      <w:bookmarkEnd w:id="1562"/>
      <w:bookmarkEnd w:id="1563"/>
    </w:p>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14:paraId="1085F04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监理人审查承包人合理化建议的期限：</w:t>
      </w:r>
      <w:r>
        <w:rPr>
          <w:rFonts w:hint="eastAsia" w:ascii="Times New Roman" w:hAnsi="Times New Roman"/>
          <w:b/>
          <w:bCs/>
          <w:color w:val="auto"/>
          <w:highlight w:val="none"/>
          <w:u w:val="single"/>
          <w:shd w:val="clear"/>
        </w:rPr>
        <w:t>收到后3日内</w:t>
      </w:r>
      <w:r>
        <w:rPr>
          <w:rFonts w:hint="eastAsia" w:ascii="Times New Roman" w:hAnsi="Times New Roman"/>
          <w:color w:val="auto"/>
          <w:highlight w:val="none"/>
          <w:shd w:val="clear"/>
        </w:rPr>
        <w:t>。</w:t>
      </w:r>
    </w:p>
    <w:p w14:paraId="7D5EF2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发包人审批承包人合理化建议的期限：</w:t>
      </w:r>
      <w:r>
        <w:rPr>
          <w:rFonts w:hint="eastAsia" w:ascii="Times New Roman" w:hAnsi="Times New Roman"/>
          <w:b/>
          <w:bCs/>
          <w:color w:val="auto"/>
          <w:highlight w:val="none"/>
          <w:u w:val="single"/>
          <w:shd w:val="clear"/>
        </w:rPr>
        <w:t>收到后3日内</w:t>
      </w:r>
      <w:r>
        <w:rPr>
          <w:rFonts w:hint="eastAsia" w:ascii="Times New Roman" w:hAnsi="Times New Roman"/>
          <w:color w:val="auto"/>
          <w:highlight w:val="none"/>
          <w:shd w:val="clear"/>
        </w:rPr>
        <w:t>。</w:t>
      </w:r>
    </w:p>
    <w:p w14:paraId="3E8594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w:t>
      </w:r>
      <w:bookmarkStart w:id="1595" w:name="_Toc297120504"/>
      <w:bookmarkStart w:id="1596" w:name="_Toc297216205"/>
      <w:bookmarkStart w:id="1597" w:name="_Toc296347203"/>
      <w:bookmarkStart w:id="1598" w:name="_Toc318581175"/>
      <w:bookmarkStart w:id="1599" w:name="_Toc292559914"/>
      <w:bookmarkStart w:id="1600" w:name="_Toc296891032"/>
      <w:bookmarkStart w:id="1601" w:name="_Toc296944543"/>
      <w:bookmarkStart w:id="1602" w:name="_Toc296891244"/>
      <w:bookmarkStart w:id="1603" w:name="_Toc304295571"/>
      <w:bookmarkStart w:id="1604" w:name="_Toc303539152"/>
      <w:bookmarkStart w:id="1605" w:name="_Toc297048390"/>
      <w:bookmarkStart w:id="1606" w:name="_Toc312678030"/>
      <w:bookmarkStart w:id="1607" w:name="_Toc297123546"/>
      <w:bookmarkStart w:id="1608" w:name="_Toc292559409"/>
      <w:bookmarkStart w:id="1609" w:name="_Toc312677504"/>
      <w:bookmarkStart w:id="1610" w:name="_Toc296346705"/>
      <w:bookmarkStart w:id="1611" w:name="_Toc300934995"/>
      <w:bookmarkStart w:id="1612" w:name="_Toc296503204"/>
      <w:r>
        <w:rPr>
          <w:rFonts w:hint="eastAsia" w:ascii="Times New Roman" w:hAnsi="Times New Roman"/>
          <w:color w:val="auto"/>
          <w:highlight w:val="none"/>
          <w:shd w:val="clear"/>
        </w:rPr>
        <w:t>包人提出的合理化建议降低了合同价格或者提高了工程经济效益的奖励的方法和金额为：</w:t>
      </w:r>
      <w:r>
        <w:rPr>
          <w:rFonts w:hint="eastAsia" w:ascii="Times New Roman" w:hAnsi="Times New Roman"/>
          <w:b/>
          <w:bCs/>
          <w:color w:val="auto"/>
          <w:highlight w:val="none"/>
          <w:u w:val="single"/>
          <w:shd w:val="clear"/>
          <w:lang w:val="en-US" w:eastAsia="zh-CN"/>
        </w:rPr>
        <w:t>/</w:t>
      </w:r>
      <w:r>
        <w:rPr>
          <w:rFonts w:hint="eastAsia" w:ascii="Times New Roman" w:hAnsi="Times New Roman"/>
          <w:color w:val="auto"/>
          <w:highlight w:val="none"/>
          <w:shd w:val="clear"/>
        </w:rPr>
        <w:t>。</w:t>
      </w:r>
    </w:p>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14:paraId="25A6CE61">
      <w:pPr>
        <w:pStyle w:val="33"/>
        <w:rPr>
          <w:color w:val="auto"/>
          <w:highlight w:val="none"/>
          <w:shd w:val="clear"/>
        </w:rPr>
      </w:pPr>
      <w:bookmarkStart w:id="1613" w:name="_Toc170804132"/>
      <w:bookmarkStart w:id="1614" w:name="_Toc170805320"/>
      <w:bookmarkStart w:id="1615" w:name="_Toc170805700"/>
      <w:r>
        <w:rPr>
          <w:rFonts w:hint="eastAsia"/>
          <w:color w:val="auto"/>
          <w:highlight w:val="none"/>
          <w:shd w:val="clear"/>
        </w:rPr>
        <w:t>1</w:t>
      </w:r>
      <w:bookmarkStart w:id="1616" w:name="_Toc297123548"/>
      <w:bookmarkStart w:id="1617" w:name="_Toc304295574"/>
      <w:bookmarkStart w:id="1618" w:name="_Toc312677507"/>
      <w:bookmarkStart w:id="1619" w:name="_Toc296891239"/>
      <w:bookmarkStart w:id="1620" w:name="_Toc292559404"/>
      <w:bookmarkStart w:id="1621" w:name="_Toc297120499"/>
      <w:bookmarkStart w:id="1622" w:name="_Toc303539154"/>
      <w:bookmarkStart w:id="1623" w:name="_Toc292559909"/>
      <w:bookmarkStart w:id="1624" w:name="_Toc297216207"/>
      <w:bookmarkStart w:id="1625" w:name="_Toc296346700"/>
      <w:bookmarkStart w:id="1626" w:name="_Toc297048385"/>
      <w:bookmarkStart w:id="1627" w:name="_Toc296503199"/>
      <w:bookmarkStart w:id="1628" w:name="_Toc296891027"/>
      <w:bookmarkStart w:id="1629" w:name="_Toc300934997"/>
      <w:bookmarkStart w:id="1630" w:name="_Toc312678033"/>
      <w:bookmarkStart w:id="1631" w:name="_Toc296944538"/>
      <w:bookmarkStart w:id="1632" w:name="_Toc296347198"/>
      <w:r>
        <w:rPr>
          <w:rFonts w:hint="eastAsia"/>
          <w:color w:val="auto"/>
          <w:highlight w:val="none"/>
          <w:shd w:val="clear"/>
        </w:rPr>
        <w:t>0.7 暂估价</w:t>
      </w:r>
      <w:bookmarkEnd w:id="1613"/>
      <w:bookmarkEnd w:id="1614"/>
      <w:bookmarkEnd w:id="1615"/>
    </w:p>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14:paraId="0B4824E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暂</w:t>
      </w:r>
      <w:bookmarkStart w:id="1633" w:name="_Toc312678034"/>
      <w:bookmarkStart w:id="1634" w:name="_Toc312677508"/>
      <w:bookmarkStart w:id="1635" w:name="_Toc318581176"/>
      <w:r>
        <w:rPr>
          <w:rFonts w:hint="eastAsia" w:ascii="Times New Roman" w:hAnsi="Times New Roman"/>
          <w:color w:val="auto"/>
          <w:highlight w:val="none"/>
          <w:shd w:val="clear"/>
        </w:rPr>
        <w:t>估价材料和工程设备的明细详见附件11：《暂估价一览表》。</w:t>
      </w:r>
    </w:p>
    <w:bookmarkEnd w:id="1633"/>
    <w:bookmarkEnd w:id="1634"/>
    <w:bookmarkEnd w:id="1635"/>
    <w:p w14:paraId="69BD48B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bookmarkStart w:id="1636" w:name="_Toc312678035"/>
      <w:bookmarkStart w:id="1637" w:name="_Toc318581177"/>
      <w:bookmarkStart w:id="1638" w:name="_Toc312677509"/>
      <w:r>
        <w:rPr>
          <w:rFonts w:hint="eastAsia" w:ascii="Times New Roman" w:hAnsi="Times New Roman"/>
          <w:color w:val="auto"/>
          <w:highlight w:val="none"/>
          <w:shd w:val="clear"/>
        </w:rPr>
        <w:t>0.7.1 依法必须招标的暂估价项目</w:t>
      </w:r>
    </w:p>
    <w:bookmarkEnd w:id="1636"/>
    <w:bookmarkEnd w:id="1637"/>
    <w:bookmarkEnd w:id="1638"/>
    <w:p w14:paraId="1D9BDCFE">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对于依法必须招标的暂估价项目的确认和批准采取</w:t>
      </w:r>
      <w:r>
        <w:rPr>
          <w:rFonts w:hint="eastAsia" w:ascii="Times New Roman" w:hAnsi="Times New Roman"/>
          <w:color w:val="auto"/>
          <w:highlight w:val="none"/>
          <w:shd w:val="clear"/>
          <w:lang w:val="en-US" w:eastAsia="zh-CN"/>
        </w:rPr>
        <w:t>以下</w:t>
      </w:r>
      <w:r>
        <w:rPr>
          <w:rFonts w:hint="eastAsia" w:ascii="Times New Roman" w:hAnsi="Times New Roman"/>
          <w:color w:val="auto"/>
          <w:highlight w:val="none"/>
          <w:shd w:val="clear"/>
        </w:rPr>
        <w:t>方式确定。</w:t>
      </w:r>
    </w:p>
    <w:p w14:paraId="4980FF0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实行暂估价的部分属于依法必须招标的，应按相关规定进行二次招标，并按以下规定处理：</w:t>
      </w:r>
    </w:p>
    <w:p w14:paraId="4DAB174F">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1、暂估价中的材料设备招标由承包人按发包人的要求负责实施；发包人关于材料、设备的要求：详见技术规范书。</w:t>
      </w:r>
    </w:p>
    <w:p w14:paraId="242FBB8F">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2、暂估价中的专业工程招标，按以下规定办理：</w:t>
      </w:r>
    </w:p>
    <w:p w14:paraId="05CA79D7">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1）承包人不参加投标的专业工程发包招标，由承包人作为招标人，但拟定的招标文件应报发包人审核确认；评标工作、评标结果应报送发包人备案。与组织招标工作有关的费用应当被认为已经包括在承包人的签约合同价（投标总报价）中。</w:t>
      </w:r>
    </w:p>
    <w:p w14:paraId="06442BC5">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（2）承包人参加投标的专业工程发包招标，应由发包人作为招标人，与组织招标工作有关的费用由发包人承担。同等条件下，应优先选择承包人中标。</w:t>
      </w:r>
    </w:p>
    <w:p w14:paraId="7F79B27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10.7.2 不属于依法必须招标的暂估价项目</w:t>
      </w:r>
    </w:p>
    <w:p w14:paraId="6195674D">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对于不属于依法必须招标的暂估价项目的确认和批准采取以下方式之一确定。</w:t>
      </w:r>
    </w:p>
    <w:p w14:paraId="0B1406D8">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 xml:space="preserve">1、由承包人根据暂估价工程资料、计量规则、计价办法和预算定额、补充定额、工程造价管理机构发布的现行造价信息价格重新组价后乘以投标报价系数，提出暂估价工程项目的单价；工程造价管理机构发布的信息价缺价的，由承包人、监理人、发包人通过市场调查等合法合理方式取得的市场价格确定，单价经监理人、发包人确认后，作为结算的依据。  </w:t>
      </w:r>
    </w:p>
    <w:p w14:paraId="6C9FFD80">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投标报价系数=原承包合同投标总报价/原承包合同最高投标限价×100%（投标报价系数以百分数表示，保留小数点后两位，即：xx.xx %）。</w:t>
      </w:r>
    </w:p>
    <w:p w14:paraId="7ABFA5C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2、由发包人、承包人共同组织采购工作，采购方式另行协商。</w:t>
      </w:r>
    </w:p>
    <w:p w14:paraId="25472E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第3种方式：承包人直接实施的暂估价项目</w:t>
      </w:r>
    </w:p>
    <w:p w14:paraId="36DCB1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承包人直接实施的暂估价项目的约定：</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w:t>
      </w:r>
    </w:p>
    <w:p w14:paraId="4B910762">
      <w:pPr>
        <w:pStyle w:val="33"/>
        <w:rPr>
          <w:color w:val="auto"/>
          <w:highlight w:val="none"/>
          <w:shd w:val="clear"/>
        </w:rPr>
      </w:pPr>
      <w:bookmarkStart w:id="1639" w:name="_Toc170805321"/>
      <w:bookmarkStart w:id="1640" w:name="_Toc170805701"/>
      <w:bookmarkStart w:id="1641" w:name="_Toc170804133"/>
      <w:r>
        <w:rPr>
          <w:rFonts w:hint="eastAsia"/>
          <w:color w:val="auto"/>
          <w:highlight w:val="none"/>
          <w:shd w:val="clear"/>
        </w:rPr>
        <w:t>10.8 暂列金额</w:t>
      </w:r>
      <w:bookmarkEnd w:id="1639"/>
      <w:bookmarkEnd w:id="1640"/>
      <w:bookmarkEnd w:id="1641"/>
    </w:p>
    <w:p w14:paraId="15D51C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合同当事人关于暂列金额使用的约定：</w:t>
      </w:r>
      <w:r>
        <w:rPr>
          <w:rFonts w:hint="eastAsia" w:ascii="Times New Roman" w:hAnsi="Times New Roman"/>
          <w:color w:val="auto"/>
          <w:highlight w:val="none"/>
          <w:u w:val="single"/>
          <w:shd w:val="clear"/>
        </w:rPr>
        <w:t xml:space="preserve"> </w:t>
      </w:r>
      <w:r>
        <w:rPr>
          <w:rFonts w:hint="eastAsia" w:ascii="Times New Roman" w:hAnsi="Times New Roman"/>
          <w:b/>
          <w:bCs/>
          <w:color w:val="auto"/>
          <w:highlight w:val="none"/>
          <w:u w:val="single"/>
          <w:shd w:val="clear"/>
        </w:rPr>
        <w:t>按照发包人的要求使用</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w:t>
      </w:r>
    </w:p>
    <w:p w14:paraId="2BBA3680">
      <w:pPr>
        <w:pStyle w:val="26"/>
        <w:rPr>
          <w:color w:val="auto"/>
          <w:highlight w:val="none"/>
          <w:shd w:val="clear"/>
        </w:rPr>
      </w:pPr>
      <w:bookmarkStart w:id="1642" w:name="_Toc170804134"/>
      <w:bookmarkStart w:id="1643" w:name="_Toc351203643"/>
      <w:bookmarkStart w:id="1644" w:name="_Toc170805702"/>
      <w:bookmarkStart w:id="1645" w:name="_Toc170805322"/>
      <w:r>
        <w:rPr>
          <w:rFonts w:hint="eastAsia"/>
          <w:color w:val="auto"/>
          <w:highlight w:val="none"/>
          <w:shd w:val="clear"/>
        </w:rPr>
        <w:t>11.价格调整</w:t>
      </w:r>
      <w:bookmarkEnd w:id="1642"/>
      <w:bookmarkEnd w:id="1643"/>
      <w:bookmarkEnd w:id="1644"/>
      <w:bookmarkEnd w:id="1645"/>
    </w:p>
    <w:p w14:paraId="21C98692">
      <w:pPr>
        <w:pStyle w:val="33"/>
        <w:rPr>
          <w:color w:val="auto"/>
          <w:highlight w:val="none"/>
          <w:shd w:val="clear"/>
        </w:rPr>
      </w:pPr>
      <w:bookmarkStart w:id="1646" w:name="_Toc170804135"/>
      <w:bookmarkStart w:id="1647" w:name="_Toc170805703"/>
      <w:bookmarkStart w:id="1648" w:name="_Toc170805323"/>
      <w:bookmarkStart w:id="1649" w:name="_Toc297123550"/>
      <w:bookmarkStart w:id="1650" w:name="_Toc296891029"/>
      <w:bookmarkStart w:id="1651" w:name="_Toc292559406"/>
      <w:bookmarkStart w:id="1652" w:name="_Toc297120501"/>
      <w:bookmarkStart w:id="1653" w:name="_Toc296347200"/>
      <w:bookmarkStart w:id="1654" w:name="_Toc296944540"/>
      <w:bookmarkStart w:id="1655" w:name="_Toc303539157"/>
      <w:bookmarkStart w:id="1656" w:name="_Toc297048387"/>
      <w:bookmarkStart w:id="1657" w:name="_Toc312678039"/>
      <w:bookmarkStart w:id="1658" w:name="_Toc296346702"/>
      <w:bookmarkStart w:id="1659" w:name="_Toc300935000"/>
      <w:bookmarkStart w:id="1660" w:name="_Toc304295577"/>
      <w:bookmarkStart w:id="1661" w:name="_Toc292559911"/>
      <w:bookmarkStart w:id="1662" w:name="_Toc297216209"/>
      <w:bookmarkStart w:id="1663" w:name="_Toc296503201"/>
      <w:bookmarkStart w:id="1664" w:name="_Toc296891241"/>
      <w:r>
        <w:rPr>
          <w:rFonts w:hint="eastAsia"/>
          <w:color w:val="auto"/>
          <w:highlight w:val="none"/>
          <w:shd w:val="clear"/>
        </w:rPr>
        <w:t>11.1 市场价格波动引起的调整</w:t>
      </w:r>
      <w:bookmarkEnd w:id="1646"/>
      <w:bookmarkEnd w:id="1647"/>
      <w:bookmarkEnd w:id="1648"/>
    </w:p>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14:paraId="4B3C60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市场价格波动是否调整合同价格的约定：</w:t>
      </w:r>
      <w:r>
        <w:rPr>
          <w:rFonts w:hint="eastAsia" w:ascii="Times New Roman" w:hAnsi="Times New Roman"/>
          <w:b/>
          <w:bCs/>
          <w:color w:val="auto"/>
          <w:highlight w:val="none"/>
          <w:u w:val="single"/>
          <w:shd w:val="clear"/>
        </w:rPr>
        <w:t>不调整</w:t>
      </w:r>
      <w:r>
        <w:rPr>
          <w:rFonts w:hint="eastAsia" w:ascii="Times New Roman" w:hAnsi="Times New Roman"/>
          <w:color w:val="auto"/>
          <w:highlight w:val="none"/>
          <w:shd w:val="clear"/>
        </w:rPr>
        <w:t>。</w:t>
      </w:r>
    </w:p>
    <w:p w14:paraId="664000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因市场价格波动调整合同价格，采用以下第</w:t>
      </w:r>
      <w:r>
        <w:rPr>
          <w:rFonts w:hint="eastAsia" w:ascii="Times New Roman" w:hAnsi="Times New Roman"/>
          <w:b/>
          <w:bCs/>
          <w:color w:val="auto"/>
          <w:highlight w:val="none"/>
          <w:u w:val="single"/>
          <w:shd w:val="clear"/>
          <w:lang w:val="en-US" w:eastAsia="zh-CN"/>
        </w:rPr>
        <w:t>/</w:t>
      </w:r>
      <w:r>
        <w:rPr>
          <w:rFonts w:hint="eastAsia" w:ascii="Times New Roman" w:hAnsi="Times New Roman"/>
          <w:color w:val="auto"/>
          <w:highlight w:val="none"/>
          <w:shd w:val="clear"/>
        </w:rPr>
        <w:t>种方式对合同价格进行调整：</w:t>
      </w:r>
    </w:p>
    <w:p w14:paraId="40619D5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第1种方式：采用价格指数进行价格调整。</w:t>
      </w:r>
    </w:p>
    <w:p w14:paraId="7BDD684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关于各可调因子、定值和变值权重，以及基本价格指数及其来源的约定：</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w:t>
      </w:r>
    </w:p>
    <w:p w14:paraId="77F6073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第2种方式：采用造价信息进行价格调整。</w:t>
      </w:r>
    </w:p>
    <w:p w14:paraId="347FB56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（2）关于基准价格的约定：</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w:t>
      </w:r>
    </w:p>
    <w:p w14:paraId="225F03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专用合同条款①承包人在已标价工程量清单或预算书中载明的材料单价低于基准价格的：专用合同条款合同履行期间材料单价涨幅以基准价格为基础超过</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%时，或材料单价跌幅以已标价工程量清单或预算书中载明材料单价为基础超过</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%时，其超过部分据实调整。</w:t>
      </w:r>
    </w:p>
    <w:p w14:paraId="3227E2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②承包人在已标价工程量清单或预算书中载明的材料单价高于基准价格的：专用合同条款合同履行期间材料单价跌幅以基准价格为基础超过</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%时，材料单价涨幅以已标价工程量清单或预算书中载明材料单价为基础超过</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%时，其超过部分据实调整。</w:t>
      </w:r>
    </w:p>
    <w:p w14:paraId="3F2995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③承包人在已标价工程量清单或预算书中载明的材料单价等于基准单价的：专用合同条款合同履行期间材料单价涨跌幅以基准单价为基础超过±</w:t>
      </w:r>
      <w:r>
        <w:rPr>
          <w:rFonts w:hint="eastAsia" w:ascii="Times New Roman" w:hAnsi="Times New Roman"/>
          <w:color w:val="auto"/>
          <w:highlight w:val="none"/>
          <w:shd w:val="clear"/>
          <w:lang w:val="en-US" w:eastAsia="zh-CN"/>
        </w:rPr>
        <w:t>/</w:t>
      </w:r>
      <w:r>
        <w:rPr>
          <w:rFonts w:hint="eastAsia" w:ascii="Times New Roman" w:hAnsi="Times New Roman"/>
          <w:color w:val="auto"/>
          <w:highlight w:val="none"/>
          <w:shd w:val="clear"/>
        </w:rPr>
        <w:t>%时，其超过部分据实调整。</w:t>
      </w:r>
    </w:p>
    <w:p w14:paraId="3967AD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第3种方式：其他价格调整方式：</w:t>
      </w:r>
      <w:r>
        <w:rPr>
          <w:rFonts w:hint="eastAsia" w:ascii="Times New Roman" w:hAnsi="Times New Roman"/>
          <w:color w:val="auto"/>
          <w:highlight w:val="none"/>
          <w:shd w:val="clear"/>
        </w:rPr>
        <w:t>施工期间部分主要材料价格调整: ①人工费及机械台班费按照国家有关文件执行。②材料调差范围：钢材、水泥、石灰、碎石、商品混凝土。③材料调差依据、方式和原则：由投标单位自行采购的材料确定投标报价时应充分考虑材料价格上涨等市场风险因素，除钢材、水泥、石灰、碎石、商品混凝土施工期信息价平均值与《蚌埠工程经济》 2024年第6期信息价相比较，超出±5%以外的部分按实调整，±5%（含±5%）以内的部分作为风险范围不予调整。其他材料价格在中标后不作调整，投标报价中的材料费应包括材料运杂费、采保费及试验检验费。④调整部分的金额只计税金不计其他金额。⑤因中标人原因导致工期延误，延误期间材料涨价不予考虑、费用不予调增。</w:t>
      </w:r>
    </w:p>
    <w:bookmarkEnd w:id="1531"/>
    <w:bookmarkEnd w:id="1532"/>
    <w:bookmarkEnd w:id="1533"/>
    <w:bookmarkEnd w:id="1534"/>
    <w:bookmarkEnd w:id="1535"/>
    <w:bookmarkEnd w:id="1536"/>
    <w:p w14:paraId="59859195">
      <w:pPr>
        <w:pStyle w:val="26"/>
        <w:rPr>
          <w:color w:val="auto"/>
          <w:highlight w:val="none"/>
          <w:shd w:val="clear"/>
        </w:rPr>
      </w:pPr>
      <w:bookmarkStart w:id="1665" w:name="_Toc296346706"/>
      <w:bookmarkStart w:id="1666" w:name="_Toc296944544"/>
      <w:bookmarkStart w:id="1667" w:name="_Toc296347204"/>
      <w:bookmarkStart w:id="1668" w:name="_Toc292559410"/>
      <w:bookmarkStart w:id="1669" w:name="_Toc296503205"/>
      <w:bookmarkStart w:id="1670" w:name="_Toc297048391"/>
      <w:bookmarkStart w:id="1671" w:name="_Toc292559915"/>
      <w:bookmarkStart w:id="1672" w:name="_Toc297120505"/>
      <w:bookmarkStart w:id="1673" w:name="_Toc296891245"/>
      <w:bookmarkStart w:id="1674" w:name="_Toc296891033"/>
      <w:bookmarkStart w:id="1675" w:name="_Toc170805704"/>
      <w:bookmarkStart w:id="1676" w:name="_Toc170804136"/>
      <w:bookmarkStart w:id="1677" w:name="_Toc170805324"/>
      <w:bookmarkStart w:id="1678" w:name="_Toc351203644"/>
      <w:bookmarkStart w:id="1679" w:name="_Toc303539159"/>
      <w:bookmarkStart w:id="1680" w:name="_Toc312678040"/>
      <w:bookmarkStart w:id="1681" w:name="_Toc304295579"/>
      <w:bookmarkStart w:id="1682" w:name="_Toc297216211"/>
      <w:bookmarkStart w:id="1683" w:name="_Toc297123552"/>
      <w:bookmarkStart w:id="1684" w:name="_Toc300935002"/>
      <w:r>
        <w:rPr>
          <w:rFonts w:hint="eastAsia"/>
          <w:color w:val="auto"/>
          <w:highlight w:val="none"/>
          <w:shd w:val="clear"/>
        </w:rPr>
        <w:t>12.</w:t>
      </w:r>
      <w:bookmarkEnd w:id="1665"/>
      <w:bookmarkEnd w:id="1666"/>
      <w:bookmarkEnd w:id="1667"/>
      <w:bookmarkEnd w:id="1668"/>
      <w:bookmarkEnd w:id="1669"/>
      <w:bookmarkEnd w:id="1670"/>
      <w:bookmarkEnd w:id="1671"/>
      <w:bookmarkEnd w:id="1672"/>
      <w:bookmarkEnd w:id="1673"/>
      <w:bookmarkEnd w:id="1674"/>
      <w:r>
        <w:rPr>
          <w:rFonts w:hint="eastAsia"/>
          <w:color w:val="auto"/>
          <w:highlight w:val="none"/>
          <w:shd w:val="clear"/>
        </w:rPr>
        <w:t>合同价格、计量与支付</w:t>
      </w:r>
      <w:bookmarkEnd w:id="1675"/>
      <w:bookmarkEnd w:id="1676"/>
      <w:bookmarkEnd w:id="1677"/>
      <w:bookmarkEnd w:id="1678"/>
    </w:p>
    <w:bookmarkEnd w:id="1679"/>
    <w:bookmarkEnd w:id="1680"/>
    <w:bookmarkEnd w:id="1681"/>
    <w:bookmarkEnd w:id="1682"/>
    <w:bookmarkEnd w:id="1683"/>
    <w:bookmarkEnd w:id="1684"/>
    <w:p w14:paraId="742EF7F6">
      <w:pPr>
        <w:pStyle w:val="33"/>
        <w:rPr>
          <w:color w:val="auto"/>
          <w:highlight w:val="none"/>
          <w:shd w:val="clear"/>
        </w:rPr>
      </w:pPr>
      <w:bookmarkStart w:id="1685" w:name="_Toc292559916"/>
      <w:bookmarkStart w:id="1686" w:name="_Toc267251461"/>
      <w:bookmarkStart w:id="1687" w:name="_Toc292559411"/>
      <w:bookmarkStart w:id="1688" w:name="_Toc296891246"/>
      <w:bookmarkStart w:id="1689" w:name="_Toc296944545"/>
      <w:bookmarkStart w:id="1690" w:name="_Toc296503206"/>
      <w:bookmarkStart w:id="1691" w:name="_Toc297048392"/>
      <w:bookmarkStart w:id="1692" w:name="_Toc296347205"/>
      <w:bookmarkStart w:id="1693" w:name="_Toc297120506"/>
      <w:bookmarkStart w:id="1694" w:name="_Toc296346707"/>
      <w:bookmarkStart w:id="1695" w:name="_Toc296891034"/>
      <w:bookmarkStart w:id="1696" w:name="_Toc170804137"/>
      <w:bookmarkStart w:id="1697" w:name="_Toc170805705"/>
      <w:bookmarkStart w:id="1698" w:name="_Toc170805325"/>
      <w:bookmarkStart w:id="1699" w:name="_Toc297216212"/>
      <w:bookmarkStart w:id="1700" w:name="_Toc303539160"/>
      <w:bookmarkStart w:id="1701" w:name="_Toc300935003"/>
      <w:bookmarkStart w:id="1702" w:name="_Toc304295580"/>
      <w:bookmarkStart w:id="1703" w:name="_Toc312678041"/>
      <w:bookmarkStart w:id="1704" w:name="_Toc297123553"/>
      <w:r>
        <w:rPr>
          <w:rFonts w:hint="eastAsia"/>
          <w:color w:val="auto"/>
          <w:highlight w:val="none"/>
          <w:shd w:val="clear"/>
        </w:rPr>
        <w:t>12.1 合</w:t>
      </w:r>
      <w:bookmarkEnd w:id="1685"/>
      <w:bookmarkEnd w:id="1686"/>
      <w:bookmarkEnd w:id="1687"/>
      <w:r>
        <w:rPr>
          <w:rFonts w:hint="eastAsia"/>
          <w:color w:val="auto"/>
          <w:highlight w:val="none"/>
          <w:shd w:val="clear"/>
        </w:rPr>
        <w:t>同价</w:t>
      </w:r>
      <w:bookmarkEnd w:id="1688"/>
      <w:bookmarkEnd w:id="1689"/>
      <w:bookmarkEnd w:id="1690"/>
      <w:bookmarkEnd w:id="1691"/>
      <w:bookmarkEnd w:id="1692"/>
      <w:bookmarkEnd w:id="1693"/>
      <w:bookmarkEnd w:id="1694"/>
      <w:bookmarkEnd w:id="1695"/>
      <w:r>
        <w:rPr>
          <w:rFonts w:hint="eastAsia"/>
          <w:color w:val="auto"/>
          <w:highlight w:val="none"/>
          <w:shd w:val="clear"/>
        </w:rPr>
        <w:t>格形式</w:t>
      </w:r>
      <w:bookmarkEnd w:id="1696"/>
      <w:bookmarkEnd w:id="1697"/>
      <w:bookmarkEnd w:id="1698"/>
    </w:p>
    <w:bookmarkEnd w:id="1699"/>
    <w:bookmarkEnd w:id="1700"/>
    <w:bookmarkEnd w:id="1701"/>
    <w:bookmarkEnd w:id="1702"/>
    <w:bookmarkEnd w:id="1703"/>
    <w:bookmarkEnd w:id="1704"/>
    <w:p w14:paraId="48EB9BB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1、单价合同。</w:t>
      </w:r>
    </w:p>
    <w:p w14:paraId="11C1A5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综合单价包含的风险范围：</w:t>
      </w:r>
      <w:r>
        <w:rPr>
          <w:rFonts w:hint="eastAsia" w:ascii="Times New Roman" w:hAnsi="Times New Roman"/>
          <w:color w:val="auto"/>
          <w:highlight w:val="none"/>
          <w:shd w:val="clear"/>
        </w:rPr>
        <w:t xml:space="preserve"> </w:t>
      </w:r>
      <w:r>
        <w:rPr>
          <w:rFonts w:hint="eastAsia" w:ascii="Times New Roman" w:hAnsi="Times New Roman"/>
          <w:b/>
          <w:bCs/>
          <w:color w:val="auto"/>
          <w:highlight w:val="none"/>
          <w:u w:val="single"/>
          <w:shd w:val="clear"/>
        </w:rPr>
        <w:t>除不可抗力和合同约定的风险范围可以调整之外，其他人工、材料、机械费用的市场价格变化均不予以调整</w:t>
      </w:r>
      <w:r>
        <w:rPr>
          <w:rFonts w:hint="eastAsia" w:ascii="Times New Roman" w:hAnsi="Times New Roman"/>
          <w:color w:val="auto"/>
          <w:highlight w:val="none"/>
          <w:u w:val="single"/>
          <w:shd w:val="clear"/>
          <w:lang w:val="en-US" w:eastAsia="zh-CN"/>
        </w:rPr>
        <w:t xml:space="preserve"> </w:t>
      </w:r>
      <w:r>
        <w:rPr>
          <w:rFonts w:hint="eastAsia" w:ascii="Times New Roman" w:hAnsi="Times New Roman"/>
          <w:color w:val="auto"/>
          <w:highlight w:val="none"/>
          <w:shd w:val="clear"/>
        </w:rPr>
        <w:t>。</w:t>
      </w:r>
    </w:p>
    <w:p w14:paraId="4CF160C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风险费用的计算方法：</w:t>
      </w:r>
      <w:r>
        <w:rPr>
          <w:rFonts w:hint="eastAsia" w:ascii="Times New Roman" w:hAnsi="Times New Roman"/>
          <w:b/>
          <w:bCs/>
          <w:color w:val="auto"/>
          <w:highlight w:val="none"/>
          <w:u w:val="single"/>
          <w:shd w:val="clear"/>
        </w:rPr>
        <w:t>发包人与承包人自行协商</w:t>
      </w:r>
      <w:r>
        <w:rPr>
          <w:rFonts w:hint="eastAsia" w:ascii="Times New Roman" w:hAnsi="Times New Roman"/>
          <w:color w:val="auto"/>
          <w:highlight w:val="none"/>
          <w:shd w:val="clear"/>
        </w:rPr>
        <w:t>。</w:t>
      </w:r>
    </w:p>
    <w:p w14:paraId="631AD8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风险范围以外合同价格的调整方法：</w:t>
      </w:r>
      <w:r>
        <w:rPr>
          <w:rFonts w:hint="eastAsia" w:ascii="Times New Roman" w:hAnsi="Times New Roman"/>
          <w:b/>
          <w:bCs/>
          <w:color w:val="auto"/>
          <w:highlight w:val="none"/>
          <w:u w:val="single"/>
          <w:shd w:val="clear"/>
        </w:rPr>
        <w:t>发包人与承包人自行协商</w:t>
      </w:r>
      <w:r>
        <w:rPr>
          <w:rFonts w:hint="eastAsia" w:ascii="Times New Roman" w:hAnsi="Times New Roman"/>
          <w:color w:val="auto"/>
          <w:highlight w:val="none"/>
          <w:shd w:val="clear"/>
        </w:rPr>
        <w:t>。</w:t>
      </w:r>
    </w:p>
    <w:p w14:paraId="17FE419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2、总价合同。</w:t>
      </w:r>
    </w:p>
    <w:p w14:paraId="10273D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总价包含的风险范围：</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4C7357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风险费用的计算方法：</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7FFFDE4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风险范围以外合同价格的调整方法：</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160048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3、其他价格方式：</w:t>
      </w:r>
      <w:r>
        <w:rPr>
          <w:rFonts w:hint="eastAsia" w:ascii="Times New Roman" w:hAnsi="Times New Roman"/>
          <w:color w:val="auto"/>
          <w:highlight w:val="none"/>
          <w:u w:val="single"/>
          <w:shd w:val="clear"/>
          <w:lang w:val="en-US" w:eastAsia="zh-CN"/>
        </w:rPr>
        <w:t xml:space="preserve">     /      </w:t>
      </w:r>
      <w:r>
        <w:rPr>
          <w:rFonts w:hint="eastAsia" w:ascii="Times New Roman" w:hAnsi="Times New Roman"/>
          <w:color w:val="auto"/>
          <w:highlight w:val="none"/>
          <w:shd w:val="clear"/>
        </w:rPr>
        <w:t>。</w:t>
      </w:r>
    </w:p>
    <w:p w14:paraId="23F0F5E2">
      <w:pPr>
        <w:pStyle w:val="33"/>
        <w:rPr>
          <w:b/>
          <w:bCs w:val="0"/>
          <w:color w:val="auto"/>
          <w:highlight w:val="none"/>
          <w:shd w:val="clear"/>
        </w:rPr>
      </w:pPr>
      <w:bookmarkStart w:id="1705" w:name="_Toc170804138"/>
      <w:bookmarkStart w:id="1706" w:name="_Toc170805706"/>
      <w:bookmarkStart w:id="1707" w:name="_Toc170805326"/>
      <w:bookmarkStart w:id="1708" w:name="_Toc303539161"/>
      <w:bookmarkStart w:id="1709" w:name="_Toc297123554"/>
      <w:bookmarkStart w:id="1710" w:name="_Toc312678042"/>
      <w:bookmarkStart w:id="1711" w:name="_Toc304295581"/>
      <w:bookmarkStart w:id="1712" w:name="_Toc300935004"/>
      <w:bookmarkStart w:id="1713" w:name="_Toc297216213"/>
      <w:bookmarkStart w:id="1714" w:name="_Toc297120507"/>
      <w:bookmarkStart w:id="1715" w:name="_Toc296944546"/>
      <w:bookmarkStart w:id="1716" w:name="_Toc296503207"/>
      <w:bookmarkStart w:id="1717" w:name="_Toc296347206"/>
      <w:bookmarkStart w:id="1718" w:name="_Toc296891247"/>
      <w:bookmarkStart w:id="1719" w:name="_Toc292559917"/>
      <w:bookmarkStart w:id="1720" w:name="_Toc296891035"/>
      <w:bookmarkStart w:id="1721" w:name="_Toc297048393"/>
      <w:bookmarkStart w:id="1722" w:name="_Toc296346708"/>
      <w:bookmarkStart w:id="1723" w:name="_Toc292559412"/>
      <w:r>
        <w:rPr>
          <w:rFonts w:hint="eastAsia"/>
          <w:b/>
          <w:bCs w:val="0"/>
          <w:color w:val="auto"/>
          <w:highlight w:val="none"/>
          <w:shd w:val="clear"/>
        </w:rPr>
        <w:t>12.2 预付款</w:t>
      </w:r>
      <w:bookmarkEnd w:id="1705"/>
      <w:bookmarkEnd w:id="1706"/>
      <w:bookmarkEnd w:id="1707"/>
    </w:p>
    <w:bookmarkEnd w:id="1708"/>
    <w:bookmarkEnd w:id="1709"/>
    <w:bookmarkEnd w:id="1710"/>
    <w:bookmarkEnd w:id="1711"/>
    <w:bookmarkEnd w:id="1712"/>
    <w:bookmarkEnd w:id="1713"/>
    <w:p w14:paraId="6E159B31">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12.2.1 预付款的支付</w:t>
      </w:r>
    </w:p>
    <w:p w14:paraId="4DEF9A91">
      <w:pPr>
        <w:pStyle w:val="22"/>
        <w:ind w:firstLine="420"/>
        <w:rPr>
          <w:rFonts w:ascii="Times New Roman" w:hAnsi="Times New Roman"/>
          <w:b/>
          <w:bCs w:val="0"/>
          <w:color w:val="auto"/>
          <w:highlight w:val="none"/>
          <w:u w:val="single"/>
          <w:shd w:val="clear"/>
        </w:rPr>
      </w:pPr>
      <w:r>
        <w:rPr>
          <w:rFonts w:hint="eastAsia" w:ascii="Times New Roman" w:hAnsi="Times New Roman"/>
          <w:b/>
          <w:bCs w:val="0"/>
          <w:color w:val="auto"/>
          <w:highlight w:val="none"/>
          <w:shd w:val="clear"/>
        </w:rPr>
        <w:t>预付款支付比例或金额：</w:t>
      </w:r>
      <w:r>
        <w:rPr>
          <w:rFonts w:hint="eastAsia" w:ascii="Times New Roman" w:hAnsi="Times New Roman"/>
          <w:b/>
          <w:bCs w:val="0"/>
          <w:color w:val="auto"/>
          <w:highlight w:val="none"/>
          <w:shd w:val="clear"/>
        </w:rPr>
        <w:t>执行安徽省住房和城乡建设厅《关于建立长效机制切实保障建筑行业农民工工资支付工作的通知》（建市函〔2022〕490 号 )、蚌埠市住房和城乡建设局《关于建立保障建筑行业农民工工资支付工作长效机制的通知》规定，建设单位拨付的工程款预付款应不低于合同总价（扣除暂列金额）的10%。本项目具体预付比例或金额为：</w:t>
      </w:r>
      <w:r>
        <w:rPr>
          <w:rFonts w:hint="eastAsia" w:ascii="Times New Roman" w:hAnsi="Times New Roman"/>
          <w:b/>
          <w:bCs w:val="0"/>
          <w:color w:val="auto"/>
          <w:highlight w:val="none"/>
          <w:u w:val="single"/>
          <w:shd w:val="clear"/>
        </w:rPr>
        <w:t>合同总价（扣除暂列金额）的10%。</w:t>
      </w:r>
    </w:p>
    <w:p w14:paraId="7C097893">
      <w:pPr>
        <w:pStyle w:val="22"/>
        <w:ind w:firstLine="420"/>
        <w:rPr>
          <w:rFonts w:ascii="Times New Roman" w:hAnsi="Times New Roman"/>
          <w:b/>
          <w:bCs w:val="0"/>
          <w:color w:val="auto"/>
          <w:highlight w:val="none"/>
          <w:u w:val="single"/>
          <w:shd w:val="clear"/>
        </w:rPr>
      </w:pPr>
      <w:r>
        <w:rPr>
          <w:rFonts w:hint="eastAsia" w:ascii="Times New Roman" w:hAnsi="Times New Roman"/>
          <w:b/>
          <w:bCs w:val="0"/>
          <w:color w:val="auto"/>
          <w:highlight w:val="none"/>
          <w:shd w:val="clear"/>
        </w:rPr>
        <w:t>预付款支付期限：</w:t>
      </w:r>
      <w:r>
        <w:rPr>
          <w:rFonts w:hint="eastAsia" w:ascii="Times New Roman" w:hAnsi="Times New Roman"/>
          <w:b/>
          <w:bCs w:val="0"/>
          <w:color w:val="auto"/>
          <w:highlight w:val="none"/>
          <w:shd w:val="clear"/>
        </w:rPr>
        <w:t>执行安徽省住房和城乡建设厅《关于建立长效机制切实保障建筑行业农民工工资支付工作的通知》（建市函〔2022〕490 号 )、蚌埠市住房和城乡建设局《关于建立保障建筑行业农民工工资支付工作长效机制的通知》规定，在具备施工条件的前提下，应在合同签订后一个月内或不迟于约定的开工日期前 7 天内预付工程款。本项目具体支付期限为：</w:t>
      </w:r>
      <w:r>
        <w:rPr>
          <w:rFonts w:hint="eastAsia" w:ascii="Times New Roman" w:hAnsi="Times New Roman"/>
          <w:b/>
          <w:bCs w:val="0"/>
          <w:color w:val="auto"/>
          <w:highlight w:val="none"/>
          <w:u w:val="single"/>
          <w:shd w:val="clear"/>
        </w:rPr>
        <w:t>在具备施工条件的前提下，在约定的开工日期前 7天内一次性支付预付价款。</w:t>
      </w:r>
    </w:p>
    <w:p w14:paraId="12639FAF">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预付款扣回的方式：</w:t>
      </w:r>
      <w:r>
        <w:rPr>
          <w:rFonts w:hint="eastAsia" w:ascii="Times New Roman" w:hAnsi="Times New Roman"/>
          <w:b/>
          <w:bCs w:val="0"/>
          <w:color w:val="auto"/>
          <w:highlight w:val="none"/>
          <w:u w:val="single"/>
          <w:shd w:val="clear"/>
        </w:rPr>
        <w:t>按工程月度进度款的50%扣回，直至扣完为止</w:t>
      </w:r>
      <w:r>
        <w:rPr>
          <w:rFonts w:hint="eastAsia" w:ascii="Times New Roman" w:hAnsi="Times New Roman"/>
          <w:b/>
          <w:bCs w:val="0"/>
          <w:color w:val="auto"/>
          <w:highlight w:val="none"/>
          <w:shd w:val="clear"/>
        </w:rPr>
        <w:t xml:space="preserve"> 。</w:t>
      </w:r>
    </w:p>
    <w:p w14:paraId="12F1AE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12.2.2 预付款担保</w:t>
      </w:r>
    </w:p>
    <w:p w14:paraId="5CCDB67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承包人提交预付款担保的期限：</w:t>
      </w:r>
      <w:r>
        <w:rPr>
          <w:rFonts w:hint="eastAsia" w:ascii="Times New Roman" w:hAnsi="Times New Roman"/>
          <w:b/>
          <w:bCs/>
          <w:color w:val="auto"/>
          <w:highlight w:val="none"/>
          <w:u w:val="single"/>
          <w:shd w:val="clear"/>
        </w:rPr>
        <w:t>合同签订后一个月内或不迟于约定的开工日期前7天内</w:t>
      </w:r>
      <w:r>
        <w:rPr>
          <w:rFonts w:hint="eastAsia" w:ascii="Times New Roman" w:hAnsi="Times New Roman"/>
          <w:color w:val="auto"/>
          <w:highlight w:val="none"/>
          <w:shd w:val="clear"/>
        </w:rPr>
        <w:t>。</w:t>
      </w:r>
    </w:p>
    <w:p w14:paraId="5ADDC1D4">
      <w:pPr>
        <w:pStyle w:val="22"/>
        <w:ind w:firstLine="420"/>
        <w:rPr>
          <w:rFonts w:hint="eastAsia" w:ascii="Times New Roman" w:hAnsi="Times New Roman" w:eastAsia="宋体" w:cs="宋体"/>
          <w:b/>
          <w:bCs/>
          <w:color w:val="auto"/>
          <w:highlight w:val="none"/>
          <w:u w:val="single"/>
          <w:shd w:val="clear"/>
          <w:lang w:eastAsia="zh-CN"/>
        </w:rPr>
      </w:pPr>
      <w:r>
        <w:rPr>
          <w:rFonts w:hint="eastAsia" w:ascii="Times New Roman" w:hAnsi="Times New Roman"/>
          <w:color w:val="auto"/>
          <w:highlight w:val="none"/>
          <w:shd w:val="clear"/>
        </w:rPr>
        <w:t>预付款担保的形式为：</w:t>
      </w:r>
      <w:r>
        <w:rPr>
          <w:rFonts w:hint="eastAsia" w:ascii="Times New Roman" w:hAnsi="Times New Roman"/>
          <w:b/>
          <w:bCs/>
          <w:color w:val="auto"/>
          <w:highlight w:val="none"/>
          <w:u w:val="single"/>
          <w:shd w:val="clear"/>
        </w:rPr>
        <w:t>预付款同比例预付款担保，形式为银行保函或保证保险</w:t>
      </w:r>
      <w:r>
        <w:rPr>
          <w:rFonts w:hint="eastAsia" w:ascii="Times New Roman" w:hAnsi="Times New Roman" w:eastAsia="宋体" w:cs="宋体"/>
          <w:b/>
          <w:bCs/>
          <w:color w:val="auto"/>
          <w:highlight w:val="none"/>
          <w:u w:val="single"/>
          <w:shd w:val="clear"/>
        </w:rPr>
        <w:t>。</w:t>
      </w:r>
      <w:r>
        <w:rPr>
          <w:rFonts w:hint="eastAsia" w:ascii="Times New Roman" w:hAnsi="Times New Roman" w:eastAsia="宋体" w:cs="宋体"/>
          <w:b/>
          <w:bCs/>
          <w:color w:val="auto"/>
          <w:highlight w:val="none"/>
          <w:u w:val="single"/>
          <w:shd w:val="clear"/>
          <w:lang w:eastAsia="zh-CN"/>
        </w:rPr>
        <w:t>（</w:t>
      </w:r>
      <w:r>
        <w:rPr>
          <w:rFonts w:hint="eastAsia" w:ascii="Times New Roman" w:hAnsi="Times New Roman" w:eastAsia="宋体" w:cs="宋体"/>
          <w:b/>
          <w:bCs/>
          <w:color w:val="auto"/>
          <w:highlight w:val="none"/>
          <w:u w:val="single"/>
          <w:shd w:val="clear"/>
          <w:lang w:val="en-US" w:eastAsia="zh-CN"/>
        </w:rPr>
        <w:t>注：政府投资项目可以提供有关部门出具的相应资金保障证明</w:t>
      </w:r>
      <w:r>
        <w:rPr>
          <w:rFonts w:hint="eastAsia" w:ascii="Times New Roman" w:hAnsi="Times New Roman" w:eastAsia="宋体" w:cs="宋体"/>
          <w:b/>
          <w:bCs/>
          <w:color w:val="auto"/>
          <w:highlight w:val="none"/>
          <w:u w:val="single"/>
          <w:shd w:val="clear"/>
          <w:lang w:eastAsia="zh-CN"/>
        </w:rPr>
        <w:t>）</w:t>
      </w:r>
    </w:p>
    <w:bookmarkEnd w:id="1714"/>
    <w:bookmarkEnd w:id="1715"/>
    <w:bookmarkEnd w:id="1716"/>
    <w:bookmarkEnd w:id="1717"/>
    <w:bookmarkEnd w:id="1718"/>
    <w:bookmarkEnd w:id="1719"/>
    <w:bookmarkEnd w:id="1720"/>
    <w:bookmarkEnd w:id="1721"/>
    <w:bookmarkEnd w:id="1722"/>
    <w:bookmarkEnd w:id="1723"/>
    <w:p w14:paraId="0861D09D">
      <w:pPr>
        <w:pStyle w:val="33"/>
        <w:rPr>
          <w:color w:val="auto"/>
          <w:highlight w:val="none"/>
          <w:shd w:val="clear"/>
        </w:rPr>
      </w:pPr>
      <w:bookmarkStart w:id="1724" w:name="_Toc170805707"/>
      <w:bookmarkStart w:id="1725" w:name="_Toc170805327"/>
      <w:bookmarkStart w:id="1726" w:name="_Toc170804139"/>
      <w:r>
        <w:rPr>
          <w:rFonts w:hint="eastAsia"/>
          <w:color w:val="auto"/>
          <w:highlight w:val="none"/>
          <w:shd w:val="clear"/>
        </w:rPr>
        <w:t>12.3 计量</w:t>
      </w:r>
      <w:bookmarkEnd w:id="1724"/>
      <w:bookmarkEnd w:id="1725"/>
      <w:bookmarkEnd w:id="1726"/>
    </w:p>
    <w:p w14:paraId="2B8CCE6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12.3.1 计量原则</w:t>
      </w:r>
    </w:p>
    <w:p w14:paraId="53D74E8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工程量计算规则：</w:t>
      </w:r>
      <w:r>
        <w:rPr>
          <w:rFonts w:hint="eastAsia" w:ascii="Times New Roman" w:hAnsi="Times New Roman"/>
          <w:b/>
          <w:bCs/>
          <w:color w:val="auto"/>
          <w:highlight w:val="none"/>
          <w:u w:val="single"/>
          <w:shd w:val="clear"/>
        </w:rPr>
        <w:t>《安徽省建设工程工程量清单计价规范》（DBJ34/T-206-2018）；《安徽省建设工程清单计价费用定额》（2018年）；《安徽省建设工程消耗量定额》（2018版）及其他现行计算规则。</w:t>
      </w:r>
    </w:p>
    <w:p w14:paraId="05ECC70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12.3.2 计量周期</w:t>
      </w:r>
    </w:p>
    <w:p w14:paraId="679CD2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关于计量周期的约定：</w:t>
      </w:r>
      <w:r>
        <w:rPr>
          <w:rFonts w:hint="eastAsia" w:ascii="Times New Roman" w:hAnsi="Times New Roman"/>
          <w:b/>
          <w:bCs/>
          <w:color w:val="auto"/>
          <w:highlight w:val="none"/>
          <w:u w:val="single"/>
          <w:shd w:val="clear"/>
        </w:rPr>
        <w:t>按月计量</w:t>
      </w:r>
      <w:r>
        <w:rPr>
          <w:rFonts w:hint="eastAsia" w:ascii="Times New Roman" w:hAnsi="Times New Roman"/>
          <w:color w:val="auto"/>
          <w:highlight w:val="none"/>
          <w:shd w:val="clear"/>
        </w:rPr>
        <w:t>。</w:t>
      </w:r>
    </w:p>
    <w:p w14:paraId="064C17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12.3.3 单价合同的计量</w:t>
      </w:r>
    </w:p>
    <w:p w14:paraId="1DDD4B04">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关于单价合同计量的约定：</w:t>
      </w:r>
    </w:p>
    <w:p w14:paraId="1E9DB97C">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（1）承包人应于月末25日前报送已完成的工程量报告，已完成工程量报表和有关资料。</w:t>
      </w:r>
    </w:p>
    <w:p w14:paraId="7FD456C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业主代表应在收到承包人提交的工程量报告后3天内完成对承包人提交的工程量报表的审核并报送发包人，以确定上一阶段实际完成的工程量。业主代表对工程量有异议的，有权要求承包人进行共同复核或抽样复测。承包人应协助业主代表进行复核或抽样复测并按业主代表要求提供补充计量资料。承包人未按业主代表要求参加复核或抽样复测的，业主代表审核或修正的工程量视为承包人实际完成的工程量。</w:t>
      </w:r>
    </w:p>
    <w:p w14:paraId="303B3B6B">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（3）业主代表未在收到承包人提交的工程量报表后的7天内完成复核的，承包人提交的工程量报告中的工程量视为承包人实际完成的工程量。</w:t>
      </w:r>
    </w:p>
    <w:p w14:paraId="15BDE096">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lang w:eastAsia="zh-CN"/>
        </w:rPr>
        <w:t>（</w:t>
      </w:r>
      <w:r>
        <w:rPr>
          <w:rFonts w:hint="eastAsia" w:ascii="Times New Roman" w:hAnsi="Times New Roman"/>
          <w:b/>
          <w:bCs/>
          <w:color w:val="auto"/>
          <w:highlight w:val="none"/>
          <w:u w:val="single"/>
          <w:shd w:val="clear"/>
          <w:lang w:val="en-US" w:eastAsia="zh-CN"/>
        </w:rPr>
        <w:t>4</w:t>
      </w:r>
      <w:r>
        <w:rPr>
          <w:rFonts w:hint="eastAsia" w:ascii="Times New Roman" w:hAnsi="Times New Roman"/>
          <w:b/>
          <w:bCs/>
          <w:color w:val="auto"/>
          <w:highlight w:val="none"/>
          <w:u w:val="single"/>
          <w:shd w:val="clear"/>
          <w:lang w:eastAsia="zh-CN"/>
        </w:rPr>
        <w:t>）本项目最终工程款以审计为依据，承包人同意由发包方委托审计，并认可审计机构的审计结果。</w:t>
      </w:r>
    </w:p>
    <w:p w14:paraId="6B63471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12.3.4 总价合同的计量</w:t>
      </w:r>
    </w:p>
    <w:p w14:paraId="5AAA572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关于总价合同计量的约定：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53DE56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12.3.5总价合同采用支付分解表计量支付的，是否适用第12.3.4 项〔总价合同的计量〕约定进行计量：</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13A1875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12.3.6 其他价格形式合同的计量</w:t>
      </w:r>
    </w:p>
    <w:p w14:paraId="36D2C7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其他价格形式的计量方式和程序：</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4F4B25C8">
      <w:pPr>
        <w:pStyle w:val="33"/>
        <w:rPr>
          <w:b/>
          <w:bCs w:val="0"/>
          <w:color w:val="auto"/>
          <w:highlight w:val="none"/>
          <w:shd w:val="clear"/>
        </w:rPr>
      </w:pPr>
      <w:bookmarkStart w:id="1727" w:name="_Toc170804140"/>
      <w:bookmarkStart w:id="1728" w:name="_Toc170805708"/>
      <w:bookmarkStart w:id="1729" w:name="_Toc170805328"/>
      <w:r>
        <w:rPr>
          <w:rFonts w:hint="eastAsia"/>
          <w:b/>
          <w:bCs w:val="0"/>
          <w:color w:val="auto"/>
          <w:highlight w:val="none"/>
          <w:shd w:val="clear"/>
        </w:rPr>
        <w:t>12.4 工程进度款支付</w:t>
      </w:r>
      <w:bookmarkEnd w:id="1727"/>
      <w:bookmarkEnd w:id="1728"/>
      <w:bookmarkEnd w:id="1729"/>
    </w:p>
    <w:p w14:paraId="10F54D17">
      <w:pPr>
        <w:pStyle w:val="22"/>
        <w:ind w:firstLine="420"/>
        <w:rPr>
          <w:rFonts w:ascii="Times New Roman" w:hAnsi="Times New Roman"/>
          <w:b/>
          <w:bCs w:val="0"/>
          <w:color w:val="auto"/>
          <w:highlight w:val="none"/>
          <w:shd w:val="clear"/>
        </w:rPr>
      </w:pPr>
      <w:bookmarkStart w:id="1730" w:name="_Toc300935006"/>
      <w:bookmarkStart w:id="1731" w:name="_Toc296944550"/>
      <w:bookmarkStart w:id="1732" w:name="_Toc292559416"/>
      <w:bookmarkStart w:id="1733" w:name="_Toc297216215"/>
      <w:bookmarkStart w:id="1734" w:name="_Toc297120511"/>
      <w:bookmarkStart w:id="1735" w:name="_Toc296346712"/>
      <w:bookmarkStart w:id="1736" w:name="_Toc296503211"/>
      <w:bookmarkStart w:id="1737" w:name="_Toc296891039"/>
      <w:bookmarkStart w:id="1738" w:name="_Toc292559921"/>
      <w:bookmarkStart w:id="1739" w:name="_Toc297048397"/>
      <w:bookmarkStart w:id="1740" w:name="_Toc296347210"/>
      <w:bookmarkStart w:id="1741" w:name="_Toc303539163"/>
      <w:bookmarkStart w:id="1742" w:name="_Toc297123556"/>
      <w:bookmarkStart w:id="1743" w:name="_Toc296891251"/>
      <w:r>
        <w:rPr>
          <w:rFonts w:hint="eastAsia" w:ascii="Times New Roman" w:hAnsi="Times New Roman"/>
          <w:b/>
          <w:bCs w:val="0"/>
          <w:color w:val="auto"/>
          <w:highlight w:val="none"/>
          <w:shd w:val="clear"/>
        </w:rPr>
        <w:t>12.4.1 付款周期</w:t>
      </w:r>
    </w:p>
    <w:p w14:paraId="3E8CD35A">
      <w:pPr>
        <w:pStyle w:val="22"/>
        <w:ind w:firstLine="420"/>
        <w:rPr>
          <w:rFonts w:hint="eastAsia" w:ascii="Times New Roman" w:hAnsi="Times New Roman"/>
          <w:b/>
          <w:bCs w:val="0"/>
          <w:color w:val="auto"/>
          <w:highlight w:val="none"/>
          <w:shd w:val="clear"/>
        </w:rPr>
      </w:pPr>
      <w:r>
        <w:rPr>
          <w:rFonts w:hint="eastAsia" w:ascii="Times New Roman" w:hAnsi="Times New Roman"/>
          <w:b/>
          <w:bCs w:val="0"/>
          <w:color w:val="auto"/>
          <w:highlight w:val="none"/>
          <w:shd w:val="clear"/>
        </w:rPr>
        <w:t>关于付款周期的约定：</w:t>
      </w:r>
    </w:p>
    <w:p w14:paraId="2595D3E6">
      <w:pPr>
        <w:pStyle w:val="22"/>
        <w:ind w:firstLine="420"/>
        <w:rPr>
          <w:rFonts w:hint="eastAsia" w:ascii="Times New Roman" w:hAnsi="Times New Roman"/>
          <w:b/>
          <w:bCs w:val="0"/>
          <w:color w:val="auto"/>
          <w:highlight w:val="none"/>
          <w:u w:val="single"/>
          <w:shd w:val="clear"/>
        </w:rPr>
      </w:pPr>
      <w:r>
        <w:rPr>
          <w:rFonts w:hint="eastAsia" w:ascii="Times New Roman" w:hAnsi="Times New Roman"/>
          <w:b/>
          <w:bCs w:val="0"/>
          <w:color w:val="auto"/>
          <w:highlight w:val="none"/>
          <w:u w:val="single"/>
          <w:shd w:val="clear"/>
        </w:rPr>
        <w:t>（1）付款程序：工程进度款按每个月支付一次。发包人在收到经监理工程师审查签字的并经发包人审定的已完工程月报表后，7天内办理付款手续。</w:t>
      </w:r>
    </w:p>
    <w:p w14:paraId="1EA40E10">
      <w:pPr>
        <w:pStyle w:val="22"/>
        <w:ind w:firstLine="420"/>
        <w:rPr>
          <w:rFonts w:hint="eastAsia" w:ascii="Times New Roman" w:hAnsi="Times New Roman"/>
          <w:b/>
          <w:bCs w:val="0"/>
          <w:color w:val="auto"/>
          <w:highlight w:val="none"/>
          <w:u w:val="single"/>
          <w:shd w:val="clear"/>
        </w:rPr>
      </w:pPr>
      <w:r>
        <w:rPr>
          <w:rFonts w:hint="eastAsia" w:ascii="Times New Roman" w:hAnsi="Times New Roman"/>
          <w:b/>
          <w:bCs w:val="0"/>
          <w:color w:val="auto"/>
          <w:highlight w:val="none"/>
          <w:u w:val="single"/>
          <w:shd w:val="clear"/>
        </w:rPr>
        <w:t>（2）付款节点及进度：</w:t>
      </w:r>
    </w:p>
    <w:p w14:paraId="2D9B2042">
      <w:pPr>
        <w:pStyle w:val="22"/>
        <w:ind w:firstLine="420"/>
        <w:rPr>
          <w:rFonts w:ascii="Times New Roman" w:hAnsi="Times New Roman"/>
          <w:b/>
          <w:bCs w:val="0"/>
          <w:color w:val="auto"/>
          <w:highlight w:val="none"/>
          <w:u w:val="single"/>
          <w:shd w:val="clear"/>
        </w:rPr>
      </w:pPr>
      <w:r>
        <w:rPr>
          <w:rFonts w:hint="eastAsia" w:ascii="Times New Roman" w:hAnsi="Times New Roman"/>
          <w:b/>
          <w:bCs w:val="0"/>
          <w:color w:val="auto"/>
          <w:highlight w:val="none"/>
          <w:u w:val="single"/>
          <w:shd w:val="clear"/>
        </w:rPr>
        <w:t>付款节点及进度：工程进度款按每月支付一次，每次支付已完成合格工程量对应价款的85%，项目竣工验收合格，备案完成、资料全部移交至发包人后支付至结算审计工程价款的100%，乙方在工程审计结算后需向甲方提供工程审计结算价的3%作为质量保证金担保（担保方式：转账，电汇，支票 ，汇票，本票，保函或保险等，乙方选择缴纳质保金的，甲方不得在支付合同价款过程中，再扣除质保金。①如采用金融机构出具的保函（银行保函），应为银行出具的见索即付无条件保函。②如采用担保机构出具的保函（担保机构担保），应为依法取得融资担保业务经营许可证的融资担保机构出具的无条件保函）。已完成合同工程量以以跟审单位、监理单位及建设单位三方审定结果为准。</w:t>
      </w:r>
    </w:p>
    <w:p w14:paraId="333140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12.4.2 进度付款申请单的编制</w:t>
      </w:r>
    </w:p>
    <w:p w14:paraId="0387DF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关于进度付款申请单编制的约定：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0E8431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Pr>
          <w:rFonts w:hint="eastAsia" w:ascii="Times New Roman" w:hAnsi="Times New Roman"/>
          <w:color w:val="auto"/>
          <w:highlight w:val="none"/>
          <w:shd w:val="clear"/>
        </w:rPr>
        <w:t>2.4.3 进度付款申请单的提交</w:t>
      </w:r>
    </w:p>
    <w:p w14:paraId="0070299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（1）单价合同进度付款申请单提交的约定：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69F8E3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（2）总价合同进度付款申请单提交的约定：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0C395DF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（3）其他价格形式合同进度付款申请单提交的约定：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0FD750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12.4.4 进度款审核和支付</w:t>
      </w:r>
    </w:p>
    <w:p w14:paraId="5246BA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（1）监理人审查并报送发包人的期限：</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7E7750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发包人完成审批并签发进度款支付证书的期限：</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426AA9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（2）发包人支付进度款的期限：</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10EF47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发包人逾期支付进度款的违约金的计算方式：</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469E506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12.4.6 支付分解表的编制</w:t>
      </w:r>
    </w:p>
    <w:p w14:paraId="427E75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2、总价合同支付分解表的编制与审批：</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086D93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3、单价合同的总价项目支付分解表的编制与审批：</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bookmarkEnd w:id="1537"/>
    <w:p w14:paraId="6ECBE813">
      <w:pPr>
        <w:pStyle w:val="26"/>
        <w:rPr>
          <w:color w:val="auto"/>
          <w:highlight w:val="none"/>
          <w:shd w:val="clear"/>
        </w:rPr>
      </w:pPr>
      <w:bookmarkStart w:id="1744" w:name="_Toc351203645"/>
      <w:bookmarkStart w:id="1745" w:name="_Toc170805709"/>
      <w:bookmarkStart w:id="1746" w:name="_Toc170805329"/>
      <w:bookmarkStart w:id="1747" w:name="_Toc170804141"/>
      <w:bookmarkStart w:id="1748" w:name="_Toc304295593"/>
      <w:bookmarkStart w:id="1749" w:name="_Toc296891047"/>
      <w:bookmarkStart w:id="1750" w:name="_Toc296346720"/>
      <w:bookmarkStart w:id="1751" w:name="_Toc297048405"/>
      <w:bookmarkStart w:id="1752" w:name="_Toc312678053"/>
      <w:bookmarkStart w:id="1753" w:name="_Toc300935015"/>
      <w:bookmarkStart w:id="1754" w:name="_Toc296503219"/>
      <w:bookmarkStart w:id="1755" w:name="_Toc297216223"/>
      <w:bookmarkStart w:id="1756" w:name="_Toc303539172"/>
      <w:bookmarkStart w:id="1757" w:name="_Toc296347218"/>
      <w:bookmarkStart w:id="1758" w:name="_Toc292559929"/>
      <w:bookmarkStart w:id="1759" w:name="_Toc296944558"/>
      <w:bookmarkStart w:id="1760" w:name="_Toc297123564"/>
      <w:bookmarkStart w:id="1761" w:name="_Toc296891259"/>
      <w:bookmarkStart w:id="1762" w:name="_Toc297120519"/>
      <w:bookmarkStart w:id="1763" w:name="_Toc292559424"/>
      <w:r>
        <w:rPr>
          <w:rFonts w:hint="eastAsia"/>
          <w:color w:val="auto"/>
          <w:highlight w:val="none"/>
          <w:shd w:val="clear"/>
        </w:rPr>
        <w:t>13.验收和工程试车</w:t>
      </w:r>
      <w:bookmarkEnd w:id="1744"/>
      <w:bookmarkEnd w:id="1745"/>
      <w:bookmarkEnd w:id="1746"/>
      <w:bookmarkEnd w:id="1747"/>
    </w:p>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14:paraId="1F93217B">
      <w:pPr>
        <w:pStyle w:val="33"/>
        <w:rPr>
          <w:color w:val="auto"/>
          <w:highlight w:val="none"/>
          <w:shd w:val="clear"/>
        </w:rPr>
      </w:pPr>
      <w:bookmarkStart w:id="1764" w:name="_Toc170805710"/>
      <w:bookmarkStart w:id="1765" w:name="_Toc170805330"/>
      <w:bookmarkStart w:id="1766" w:name="_Toc170804142"/>
      <w:r>
        <w:rPr>
          <w:rFonts w:hint="eastAsia"/>
          <w:color w:val="auto"/>
          <w:highlight w:val="none"/>
          <w:shd w:val="clear"/>
        </w:rPr>
        <w:t>13.1 分部分项工程验收</w:t>
      </w:r>
      <w:bookmarkEnd w:id="1764"/>
      <w:bookmarkEnd w:id="1765"/>
      <w:bookmarkEnd w:id="1766"/>
    </w:p>
    <w:p w14:paraId="6A7839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13.1.2 监理人不能按时进行验收时，应提前</w:t>
      </w:r>
      <w:r>
        <w:rPr>
          <w:rFonts w:hint="eastAsia" w:ascii="Times New Roman" w:hAnsi="Times New Roman"/>
          <w:b/>
          <w:bCs/>
          <w:color w:val="auto"/>
          <w:highlight w:val="none"/>
          <w:u w:val="single"/>
          <w:shd w:val="clear"/>
          <w:lang w:val="en-US" w:eastAsia="zh-CN"/>
        </w:rPr>
        <w:t>24</w:t>
      </w:r>
      <w:r>
        <w:rPr>
          <w:rFonts w:hint="eastAsia" w:ascii="Times New Roman" w:hAnsi="Times New Roman"/>
          <w:color w:val="auto"/>
          <w:highlight w:val="none"/>
          <w:shd w:val="clear"/>
        </w:rPr>
        <w:t>时提交书面延期要求。</w:t>
      </w:r>
    </w:p>
    <w:p w14:paraId="214F8B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关于延期最长不得超过：</w:t>
      </w:r>
      <w:r>
        <w:rPr>
          <w:rFonts w:hint="eastAsia" w:ascii="Times New Roman" w:hAnsi="Times New Roman"/>
          <w:b/>
          <w:bCs/>
          <w:color w:val="auto"/>
          <w:highlight w:val="none"/>
          <w:u w:val="single"/>
          <w:shd w:val="clear"/>
          <w:lang w:val="en-US" w:eastAsia="zh-CN"/>
        </w:rPr>
        <w:t>48</w:t>
      </w:r>
      <w:r>
        <w:rPr>
          <w:rFonts w:hint="eastAsia" w:ascii="Times New Roman" w:hAnsi="Times New Roman"/>
          <w:color w:val="auto"/>
          <w:highlight w:val="none"/>
          <w:shd w:val="clear"/>
        </w:rPr>
        <w:t>小时。</w:t>
      </w:r>
    </w:p>
    <w:p w14:paraId="03A88A25">
      <w:pPr>
        <w:pStyle w:val="33"/>
        <w:rPr>
          <w:color w:val="auto"/>
          <w:highlight w:val="none"/>
          <w:shd w:val="clear"/>
        </w:rPr>
      </w:pPr>
      <w:bookmarkStart w:id="1767" w:name="_Toc170804143"/>
      <w:bookmarkStart w:id="1768" w:name="_Toc170805711"/>
      <w:bookmarkStart w:id="1769" w:name="_Toc170805331"/>
      <w:bookmarkStart w:id="1770" w:name="_Toc296944562"/>
      <w:bookmarkStart w:id="1771" w:name="_Toc296503223"/>
      <w:bookmarkStart w:id="1772" w:name="_Toc296891263"/>
      <w:bookmarkStart w:id="1773" w:name="_Toc292559933"/>
      <w:bookmarkStart w:id="1774" w:name="_Toc297123565"/>
      <w:bookmarkStart w:id="1775" w:name="_Toc297048409"/>
      <w:bookmarkStart w:id="1776" w:name="_Toc312678056"/>
      <w:bookmarkStart w:id="1777" w:name="_Toc297120523"/>
      <w:bookmarkStart w:id="1778" w:name="_Toc303539173"/>
      <w:bookmarkStart w:id="1779" w:name="_Toc296891051"/>
      <w:bookmarkStart w:id="1780" w:name="_Toc296346724"/>
      <w:bookmarkStart w:id="1781" w:name="_Toc296347222"/>
      <w:bookmarkStart w:id="1782" w:name="_Toc297216224"/>
      <w:bookmarkStart w:id="1783" w:name="_Toc300935016"/>
      <w:bookmarkStart w:id="1784" w:name="_Toc304295596"/>
      <w:bookmarkStart w:id="1785" w:name="_Toc292559428"/>
      <w:bookmarkStart w:id="1786" w:name="_Toc267251472"/>
      <w:bookmarkStart w:id="1787" w:name="_Toc267251474"/>
      <w:bookmarkStart w:id="1788" w:name="_Toc267251475"/>
      <w:bookmarkStart w:id="1789" w:name="_Toc267251471"/>
      <w:bookmarkStart w:id="1790" w:name="_Toc267251476"/>
      <w:bookmarkStart w:id="1791" w:name="_Toc267251470"/>
      <w:bookmarkStart w:id="1792" w:name="_Toc267251473"/>
      <w:r>
        <w:rPr>
          <w:rFonts w:hint="eastAsia"/>
          <w:color w:val="auto"/>
          <w:highlight w:val="none"/>
          <w:shd w:val="clear"/>
        </w:rPr>
        <w:t>13.2 竣工验收</w:t>
      </w:r>
      <w:bookmarkEnd w:id="1767"/>
      <w:bookmarkEnd w:id="1768"/>
      <w:bookmarkEnd w:id="1769"/>
    </w:p>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14:paraId="73C86795">
      <w:pPr>
        <w:pStyle w:val="22"/>
        <w:ind w:firstLine="420"/>
        <w:rPr>
          <w:rFonts w:ascii="Times New Roman" w:hAnsi="Times New Roman"/>
          <w:color w:val="auto"/>
          <w:highlight w:val="none"/>
          <w:shd w:val="clear"/>
        </w:rPr>
      </w:pPr>
      <w:bookmarkStart w:id="1793" w:name="_Toc280868704"/>
      <w:bookmarkStart w:id="1794" w:name="_Toc280868705"/>
      <w:bookmarkStart w:id="1795" w:name="_Toc280868706"/>
      <w:bookmarkStart w:id="1796" w:name="_Toc280868707"/>
      <w:bookmarkStart w:id="1797" w:name="_Toc280868708"/>
      <w:bookmarkStart w:id="1798" w:name="_Toc280868709"/>
      <w:r>
        <w:rPr>
          <w:rFonts w:hint="eastAsia" w:ascii="Times New Roman" w:hAnsi="Times New Roman"/>
          <w:color w:val="auto"/>
          <w:highlight w:val="none"/>
          <w:shd w:val="clear"/>
        </w:rPr>
        <w:t>13.2.2 竣工验收程序</w:t>
      </w:r>
    </w:p>
    <w:bookmarkEnd w:id="1793"/>
    <w:p w14:paraId="6A3ABD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关于竣工验收程序的约定：</w:t>
      </w:r>
      <w:r>
        <w:rPr>
          <w:rFonts w:hint="eastAsia" w:ascii="Times New Roman" w:hAnsi="Times New Roman"/>
          <w:b/>
          <w:bCs/>
          <w:color w:val="auto"/>
          <w:highlight w:val="none"/>
          <w:u w:val="single"/>
          <w:shd w:val="clear"/>
        </w:rPr>
        <w:t>执行国家规定、合同通用条款约定</w:t>
      </w:r>
      <w:r>
        <w:rPr>
          <w:rFonts w:hint="eastAsia" w:ascii="Times New Roman" w:hAnsi="Times New Roman"/>
          <w:color w:val="auto"/>
          <w:highlight w:val="none"/>
          <w:shd w:val="clear"/>
        </w:rPr>
        <w:t>。</w:t>
      </w:r>
    </w:p>
    <w:p w14:paraId="6A85F4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发包人不按照本项约定组织竣工验收、颁发工程接收证书的违约金的计算方法：</w:t>
      </w:r>
      <w:r>
        <w:rPr>
          <w:rFonts w:hint="eastAsia" w:ascii="Times New Roman" w:hAnsi="Times New Roman"/>
          <w:b/>
          <w:bCs/>
          <w:color w:val="auto"/>
          <w:highlight w:val="none"/>
          <w:u w:val="single"/>
          <w:shd w:val="clear"/>
        </w:rPr>
        <w:t>每逾期一天，应以签约合同价为基数，按照中国人民银行发布的同期同类贷款基准利率支付违约金</w:t>
      </w:r>
      <w:r>
        <w:rPr>
          <w:rFonts w:hint="eastAsia" w:ascii="Times New Roman" w:hAnsi="Times New Roman"/>
          <w:b/>
          <w:bCs/>
          <w:color w:val="auto"/>
          <w:highlight w:val="none"/>
          <w:u w:val="single"/>
          <w:shd w:val="clear"/>
        </w:rPr>
        <w:t>。</w:t>
      </w:r>
    </w:p>
    <w:bookmarkEnd w:id="1794"/>
    <w:p w14:paraId="300A7A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13.2.5 移交、接收全部与部分工程</w:t>
      </w:r>
    </w:p>
    <w:bookmarkEnd w:id="1795"/>
    <w:p w14:paraId="1CFB45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承包人向发包人移交工程的期限： </w:t>
      </w:r>
      <w:r>
        <w:rPr>
          <w:rFonts w:hint="eastAsia" w:ascii="Times New Roman" w:hAnsi="Times New Roman"/>
          <w:b/>
          <w:bCs/>
          <w:color w:val="auto"/>
          <w:highlight w:val="none"/>
          <w:u w:val="single"/>
          <w:shd w:val="clear"/>
        </w:rPr>
        <w:t>合同当事人应当在颁发工程接收证书后3天内完成工程的移交。如发包人未组织验收或未颁发工程接收证书就占有使用的单体工程，视为验收合格。</w:t>
      </w:r>
    </w:p>
    <w:p w14:paraId="6E9DD570">
      <w:pPr>
        <w:pStyle w:val="22"/>
        <w:ind w:firstLine="420"/>
        <w:rPr>
          <w:rFonts w:ascii="Times New Roman" w:hAnsi="Times New Roman"/>
          <w:b/>
          <w:bCs/>
          <w:color w:val="auto"/>
          <w:highlight w:val="none"/>
          <w:u w:val="single"/>
          <w:shd w:val="clear"/>
        </w:rPr>
      </w:pPr>
      <w:r>
        <w:rPr>
          <w:rFonts w:hint="eastAsia" w:ascii="Times New Roman" w:hAnsi="Times New Roman"/>
          <w:color w:val="auto"/>
          <w:highlight w:val="none"/>
          <w:shd w:val="clear"/>
        </w:rPr>
        <w:t>发包人未按本合同约定接收全部或部分工程的，违约金的计算方法为：</w:t>
      </w:r>
      <w:r>
        <w:rPr>
          <w:rFonts w:hint="eastAsia" w:ascii="Times New Roman" w:hAnsi="Times New Roman"/>
          <w:b/>
          <w:bCs/>
          <w:color w:val="auto"/>
          <w:highlight w:val="none"/>
          <w:u w:val="single"/>
          <w:shd w:val="clear"/>
        </w:rPr>
        <w:t>发包人无正当理由不接收工程的，发包人自应当接收工程之日起，承担工程照管、成品保护、保管等与工程有关的各项费用。</w:t>
      </w:r>
      <w:r>
        <w:rPr>
          <w:rFonts w:hint="eastAsia" w:ascii="Times New Roman" w:hAnsi="Times New Roman"/>
          <w:b/>
          <w:bCs/>
          <w:color w:val="auto"/>
          <w:highlight w:val="none"/>
          <w:u w:val="single"/>
          <w:shd w:val="clear"/>
        </w:rPr>
        <w:t xml:space="preserve"> </w:t>
      </w:r>
    </w:p>
    <w:bookmarkEnd w:id="1796"/>
    <w:p w14:paraId="381214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承包人未按时移交工程的，违约金的计算方法为：</w:t>
      </w:r>
      <w:r>
        <w:rPr>
          <w:rFonts w:hint="eastAsia" w:ascii="Times New Roman" w:hAnsi="Times New Roman"/>
          <w:b/>
          <w:bCs/>
          <w:color w:val="auto"/>
          <w:highlight w:val="none"/>
          <w:u w:val="single"/>
          <w:shd w:val="clear"/>
        </w:rPr>
        <w:t>承包人无正当理由不移交工程的，承包人应承担工程照管、成品保护、保管等与工程有关的各项费用，并按2000元/天承担违约责任</w:t>
      </w:r>
      <w:r>
        <w:rPr>
          <w:rFonts w:hint="eastAsia" w:ascii="Times New Roman" w:hAnsi="Times New Roman"/>
          <w:b/>
          <w:bCs/>
          <w:color w:val="auto"/>
          <w:highlight w:val="none"/>
          <w:u w:val="single"/>
          <w:shd w:val="clear"/>
        </w:rPr>
        <w:t>。</w:t>
      </w:r>
    </w:p>
    <w:p w14:paraId="28A206D3">
      <w:pPr>
        <w:pStyle w:val="33"/>
        <w:rPr>
          <w:color w:val="auto"/>
          <w:highlight w:val="none"/>
          <w:shd w:val="clear"/>
        </w:rPr>
      </w:pPr>
      <w:bookmarkStart w:id="1799" w:name="_Toc170805332"/>
      <w:bookmarkStart w:id="1800" w:name="_Toc170805712"/>
      <w:bookmarkStart w:id="1801" w:name="_Toc170804144"/>
      <w:r>
        <w:rPr>
          <w:rFonts w:hint="eastAsia"/>
          <w:color w:val="auto"/>
          <w:highlight w:val="none"/>
          <w:shd w:val="clear"/>
        </w:rPr>
        <w:t>13.3 工程试车</w:t>
      </w:r>
      <w:bookmarkEnd w:id="1799"/>
      <w:bookmarkEnd w:id="1800"/>
      <w:bookmarkEnd w:id="1801"/>
    </w:p>
    <w:bookmarkEnd w:id="1797"/>
    <w:p w14:paraId="6AEC84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13.3.1 试车程序</w:t>
      </w:r>
    </w:p>
    <w:p w14:paraId="0E9A5C8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工程试车内容：</w:t>
      </w:r>
      <w:r>
        <w:rPr>
          <w:rFonts w:hint="eastAsia" w:ascii="Times New Roman" w:hAnsi="Times New Roman"/>
          <w:b/>
          <w:bCs/>
          <w:color w:val="auto"/>
          <w:highlight w:val="none"/>
          <w:u w:val="single"/>
          <w:shd w:val="clear"/>
        </w:rPr>
        <w:t>承包人应负责承包范围内的设备、电路、管线等系统（若有）的试运行，试运行办法执行国家相关标准、规范</w:t>
      </w:r>
      <w:r>
        <w:rPr>
          <w:rFonts w:hint="eastAsia" w:ascii="Times New Roman" w:hAnsi="Times New Roman"/>
          <w:b/>
          <w:bCs/>
          <w:color w:val="auto"/>
          <w:highlight w:val="none"/>
          <w:u w:val="single"/>
          <w:shd w:val="clear"/>
        </w:rPr>
        <w:t>。</w:t>
      </w:r>
    </w:p>
    <w:p w14:paraId="52DD43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（1）单机无负荷试车费用由</w:t>
      </w:r>
      <w:r>
        <w:rPr>
          <w:rFonts w:hint="eastAsia" w:ascii="Times New Roman" w:hAnsi="Times New Roman"/>
          <w:b/>
          <w:bCs/>
          <w:color w:val="auto"/>
          <w:highlight w:val="none"/>
          <w:u w:val="single"/>
          <w:shd w:val="clear"/>
        </w:rPr>
        <w:t xml:space="preserve">  承包人 </w:t>
      </w:r>
      <w:r>
        <w:rPr>
          <w:rFonts w:hint="eastAsia" w:ascii="Times New Roman" w:hAnsi="Times New Roman"/>
          <w:color w:val="auto"/>
          <w:highlight w:val="none"/>
          <w:shd w:val="clear"/>
        </w:rPr>
        <w:t xml:space="preserve"> 承担；</w:t>
      </w:r>
    </w:p>
    <w:p w14:paraId="0D809F4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（2）无负荷联动试车费用由</w:t>
      </w:r>
      <w:r>
        <w:rPr>
          <w:rFonts w:hint="eastAsia" w:ascii="Times New Roman" w:hAnsi="Times New Roman"/>
          <w:b/>
          <w:bCs/>
          <w:color w:val="auto"/>
          <w:highlight w:val="none"/>
          <w:u w:val="single"/>
          <w:shd w:val="clear"/>
        </w:rPr>
        <w:t xml:space="preserve">  承包人  </w:t>
      </w:r>
      <w:r>
        <w:rPr>
          <w:rFonts w:hint="eastAsia" w:ascii="Times New Roman" w:hAnsi="Times New Roman"/>
          <w:color w:val="auto"/>
          <w:highlight w:val="none"/>
          <w:shd w:val="clear"/>
        </w:rPr>
        <w:t>承担。</w:t>
      </w:r>
    </w:p>
    <w:p w14:paraId="1A6ADFD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13.3.3 投料试车</w:t>
      </w:r>
    </w:p>
    <w:p w14:paraId="11197F9E">
      <w:pPr>
        <w:pStyle w:val="22"/>
        <w:ind w:firstLine="420"/>
        <w:rPr>
          <w:rFonts w:ascii="Times New Roman" w:hAnsi="Times New Roman"/>
          <w:color w:val="auto"/>
          <w:kern w:val="0"/>
          <w:szCs w:val="20"/>
          <w:highlight w:val="none"/>
          <w:shd w:val="clear"/>
        </w:rPr>
      </w:pPr>
      <w:r>
        <w:rPr>
          <w:rFonts w:hint="eastAsia" w:ascii="Times New Roman" w:hAnsi="Times New Roman"/>
          <w:color w:val="auto"/>
          <w:highlight w:val="none"/>
          <w:shd w:val="clear"/>
        </w:rPr>
        <w:t>关于投料试车相关事项的约定：</w:t>
      </w:r>
      <w:r>
        <w:rPr>
          <w:rFonts w:hint="eastAsia" w:ascii="宋体" w:hAnsi="宋体" w:cs="宋体"/>
          <w:color w:val="auto"/>
          <w:sz w:val="24"/>
          <w:highlight w:val="none"/>
          <w:u w:val="single"/>
          <w:shd w:val="clear"/>
        </w:rPr>
        <w:t xml:space="preserve">        /          </w:t>
      </w:r>
      <w:r>
        <w:rPr>
          <w:rStyle w:val="27"/>
          <w:rFonts w:hint="eastAsia" w:ascii="Times New Roman" w:hAnsi="Times New Roman"/>
          <w:bCs/>
          <w:color w:val="auto"/>
          <w:highlight w:val="none"/>
          <w:shd w:val="clear"/>
        </w:rPr>
        <w:t>。</w:t>
      </w:r>
    </w:p>
    <w:p w14:paraId="1A417B56">
      <w:pPr>
        <w:pStyle w:val="33"/>
        <w:rPr>
          <w:color w:val="auto"/>
          <w:highlight w:val="none"/>
          <w:shd w:val="clear"/>
        </w:rPr>
      </w:pPr>
      <w:bookmarkStart w:id="1802" w:name="_Toc170805713"/>
      <w:bookmarkStart w:id="1803" w:name="_Toc170804145"/>
      <w:bookmarkStart w:id="1804" w:name="_Toc170805333"/>
      <w:r>
        <w:rPr>
          <w:rFonts w:hint="eastAsia"/>
          <w:color w:val="auto"/>
          <w:highlight w:val="none"/>
          <w:shd w:val="clear"/>
        </w:rPr>
        <w:t>13.6 竣工退场</w:t>
      </w:r>
      <w:bookmarkEnd w:id="1802"/>
      <w:bookmarkEnd w:id="1803"/>
      <w:bookmarkEnd w:id="1804"/>
    </w:p>
    <w:p w14:paraId="5D2548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13.6.1 竣工退场</w:t>
      </w:r>
    </w:p>
    <w:p w14:paraId="7A66503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承包人完成竣工退场的期限：</w:t>
      </w:r>
      <w:r>
        <w:rPr>
          <w:rFonts w:hint="eastAsia" w:ascii="Times New Roman" w:hAnsi="Times New Roman"/>
          <w:b/>
          <w:bCs/>
          <w:color w:val="auto"/>
          <w:highlight w:val="none"/>
          <w:u w:val="single"/>
          <w:shd w:val="clear"/>
        </w:rPr>
        <w:t>承包人应在工程完工验收后3日内完成竣工退场，逾期未完成的，发包人有权出售或另行处理承包人遗留的物品，由此支出的费用由承包人承担，发包人出售承包人遗留物品所得款项在扣除必要费用后应返还承包人。</w:t>
      </w:r>
    </w:p>
    <w:p w14:paraId="422017DC">
      <w:pPr>
        <w:pStyle w:val="26"/>
        <w:rPr>
          <w:color w:val="auto"/>
          <w:highlight w:val="none"/>
          <w:shd w:val="clear"/>
        </w:rPr>
      </w:pPr>
      <w:bookmarkStart w:id="1805" w:name="_Toc170805334"/>
      <w:bookmarkStart w:id="1806" w:name="_Toc170804146"/>
      <w:bookmarkStart w:id="1807" w:name="_Toc351203646"/>
      <w:bookmarkStart w:id="1808" w:name="_Toc170805714"/>
      <w:r>
        <w:rPr>
          <w:rFonts w:hint="eastAsia"/>
          <w:color w:val="auto"/>
          <w:highlight w:val="none"/>
          <w:shd w:val="clear"/>
        </w:rPr>
        <w:t>14.竣工结算</w:t>
      </w:r>
      <w:bookmarkEnd w:id="1805"/>
      <w:bookmarkEnd w:id="1806"/>
      <w:bookmarkEnd w:id="1807"/>
      <w:bookmarkEnd w:id="1808"/>
    </w:p>
    <w:p w14:paraId="644030A8">
      <w:pPr>
        <w:pStyle w:val="33"/>
        <w:rPr>
          <w:color w:val="auto"/>
          <w:highlight w:val="none"/>
          <w:shd w:val="clear"/>
        </w:rPr>
      </w:pPr>
      <w:bookmarkStart w:id="1809" w:name="_Toc170805715"/>
      <w:bookmarkStart w:id="1810" w:name="_Toc170804147"/>
      <w:bookmarkStart w:id="1811" w:name="_Toc170805335"/>
      <w:r>
        <w:rPr>
          <w:rFonts w:hint="eastAsia"/>
          <w:color w:val="auto"/>
          <w:highlight w:val="none"/>
          <w:shd w:val="clear"/>
        </w:rPr>
        <w:t>14.1 竣工结算申请</w:t>
      </w:r>
      <w:bookmarkEnd w:id="1809"/>
      <w:bookmarkEnd w:id="1810"/>
      <w:bookmarkEnd w:id="1811"/>
    </w:p>
    <w:p w14:paraId="0D977F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承包人提交竣工结算申请单的期限：</w:t>
      </w:r>
      <w:r>
        <w:rPr>
          <w:rFonts w:hint="eastAsia" w:ascii="Times New Roman" w:hAnsi="Times New Roman"/>
          <w:b/>
          <w:bCs/>
          <w:color w:val="auto"/>
          <w:highlight w:val="none"/>
          <w:u w:val="single"/>
          <w:shd w:val="clear"/>
        </w:rPr>
        <w:t>承包人应在工程竣工验收合格后28天内向发包人和业主代表提交竣工结算申请单，并提交完整的结算资料。</w:t>
      </w:r>
    </w:p>
    <w:p w14:paraId="797B1E94">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竣工结算申请单应包括的内容：</w:t>
      </w:r>
    </w:p>
    <w:p w14:paraId="7A23764B">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（1）竣工结算合同价格；</w:t>
      </w:r>
    </w:p>
    <w:p w14:paraId="36C7271A">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（2）发包人已支付承包人的款项；</w:t>
      </w:r>
    </w:p>
    <w:p w14:paraId="2C7293D9">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 xml:space="preserve">（3）应扣留的质量保证金； </w:t>
      </w:r>
    </w:p>
    <w:p w14:paraId="080E2B4C">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（4）发包人应支付承包人的合同价款。</w:t>
      </w:r>
    </w:p>
    <w:p w14:paraId="229FBDF4">
      <w:pPr>
        <w:pStyle w:val="33"/>
        <w:rPr>
          <w:color w:val="auto"/>
          <w:highlight w:val="none"/>
          <w:shd w:val="clear"/>
        </w:rPr>
      </w:pPr>
      <w:bookmarkStart w:id="1812" w:name="_Toc170805716"/>
      <w:bookmarkStart w:id="1813" w:name="_Toc170804148"/>
      <w:bookmarkStart w:id="1814" w:name="_Toc170805336"/>
      <w:r>
        <w:rPr>
          <w:rFonts w:hint="eastAsia"/>
          <w:color w:val="auto"/>
          <w:highlight w:val="none"/>
          <w:shd w:val="clear"/>
        </w:rPr>
        <w:t>14.2 竣工结算审核</w:t>
      </w:r>
      <w:bookmarkEnd w:id="1812"/>
      <w:bookmarkEnd w:id="1813"/>
      <w:bookmarkEnd w:id="1814"/>
    </w:p>
    <w:p w14:paraId="65470E1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发包人审批竣工付款申请单的期限：</w:t>
      </w:r>
      <w:r>
        <w:rPr>
          <w:rFonts w:hint="eastAsia" w:ascii="Times New Roman" w:hAnsi="Times New Roman"/>
          <w:b/>
          <w:bCs/>
          <w:color w:val="auto"/>
          <w:highlight w:val="none"/>
          <w:u w:val="single"/>
          <w:shd w:val="clear"/>
        </w:rPr>
        <w:t>发包人应在收到业主代表提交的经审核的竣工结算申请单后14天内完成审批 。</w:t>
      </w:r>
      <w:r>
        <w:rPr>
          <w:rFonts w:hint="eastAsia" w:ascii="Times New Roman" w:hAnsi="Times New Roman"/>
          <w:b/>
          <w:bCs/>
          <w:color w:val="auto"/>
          <w:highlight w:val="none"/>
          <w:u w:val="single"/>
          <w:shd w:val="clear"/>
        </w:rPr>
        <w:t xml:space="preserve"> </w:t>
      </w:r>
    </w:p>
    <w:p w14:paraId="71F430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发包人完成竣工付款的期限：</w:t>
      </w:r>
      <w:r>
        <w:rPr>
          <w:rFonts w:hint="eastAsia" w:ascii="Times New Roman" w:hAnsi="Times New Roman"/>
          <w:b/>
          <w:bCs/>
          <w:color w:val="auto"/>
          <w:highlight w:val="none"/>
          <w:u w:val="single"/>
          <w:shd w:val="clear"/>
        </w:rPr>
        <w:t>发包人应在签发竣工付款证书后且经审计后的28天内，完成对承包人的竣工付款。</w:t>
      </w:r>
    </w:p>
    <w:p w14:paraId="3FFBDF52">
      <w:pPr>
        <w:pStyle w:val="22"/>
        <w:ind w:firstLine="420"/>
        <w:rPr>
          <w:rFonts w:ascii="Times New Roman" w:hAnsi="Times New Roman"/>
          <w:b/>
          <w:bCs/>
          <w:color w:val="auto"/>
          <w:highlight w:val="none"/>
          <w:u w:val="single"/>
          <w:shd w:val="clear"/>
        </w:rPr>
      </w:pPr>
      <w:r>
        <w:rPr>
          <w:rFonts w:hint="eastAsia" w:ascii="Times New Roman" w:hAnsi="Times New Roman"/>
          <w:color w:val="auto"/>
          <w:highlight w:val="none"/>
          <w:shd w:val="clear"/>
        </w:rPr>
        <w:t xml:space="preserve">关于竣工付款证书异议部分复核的方式和程序： </w:t>
      </w:r>
      <w:r>
        <w:rPr>
          <w:rFonts w:hint="eastAsia" w:ascii="Times New Roman" w:hAnsi="Times New Roman"/>
          <w:b/>
          <w:bCs/>
          <w:color w:val="auto"/>
          <w:highlight w:val="none"/>
          <w:u w:val="single"/>
          <w:shd w:val="clear"/>
        </w:rPr>
        <w:t>承包人对发包人签认的竣工付款证书有异议的，对于有异议部分应在收到发包人签认的竣工付款证书后7天内提出异议，并由合同当事人按照第20条〔争议解决〕约定处理。对于无异议部分，发包人应签发临时竣工付款证书，并按完成付款。</w:t>
      </w:r>
    </w:p>
    <w:p w14:paraId="3CB3267B">
      <w:pPr>
        <w:pStyle w:val="33"/>
        <w:rPr>
          <w:color w:val="auto"/>
          <w:highlight w:val="none"/>
          <w:shd w:val="clear"/>
        </w:rPr>
      </w:pPr>
      <w:bookmarkStart w:id="1815" w:name="_Toc170805717"/>
      <w:bookmarkStart w:id="1816" w:name="_Toc170804149"/>
      <w:bookmarkStart w:id="1817" w:name="_Toc170805337"/>
      <w:r>
        <w:rPr>
          <w:rFonts w:hint="eastAsia"/>
          <w:color w:val="auto"/>
          <w:highlight w:val="none"/>
          <w:shd w:val="clear"/>
        </w:rPr>
        <w:t>14.4 最终结清</w:t>
      </w:r>
      <w:bookmarkEnd w:id="1815"/>
      <w:bookmarkEnd w:id="1816"/>
      <w:bookmarkEnd w:id="1817"/>
    </w:p>
    <w:p w14:paraId="3FD800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14.4.1 最终结清申请单</w:t>
      </w:r>
    </w:p>
    <w:p w14:paraId="5C94EA8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承包人提交最终结清申请单的份数：</w:t>
      </w:r>
      <w:r>
        <w:rPr>
          <w:rFonts w:hint="eastAsia" w:ascii="Times New Roman" w:hAnsi="Times New Roman"/>
          <w:b/>
          <w:bCs/>
          <w:color w:val="auto"/>
          <w:highlight w:val="none"/>
          <w:u w:val="single"/>
          <w:shd w:val="clear"/>
        </w:rPr>
        <w:t>承包人应向发包人提交最终结清申请单三份，并提供相关证明材料。</w:t>
      </w:r>
      <w:r>
        <w:rPr>
          <w:rFonts w:hint="eastAsia" w:ascii="Times New Roman" w:hAnsi="Times New Roman"/>
          <w:b/>
          <w:bCs/>
          <w:color w:val="auto"/>
          <w:highlight w:val="none"/>
          <w:u w:val="single"/>
          <w:shd w:val="clear"/>
        </w:rPr>
        <w:t xml:space="preserve"> </w:t>
      </w:r>
    </w:p>
    <w:p w14:paraId="57F524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承包人提交最终结算申请单的期限：</w:t>
      </w:r>
      <w:r>
        <w:rPr>
          <w:rFonts w:hint="eastAsia" w:ascii="Times New Roman" w:hAnsi="Times New Roman"/>
          <w:b/>
          <w:bCs/>
          <w:color w:val="auto"/>
          <w:highlight w:val="none"/>
          <w:u w:val="single"/>
          <w:shd w:val="clear"/>
        </w:rPr>
        <w:t>工程竣工验收后7天内</w:t>
      </w:r>
      <w:r>
        <w:rPr>
          <w:rFonts w:hint="eastAsia" w:ascii="Times New Roman" w:hAnsi="Times New Roman"/>
          <w:b/>
          <w:bCs/>
          <w:color w:val="auto"/>
          <w:highlight w:val="none"/>
          <w:u w:val="single"/>
          <w:shd w:val="clear"/>
        </w:rPr>
        <w:t>。</w:t>
      </w:r>
    </w:p>
    <w:p w14:paraId="727FF0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14.4.2 最终结清证书和支付</w:t>
      </w:r>
    </w:p>
    <w:p w14:paraId="31366E3E">
      <w:pPr>
        <w:pStyle w:val="22"/>
        <w:ind w:firstLine="420"/>
        <w:rPr>
          <w:rFonts w:ascii="Times New Roman" w:hAnsi="Times New Roman"/>
          <w:b/>
          <w:bCs/>
          <w:color w:val="auto"/>
          <w:highlight w:val="none"/>
          <w:u w:val="single"/>
          <w:shd w:val="clear"/>
        </w:rPr>
      </w:pPr>
      <w:r>
        <w:rPr>
          <w:rFonts w:hint="eastAsia" w:ascii="Times New Roman" w:hAnsi="Times New Roman"/>
          <w:color w:val="auto"/>
          <w:highlight w:val="none"/>
          <w:shd w:val="clear"/>
        </w:rPr>
        <w:t>（1）发包人完成最终结清申请单的审批并颁发最终结清证书的期限：</w:t>
      </w:r>
      <w:r>
        <w:rPr>
          <w:rFonts w:hint="eastAsia" w:ascii="Times New Roman" w:hAnsi="Times New Roman"/>
          <w:b/>
          <w:bCs/>
          <w:color w:val="auto"/>
          <w:highlight w:val="none"/>
          <w:u w:val="single"/>
          <w:shd w:val="clear"/>
        </w:rPr>
        <w:t>发包人收到承包人提交的最终结清申请单后14天内。</w:t>
      </w:r>
    </w:p>
    <w:p w14:paraId="10301D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（2）发包人完成支付的期限：</w:t>
      </w:r>
      <w:r>
        <w:rPr>
          <w:rFonts w:hint="eastAsia" w:ascii="Times New Roman" w:hAnsi="Times New Roman"/>
          <w:b/>
          <w:bCs/>
          <w:color w:val="auto"/>
          <w:highlight w:val="none"/>
          <w:u w:val="single"/>
          <w:shd w:val="clear"/>
        </w:rPr>
        <w:t>发包人颁发最终结清证书后28天内完成支付</w:t>
      </w:r>
      <w:r>
        <w:rPr>
          <w:rFonts w:hint="eastAsia" w:ascii="Times New Roman" w:hAnsi="Times New Roman"/>
          <w:b/>
          <w:bCs/>
          <w:color w:val="auto"/>
          <w:highlight w:val="none"/>
          <w:u w:val="single"/>
          <w:shd w:val="clear"/>
        </w:rPr>
        <w:t>。</w:t>
      </w:r>
    </w:p>
    <w:bookmarkEnd w:id="1786"/>
    <w:bookmarkEnd w:id="1787"/>
    <w:bookmarkEnd w:id="1788"/>
    <w:bookmarkEnd w:id="1789"/>
    <w:bookmarkEnd w:id="1790"/>
    <w:bookmarkEnd w:id="1791"/>
    <w:bookmarkEnd w:id="1792"/>
    <w:bookmarkEnd w:id="1798"/>
    <w:p w14:paraId="20EEADC5">
      <w:pPr>
        <w:pStyle w:val="26"/>
        <w:rPr>
          <w:color w:val="auto"/>
          <w:highlight w:val="none"/>
          <w:shd w:val="clear"/>
        </w:rPr>
      </w:pPr>
      <w:bookmarkStart w:id="1818" w:name="_Toc170804150"/>
      <w:bookmarkStart w:id="1819" w:name="_Toc170805338"/>
      <w:bookmarkStart w:id="1820" w:name="_Toc351203647"/>
      <w:bookmarkStart w:id="1821" w:name="_Toc170805718"/>
      <w:bookmarkStart w:id="1822" w:name="_Toc267251483"/>
      <w:bookmarkStart w:id="1823" w:name="_Toc267251482"/>
      <w:bookmarkStart w:id="1824" w:name="_Toc267251484"/>
      <w:bookmarkStart w:id="1825" w:name="_Toc267251485"/>
      <w:bookmarkStart w:id="1826" w:name="_Toc267251490"/>
      <w:bookmarkStart w:id="1827" w:name="_Toc267251489"/>
      <w:bookmarkStart w:id="1828" w:name="_Toc267251488"/>
      <w:bookmarkStart w:id="1829" w:name="_Toc267251486"/>
      <w:bookmarkStart w:id="1830" w:name="_Toc267251503"/>
      <w:bookmarkStart w:id="1831" w:name="_Toc267251498"/>
      <w:bookmarkStart w:id="1832" w:name="_Toc267251496"/>
      <w:bookmarkStart w:id="1833" w:name="_Toc267251493"/>
      <w:bookmarkStart w:id="1834" w:name="_Toc267251492"/>
      <w:bookmarkStart w:id="1835" w:name="_Toc267251502"/>
      <w:bookmarkStart w:id="1836" w:name="_Toc267251494"/>
      <w:bookmarkStart w:id="1837" w:name="_Toc267251491"/>
      <w:bookmarkStart w:id="1838" w:name="_Toc267251495"/>
      <w:bookmarkStart w:id="1839" w:name="_Toc267251501"/>
      <w:bookmarkStart w:id="1840" w:name="_Toc267251499"/>
      <w:bookmarkStart w:id="1841" w:name="_Toc267251497"/>
      <w:bookmarkStart w:id="1842" w:name="_Toc267251504"/>
      <w:bookmarkStart w:id="1843" w:name="_Toc267251506"/>
      <w:bookmarkStart w:id="1844" w:name="_Toc267251507"/>
      <w:bookmarkStart w:id="1845" w:name="_Toc267251508"/>
      <w:bookmarkStart w:id="1846" w:name="_Toc267251514"/>
      <w:bookmarkStart w:id="1847" w:name="_Toc267251510"/>
      <w:bookmarkStart w:id="1848" w:name="_Toc267251511"/>
      <w:bookmarkStart w:id="1849" w:name="_Toc267251515"/>
      <w:bookmarkStart w:id="1850" w:name="_Toc267251509"/>
      <w:bookmarkStart w:id="1851" w:name="_Toc267251513"/>
      <w:r>
        <w:rPr>
          <w:rFonts w:hint="eastAsia"/>
          <w:color w:val="auto"/>
          <w:highlight w:val="none"/>
          <w:shd w:val="clear"/>
        </w:rPr>
        <w:t>15.缺陷责任期与保修</w:t>
      </w:r>
      <w:bookmarkEnd w:id="1818"/>
      <w:bookmarkEnd w:id="1819"/>
      <w:bookmarkEnd w:id="1820"/>
      <w:bookmarkEnd w:id="1821"/>
    </w:p>
    <w:p w14:paraId="7F8D1C14">
      <w:pPr>
        <w:pStyle w:val="33"/>
        <w:rPr>
          <w:color w:val="auto"/>
          <w:highlight w:val="none"/>
          <w:shd w:val="clear"/>
        </w:rPr>
      </w:pPr>
      <w:bookmarkStart w:id="1852" w:name="_Toc170805719"/>
      <w:bookmarkStart w:id="1853" w:name="_Toc170804151"/>
      <w:bookmarkStart w:id="1854" w:name="_Toc170805339"/>
      <w:r>
        <w:rPr>
          <w:rFonts w:hint="eastAsia"/>
          <w:color w:val="auto"/>
          <w:highlight w:val="none"/>
          <w:shd w:val="clear"/>
        </w:rPr>
        <w:t>15.2</w:t>
      </w:r>
      <w:r>
        <w:rPr>
          <w:color w:val="auto"/>
          <w:highlight w:val="none"/>
          <w:shd w:val="clear"/>
        </w:rPr>
        <w:t xml:space="preserve"> </w:t>
      </w:r>
      <w:r>
        <w:rPr>
          <w:rFonts w:hint="eastAsia"/>
          <w:color w:val="auto"/>
          <w:highlight w:val="none"/>
          <w:shd w:val="clear"/>
        </w:rPr>
        <w:t>缺陷责任期</w:t>
      </w:r>
      <w:bookmarkEnd w:id="1822"/>
      <w:bookmarkEnd w:id="1852"/>
      <w:bookmarkEnd w:id="1853"/>
      <w:bookmarkEnd w:id="1854"/>
    </w:p>
    <w:p w14:paraId="637B30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缺陷责任期的具体期限：</w:t>
      </w:r>
      <w:r>
        <w:rPr>
          <w:rFonts w:hint="eastAsia" w:ascii="Times New Roman" w:hAnsi="Times New Roman"/>
          <w:color w:val="auto"/>
          <w:highlight w:val="none"/>
          <w:shd w:val="clear"/>
          <w:lang w:val="en-US" w:eastAsia="zh-CN"/>
        </w:rPr>
        <w:t>12个月</w:t>
      </w:r>
      <w:r>
        <w:rPr>
          <w:rFonts w:hint="eastAsia" w:ascii="Times New Roman" w:hAnsi="Times New Roman"/>
          <w:color w:val="auto"/>
          <w:highlight w:val="none"/>
          <w:shd w:val="clear"/>
        </w:rPr>
        <w:t>。</w:t>
      </w:r>
    </w:p>
    <w:p w14:paraId="07FA43DD">
      <w:pPr>
        <w:pStyle w:val="33"/>
        <w:rPr>
          <w:b/>
          <w:bCs w:val="0"/>
          <w:color w:val="auto"/>
          <w:highlight w:val="none"/>
          <w:shd w:val="clear"/>
        </w:rPr>
      </w:pPr>
      <w:bookmarkStart w:id="1855" w:name="_Toc170804152"/>
      <w:bookmarkStart w:id="1856" w:name="_Toc170805340"/>
      <w:bookmarkStart w:id="1857" w:name="_Toc170805720"/>
      <w:r>
        <w:rPr>
          <w:rFonts w:hint="eastAsia"/>
          <w:b/>
          <w:bCs w:val="0"/>
          <w:color w:val="auto"/>
          <w:highlight w:val="none"/>
          <w:shd w:val="clear"/>
        </w:rPr>
        <w:t>15.3 质量保证金</w:t>
      </w:r>
      <w:bookmarkEnd w:id="1855"/>
      <w:bookmarkEnd w:id="1856"/>
      <w:bookmarkEnd w:id="1857"/>
    </w:p>
    <w:p w14:paraId="270A28FD">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关于是否扣留质量保证金的约定：</w:t>
      </w:r>
      <w:r>
        <w:rPr>
          <w:rFonts w:hint="eastAsia" w:ascii="Times New Roman" w:hAnsi="Times New Roman"/>
          <w:b/>
          <w:bCs w:val="0"/>
          <w:color w:val="auto"/>
          <w:highlight w:val="none"/>
          <w:shd w:val="clear"/>
        </w:rPr>
        <w:t>工程质量保证金缴纳数额：施工工程费结算价款的3% ，时间：竣工验收备案完成后 ，方式：银行转账或见索即付保函或按工程质量保证金缴纳比例由履约保证金转为质保金，中标成交人选择缴纳工程质量保证金的，</w:t>
      </w:r>
      <w:r>
        <w:rPr>
          <w:rFonts w:hint="eastAsia" w:ascii="Times New Roman" w:hAnsi="Times New Roman"/>
          <w:b/>
          <w:bCs w:val="0"/>
          <w:color w:val="auto"/>
          <w:highlight w:val="none"/>
          <w:shd w:val="clear"/>
          <w:lang w:val="en-US" w:eastAsia="zh-CN"/>
        </w:rPr>
        <w:t>发包人</w:t>
      </w:r>
      <w:r>
        <w:rPr>
          <w:rFonts w:hint="eastAsia" w:ascii="Times New Roman" w:hAnsi="Times New Roman"/>
          <w:b/>
          <w:bCs w:val="0"/>
          <w:color w:val="auto"/>
          <w:highlight w:val="none"/>
          <w:shd w:val="clear"/>
        </w:rPr>
        <w:t>不得在支付合同价款过程中，再扣除工程质量保证金。</w:t>
      </w:r>
    </w:p>
    <w:p w14:paraId="4BD33220">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15.3.1 承包人提供质量保证金的方式</w:t>
      </w:r>
    </w:p>
    <w:p w14:paraId="0036C2A8">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质量保证金采用以下第</w:t>
      </w:r>
      <w:r>
        <w:rPr>
          <w:rFonts w:hint="eastAsia" w:ascii="Times New Roman" w:hAnsi="Times New Roman"/>
          <w:b/>
          <w:bCs w:val="0"/>
          <w:color w:val="auto"/>
          <w:highlight w:val="none"/>
          <w:shd w:val="clear"/>
          <w:lang w:val="en-US" w:eastAsia="zh-CN"/>
        </w:rPr>
        <w:t>3</w:t>
      </w:r>
      <w:r>
        <w:rPr>
          <w:rFonts w:hint="eastAsia" w:ascii="Times New Roman" w:hAnsi="Times New Roman"/>
          <w:b/>
          <w:bCs w:val="0"/>
          <w:color w:val="auto"/>
          <w:highlight w:val="none"/>
          <w:shd w:val="clear"/>
        </w:rPr>
        <w:t>种方式：</w:t>
      </w:r>
    </w:p>
    <w:p w14:paraId="4FD65004">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（1）质量保证金保函，保证金额为：</w:t>
      </w:r>
      <w:r>
        <w:rPr>
          <w:rFonts w:hint="eastAsia" w:ascii="Times New Roman" w:hAnsi="Times New Roman"/>
          <w:b/>
          <w:bCs w:val="0"/>
          <w:color w:val="auto"/>
          <w:highlight w:val="none"/>
          <w:shd w:val="clear"/>
          <w:lang w:val="en-US" w:eastAsia="zh-CN"/>
        </w:rPr>
        <w:t>/</w:t>
      </w:r>
      <w:r>
        <w:rPr>
          <w:rFonts w:hint="eastAsia" w:ascii="Times New Roman" w:hAnsi="Times New Roman"/>
          <w:b/>
          <w:bCs w:val="0"/>
          <w:color w:val="auto"/>
          <w:highlight w:val="none"/>
          <w:shd w:val="clear"/>
        </w:rPr>
        <w:t>；</w:t>
      </w:r>
    </w:p>
    <w:p w14:paraId="6BC89101">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（2）</w:t>
      </w:r>
      <w:r>
        <w:rPr>
          <w:rFonts w:hint="eastAsia" w:ascii="Times New Roman" w:hAnsi="Times New Roman"/>
          <w:b/>
          <w:bCs w:val="0"/>
          <w:color w:val="auto"/>
          <w:highlight w:val="none"/>
          <w:shd w:val="clear"/>
          <w:lang w:val="en-US" w:eastAsia="zh-CN"/>
        </w:rPr>
        <w:t>/</w:t>
      </w:r>
      <w:r>
        <w:rPr>
          <w:rFonts w:hint="eastAsia" w:ascii="Times New Roman" w:hAnsi="Times New Roman"/>
          <w:b/>
          <w:bCs w:val="0"/>
          <w:color w:val="auto"/>
          <w:highlight w:val="none"/>
          <w:shd w:val="clear"/>
        </w:rPr>
        <w:t>%</w:t>
      </w:r>
      <w:r>
        <w:rPr>
          <w:rFonts w:hint="eastAsia" w:ascii="Times New Roman" w:hAnsi="Times New Roman"/>
          <w:b/>
          <w:bCs w:val="0"/>
          <w:color w:val="auto"/>
          <w:highlight w:val="none"/>
          <w:shd w:val="clear"/>
        </w:rPr>
        <w:t>的工程款；</w:t>
      </w:r>
    </w:p>
    <w:p w14:paraId="086FBCA4">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（3）其他方式:</w:t>
      </w:r>
      <w:r>
        <w:rPr>
          <w:rFonts w:hint="eastAsia" w:ascii="Times New Roman" w:hAnsi="Times New Roman"/>
          <w:b/>
          <w:bCs w:val="0"/>
          <w:color w:val="auto"/>
          <w:highlight w:val="none"/>
          <w:shd w:val="clear"/>
        </w:rPr>
        <w:t>工程质量保证金缴纳数额：施工工程费结算价款的3% ，时间：竣工验收备案完成后 ，方式：银行转账或见索即付保函或按工程质量保证金缴纳比例由履约保证金转为质保金，中标成交人选择缴纳工程质量保证金的，发包人不得在支付合同价款过程中，再扣除工程质量保证金。</w:t>
      </w:r>
      <w:r>
        <w:rPr>
          <w:rFonts w:hint="eastAsia" w:ascii="Times New Roman" w:hAnsi="Times New Roman"/>
          <w:b/>
          <w:bCs w:val="0"/>
          <w:color w:val="auto"/>
          <w:highlight w:val="none"/>
          <w:shd w:val="clear"/>
        </w:rPr>
        <w:t xml:space="preserve"> </w:t>
      </w:r>
    </w:p>
    <w:p w14:paraId="41A49AFF">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 xml:space="preserve">15.3.2 质量保证金的扣留 </w:t>
      </w:r>
    </w:p>
    <w:p w14:paraId="62DB040C">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质量保证金的扣留采取以下第</w:t>
      </w:r>
      <w:r>
        <w:rPr>
          <w:rFonts w:hint="eastAsia" w:ascii="Times New Roman" w:hAnsi="Times New Roman"/>
          <w:b/>
          <w:bCs w:val="0"/>
          <w:color w:val="auto"/>
          <w:highlight w:val="none"/>
          <w:shd w:val="clear"/>
          <w:lang w:eastAsia="zh-CN"/>
        </w:rPr>
        <w:t>（</w:t>
      </w:r>
      <w:r>
        <w:rPr>
          <w:rFonts w:hint="eastAsia" w:ascii="Times New Roman" w:hAnsi="Times New Roman"/>
          <w:b/>
          <w:bCs w:val="0"/>
          <w:color w:val="auto"/>
          <w:highlight w:val="none"/>
          <w:shd w:val="clear"/>
          <w:lang w:val="en-US" w:eastAsia="zh-CN"/>
        </w:rPr>
        <w:t>3</w:t>
      </w:r>
      <w:r>
        <w:rPr>
          <w:rFonts w:hint="eastAsia" w:ascii="Times New Roman" w:hAnsi="Times New Roman"/>
          <w:b/>
          <w:bCs w:val="0"/>
          <w:color w:val="auto"/>
          <w:highlight w:val="none"/>
          <w:shd w:val="clear"/>
          <w:lang w:eastAsia="zh-CN"/>
        </w:rPr>
        <w:t>）</w:t>
      </w:r>
      <w:r>
        <w:rPr>
          <w:rFonts w:hint="eastAsia" w:ascii="Times New Roman" w:hAnsi="Times New Roman"/>
          <w:b/>
          <w:bCs w:val="0"/>
          <w:color w:val="auto"/>
          <w:highlight w:val="none"/>
          <w:shd w:val="clear"/>
        </w:rPr>
        <w:t>种方式：</w:t>
      </w:r>
    </w:p>
    <w:p w14:paraId="07373148">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（1）在支付工程进度款时逐次扣留，在此情形下，质量保证金的计算基数不包括预付款的支付、扣回以及价格调整的金额；</w:t>
      </w:r>
    </w:p>
    <w:p w14:paraId="6B6A405D">
      <w:pPr>
        <w:pStyle w:val="22"/>
        <w:ind w:firstLine="420"/>
        <w:rPr>
          <w:rFonts w:ascii="Times New Roman" w:hAnsi="Times New Roman"/>
          <w:b/>
          <w:bCs w:val="0"/>
          <w:color w:val="auto"/>
          <w:highlight w:val="none"/>
          <w:shd w:val="clear"/>
        </w:rPr>
      </w:pPr>
      <w:bookmarkStart w:id="1858" w:name="_Toc170804153"/>
      <w:bookmarkStart w:id="1859" w:name="_Toc170805721"/>
      <w:bookmarkStart w:id="1860" w:name="_Toc170805341"/>
      <w:r>
        <w:rPr>
          <w:rFonts w:hint="eastAsia" w:ascii="Times New Roman" w:hAnsi="Times New Roman"/>
          <w:b/>
          <w:bCs w:val="0"/>
          <w:color w:val="auto"/>
          <w:highlight w:val="none"/>
          <w:shd w:val="clear"/>
        </w:rPr>
        <w:t>（2）工程竣工结算时一次性扣留质量保证金；</w:t>
      </w:r>
      <w:bookmarkEnd w:id="1858"/>
      <w:bookmarkEnd w:id="1859"/>
      <w:bookmarkEnd w:id="1860"/>
    </w:p>
    <w:p w14:paraId="66342C3D">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（3）其他扣留方式:</w:t>
      </w:r>
      <w:r>
        <w:rPr>
          <w:rFonts w:hint="eastAsia" w:ascii="Times New Roman" w:hAnsi="Times New Roman"/>
          <w:b/>
          <w:bCs w:val="0"/>
          <w:color w:val="auto"/>
          <w:highlight w:val="none"/>
          <w:shd w:val="clear"/>
        </w:rPr>
        <w:t>工程质量保证金缴纳数额：施工工程费结算价款的3% ，时间：竣工验收备案完成后 ，方式：银行转账或见索即付保函或按工程质量保证金缴纳比例由履约保证金转为质保金，中标成交人选择缴纳工程质量保证金的，发包人不得在支付合同价款过程中，再扣除工程质量保证金。</w:t>
      </w:r>
      <w:r>
        <w:rPr>
          <w:rFonts w:hint="eastAsia" w:ascii="Times New Roman" w:hAnsi="Times New Roman"/>
          <w:b/>
          <w:bCs w:val="0"/>
          <w:color w:val="auto"/>
          <w:highlight w:val="none"/>
          <w:shd w:val="clear"/>
        </w:rPr>
        <w:t xml:space="preserve"> </w:t>
      </w:r>
    </w:p>
    <w:p w14:paraId="7A92151F">
      <w:pPr>
        <w:pStyle w:val="22"/>
        <w:ind w:firstLine="420"/>
        <w:rPr>
          <w:rFonts w:ascii="Times New Roman" w:hAnsi="Times New Roman"/>
          <w:b/>
          <w:bCs w:val="0"/>
          <w:color w:val="auto"/>
          <w:highlight w:val="none"/>
          <w:shd w:val="clear"/>
        </w:rPr>
      </w:pPr>
      <w:r>
        <w:rPr>
          <w:rFonts w:hint="eastAsia" w:ascii="Times New Roman" w:hAnsi="Times New Roman"/>
          <w:b/>
          <w:bCs w:val="0"/>
          <w:color w:val="auto"/>
          <w:highlight w:val="none"/>
          <w:shd w:val="clear"/>
        </w:rPr>
        <w:t>关于质量保证金的补充约定：</w:t>
      </w:r>
      <w:r>
        <w:rPr>
          <w:rFonts w:hint="eastAsia" w:ascii="Times New Roman" w:hAnsi="Times New Roman"/>
          <w:b/>
          <w:bCs w:val="0"/>
          <w:color w:val="auto"/>
          <w:highlight w:val="none"/>
          <w:shd w:val="clear"/>
          <w:lang w:val="en-US" w:eastAsia="zh-CN"/>
        </w:rPr>
        <w:t>/</w:t>
      </w:r>
      <w:r>
        <w:rPr>
          <w:rFonts w:hint="eastAsia" w:ascii="Times New Roman" w:hAnsi="Times New Roman"/>
          <w:b/>
          <w:bCs w:val="0"/>
          <w:color w:val="auto"/>
          <w:highlight w:val="none"/>
          <w:shd w:val="clear"/>
        </w:rPr>
        <w:t>。</w:t>
      </w:r>
    </w:p>
    <w:bookmarkEnd w:id="1823"/>
    <w:bookmarkEnd w:id="1824"/>
    <w:p w14:paraId="514134DB">
      <w:pPr>
        <w:pStyle w:val="33"/>
        <w:rPr>
          <w:color w:val="auto"/>
          <w:highlight w:val="none"/>
          <w:shd w:val="clear"/>
        </w:rPr>
      </w:pPr>
      <w:bookmarkStart w:id="1861" w:name="_Toc170804154"/>
      <w:bookmarkStart w:id="1862" w:name="_Toc170805722"/>
      <w:bookmarkStart w:id="1863" w:name="_Toc170805342"/>
      <w:r>
        <w:rPr>
          <w:rFonts w:hint="eastAsia"/>
          <w:color w:val="auto"/>
          <w:highlight w:val="none"/>
          <w:shd w:val="clear"/>
        </w:rPr>
        <w:t>15.4 保修</w:t>
      </w:r>
      <w:bookmarkEnd w:id="1861"/>
      <w:bookmarkEnd w:id="1862"/>
      <w:bookmarkEnd w:id="1863"/>
    </w:p>
    <w:bookmarkEnd w:id="1825"/>
    <w:p w14:paraId="4D9593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15.4.1 保修责任</w:t>
      </w:r>
    </w:p>
    <w:p w14:paraId="7E4087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工程保修期为：</w:t>
      </w:r>
      <w:r>
        <w:rPr>
          <w:rFonts w:hint="eastAsia" w:ascii="Times New Roman" w:hAnsi="Times New Roman"/>
          <w:b/>
          <w:bCs/>
          <w:color w:val="auto"/>
          <w:highlight w:val="none"/>
          <w:u w:val="single"/>
          <w:shd w:val="clear"/>
          <w:lang w:val="en-US" w:eastAsia="zh-CN"/>
        </w:rPr>
        <w:t>详见工程质量保修书</w:t>
      </w:r>
      <w:r>
        <w:rPr>
          <w:rFonts w:hint="eastAsia" w:ascii="Times New Roman" w:hAnsi="Times New Roman"/>
          <w:color w:val="auto"/>
          <w:highlight w:val="none"/>
          <w:shd w:val="clear"/>
        </w:rPr>
        <w:t>。</w:t>
      </w:r>
    </w:p>
    <w:p w14:paraId="0C87F4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15.4.3 修复通知</w:t>
      </w:r>
    </w:p>
    <w:p w14:paraId="56B3033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承包人收到保修通知并到达工程现场的合理时间：</w:t>
      </w:r>
      <w:r>
        <w:rPr>
          <w:rFonts w:hint="eastAsia" w:ascii="Times New Roman" w:hAnsi="Times New Roman"/>
          <w:b/>
          <w:bCs/>
          <w:color w:val="auto"/>
          <w:highlight w:val="none"/>
          <w:u w:val="single"/>
          <w:shd w:val="clear"/>
        </w:rPr>
        <w:t xml:space="preserve">接到发包人通知后72小时以内到达现场 </w:t>
      </w:r>
      <w:r>
        <w:rPr>
          <w:rFonts w:hint="eastAsia" w:ascii="Times New Roman" w:hAnsi="Times New Roman"/>
          <w:color w:val="auto"/>
          <w:highlight w:val="none"/>
          <w:shd w:val="clear"/>
        </w:rPr>
        <w:t>。</w:t>
      </w:r>
    </w:p>
    <w:bookmarkEnd w:id="1826"/>
    <w:bookmarkEnd w:id="1827"/>
    <w:bookmarkEnd w:id="1828"/>
    <w:bookmarkEnd w:id="1829"/>
    <w:p w14:paraId="2C8F0A08">
      <w:pPr>
        <w:pStyle w:val="26"/>
        <w:rPr>
          <w:color w:val="auto"/>
          <w:highlight w:val="none"/>
          <w:shd w:val="clear"/>
        </w:rPr>
      </w:pPr>
      <w:bookmarkStart w:id="1864" w:name="_Toc170805343"/>
      <w:bookmarkStart w:id="1865" w:name="_Toc351203648"/>
      <w:bookmarkStart w:id="1866" w:name="_Toc170805723"/>
      <w:bookmarkStart w:id="1867" w:name="_Toc170804155"/>
      <w:bookmarkStart w:id="1868" w:name="_Toc280868717"/>
      <w:bookmarkStart w:id="1869" w:name="_Toc280868718"/>
      <w:r>
        <w:rPr>
          <w:rFonts w:hint="eastAsia"/>
          <w:color w:val="auto"/>
          <w:highlight w:val="none"/>
          <w:shd w:val="clear"/>
        </w:rPr>
        <w:t>16.违约</w:t>
      </w:r>
      <w:bookmarkEnd w:id="1864"/>
      <w:bookmarkEnd w:id="1865"/>
      <w:bookmarkEnd w:id="1866"/>
      <w:bookmarkEnd w:id="1867"/>
    </w:p>
    <w:p w14:paraId="06809F77">
      <w:pPr>
        <w:pStyle w:val="33"/>
        <w:rPr>
          <w:color w:val="auto"/>
          <w:highlight w:val="none"/>
          <w:shd w:val="clear"/>
        </w:rPr>
      </w:pPr>
      <w:bookmarkStart w:id="1870" w:name="_Toc170805344"/>
      <w:bookmarkStart w:id="1871" w:name="_Toc170805724"/>
      <w:bookmarkStart w:id="1872" w:name="_Toc170804156"/>
      <w:r>
        <w:rPr>
          <w:rFonts w:hint="eastAsia"/>
          <w:color w:val="auto"/>
          <w:highlight w:val="none"/>
          <w:shd w:val="clear"/>
        </w:rPr>
        <w:t>16.1 发包人违约</w:t>
      </w:r>
      <w:bookmarkEnd w:id="1870"/>
      <w:bookmarkEnd w:id="1871"/>
      <w:bookmarkEnd w:id="1872"/>
    </w:p>
    <w:p w14:paraId="0F72417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16.1.1 发包人违约的情形</w:t>
      </w:r>
    </w:p>
    <w:p w14:paraId="2D45622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发包人违约的其他情形：</w:t>
      </w:r>
      <w:r>
        <w:rPr>
          <w:rFonts w:hint="eastAsia" w:ascii="Times New Roman" w:hAnsi="Times New Roman"/>
          <w:b/>
          <w:bCs/>
          <w:color w:val="auto"/>
          <w:highlight w:val="none"/>
          <w:u w:val="single"/>
          <w:shd w:val="clear"/>
        </w:rPr>
        <w:t>其他国家规定发包人违约的情形</w:t>
      </w:r>
      <w:r>
        <w:rPr>
          <w:rFonts w:hint="eastAsia" w:ascii="Times New Roman" w:hAnsi="Times New Roman"/>
          <w:color w:val="auto"/>
          <w:highlight w:val="none"/>
          <w:shd w:val="clear"/>
        </w:rPr>
        <w:t>。</w:t>
      </w:r>
    </w:p>
    <w:p w14:paraId="59D2F3F7">
      <w:pPr>
        <w:pStyle w:val="22"/>
        <w:ind w:firstLine="420"/>
        <w:rPr>
          <w:rFonts w:ascii="Times New Roman" w:hAnsi="Times New Roman"/>
          <w:b/>
          <w:bCs/>
          <w:color w:val="auto"/>
          <w:highlight w:val="none"/>
          <w:shd w:val="clear"/>
        </w:rPr>
      </w:pPr>
      <w:r>
        <w:rPr>
          <w:rFonts w:hint="eastAsia" w:ascii="Times New Roman" w:hAnsi="Times New Roman"/>
          <w:b/>
          <w:bCs/>
          <w:color w:val="auto"/>
          <w:highlight w:val="none"/>
          <w:shd w:val="clear"/>
        </w:rPr>
        <w:t>16.1.2 发包人违约的责任</w:t>
      </w:r>
    </w:p>
    <w:p w14:paraId="0CE6325C">
      <w:pPr>
        <w:pStyle w:val="22"/>
        <w:ind w:firstLine="420"/>
        <w:rPr>
          <w:rFonts w:ascii="Times New Roman" w:hAnsi="Times New Roman"/>
          <w:b/>
          <w:bCs/>
          <w:color w:val="auto"/>
          <w:highlight w:val="none"/>
          <w:shd w:val="clear"/>
        </w:rPr>
      </w:pPr>
      <w:r>
        <w:rPr>
          <w:rFonts w:hint="eastAsia" w:ascii="Times New Roman" w:hAnsi="Times New Roman"/>
          <w:b/>
          <w:bCs/>
          <w:color w:val="auto"/>
          <w:highlight w:val="none"/>
          <w:shd w:val="clear"/>
        </w:rPr>
        <w:t>发包人违约责任的承担方式和计算方法：</w:t>
      </w:r>
    </w:p>
    <w:p w14:paraId="7626AEE9">
      <w:pPr>
        <w:pStyle w:val="22"/>
        <w:ind w:firstLine="420"/>
        <w:rPr>
          <w:rFonts w:ascii="Times New Roman" w:hAnsi="Times New Roman"/>
          <w:b/>
          <w:bCs/>
          <w:color w:val="auto"/>
          <w:highlight w:val="none"/>
          <w:shd w:val="clear"/>
        </w:rPr>
      </w:pPr>
      <w:r>
        <w:rPr>
          <w:rFonts w:hint="eastAsia" w:ascii="Times New Roman" w:hAnsi="Times New Roman"/>
          <w:b/>
          <w:bCs/>
          <w:color w:val="auto"/>
          <w:highlight w:val="none"/>
          <w:shd w:val="clear"/>
        </w:rPr>
        <w:t>（1）因发包人原因未能在计划开工日期前7天内下达开工通知的违约责任：</w:t>
      </w:r>
      <w:r>
        <w:rPr>
          <w:rFonts w:hint="eastAsia" w:ascii="Times New Roman" w:hAnsi="Times New Roman"/>
          <w:b/>
          <w:bCs/>
          <w:color w:val="auto"/>
          <w:highlight w:val="none"/>
          <w:u w:val="single"/>
          <w:shd w:val="clear"/>
        </w:rPr>
        <w:t xml:space="preserve"> 工期顺延</w:t>
      </w:r>
      <w:r>
        <w:rPr>
          <w:rFonts w:hint="eastAsia" w:ascii="Times New Roman" w:hAnsi="Times New Roman"/>
          <w:b/>
          <w:bCs/>
          <w:color w:val="auto"/>
          <w:highlight w:val="none"/>
          <w:shd w:val="clear"/>
        </w:rPr>
        <w:t>。</w:t>
      </w:r>
    </w:p>
    <w:p w14:paraId="45112964">
      <w:pPr>
        <w:pStyle w:val="22"/>
        <w:ind w:firstLine="420"/>
        <w:rPr>
          <w:rFonts w:hint="eastAsia" w:ascii="Times New Roman" w:hAnsi="Times New Roman" w:eastAsia="宋体"/>
          <w:b/>
          <w:bCs/>
          <w:color w:val="auto"/>
          <w:highlight w:val="none"/>
          <w:u w:val="single"/>
          <w:shd w:val="clear"/>
          <w:lang w:eastAsia="zh-CN"/>
        </w:rPr>
      </w:pPr>
      <w:r>
        <w:rPr>
          <w:rFonts w:hint="eastAsia" w:ascii="Times New Roman" w:hAnsi="Times New Roman"/>
          <w:b/>
          <w:bCs/>
          <w:color w:val="auto"/>
          <w:highlight w:val="none"/>
          <w:shd w:val="clear"/>
        </w:rPr>
        <w:t>（2）因发包人原因未能按合同约定支付合同价款的违约责任：</w:t>
      </w:r>
      <w:r>
        <w:rPr>
          <w:rFonts w:hint="eastAsia" w:ascii="Times New Roman" w:hAnsi="Times New Roman"/>
          <w:b/>
          <w:bCs/>
          <w:color w:val="auto"/>
          <w:highlight w:val="none"/>
          <w:u w:val="single"/>
          <w:shd w:val="clear"/>
          <w:lang w:eastAsia="zh-CN"/>
        </w:rPr>
        <w:t>若发包人没有按期支付工程款，应付而未付部分的工程款(以审计报告所载金额为准)从单项工程验收合格之日起开始计取财务费用，按付款违约时最新公布的一年期及以上LPR进行计息，利息支付按年结算。应付而未付部分的工程款累计额度最多不得超过单项工程应付工程款总额的50%，单项工程应付而未付期限最长不得超过5年。</w:t>
      </w:r>
    </w:p>
    <w:p w14:paraId="3E6DA7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（3）发包人违反第10.1款〔变更的范围〕第（2）项约定，自行实施被取消的工作或转由他人实施的违约责任：</w:t>
      </w:r>
      <w:r>
        <w:rPr>
          <w:rFonts w:hint="eastAsia" w:ascii="Times New Roman" w:hAnsi="Times New Roman"/>
          <w:i w:val="0"/>
          <w:iCs w:val="0"/>
          <w:color w:val="auto"/>
          <w:highlight w:val="none"/>
          <w:u w:val="single"/>
          <w:shd w:val="clear"/>
          <w:lang w:val="en-US" w:eastAsia="zh-CN"/>
        </w:rPr>
        <w:t xml:space="preserve">   </w:t>
      </w:r>
      <w:r>
        <w:rPr>
          <w:rFonts w:hint="eastAsia" w:ascii="宋体" w:hAnsi="宋体" w:cs="宋体"/>
          <w:b/>
          <w:color w:val="auto"/>
          <w:sz w:val="24"/>
          <w:highlight w:val="none"/>
          <w:u w:val="single"/>
          <w:shd w:val="clear"/>
          <w:lang w:val="en-US" w:eastAsia="zh-CN"/>
        </w:rPr>
        <w:t>/</w:t>
      </w:r>
      <w:r>
        <w:rPr>
          <w:rFonts w:hint="eastAsia" w:cs="宋体"/>
          <w:b/>
          <w:color w:val="auto"/>
          <w:sz w:val="24"/>
          <w:highlight w:val="none"/>
          <w:u w:val="single"/>
          <w:shd w:val="clear"/>
          <w:lang w:val="en-US" w:eastAsia="zh-CN"/>
        </w:rPr>
        <w:t xml:space="preserve">  </w:t>
      </w:r>
      <w:r>
        <w:rPr>
          <w:rFonts w:hint="eastAsia" w:ascii="Times New Roman" w:hAnsi="Times New Roman"/>
          <w:color w:val="auto"/>
          <w:highlight w:val="none"/>
          <w:shd w:val="clear"/>
        </w:rPr>
        <w:t>。</w:t>
      </w:r>
    </w:p>
    <w:p w14:paraId="0FCC93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（4）发包人提供的材料、工程设备的规格、数量或质量不符合合同约定，或因发包人原因导致交货日期延误或交货地点变更等情况的违约责任：</w:t>
      </w:r>
      <w:r>
        <w:rPr>
          <w:rFonts w:hint="eastAsia" w:ascii="Times New Roman" w:hAnsi="Times New Roman"/>
          <w:i w:val="0"/>
          <w:iCs w:val="0"/>
          <w:color w:val="auto"/>
          <w:highlight w:val="none"/>
          <w:u w:val="single"/>
          <w:shd w:val="clear"/>
          <w:lang w:val="en-US" w:eastAsia="zh-CN"/>
        </w:rPr>
        <w:t xml:space="preserve">   </w:t>
      </w:r>
      <w:r>
        <w:rPr>
          <w:rFonts w:hint="eastAsia" w:ascii="宋体" w:hAnsi="宋体" w:cs="宋体"/>
          <w:b/>
          <w:color w:val="auto"/>
          <w:sz w:val="24"/>
          <w:highlight w:val="none"/>
          <w:u w:val="single"/>
          <w:shd w:val="clear"/>
          <w:lang w:val="en-US" w:eastAsia="zh-CN"/>
        </w:rPr>
        <w:t>/</w:t>
      </w:r>
      <w:r>
        <w:rPr>
          <w:rFonts w:hint="eastAsia" w:cs="宋体"/>
          <w:b/>
          <w:color w:val="auto"/>
          <w:sz w:val="24"/>
          <w:highlight w:val="none"/>
          <w:u w:val="single"/>
          <w:shd w:val="clear"/>
          <w:lang w:val="en-US" w:eastAsia="zh-CN"/>
        </w:rPr>
        <w:t xml:space="preserve">  </w:t>
      </w:r>
      <w:r>
        <w:rPr>
          <w:rFonts w:hint="eastAsia" w:ascii="Times New Roman" w:hAnsi="Times New Roman"/>
          <w:color w:val="auto"/>
          <w:highlight w:val="none"/>
          <w:shd w:val="clear"/>
        </w:rPr>
        <w:t>。</w:t>
      </w:r>
    </w:p>
    <w:p w14:paraId="364988D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（5）因发包人违反合同约定造成暂停施工的违约责任：</w:t>
      </w:r>
      <w:r>
        <w:rPr>
          <w:rFonts w:hint="eastAsia" w:ascii="Times New Roman" w:hAnsi="Times New Roman"/>
          <w:i w:val="0"/>
          <w:iCs w:val="0"/>
          <w:color w:val="auto"/>
          <w:highlight w:val="none"/>
          <w:u w:val="single"/>
          <w:shd w:val="clear"/>
          <w:lang w:val="en-US" w:eastAsia="zh-CN"/>
        </w:rPr>
        <w:t xml:space="preserve">   </w:t>
      </w:r>
      <w:r>
        <w:rPr>
          <w:rFonts w:hint="eastAsia" w:ascii="宋体" w:hAnsi="宋体" w:cs="宋体"/>
          <w:b/>
          <w:color w:val="auto"/>
          <w:sz w:val="24"/>
          <w:highlight w:val="none"/>
          <w:u w:val="single"/>
          <w:shd w:val="clear"/>
          <w:lang w:val="en-US" w:eastAsia="zh-CN"/>
        </w:rPr>
        <w:t>/</w:t>
      </w:r>
      <w:r>
        <w:rPr>
          <w:rFonts w:hint="eastAsia" w:cs="宋体"/>
          <w:b/>
          <w:color w:val="auto"/>
          <w:sz w:val="24"/>
          <w:highlight w:val="none"/>
          <w:u w:val="single"/>
          <w:shd w:val="clear"/>
          <w:lang w:val="en-US" w:eastAsia="zh-CN"/>
        </w:rPr>
        <w:t xml:space="preserve">  </w:t>
      </w:r>
      <w:r>
        <w:rPr>
          <w:rFonts w:hint="eastAsia" w:ascii="Times New Roman" w:hAnsi="Times New Roman"/>
          <w:color w:val="auto"/>
          <w:highlight w:val="none"/>
          <w:shd w:val="clear"/>
        </w:rPr>
        <w:t>。</w:t>
      </w:r>
    </w:p>
    <w:p w14:paraId="3E13A7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（6）发包人无正当理由没有在约定期限内发出复工指示，导致承包人无法复工的违约责任：</w:t>
      </w:r>
      <w:r>
        <w:rPr>
          <w:rFonts w:hint="eastAsia" w:ascii="Times New Roman" w:hAnsi="Times New Roman"/>
          <w:i w:val="0"/>
          <w:iCs w:val="0"/>
          <w:color w:val="auto"/>
          <w:highlight w:val="none"/>
          <w:u w:val="single"/>
          <w:shd w:val="clear"/>
          <w:lang w:val="en-US" w:eastAsia="zh-CN"/>
        </w:rPr>
        <w:t xml:space="preserve">   </w:t>
      </w:r>
      <w:r>
        <w:rPr>
          <w:rFonts w:hint="eastAsia" w:ascii="宋体" w:hAnsi="宋体" w:cs="宋体"/>
          <w:b/>
          <w:color w:val="auto"/>
          <w:sz w:val="24"/>
          <w:highlight w:val="none"/>
          <w:u w:val="single"/>
          <w:shd w:val="clear"/>
          <w:lang w:val="en-US" w:eastAsia="zh-CN"/>
        </w:rPr>
        <w:t>/</w:t>
      </w:r>
      <w:r>
        <w:rPr>
          <w:rFonts w:hint="eastAsia" w:cs="宋体"/>
          <w:b/>
          <w:color w:val="auto"/>
          <w:sz w:val="24"/>
          <w:highlight w:val="none"/>
          <w:u w:val="single"/>
          <w:shd w:val="clear"/>
          <w:lang w:val="en-US" w:eastAsia="zh-CN"/>
        </w:rPr>
        <w:t xml:space="preserve">  </w:t>
      </w:r>
      <w:r>
        <w:rPr>
          <w:rFonts w:hint="eastAsia" w:ascii="Times New Roman" w:hAnsi="Times New Roman"/>
          <w:color w:val="auto"/>
          <w:highlight w:val="none"/>
          <w:shd w:val="clear"/>
        </w:rPr>
        <w:t>。</w:t>
      </w:r>
    </w:p>
    <w:p w14:paraId="12FF5C9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（7）其他：</w:t>
      </w:r>
      <w:r>
        <w:rPr>
          <w:rFonts w:hint="eastAsia" w:ascii="Times New Roman" w:hAnsi="Times New Roman"/>
          <w:i w:val="0"/>
          <w:iCs w:val="0"/>
          <w:color w:val="auto"/>
          <w:highlight w:val="none"/>
          <w:u w:val="single"/>
          <w:shd w:val="clear"/>
          <w:lang w:val="en-US" w:eastAsia="zh-CN"/>
        </w:rPr>
        <w:t xml:space="preserve">   </w:t>
      </w:r>
      <w:r>
        <w:rPr>
          <w:rFonts w:hint="eastAsia" w:ascii="宋体" w:hAnsi="宋体" w:cs="宋体"/>
          <w:b/>
          <w:color w:val="auto"/>
          <w:sz w:val="24"/>
          <w:highlight w:val="none"/>
          <w:u w:val="single"/>
          <w:shd w:val="clear"/>
          <w:lang w:val="en-US" w:eastAsia="zh-CN"/>
        </w:rPr>
        <w:t>/</w:t>
      </w:r>
      <w:r>
        <w:rPr>
          <w:rFonts w:hint="eastAsia" w:cs="宋体"/>
          <w:b/>
          <w:color w:val="auto"/>
          <w:sz w:val="24"/>
          <w:highlight w:val="none"/>
          <w:u w:val="single"/>
          <w:shd w:val="clear"/>
          <w:lang w:val="en-US" w:eastAsia="zh-CN"/>
        </w:rPr>
        <w:t xml:space="preserve">  </w:t>
      </w:r>
      <w:r>
        <w:rPr>
          <w:rFonts w:hint="eastAsia" w:ascii="Times New Roman" w:hAnsi="Times New Roman"/>
          <w:color w:val="auto"/>
          <w:highlight w:val="none"/>
          <w:shd w:val="clear"/>
        </w:rPr>
        <w:t>。</w:t>
      </w:r>
    </w:p>
    <w:p w14:paraId="699061F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16.1.3 因发包人违约解除合同</w:t>
      </w:r>
    </w:p>
    <w:p w14:paraId="630A97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承包人按16.1.1项〔发包人违约的情形〕约定暂停施工满</w:t>
      </w:r>
      <w:r>
        <w:rPr>
          <w:rFonts w:hint="eastAsia" w:ascii="Times New Roman" w:hAnsi="Times New Roman"/>
          <w:b/>
          <w:bCs/>
          <w:color w:val="auto"/>
          <w:highlight w:val="none"/>
          <w:u w:val="single"/>
          <w:shd w:val="clear"/>
          <w:lang w:val="en-US" w:eastAsia="zh-CN"/>
        </w:rPr>
        <w:t>56</w:t>
      </w:r>
      <w:r>
        <w:rPr>
          <w:rFonts w:hint="eastAsia" w:ascii="Times New Roman" w:hAnsi="Times New Roman"/>
          <w:color w:val="auto"/>
          <w:highlight w:val="none"/>
          <w:shd w:val="clear"/>
        </w:rPr>
        <w:t>天后发包人仍不纠正其违约行为并致使合同目的不能实现的，承包人有权解除合同。</w:t>
      </w:r>
    </w:p>
    <w:p w14:paraId="286686C6">
      <w:pPr>
        <w:pStyle w:val="33"/>
        <w:rPr>
          <w:color w:val="auto"/>
          <w:highlight w:val="none"/>
          <w:shd w:val="clear"/>
        </w:rPr>
      </w:pPr>
      <w:bookmarkStart w:id="1873" w:name="_Toc170805725"/>
      <w:bookmarkStart w:id="1874" w:name="_Toc170804157"/>
      <w:bookmarkStart w:id="1875" w:name="_Toc170805345"/>
      <w:r>
        <w:rPr>
          <w:rFonts w:hint="eastAsia"/>
          <w:color w:val="auto"/>
          <w:highlight w:val="none"/>
          <w:shd w:val="clear"/>
        </w:rPr>
        <w:t>16.2 承包人违约</w:t>
      </w:r>
      <w:bookmarkEnd w:id="1873"/>
      <w:bookmarkEnd w:id="1874"/>
      <w:bookmarkEnd w:id="1875"/>
    </w:p>
    <w:p w14:paraId="004D2AA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16.2.1 承包人违约的情形</w:t>
      </w:r>
    </w:p>
    <w:p w14:paraId="2B692E0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承包人违约的其他情形：</w:t>
      </w:r>
      <w:r>
        <w:rPr>
          <w:rFonts w:hint="eastAsia" w:ascii="Times New Roman" w:hAnsi="Times New Roman"/>
          <w:b/>
          <w:bCs/>
          <w:color w:val="auto"/>
          <w:highlight w:val="none"/>
          <w:u w:val="single"/>
          <w:shd w:val="clear"/>
        </w:rPr>
        <w:t>因承包人原因造成停工或返工的，经发包人督促仍不整改的，发包人有权委托第三方施工，所产生的一切费用由承包人承担；因承包人原因停工超过7天的发包人有权解除合同，并追究因此给发包人造成的损失。国家规定承包人违约的其他情形。</w:t>
      </w:r>
    </w:p>
    <w:p w14:paraId="7D172C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16.2.2 承包人违约的责任</w:t>
      </w:r>
    </w:p>
    <w:p w14:paraId="7E6C82E4">
      <w:pPr>
        <w:pStyle w:val="22"/>
        <w:ind w:firstLine="420"/>
        <w:rPr>
          <w:rFonts w:hint="eastAsia" w:ascii="Times New Roman" w:hAnsi="Times New Roman"/>
          <w:color w:val="auto"/>
          <w:highlight w:val="none"/>
          <w:shd w:val="clear"/>
        </w:rPr>
      </w:pPr>
      <w:r>
        <w:rPr>
          <w:rFonts w:hint="eastAsia" w:ascii="Times New Roman" w:hAnsi="Times New Roman"/>
          <w:color w:val="auto"/>
          <w:highlight w:val="none"/>
          <w:shd w:val="clear"/>
        </w:rPr>
        <w:t>承包人违约责任的承担方式和计算方法：</w:t>
      </w:r>
    </w:p>
    <w:p w14:paraId="63EA22E6">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（1）承包人违反合同约定进行转包或违法分包的,发包人可以与承包人解除合同并扣留其履约保证金；</w:t>
      </w:r>
    </w:p>
    <w:p w14:paraId="54A8C5D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（2）承包人违反合同约定采购和使用不合格的材料和工程设备的，承包人应重新采购并重新施工，并支付不合格的材料和工程设备价值的5%作为违约金；</w:t>
      </w:r>
    </w:p>
    <w:p w14:paraId="31EC340D">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 xml:space="preserve">（3）因承包人原因导致工程质量不符合合同要求的，承包人应重新施工或修复直至合格，并支付不合格工程价款的5%作为违约金； </w:t>
      </w:r>
    </w:p>
    <w:p w14:paraId="579C30E2">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（4）承包人违反第8.6款〔材料与设备专用要求〕的约定，未经批准，私自将已按照合同约定进入施工现场的材料或设备撤离施工现场的，支付私自撤离材料或设备价值的5%作为违约金；</w:t>
      </w:r>
    </w:p>
    <w:p w14:paraId="7E5D9653">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（5）承包人在缺陷责任期及保修期内，未能在合理期限对工程缺陷进行修复，或拒绝按发包人要求进行修复的，发包人可以使用质量保证金由第三方修复，不足部分由承包人支付；</w:t>
      </w:r>
    </w:p>
    <w:p w14:paraId="483DC284">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（6）承包人明确表示或者以其行为表明不履行合同主要义务的，按5000元～10000元/次支付违约金；</w:t>
      </w:r>
    </w:p>
    <w:p w14:paraId="7D21FC18">
      <w:pPr>
        <w:pStyle w:val="22"/>
        <w:ind w:firstLine="420"/>
        <w:rPr>
          <w:rFonts w:ascii="Times New Roman" w:hAnsi="Times New Roman"/>
          <w:color w:val="auto"/>
          <w:highlight w:val="none"/>
          <w:shd w:val="clear"/>
        </w:rPr>
      </w:pPr>
      <w:r>
        <w:rPr>
          <w:rFonts w:hint="eastAsia" w:ascii="Times New Roman" w:hAnsi="Times New Roman"/>
          <w:b/>
          <w:bCs/>
          <w:color w:val="auto"/>
          <w:highlight w:val="none"/>
          <w:u w:val="single"/>
          <w:shd w:val="clear"/>
        </w:rPr>
        <w:t>(7)若发现承包人明显减少材料的厚度，或石材、地砖、玻璃、成套门窗、石膏板、乳胶漆、绿化景观等等选材及加工质量明显低劣，责令拆除改正，并支付不合格材料款的10%作为违约金</w:t>
      </w:r>
      <w:r>
        <w:rPr>
          <w:rFonts w:hint="eastAsia" w:ascii="Times New Roman" w:hAnsi="Times New Roman"/>
          <w:b/>
          <w:bCs/>
          <w:color w:val="auto"/>
          <w:highlight w:val="none"/>
          <w:u w:val="single"/>
          <w:shd w:val="clear"/>
        </w:rPr>
        <w:t>。</w:t>
      </w:r>
    </w:p>
    <w:p w14:paraId="1BD119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16.2.3 因承包人违约解除合同</w:t>
      </w:r>
    </w:p>
    <w:p w14:paraId="3FD8D6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关于承包人违约解除合同的特别约定：</w:t>
      </w:r>
      <w:r>
        <w:rPr>
          <w:rFonts w:hint="eastAsia" w:ascii="Times New Roman" w:hAnsi="Times New Roman"/>
          <w:b/>
          <w:bCs/>
          <w:color w:val="auto"/>
          <w:highlight w:val="none"/>
          <w:u w:val="single"/>
          <w:shd w:val="clear"/>
        </w:rPr>
        <w:t>承包人出现违约情况时，或业主代表发出整改通知后，承包人在指定的合理期限内仍不纠正违约行为并致使合同目的不能实现的，发包人有权解除合同，因此造成各种经济损失（包括工期的延误），发包方有权对承包方进行追究。</w:t>
      </w:r>
    </w:p>
    <w:p w14:paraId="7CAE6E3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发包人继续使用承包人在施工现场的材料、设备、临时工程、承包人文件和由承包人或以其名义编制的其他文件的费用承担方式：</w:t>
      </w:r>
      <w:r>
        <w:rPr>
          <w:rFonts w:hint="eastAsia" w:ascii="Times New Roman" w:hAnsi="Times New Roman"/>
          <w:b/>
          <w:bCs/>
          <w:color w:val="auto"/>
          <w:highlight w:val="none"/>
          <w:u w:val="single"/>
          <w:shd w:val="clear"/>
        </w:rPr>
        <w:t>由使用者支付实际发生的费用，不含利润。</w:t>
      </w:r>
    </w:p>
    <w:p w14:paraId="4AC76017">
      <w:pPr>
        <w:pStyle w:val="26"/>
        <w:rPr>
          <w:color w:val="auto"/>
          <w:highlight w:val="none"/>
          <w:shd w:val="clear"/>
        </w:rPr>
      </w:pPr>
      <w:bookmarkStart w:id="1876" w:name="_Toc170804158"/>
      <w:bookmarkStart w:id="1877" w:name="_Toc170805726"/>
      <w:bookmarkStart w:id="1878" w:name="_Toc351203649"/>
      <w:bookmarkStart w:id="1879" w:name="_Toc170805346"/>
      <w:r>
        <w:rPr>
          <w:rFonts w:hint="eastAsia"/>
          <w:color w:val="auto"/>
          <w:highlight w:val="none"/>
          <w:shd w:val="clear"/>
        </w:rPr>
        <w:t>17.不可抗力</w:t>
      </w:r>
      <w:bookmarkEnd w:id="1876"/>
      <w:bookmarkEnd w:id="1877"/>
      <w:bookmarkEnd w:id="1878"/>
      <w:bookmarkEnd w:id="1879"/>
      <w:r>
        <w:rPr>
          <w:rFonts w:hint="eastAsia"/>
          <w:color w:val="auto"/>
          <w:highlight w:val="none"/>
          <w:shd w:val="clear"/>
        </w:rPr>
        <w:t xml:space="preserve"> </w:t>
      </w:r>
      <w:bookmarkEnd w:id="1868"/>
    </w:p>
    <w:p w14:paraId="5DBE3509">
      <w:pPr>
        <w:pStyle w:val="33"/>
        <w:rPr>
          <w:color w:val="auto"/>
          <w:highlight w:val="none"/>
          <w:shd w:val="clear"/>
        </w:rPr>
      </w:pPr>
      <w:bookmarkStart w:id="1880" w:name="_Toc170804159"/>
      <w:bookmarkStart w:id="1881" w:name="_Toc170805727"/>
      <w:bookmarkStart w:id="1882" w:name="_Toc170805347"/>
      <w:r>
        <w:rPr>
          <w:rFonts w:hint="eastAsia"/>
          <w:color w:val="auto"/>
          <w:highlight w:val="none"/>
          <w:shd w:val="clear"/>
        </w:rPr>
        <w:t>17.1 不可抗力的确认</w:t>
      </w:r>
      <w:bookmarkEnd w:id="1880"/>
      <w:bookmarkEnd w:id="1881"/>
      <w:bookmarkEnd w:id="1882"/>
    </w:p>
    <w:p w14:paraId="65057C93">
      <w:pPr>
        <w:pStyle w:val="22"/>
        <w:ind w:firstLine="420"/>
        <w:rPr>
          <w:rFonts w:hint="eastAsia" w:ascii="Times New Roman" w:hAnsi="Times New Roman" w:eastAsia="宋体"/>
          <w:b/>
          <w:bCs/>
          <w:color w:val="auto"/>
          <w:highlight w:val="none"/>
          <w:u w:val="single"/>
          <w:shd w:val="clear"/>
          <w:lang w:val="en-US" w:eastAsia="zh-CN"/>
        </w:rPr>
      </w:pPr>
      <w:r>
        <w:rPr>
          <w:rFonts w:hint="eastAsia" w:ascii="Times New Roman" w:hAnsi="Times New Roman"/>
          <w:color w:val="auto"/>
          <w:highlight w:val="none"/>
          <w:shd w:val="clear"/>
        </w:rPr>
        <w:t>除通用合同条款约定的不可抗力事件之外，视为不可抗力的其他情形：</w:t>
      </w:r>
      <w:r>
        <w:rPr>
          <w:rFonts w:hint="eastAsia" w:ascii="Times New Roman" w:hAnsi="Times New Roman"/>
          <w:b/>
          <w:bCs/>
          <w:color w:val="auto"/>
          <w:highlight w:val="none"/>
          <w:u w:val="single"/>
          <w:shd w:val="clear"/>
        </w:rPr>
        <w:t>国家规定属于不可抗力的情形</w:t>
      </w:r>
      <w:r>
        <w:rPr>
          <w:rFonts w:hint="eastAsia" w:ascii="Times New Roman" w:hAnsi="Times New Roman"/>
          <w:b/>
          <w:bCs/>
          <w:color w:val="auto"/>
          <w:highlight w:val="none"/>
          <w:u w:val="single"/>
          <w:shd w:val="clear"/>
          <w:lang w:eastAsia="zh-CN"/>
        </w:rPr>
        <w:t>。</w:t>
      </w:r>
    </w:p>
    <w:p w14:paraId="1E88F93B">
      <w:pPr>
        <w:keepNext/>
        <w:keepLines/>
        <w:adjustRightInd w:val="0"/>
        <w:spacing w:line="400" w:lineRule="exact"/>
        <w:outlineLvl w:val="2"/>
        <w:rPr>
          <w:rFonts w:ascii="Times New Roman" w:hAnsi="Times New Roman"/>
          <w:color w:val="auto"/>
          <w:sz w:val="24"/>
          <w:szCs w:val="24"/>
          <w:highlight w:val="none"/>
          <w:shd w:val="clear"/>
        </w:rPr>
      </w:pPr>
      <w:bookmarkStart w:id="1883" w:name="_Toc170804160"/>
      <w:bookmarkStart w:id="1884" w:name="_Toc170805348"/>
      <w:bookmarkStart w:id="1885" w:name="_Toc170805728"/>
      <w:r>
        <w:rPr>
          <w:rFonts w:hint="eastAsia" w:ascii="Times New Roman" w:hAnsi="Times New Roman"/>
          <w:color w:val="auto"/>
          <w:sz w:val="24"/>
          <w:szCs w:val="24"/>
          <w:highlight w:val="none"/>
          <w:shd w:val="clear"/>
        </w:rPr>
        <w:t>17.4 因不可抗力解除合同</w:t>
      </w:r>
      <w:bookmarkEnd w:id="1883"/>
      <w:bookmarkEnd w:id="1884"/>
      <w:bookmarkEnd w:id="1885"/>
    </w:p>
    <w:p w14:paraId="07CE2082">
      <w:pPr>
        <w:spacing w:line="360" w:lineRule="auto"/>
        <w:ind w:firstLine="420" w:firstLineChars="200"/>
        <w:jc w:val="left"/>
        <w:rPr>
          <w:rFonts w:ascii="Times New Roman" w:hAnsi="Times New Roman"/>
          <w:color w:val="auto"/>
          <w:sz w:val="20"/>
          <w:szCs w:val="20"/>
          <w:highlight w:val="none"/>
          <w:shd w:val="clear"/>
        </w:rPr>
      </w:pPr>
      <w:r>
        <w:rPr>
          <w:rStyle w:val="27"/>
          <w:rFonts w:hint="eastAsia" w:ascii="Times New Roman" w:hAnsi="Times New Roman"/>
          <w:bCs w:val="0"/>
          <w:color w:val="auto"/>
          <w:highlight w:val="none"/>
          <w:shd w:val="clear"/>
        </w:rPr>
        <w:t>合同解除后，发包人应在商定或确定发包人应支付款项后</w:t>
      </w:r>
      <w:r>
        <w:rPr>
          <w:rStyle w:val="27"/>
          <w:rFonts w:hint="eastAsia" w:ascii="Times New Roman" w:hAnsi="Times New Roman"/>
          <w:b/>
          <w:bCs/>
          <w:color w:val="auto"/>
          <w:highlight w:val="none"/>
          <w:u w:val="single"/>
          <w:shd w:val="clear"/>
        </w:rPr>
        <w:t xml:space="preserve"> 28 </w:t>
      </w:r>
      <w:r>
        <w:rPr>
          <w:rStyle w:val="27"/>
          <w:rFonts w:hint="eastAsia" w:ascii="Times New Roman" w:hAnsi="Times New Roman"/>
          <w:bCs w:val="0"/>
          <w:color w:val="auto"/>
          <w:highlight w:val="none"/>
          <w:shd w:val="clear"/>
        </w:rPr>
        <w:t>天内完成款项的支付。</w:t>
      </w:r>
    </w:p>
    <w:p w14:paraId="09C1C710">
      <w:pPr>
        <w:pStyle w:val="26"/>
        <w:rPr>
          <w:color w:val="auto"/>
          <w:highlight w:val="none"/>
          <w:shd w:val="clear"/>
        </w:rPr>
      </w:pPr>
      <w:bookmarkStart w:id="1886" w:name="_Toc170805349"/>
      <w:bookmarkStart w:id="1887" w:name="_Toc170804161"/>
      <w:bookmarkStart w:id="1888" w:name="_Toc170805729"/>
      <w:bookmarkStart w:id="1889" w:name="_Toc351203650"/>
      <w:r>
        <w:rPr>
          <w:rFonts w:hint="eastAsia"/>
          <w:color w:val="auto"/>
          <w:highlight w:val="none"/>
          <w:shd w:val="clear"/>
        </w:rPr>
        <w:t>18.保险</w:t>
      </w:r>
      <w:bookmarkEnd w:id="1886"/>
      <w:bookmarkEnd w:id="1887"/>
      <w:bookmarkEnd w:id="1888"/>
      <w:bookmarkEnd w:id="1889"/>
    </w:p>
    <w:bookmarkEnd w:id="1869"/>
    <w:p w14:paraId="69FE6E40">
      <w:pPr>
        <w:pStyle w:val="33"/>
        <w:rPr>
          <w:color w:val="auto"/>
          <w:highlight w:val="none"/>
          <w:shd w:val="clear"/>
        </w:rPr>
      </w:pPr>
      <w:bookmarkStart w:id="1890" w:name="_Toc170805730"/>
      <w:bookmarkStart w:id="1891" w:name="_Toc170805350"/>
      <w:bookmarkStart w:id="1892" w:name="_Toc170804162"/>
      <w:r>
        <w:rPr>
          <w:rFonts w:hint="eastAsia"/>
          <w:color w:val="auto"/>
          <w:highlight w:val="none"/>
          <w:shd w:val="clear"/>
        </w:rPr>
        <w:t>18.1 工程保险</w:t>
      </w:r>
      <w:bookmarkEnd w:id="1890"/>
      <w:bookmarkEnd w:id="1891"/>
      <w:bookmarkEnd w:id="1892"/>
    </w:p>
    <w:p w14:paraId="60D88B5A">
      <w:pPr>
        <w:pStyle w:val="22"/>
        <w:ind w:firstLine="420"/>
        <w:rPr>
          <w:rFonts w:hint="eastAsia" w:ascii="Times New Roman" w:hAnsi="Times New Roman"/>
          <w:b/>
          <w:bCs/>
          <w:color w:val="auto"/>
          <w:highlight w:val="none"/>
          <w:u w:val="single"/>
          <w:shd w:val="clear"/>
        </w:rPr>
      </w:pPr>
      <w:r>
        <w:rPr>
          <w:rFonts w:hint="eastAsia" w:ascii="Times New Roman" w:hAnsi="Times New Roman"/>
          <w:color w:val="auto"/>
          <w:highlight w:val="none"/>
          <w:shd w:val="clear"/>
        </w:rPr>
        <w:t>关于工程保险的特别约定：</w:t>
      </w:r>
      <w:r>
        <w:rPr>
          <w:rFonts w:hint="eastAsia" w:ascii="Times New Roman" w:hAnsi="Times New Roman"/>
          <w:b/>
          <w:bCs/>
          <w:color w:val="auto"/>
          <w:highlight w:val="none"/>
          <w:u w:val="single"/>
          <w:shd w:val="clear"/>
        </w:rPr>
        <w:t>工程保险承包人应以发包人和承包人的共同名义向双方同意的保险人投保建筑工程一切险，保险费用已含在承包人的投标报价中。</w:t>
      </w:r>
    </w:p>
    <w:p w14:paraId="15E0CAE5">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(1)投保内容:本工程工地范围内的建筑、安装工程及用于该工程的材料、机械、设备因自然灾害或意外事故造成的损坏或灭失。</w:t>
      </w:r>
    </w:p>
    <w:p w14:paraId="1DA76331">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(2)保险金额:本工程工地范围内的建筑、安装工程及用于该工程的材料、机械、设备的实际总价值。</w:t>
      </w:r>
    </w:p>
    <w:p w14:paraId="2B175E0B">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(3)保险期限:自被保险工程在工地动工或用于保险工程的材料、机械、设备运抵工地之时起，至发包人签发完工验收证书或验收合格，或发包人实际占有或使用或接收该工程之时止(以最迟者为准)。</w:t>
      </w:r>
    </w:p>
    <w:p w14:paraId="3CF61768">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(4)保险受益人:按投资主体确定受益人。</w:t>
      </w:r>
    </w:p>
    <w:p w14:paraId="4DDA3320">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第三者责任险保险金额:按相关规定执行，保险费用已包含在投标报价中。</w:t>
      </w:r>
    </w:p>
    <w:p w14:paraId="6E66F06E">
      <w:pPr>
        <w:pStyle w:val="33"/>
        <w:rPr>
          <w:color w:val="auto"/>
          <w:highlight w:val="none"/>
          <w:shd w:val="clear"/>
        </w:rPr>
      </w:pPr>
      <w:bookmarkStart w:id="1893" w:name="_Toc170805731"/>
      <w:bookmarkStart w:id="1894" w:name="_Toc170805351"/>
      <w:bookmarkStart w:id="1895" w:name="_Toc170804163"/>
      <w:r>
        <w:rPr>
          <w:rFonts w:hint="eastAsia"/>
          <w:color w:val="auto"/>
          <w:highlight w:val="none"/>
          <w:shd w:val="clear"/>
        </w:rPr>
        <w:t>18.3 其他保险</w:t>
      </w:r>
      <w:bookmarkEnd w:id="1893"/>
      <w:bookmarkEnd w:id="1894"/>
      <w:bookmarkEnd w:id="1895"/>
    </w:p>
    <w:p w14:paraId="7E22AC03">
      <w:pPr>
        <w:pStyle w:val="22"/>
        <w:ind w:firstLine="420"/>
        <w:rPr>
          <w:rFonts w:hint="eastAsia" w:ascii="Times New Roman" w:hAnsi="Times New Roman"/>
          <w:b/>
          <w:bCs/>
          <w:color w:val="auto"/>
          <w:highlight w:val="none"/>
          <w:u w:val="single"/>
          <w:shd w:val="clear"/>
        </w:rPr>
      </w:pPr>
      <w:r>
        <w:rPr>
          <w:rFonts w:hint="eastAsia" w:ascii="Times New Roman" w:hAnsi="Times New Roman"/>
          <w:color w:val="auto"/>
          <w:highlight w:val="none"/>
          <w:shd w:val="clear"/>
        </w:rPr>
        <w:t>关于其他保险的约定：</w:t>
      </w:r>
      <w:r>
        <w:rPr>
          <w:rFonts w:hint="eastAsia" w:ascii="Times New Roman" w:hAnsi="Times New Roman"/>
          <w:b/>
          <w:bCs/>
          <w:color w:val="auto"/>
          <w:highlight w:val="none"/>
          <w:u w:val="single"/>
          <w:shd w:val="clear"/>
        </w:rPr>
        <w:t>承包人必须按照规定为非城镇户籍从业人员办理综合保险，其保险费用包含在投标报价中，不得另行结算。由于承包人未办理此项保险而造成不能核发《施工许可证》，由承包人承担相关责任。</w:t>
      </w:r>
    </w:p>
    <w:p w14:paraId="62CB9578">
      <w:pPr>
        <w:pStyle w:val="22"/>
        <w:ind w:firstLine="420"/>
        <w:rPr>
          <w:rFonts w:hint="eastAsia" w:ascii="Times New Roman" w:hAnsi="Times New Roman"/>
          <w:b/>
          <w:bCs/>
          <w:color w:val="auto"/>
          <w:highlight w:val="none"/>
          <w:u w:val="single"/>
          <w:shd w:val="clear"/>
        </w:rPr>
      </w:pPr>
      <w:r>
        <w:rPr>
          <w:rFonts w:hint="eastAsia" w:ascii="Times New Roman" w:hAnsi="Times New Roman"/>
          <w:b/>
          <w:bCs/>
          <w:color w:val="auto"/>
          <w:highlight w:val="none"/>
          <w:u w:val="single"/>
          <w:shd w:val="clear"/>
        </w:rPr>
        <w:t>承包人还应购买设计责任险，保险费用已含在承包人的投标报价中。</w:t>
      </w:r>
    </w:p>
    <w:p w14:paraId="132DD9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承包人是否应为其施工设备等办理财产保险：</w:t>
      </w:r>
      <w:r>
        <w:rPr>
          <w:rFonts w:hint="eastAsia" w:ascii="Times New Roman" w:hAnsi="Times New Roman"/>
          <w:b/>
          <w:bCs/>
          <w:color w:val="auto"/>
          <w:highlight w:val="none"/>
          <w:u w:val="single"/>
          <w:shd w:val="clear"/>
        </w:rPr>
        <w:t>由承包人确定，并自担风险</w:t>
      </w:r>
      <w:r>
        <w:rPr>
          <w:rFonts w:hint="eastAsia" w:ascii="Times New Roman" w:hAnsi="Times New Roman"/>
          <w:color w:val="auto"/>
          <w:highlight w:val="none"/>
          <w:shd w:val="clear"/>
        </w:rPr>
        <w:t>。</w:t>
      </w:r>
    </w:p>
    <w:p w14:paraId="60F4C803">
      <w:pPr>
        <w:pStyle w:val="33"/>
        <w:rPr>
          <w:color w:val="auto"/>
          <w:highlight w:val="none"/>
          <w:shd w:val="clear"/>
        </w:rPr>
      </w:pPr>
      <w:bookmarkStart w:id="1896" w:name="_Toc170805352"/>
      <w:bookmarkStart w:id="1897" w:name="_Toc170804164"/>
      <w:bookmarkStart w:id="1898" w:name="_Toc170805732"/>
      <w:r>
        <w:rPr>
          <w:rFonts w:hint="eastAsia"/>
          <w:color w:val="auto"/>
          <w:highlight w:val="none"/>
          <w:shd w:val="clear"/>
        </w:rPr>
        <w:t>18.7 通知义务</w:t>
      </w:r>
      <w:bookmarkEnd w:id="1896"/>
      <w:bookmarkEnd w:id="1897"/>
      <w:bookmarkEnd w:id="1898"/>
    </w:p>
    <w:p w14:paraId="29AA11C7">
      <w:pPr>
        <w:pStyle w:val="22"/>
        <w:topLinePunct w:val="0"/>
        <w:autoSpaceDE w:val="0"/>
        <w:autoSpaceDN w:val="0"/>
        <w:ind w:firstLine="420"/>
        <w:rPr>
          <w:rFonts w:ascii="Times New Roman" w:hAnsi="Times New Roman"/>
          <w:b/>
          <w:bCs/>
          <w:color w:val="auto"/>
          <w:highlight w:val="none"/>
          <w:u w:val="single"/>
          <w:shd w:val="clear"/>
        </w:rPr>
      </w:pPr>
      <w:r>
        <w:rPr>
          <w:rFonts w:hint="eastAsia" w:ascii="Times New Roman" w:hAnsi="Times New Roman"/>
          <w:color w:val="auto"/>
          <w:highlight w:val="none"/>
          <w:shd w:val="clear"/>
        </w:rPr>
        <w:t>关于变更保险合同时的通知义务的约定：</w:t>
      </w:r>
      <w:r>
        <w:rPr>
          <w:rFonts w:hint="eastAsia" w:ascii="Times New Roman" w:hAnsi="Times New Roman"/>
          <w:b/>
          <w:bCs/>
          <w:color w:val="auto"/>
          <w:highlight w:val="none"/>
          <w:u w:val="single"/>
          <w:shd w:val="clear"/>
        </w:rPr>
        <w:t>承包人变更除工伤保险之外的保险合同时，应事先征得发包人同意，并通知业主代表</w:t>
      </w:r>
      <w:r>
        <w:rPr>
          <w:rFonts w:hint="eastAsia" w:ascii="Times New Roman" w:hAnsi="Times New Roman"/>
          <w:b/>
          <w:bCs/>
          <w:color w:val="auto"/>
          <w:highlight w:val="none"/>
          <w:u w:val="single"/>
          <w:shd w:val="clear"/>
        </w:rPr>
        <w:t>。</w:t>
      </w:r>
    </w:p>
    <w:bookmarkEnd w:id="1830"/>
    <w:bookmarkEnd w:id="1831"/>
    <w:bookmarkEnd w:id="1832"/>
    <w:bookmarkEnd w:id="1833"/>
    <w:bookmarkEnd w:id="1834"/>
    <w:bookmarkEnd w:id="1835"/>
    <w:bookmarkEnd w:id="1836"/>
    <w:bookmarkEnd w:id="1837"/>
    <w:bookmarkEnd w:id="1838"/>
    <w:bookmarkEnd w:id="1839"/>
    <w:bookmarkEnd w:id="1840"/>
    <w:bookmarkEnd w:id="1841"/>
    <w:p w14:paraId="7C78CE57">
      <w:pPr>
        <w:pStyle w:val="26"/>
        <w:rPr>
          <w:color w:val="auto"/>
          <w:highlight w:val="none"/>
          <w:shd w:val="clear"/>
        </w:rPr>
      </w:pPr>
      <w:bookmarkStart w:id="1899" w:name="_Toc170804165"/>
      <w:bookmarkStart w:id="1900" w:name="_Toc351203651"/>
      <w:bookmarkStart w:id="1901" w:name="_Toc170805733"/>
      <w:bookmarkStart w:id="1902" w:name="_Toc170805353"/>
      <w:r>
        <w:rPr>
          <w:rFonts w:hint="eastAsia"/>
          <w:color w:val="auto"/>
          <w:highlight w:val="none"/>
          <w:shd w:val="clear"/>
        </w:rPr>
        <w:t>20.争议解决</w:t>
      </w:r>
      <w:bookmarkEnd w:id="1899"/>
      <w:bookmarkEnd w:id="1900"/>
      <w:bookmarkEnd w:id="1901"/>
      <w:bookmarkEnd w:id="1902"/>
    </w:p>
    <w:bookmarkEnd w:id="1842"/>
    <w:bookmarkEnd w:id="1843"/>
    <w:p w14:paraId="4190D1A6">
      <w:pPr>
        <w:pStyle w:val="33"/>
        <w:rPr>
          <w:color w:val="auto"/>
          <w:highlight w:val="none"/>
          <w:shd w:val="clear"/>
        </w:rPr>
      </w:pPr>
      <w:bookmarkStart w:id="1903" w:name="_Toc170805734"/>
      <w:bookmarkStart w:id="1904" w:name="_Toc170804166"/>
      <w:bookmarkStart w:id="1905" w:name="_Toc170805354"/>
      <w:r>
        <w:rPr>
          <w:rFonts w:hint="eastAsia"/>
          <w:color w:val="auto"/>
          <w:highlight w:val="none"/>
          <w:shd w:val="clear"/>
        </w:rPr>
        <w:t>20.3 争</w:t>
      </w:r>
      <w:bookmarkEnd w:id="1844"/>
      <w:r>
        <w:rPr>
          <w:rFonts w:hint="eastAsia"/>
          <w:color w:val="auto"/>
          <w:highlight w:val="none"/>
          <w:shd w:val="clear"/>
        </w:rPr>
        <w:t>议评审</w:t>
      </w:r>
      <w:bookmarkEnd w:id="1903"/>
      <w:bookmarkEnd w:id="1904"/>
      <w:bookmarkEnd w:id="1905"/>
    </w:p>
    <w:p w14:paraId="6BC79276">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合同当事人是否同意将工程争议提交争议评审小组决定：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624AABCE">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20.3.1 争议评审小组的确定</w:t>
      </w:r>
    </w:p>
    <w:p w14:paraId="65ADF040">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争议评审小组成员的确定：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5CE6AF19">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选定争议评审员的期限：</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18D848D9">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争议评审小组成员的报酬承担方式：</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3C6F5C7D">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其他事项的约定：</w:t>
      </w:r>
      <w:r>
        <w:rPr>
          <w:rFonts w:hint="eastAsia" w:ascii="宋体" w:hAnsi="宋体" w:cs="宋体"/>
          <w:color w:val="auto"/>
          <w:sz w:val="24"/>
          <w:highlight w:val="none"/>
          <w:u w:val="single"/>
          <w:shd w:val="clear"/>
        </w:rPr>
        <w:t xml:space="preserve">    /      </w:t>
      </w:r>
      <w:r>
        <w:rPr>
          <w:rFonts w:hint="eastAsia" w:ascii="Times New Roman" w:hAnsi="Times New Roman"/>
          <w:color w:val="auto"/>
          <w:highlight w:val="none"/>
          <w:shd w:val="clear"/>
        </w:rPr>
        <w:t>。</w:t>
      </w:r>
    </w:p>
    <w:p w14:paraId="173BEEF8">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20.3.2 争议评审小组的决定</w:t>
      </w:r>
    </w:p>
    <w:p w14:paraId="714B657A">
      <w:pPr>
        <w:pStyle w:val="22"/>
        <w:keepLines/>
        <w:topLinePunct w:val="0"/>
        <w:autoSpaceDE w:val="0"/>
        <w:autoSpaceDN w:val="0"/>
        <w:ind w:firstLine="420"/>
        <w:rPr>
          <w:rFonts w:ascii="Times New Roman" w:hAnsi="Times New Roman"/>
          <w:color w:val="auto"/>
          <w:highlight w:val="none"/>
          <w:shd w:val="clear"/>
        </w:rPr>
      </w:pPr>
      <w:r>
        <w:rPr>
          <w:rFonts w:hint="eastAsia" w:ascii="Times New Roman" w:hAnsi="Times New Roman"/>
          <w:color w:val="auto"/>
          <w:highlight w:val="none"/>
          <w:shd w:val="clear"/>
        </w:rPr>
        <w:t>合同当事人关于本项的约定：</w:t>
      </w:r>
      <w:bookmarkStart w:id="1906" w:name="_Toc170804167"/>
      <w:bookmarkStart w:id="1907" w:name="_Toc170805355"/>
      <w:bookmarkStart w:id="1908" w:name="_Toc170805735"/>
      <w:r>
        <w:rPr>
          <w:rFonts w:hint="eastAsia" w:ascii="宋体" w:hAnsi="宋体" w:cs="宋体"/>
          <w:color w:val="auto"/>
          <w:sz w:val="24"/>
          <w:highlight w:val="none"/>
          <w:u w:val="single"/>
          <w:shd w:val="clear"/>
        </w:rPr>
        <w:t xml:space="preserve">    /     </w:t>
      </w:r>
    </w:p>
    <w:p w14:paraId="7480DACD">
      <w:pPr>
        <w:pStyle w:val="33"/>
        <w:rPr>
          <w:color w:val="auto"/>
          <w:highlight w:val="none"/>
          <w:shd w:val="clear"/>
        </w:rPr>
      </w:pPr>
      <w:r>
        <w:rPr>
          <w:rFonts w:hint="eastAsia"/>
          <w:color w:val="auto"/>
          <w:highlight w:val="none"/>
          <w:shd w:val="clear"/>
        </w:rPr>
        <w:t>20.4 仲裁或诉讼</w:t>
      </w:r>
      <w:bookmarkEnd w:id="1845"/>
      <w:bookmarkEnd w:id="1906"/>
      <w:bookmarkEnd w:id="1907"/>
      <w:bookmarkEnd w:id="1908"/>
    </w:p>
    <w:p w14:paraId="0E56D0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因合同及合同有关事项发生的争议，按下列第</w:t>
      </w:r>
      <w:r>
        <w:rPr>
          <w:rFonts w:hint="eastAsia" w:ascii="宋体" w:hAnsi="宋体" w:cs="宋体"/>
          <w:color w:val="auto"/>
          <w:sz w:val="24"/>
          <w:highlight w:val="none"/>
          <w:u w:val="single"/>
          <w:shd w:val="clear"/>
        </w:rPr>
        <w:t xml:space="preserve">    </w:t>
      </w:r>
      <w:r>
        <w:rPr>
          <w:rFonts w:hint="eastAsia" w:cs="宋体"/>
          <w:color w:val="auto"/>
          <w:sz w:val="24"/>
          <w:highlight w:val="none"/>
          <w:u w:val="single"/>
          <w:shd w:val="clear"/>
          <w:lang w:eastAsia="zh-CN"/>
        </w:rPr>
        <w:t>（</w:t>
      </w:r>
      <w:r>
        <w:rPr>
          <w:rFonts w:hint="eastAsia" w:cs="宋体"/>
          <w:color w:val="auto"/>
          <w:sz w:val="24"/>
          <w:highlight w:val="none"/>
          <w:u w:val="single"/>
          <w:shd w:val="clear"/>
          <w:lang w:val="en-US" w:eastAsia="zh-CN"/>
        </w:rPr>
        <w:t>2</w:t>
      </w:r>
      <w:r>
        <w:rPr>
          <w:rFonts w:hint="eastAsia" w:cs="宋体"/>
          <w:color w:val="auto"/>
          <w:sz w:val="24"/>
          <w:highlight w:val="none"/>
          <w:u w:val="single"/>
          <w:shd w:val="clear"/>
          <w:lang w:eastAsia="zh-CN"/>
        </w:rPr>
        <w:t>）</w:t>
      </w:r>
      <w:r>
        <w:rPr>
          <w:rFonts w:hint="eastAsia" w:ascii="宋体" w:hAnsi="宋体" w:cs="宋体"/>
          <w:color w:val="auto"/>
          <w:sz w:val="24"/>
          <w:highlight w:val="none"/>
          <w:u w:val="single"/>
          <w:shd w:val="clear"/>
        </w:rPr>
        <w:t xml:space="preserve">    </w:t>
      </w:r>
      <w:r>
        <w:rPr>
          <w:rFonts w:hint="eastAsia" w:ascii="Times New Roman" w:hAnsi="Times New Roman"/>
          <w:color w:val="auto"/>
          <w:highlight w:val="none"/>
          <w:shd w:val="clear"/>
        </w:rPr>
        <w:t>种方式解决：</w:t>
      </w:r>
    </w:p>
    <w:p w14:paraId="3387AD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（1）向项目所在地仲裁委员会申请仲裁；</w:t>
      </w:r>
    </w:p>
    <w:p w14:paraId="7725A1D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（2）向项目所在地人民法院起诉。</w:t>
      </w:r>
      <w:bookmarkEnd w:id="1846"/>
      <w:bookmarkEnd w:id="1847"/>
      <w:bookmarkEnd w:id="1848"/>
      <w:bookmarkEnd w:id="1849"/>
      <w:bookmarkEnd w:id="1850"/>
      <w:bookmarkEnd w:id="1851"/>
    </w:p>
    <w:p w14:paraId="79BEBBE6">
      <w:pPr>
        <w:pStyle w:val="37"/>
        <w:rPr>
          <w:rFonts w:hint="default" w:ascii="Times New Roman" w:hAnsi="Times New Roman"/>
          <w:b/>
          <w:color w:val="auto"/>
          <w:sz w:val="32"/>
          <w:highlight w:val="none"/>
          <w:shd w:val="clear"/>
        </w:rPr>
      </w:pPr>
      <w:r>
        <w:rPr>
          <w:rFonts w:ascii="Times New Roman" w:hAnsi="Times New Roman" w:eastAsia="仿宋_GB2312"/>
          <w:color w:val="auto"/>
          <w:sz w:val="30"/>
          <w:highlight w:val="none"/>
          <w:shd w:val="clear"/>
        </w:rPr>
        <w:br w:type="page"/>
      </w:r>
      <w:bookmarkStart w:id="1909" w:name="_Toc351203652"/>
      <w:r>
        <w:rPr>
          <w:rStyle w:val="31"/>
          <w:rFonts w:ascii="Times New Roman" w:hAnsi="Times New Roman"/>
          <w:bCs/>
          <w:color w:val="auto"/>
          <w:highlight w:val="none"/>
          <w:shd w:val="clear"/>
        </w:rPr>
        <w:t>附件</w:t>
      </w:r>
      <w:bookmarkEnd w:id="1909"/>
    </w:p>
    <w:p w14:paraId="253B5E11">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协议书附件：</w:t>
      </w:r>
    </w:p>
    <w:p w14:paraId="71948139">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附件1：承包人承揽工程项目一览表</w:t>
      </w:r>
    </w:p>
    <w:p w14:paraId="692E59BF">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专用合同条款附件：</w:t>
      </w:r>
    </w:p>
    <w:p w14:paraId="3235DFE9">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附件2：发包人供应材料设备一览表</w:t>
      </w:r>
    </w:p>
    <w:p w14:paraId="57DBBA38">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附件3：工程质量保修书</w:t>
      </w:r>
    </w:p>
    <w:p w14:paraId="2383E89D">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附件4：主要建设工程文件目录</w:t>
      </w:r>
    </w:p>
    <w:p w14:paraId="167F8297">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附件5：承包人用于本工程施工的机械设备表</w:t>
      </w:r>
    </w:p>
    <w:p w14:paraId="34C18D22">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附件6：承包人主要施工管理人员表</w:t>
      </w:r>
    </w:p>
    <w:p w14:paraId="005026A0">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附件7：分包人主要施工管理人员表</w:t>
      </w:r>
    </w:p>
    <w:p w14:paraId="1DE6705D">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附件8：履约担保格式</w:t>
      </w:r>
    </w:p>
    <w:p w14:paraId="2C716805">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附件9：预付款担保格式</w:t>
      </w:r>
    </w:p>
    <w:p w14:paraId="15B04D94">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附件10：支付担保格式</w:t>
      </w:r>
    </w:p>
    <w:p w14:paraId="279CDE5D">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附件11：暂估价一览表</w:t>
      </w:r>
    </w:p>
    <w:p w14:paraId="480B6715">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附件12：廉政协议</w:t>
      </w:r>
    </w:p>
    <w:p w14:paraId="787E6D89">
      <w:pPr>
        <w:pStyle w:val="22"/>
        <w:ind w:firstLine="0" w:firstLineChars="0"/>
        <w:rPr>
          <w:rFonts w:ascii="Times New Roman" w:hAnsi="Times New Roman"/>
          <w:color w:val="auto"/>
          <w:highlight w:val="none"/>
          <w:shd w:val="clear"/>
        </w:rPr>
      </w:pPr>
      <w:r>
        <w:rPr>
          <w:rFonts w:ascii="Times New Roman" w:hAnsi="Times New Roman"/>
          <w:color w:val="auto"/>
          <w:highlight w:val="none"/>
          <w:shd w:val="clear"/>
        </w:rPr>
        <w:t>附件13：安全生产合同</w:t>
      </w:r>
    </w:p>
    <w:p w14:paraId="56F5A222">
      <w:pPr>
        <w:pStyle w:val="22"/>
        <w:ind w:firstLine="0" w:firstLineChars="0"/>
        <w:rPr>
          <w:rFonts w:ascii="Times New Roman" w:hAnsi="Times New Roman"/>
          <w:color w:val="auto"/>
          <w:highlight w:val="none"/>
          <w:shd w:val="clear"/>
        </w:rPr>
        <w:sectPr>
          <w:type w:val="continuous"/>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Times New Roman" w:hAnsi="Times New Roman"/>
          <w:color w:val="auto"/>
          <w:highlight w:val="none"/>
          <w:shd w:val="clear"/>
        </w:rPr>
        <w:t>附件14：项目经理质量终身责任制承诺</w:t>
      </w:r>
    </w:p>
    <w:p w14:paraId="367FB2B0">
      <w:pPr>
        <w:pStyle w:val="33"/>
        <w:rPr>
          <w:color w:val="auto"/>
          <w:highlight w:val="none"/>
          <w:shd w:val="clear"/>
        </w:rPr>
      </w:pPr>
      <w:r>
        <w:rPr>
          <w:rFonts w:hint="eastAsia"/>
          <w:color w:val="auto"/>
          <w:highlight w:val="none"/>
          <w:shd w:val="clear"/>
        </w:rPr>
        <w:t>附件1：</w:t>
      </w:r>
    </w:p>
    <w:p w14:paraId="5BF6C820">
      <w:pPr>
        <w:pStyle w:val="19"/>
        <w:rPr>
          <w:rFonts w:hint="default" w:ascii="Times New Roman" w:hAnsi="Times New Roman"/>
          <w:color w:val="auto"/>
          <w:highlight w:val="none"/>
          <w:shd w:val="clear"/>
        </w:rPr>
      </w:pPr>
      <w:bookmarkStart w:id="1910" w:name="_Toc170805736"/>
      <w:bookmarkStart w:id="1911" w:name="_Toc170805356"/>
      <w:bookmarkStart w:id="1912" w:name="_Toc170804168"/>
      <w:r>
        <w:rPr>
          <w:rFonts w:ascii="Times New Roman" w:hAnsi="Times New Roman"/>
          <w:color w:val="auto"/>
          <w:highlight w:val="none"/>
          <w:shd w:val="clear"/>
        </w:rPr>
        <w:t>承包人承揽工程项目一览表</w:t>
      </w:r>
      <w:bookmarkEnd w:id="1910"/>
      <w:bookmarkEnd w:id="1911"/>
      <w:bookmarkEnd w:id="1912"/>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3602D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25686AB0">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单位工程</w:t>
            </w:r>
          </w:p>
          <w:p w14:paraId="31D1AD77">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名称</w:t>
            </w:r>
          </w:p>
        </w:tc>
        <w:tc>
          <w:tcPr>
            <w:tcW w:w="1843" w:type="dxa"/>
            <w:tcBorders>
              <w:top w:val="single" w:color="auto" w:sz="12" w:space="0"/>
              <w:bottom w:val="double" w:color="auto" w:sz="6" w:space="0"/>
            </w:tcBorders>
            <w:vAlign w:val="center"/>
          </w:tcPr>
          <w:p w14:paraId="53F88BAA">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建设规模</w:t>
            </w:r>
          </w:p>
        </w:tc>
        <w:tc>
          <w:tcPr>
            <w:tcW w:w="1417" w:type="dxa"/>
            <w:tcBorders>
              <w:top w:val="single" w:color="auto" w:sz="12" w:space="0"/>
              <w:bottom w:val="double" w:color="auto" w:sz="6" w:space="0"/>
            </w:tcBorders>
            <w:vAlign w:val="center"/>
          </w:tcPr>
          <w:p w14:paraId="0112E602">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建筑面积</w:t>
            </w:r>
          </w:p>
          <w:p w14:paraId="4D0E87C2">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(平方米)</w:t>
            </w:r>
          </w:p>
        </w:tc>
        <w:tc>
          <w:tcPr>
            <w:tcW w:w="2410" w:type="dxa"/>
            <w:tcBorders>
              <w:top w:val="single" w:color="auto" w:sz="12" w:space="0"/>
              <w:bottom w:val="double" w:color="auto" w:sz="6" w:space="0"/>
            </w:tcBorders>
            <w:vAlign w:val="center"/>
          </w:tcPr>
          <w:p w14:paraId="417AFDB0">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结构形式</w:t>
            </w:r>
          </w:p>
        </w:tc>
        <w:tc>
          <w:tcPr>
            <w:tcW w:w="850" w:type="dxa"/>
            <w:tcBorders>
              <w:top w:val="single" w:color="auto" w:sz="12" w:space="0"/>
              <w:bottom w:val="double" w:color="auto" w:sz="6" w:space="0"/>
            </w:tcBorders>
            <w:vAlign w:val="center"/>
          </w:tcPr>
          <w:p w14:paraId="26631092">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层数</w:t>
            </w:r>
          </w:p>
        </w:tc>
        <w:tc>
          <w:tcPr>
            <w:tcW w:w="1560" w:type="dxa"/>
            <w:tcBorders>
              <w:top w:val="single" w:color="auto" w:sz="12" w:space="0"/>
              <w:bottom w:val="double" w:color="auto" w:sz="6" w:space="0"/>
            </w:tcBorders>
            <w:vAlign w:val="center"/>
          </w:tcPr>
          <w:p w14:paraId="417F7D64">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生产能力</w:t>
            </w:r>
          </w:p>
        </w:tc>
        <w:tc>
          <w:tcPr>
            <w:tcW w:w="2126" w:type="dxa"/>
            <w:tcBorders>
              <w:top w:val="single" w:color="auto" w:sz="12" w:space="0"/>
              <w:bottom w:val="double" w:color="auto" w:sz="6" w:space="0"/>
            </w:tcBorders>
            <w:vAlign w:val="center"/>
          </w:tcPr>
          <w:p w14:paraId="52FA42B0">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设备安装内容</w:t>
            </w:r>
          </w:p>
        </w:tc>
        <w:tc>
          <w:tcPr>
            <w:tcW w:w="1417" w:type="dxa"/>
            <w:tcBorders>
              <w:top w:val="single" w:color="auto" w:sz="12" w:space="0"/>
              <w:bottom w:val="double" w:color="auto" w:sz="6" w:space="0"/>
            </w:tcBorders>
            <w:vAlign w:val="center"/>
          </w:tcPr>
          <w:p w14:paraId="65DD4036">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合同价格（元）</w:t>
            </w:r>
          </w:p>
        </w:tc>
        <w:tc>
          <w:tcPr>
            <w:tcW w:w="851" w:type="dxa"/>
            <w:tcBorders>
              <w:top w:val="single" w:color="auto" w:sz="12" w:space="0"/>
              <w:bottom w:val="double" w:color="auto" w:sz="6" w:space="0"/>
            </w:tcBorders>
            <w:vAlign w:val="center"/>
          </w:tcPr>
          <w:p w14:paraId="73F5557E">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开工</w:t>
            </w:r>
          </w:p>
          <w:p w14:paraId="25DDC8F9">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日期</w:t>
            </w:r>
          </w:p>
        </w:tc>
        <w:tc>
          <w:tcPr>
            <w:tcW w:w="850" w:type="dxa"/>
            <w:tcBorders>
              <w:top w:val="single" w:color="auto" w:sz="12" w:space="0"/>
              <w:bottom w:val="double" w:color="auto" w:sz="6" w:space="0"/>
            </w:tcBorders>
            <w:vAlign w:val="center"/>
          </w:tcPr>
          <w:p w14:paraId="4873B839">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竣工</w:t>
            </w:r>
          </w:p>
          <w:p w14:paraId="1A6F2C4A">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日期</w:t>
            </w:r>
          </w:p>
        </w:tc>
      </w:tr>
      <w:tr w14:paraId="6CC38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25A2B08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double" w:color="auto" w:sz="6" w:space="0"/>
              <w:bottom w:val="single" w:color="auto" w:sz="6" w:space="0"/>
            </w:tcBorders>
            <w:vAlign w:val="center"/>
          </w:tcPr>
          <w:p w14:paraId="6D5ACE5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double" w:color="auto" w:sz="6" w:space="0"/>
              <w:bottom w:val="single" w:color="auto" w:sz="6" w:space="0"/>
            </w:tcBorders>
            <w:vAlign w:val="center"/>
          </w:tcPr>
          <w:p w14:paraId="4FAA81E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double" w:color="auto" w:sz="6" w:space="0"/>
              <w:bottom w:val="single" w:color="auto" w:sz="6" w:space="0"/>
            </w:tcBorders>
            <w:vAlign w:val="center"/>
          </w:tcPr>
          <w:p w14:paraId="5B471C1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double" w:color="auto" w:sz="6" w:space="0"/>
              <w:bottom w:val="single" w:color="auto" w:sz="6" w:space="0"/>
            </w:tcBorders>
            <w:vAlign w:val="center"/>
          </w:tcPr>
          <w:p w14:paraId="520C902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double" w:color="auto" w:sz="6" w:space="0"/>
              <w:bottom w:val="single" w:color="auto" w:sz="6" w:space="0"/>
            </w:tcBorders>
            <w:vAlign w:val="center"/>
          </w:tcPr>
          <w:p w14:paraId="4702985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double" w:color="auto" w:sz="6" w:space="0"/>
              <w:bottom w:val="single" w:color="auto" w:sz="6" w:space="0"/>
            </w:tcBorders>
            <w:vAlign w:val="center"/>
          </w:tcPr>
          <w:p w14:paraId="499BCEB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double" w:color="auto" w:sz="6" w:space="0"/>
              <w:bottom w:val="single" w:color="auto" w:sz="6" w:space="0"/>
            </w:tcBorders>
            <w:vAlign w:val="center"/>
          </w:tcPr>
          <w:p w14:paraId="7957609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double" w:color="auto" w:sz="6" w:space="0"/>
              <w:bottom w:val="single" w:color="auto" w:sz="6" w:space="0"/>
            </w:tcBorders>
            <w:vAlign w:val="center"/>
          </w:tcPr>
          <w:p w14:paraId="282217B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double" w:color="auto" w:sz="6" w:space="0"/>
              <w:bottom w:val="single" w:color="auto" w:sz="6" w:space="0"/>
            </w:tcBorders>
            <w:vAlign w:val="center"/>
          </w:tcPr>
          <w:p w14:paraId="3EF58A3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055D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40C547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nil"/>
            </w:tcBorders>
            <w:vAlign w:val="center"/>
          </w:tcPr>
          <w:p w14:paraId="0810287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6EED975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nil"/>
            </w:tcBorders>
            <w:vAlign w:val="center"/>
          </w:tcPr>
          <w:p w14:paraId="2BD4390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079C999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nil"/>
            </w:tcBorders>
            <w:vAlign w:val="center"/>
          </w:tcPr>
          <w:p w14:paraId="1DBCD36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nil"/>
            </w:tcBorders>
            <w:vAlign w:val="center"/>
          </w:tcPr>
          <w:p w14:paraId="7005F97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303F4FA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07DF66D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207980F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C26B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743F44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nil"/>
            </w:tcBorders>
            <w:vAlign w:val="center"/>
          </w:tcPr>
          <w:p w14:paraId="74FFA1E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0DF3381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nil"/>
            </w:tcBorders>
            <w:vAlign w:val="center"/>
          </w:tcPr>
          <w:p w14:paraId="46BCB40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50538EA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nil"/>
            </w:tcBorders>
            <w:vAlign w:val="center"/>
          </w:tcPr>
          <w:p w14:paraId="30940D7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nil"/>
            </w:tcBorders>
            <w:vAlign w:val="center"/>
          </w:tcPr>
          <w:p w14:paraId="3AD5203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1D41A83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7ADFDFD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799BE17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5D00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484C25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vAlign w:val="center"/>
          </w:tcPr>
          <w:p w14:paraId="142047B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356C159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vAlign w:val="center"/>
          </w:tcPr>
          <w:p w14:paraId="0E85211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2453440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vAlign w:val="center"/>
          </w:tcPr>
          <w:p w14:paraId="29657DC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vAlign w:val="center"/>
          </w:tcPr>
          <w:p w14:paraId="359664A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65A11B9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70AC220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16A367C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AE76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6824E0A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nil"/>
            </w:tcBorders>
            <w:vAlign w:val="center"/>
          </w:tcPr>
          <w:p w14:paraId="69CC76B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63F2F57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nil"/>
            </w:tcBorders>
            <w:vAlign w:val="center"/>
          </w:tcPr>
          <w:p w14:paraId="7AC0A04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4AD2159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nil"/>
            </w:tcBorders>
            <w:vAlign w:val="center"/>
          </w:tcPr>
          <w:p w14:paraId="7893327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nil"/>
            </w:tcBorders>
            <w:vAlign w:val="center"/>
          </w:tcPr>
          <w:p w14:paraId="4204260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3433748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350AD37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7B5F1CF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4CFB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A113A5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vAlign w:val="center"/>
          </w:tcPr>
          <w:p w14:paraId="31F73F7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7549C23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vAlign w:val="center"/>
          </w:tcPr>
          <w:p w14:paraId="29ACB4F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61A71A4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vAlign w:val="center"/>
          </w:tcPr>
          <w:p w14:paraId="62A9137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vAlign w:val="center"/>
          </w:tcPr>
          <w:p w14:paraId="0B5D13C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0CCD693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3F49BF8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0B45EE3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F5DD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0CEA8A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nil"/>
            </w:tcBorders>
            <w:vAlign w:val="center"/>
          </w:tcPr>
          <w:p w14:paraId="1329D32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46977FD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nil"/>
            </w:tcBorders>
            <w:vAlign w:val="center"/>
          </w:tcPr>
          <w:p w14:paraId="3D10A20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4223CD6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nil"/>
            </w:tcBorders>
            <w:vAlign w:val="center"/>
          </w:tcPr>
          <w:p w14:paraId="728B44A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nil"/>
            </w:tcBorders>
            <w:vAlign w:val="center"/>
          </w:tcPr>
          <w:p w14:paraId="63D6886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383B8C1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5F7A42C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706149E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7AEB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F004C8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nil"/>
            </w:tcBorders>
            <w:vAlign w:val="center"/>
          </w:tcPr>
          <w:p w14:paraId="3985E58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60C2AB1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nil"/>
            </w:tcBorders>
            <w:vAlign w:val="center"/>
          </w:tcPr>
          <w:p w14:paraId="272A0BF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1319B33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nil"/>
            </w:tcBorders>
            <w:vAlign w:val="center"/>
          </w:tcPr>
          <w:p w14:paraId="5BFCE61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nil"/>
            </w:tcBorders>
            <w:vAlign w:val="center"/>
          </w:tcPr>
          <w:p w14:paraId="101431D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71C9AA8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609FBC3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6B041BE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5034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599DFD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vAlign w:val="center"/>
          </w:tcPr>
          <w:p w14:paraId="1B2E3BC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57B87CB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vAlign w:val="center"/>
          </w:tcPr>
          <w:p w14:paraId="5B9450A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63E6823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vAlign w:val="center"/>
          </w:tcPr>
          <w:p w14:paraId="1D1E3B4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vAlign w:val="center"/>
          </w:tcPr>
          <w:p w14:paraId="2BD47DE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11EE53A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7F0C97A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21235F1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FF62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8FD770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tcBorders>
              <w:top w:val="nil"/>
            </w:tcBorders>
            <w:vAlign w:val="center"/>
          </w:tcPr>
          <w:p w14:paraId="3ECB338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1485D8C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tcBorders>
              <w:top w:val="nil"/>
            </w:tcBorders>
            <w:vAlign w:val="center"/>
          </w:tcPr>
          <w:p w14:paraId="6DD93BD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41DA0EE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tcBorders>
              <w:top w:val="nil"/>
            </w:tcBorders>
            <w:vAlign w:val="center"/>
          </w:tcPr>
          <w:p w14:paraId="657BC0A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tcBorders>
              <w:top w:val="nil"/>
            </w:tcBorders>
            <w:vAlign w:val="center"/>
          </w:tcPr>
          <w:p w14:paraId="579B0B6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tcBorders>
              <w:top w:val="nil"/>
            </w:tcBorders>
            <w:vAlign w:val="center"/>
          </w:tcPr>
          <w:p w14:paraId="7212545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443ACEE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tcBorders>
              <w:top w:val="nil"/>
            </w:tcBorders>
            <w:vAlign w:val="center"/>
          </w:tcPr>
          <w:p w14:paraId="1F20FF7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C2B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1C4F8D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843" w:type="dxa"/>
            <w:vAlign w:val="center"/>
          </w:tcPr>
          <w:p w14:paraId="6C8B715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3C885F5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410" w:type="dxa"/>
            <w:vAlign w:val="center"/>
          </w:tcPr>
          <w:p w14:paraId="56BE57C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5F398E6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560" w:type="dxa"/>
            <w:vAlign w:val="center"/>
          </w:tcPr>
          <w:p w14:paraId="3E1A13D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2126" w:type="dxa"/>
            <w:vAlign w:val="center"/>
          </w:tcPr>
          <w:p w14:paraId="0976E41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7" w:type="dxa"/>
            <w:vAlign w:val="center"/>
          </w:tcPr>
          <w:p w14:paraId="3118EB7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240D4AE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0" w:type="dxa"/>
            <w:vAlign w:val="center"/>
          </w:tcPr>
          <w:p w14:paraId="2CFE8B1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bl>
    <w:p w14:paraId="363166A9">
      <w:pPr>
        <w:spacing w:line="440" w:lineRule="exact"/>
        <w:rPr>
          <w:rFonts w:ascii="Times New Roman" w:hAnsi="Times New Roman" w:eastAsia="仿宋_GB2312"/>
          <w:b/>
          <w:color w:val="auto"/>
          <w:sz w:val="30"/>
          <w:szCs w:val="30"/>
          <w:highlight w:val="none"/>
          <w:shd w:val="clear"/>
        </w:rPr>
        <w:sectPr>
          <w:pgSz w:w="16838" w:h="11906" w:orient="landscape"/>
          <w:pgMar w:top="1554" w:right="1418" w:bottom="1531"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40077D29">
      <w:pPr>
        <w:pStyle w:val="33"/>
        <w:rPr>
          <w:color w:val="auto"/>
          <w:highlight w:val="none"/>
          <w:shd w:val="clear"/>
        </w:rPr>
      </w:pPr>
      <w:r>
        <w:rPr>
          <w:color w:val="auto"/>
          <w:highlight w:val="none"/>
          <w:shd w:val="clear"/>
        </w:rPr>
        <w:t>附</w:t>
      </w:r>
      <w:bookmarkStart w:id="1913" w:name="_Toc296944564"/>
      <w:bookmarkStart w:id="1914" w:name="_Toc296347224"/>
      <w:bookmarkStart w:id="1915" w:name="_Toc296346726"/>
      <w:bookmarkStart w:id="1916" w:name="_Toc296891265"/>
      <w:bookmarkStart w:id="1917" w:name="_Toc267261692"/>
      <w:bookmarkStart w:id="1918" w:name="_Toc296891053"/>
      <w:bookmarkStart w:id="1919" w:name="_Toc296503225"/>
      <w:r>
        <w:rPr>
          <w:color w:val="auto"/>
          <w:highlight w:val="none"/>
          <w:shd w:val="clear"/>
        </w:rPr>
        <w:t>件2：</w:t>
      </w:r>
    </w:p>
    <w:bookmarkEnd w:id="1913"/>
    <w:bookmarkEnd w:id="1914"/>
    <w:bookmarkEnd w:id="1915"/>
    <w:bookmarkEnd w:id="1916"/>
    <w:bookmarkEnd w:id="1917"/>
    <w:bookmarkEnd w:id="1918"/>
    <w:bookmarkEnd w:id="1919"/>
    <w:p w14:paraId="7A596063">
      <w:pPr>
        <w:pStyle w:val="20"/>
        <w:rPr>
          <w:rFonts w:ascii="Times New Roman" w:hAnsi="Times New Roman"/>
          <w:color w:val="auto"/>
          <w:highlight w:val="none"/>
          <w:shd w:val="clear"/>
        </w:rPr>
      </w:pPr>
      <w:bookmarkStart w:id="1920" w:name="_Toc170805737"/>
      <w:bookmarkStart w:id="1921" w:name="_Toc170804169"/>
      <w:bookmarkStart w:id="1922" w:name="_Toc170805357"/>
      <w:r>
        <w:rPr>
          <w:rFonts w:ascii="Times New Roman" w:hAnsi="Times New Roman"/>
          <w:color w:val="auto"/>
          <w:highlight w:val="none"/>
          <w:shd w:val="clear"/>
        </w:rPr>
        <w:t>发包人供应材料设备一览表</w:t>
      </w:r>
      <w:bookmarkEnd w:id="1920"/>
      <w:bookmarkEnd w:id="1921"/>
      <w:bookmarkEnd w:id="1922"/>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1838D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51D3B5A4">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序号</w:t>
            </w:r>
          </w:p>
        </w:tc>
        <w:tc>
          <w:tcPr>
            <w:tcW w:w="1276" w:type="dxa"/>
            <w:tcBorders>
              <w:top w:val="single" w:color="auto" w:sz="12" w:space="0"/>
              <w:bottom w:val="double" w:color="auto" w:sz="6" w:space="0"/>
            </w:tcBorders>
            <w:vAlign w:val="center"/>
          </w:tcPr>
          <w:p w14:paraId="41EC4233">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材料、</w:t>
            </w:r>
          </w:p>
          <w:p w14:paraId="1FB46E67">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设备品种</w:t>
            </w:r>
          </w:p>
        </w:tc>
        <w:tc>
          <w:tcPr>
            <w:tcW w:w="1418" w:type="dxa"/>
            <w:tcBorders>
              <w:top w:val="single" w:color="auto" w:sz="12" w:space="0"/>
              <w:bottom w:val="double" w:color="auto" w:sz="6" w:space="0"/>
            </w:tcBorders>
            <w:vAlign w:val="center"/>
          </w:tcPr>
          <w:p w14:paraId="67FC3105">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规格型号</w:t>
            </w:r>
          </w:p>
        </w:tc>
        <w:tc>
          <w:tcPr>
            <w:tcW w:w="940" w:type="dxa"/>
            <w:tcBorders>
              <w:top w:val="single" w:color="auto" w:sz="12" w:space="0"/>
              <w:bottom w:val="double" w:color="auto" w:sz="6" w:space="0"/>
            </w:tcBorders>
            <w:vAlign w:val="center"/>
          </w:tcPr>
          <w:p w14:paraId="50F17138">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单位</w:t>
            </w:r>
          </w:p>
        </w:tc>
        <w:tc>
          <w:tcPr>
            <w:tcW w:w="851" w:type="dxa"/>
            <w:tcBorders>
              <w:top w:val="single" w:color="auto" w:sz="12" w:space="0"/>
              <w:bottom w:val="double" w:color="auto" w:sz="6" w:space="0"/>
            </w:tcBorders>
            <w:vAlign w:val="center"/>
          </w:tcPr>
          <w:p w14:paraId="59915A78">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数量</w:t>
            </w:r>
          </w:p>
        </w:tc>
        <w:tc>
          <w:tcPr>
            <w:tcW w:w="1044" w:type="dxa"/>
            <w:tcBorders>
              <w:top w:val="single" w:color="auto" w:sz="12" w:space="0"/>
              <w:bottom w:val="double" w:color="auto" w:sz="6" w:space="0"/>
            </w:tcBorders>
            <w:vAlign w:val="center"/>
          </w:tcPr>
          <w:p w14:paraId="3848815D">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单价（元）</w:t>
            </w:r>
          </w:p>
        </w:tc>
        <w:tc>
          <w:tcPr>
            <w:tcW w:w="992" w:type="dxa"/>
            <w:tcBorders>
              <w:top w:val="single" w:color="auto" w:sz="12" w:space="0"/>
              <w:bottom w:val="double" w:color="auto" w:sz="6" w:space="0"/>
            </w:tcBorders>
            <w:vAlign w:val="center"/>
          </w:tcPr>
          <w:p w14:paraId="5097A979">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质量</w:t>
            </w:r>
          </w:p>
          <w:p w14:paraId="654D54E1">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等级</w:t>
            </w:r>
          </w:p>
        </w:tc>
        <w:tc>
          <w:tcPr>
            <w:tcW w:w="851" w:type="dxa"/>
            <w:tcBorders>
              <w:top w:val="single" w:color="auto" w:sz="12" w:space="0"/>
              <w:bottom w:val="double" w:color="auto" w:sz="6" w:space="0"/>
            </w:tcBorders>
            <w:vAlign w:val="center"/>
          </w:tcPr>
          <w:p w14:paraId="62BE3858">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供应</w:t>
            </w:r>
          </w:p>
          <w:p w14:paraId="3684646E">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时间</w:t>
            </w:r>
          </w:p>
        </w:tc>
        <w:tc>
          <w:tcPr>
            <w:tcW w:w="1487" w:type="dxa"/>
            <w:tcBorders>
              <w:top w:val="single" w:color="auto" w:sz="12" w:space="0"/>
              <w:bottom w:val="double" w:color="auto" w:sz="6" w:space="0"/>
            </w:tcBorders>
            <w:vAlign w:val="center"/>
          </w:tcPr>
          <w:p w14:paraId="100DAF59">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送达地点</w:t>
            </w:r>
          </w:p>
        </w:tc>
        <w:tc>
          <w:tcPr>
            <w:tcW w:w="992" w:type="dxa"/>
            <w:tcBorders>
              <w:top w:val="single" w:color="auto" w:sz="12" w:space="0"/>
              <w:bottom w:val="double" w:color="auto" w:sz="6" w:space="0"/>
            </w:tcBorders>
            <w:vAlign w:val="center"/>
          </w:tcPr>
          <w:p w14:paraId="780CA592">
            <w:pPr>
              <w:pStyle w:val="28"/>
              <w:rPr>
                <w:rFonts w:ascii="Times New Roman" w:hAnsi="Times New Roman"/>
                <w:bCs w:val="0"/>
                <w:color w:val="auto"/>
                <w:highlight w:val="none"/>
                <w:shd w:val="clear"/>
              </w:rPr>
            </w:pPr>
            <w:r>
              <w:rPr>
                <w:rFonts w:hint="eastAsia" w:ascii="Times New Roman" w:hAnsi="Times New Roman"/>
                <w:color w:val="auto"/>
                <w:highlight w:val="none"/>
                <w:shd w:val="clear"/>
              </w:rPr>
              <w:t>备注</w:t>
            </w:r>
          </w:p>
        </w:tc>
      </w:tr>
      <w:tr w14:paraId="33BB7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571FE3A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tcBorders>
              <w:top w:val="double" w:color="auto" w:sz="6" w:space="0"/>
              <w:bottom w:val="single" w:color="auto" w:sz="6" w:space="0"/>
            </w:tcBorders>
            <w:vAlign w:val="center"/>
          </w:tcPr>
          <w:p w14:paraId="7D6E8B3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tcBorders>
              <w:top w:val="double" w:color="auto" w:sz="6" w:space="0"/>
              <w:bottom w:val="single" w:color="auto" w:sz="6" w:space="0"/>
            </w:tcBorders>
            <w:vAlign w:val="center"/>
          </w:tcPr>
          <w:p w14:paraId="14E074C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tcBorders>
              <w:top w:val="double" w:color="auto" w:sz="6" w:space="0"/>
              <w:bottom w:val="single" w:color="auto" w:sz="6" w:space="0"/>
            </w:tcBorders>
            <w:vAlign w:val="center"/>
          </w:tcPr>
          <w:p w14:paraId="01EC08F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double" w:color="auto" w:sz="6" w:space="0"/>
              <w:bottom w:val="single" w:color="auto" w:sz="6" w:space="0"/>
            </w:tcBorders>
            <w:vAlign w:val="center"/>
          </w:tcPr>
          <w:p w14:paraId="572111C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tcBorders>
              <w:top w:val="double" w:color="auto" w:sz="6" w:space="0"/>
              <w:bottom w:val="single" w:color="auto" w:sz="6" w:space="0"/>
            </w:tcBorders>
            <w:vAlign w:val="center"/>
          </w:tcPr>
          <w:p w14:paraId="2AB3A03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tcBorders>
              <w:top w:val="double" w:color="auto" w:sz="6" w:space="0"/>
              <w:bottom w:val="single" w:color="auto" w:sz="6" w:space="0"/>
            </w:tcBorders>
            <w:vAlign w:val="center"/>
          </w:tcPr>
          <w:p w14:paraId="4815385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double" w:color="auto" w:sz="6" w:space="0"/>
              <w:bottom w:val="single" w:color="auto" w:sz="6" w:space="0"/>
            </w:tcBorders>
            <w:vAlign w:val="center"/>
          </w:tcPr>
          <w:p w14:paraId="711E3DF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tcBorders>
              <w:top w:val="double" w:color="auto" w:sz="6" w:space="0"/>
              <w:bottom w:val="single" w:color="auto" w:sz="6" w:space="0"/>
            </w:tcBorders>
            <w:vAlign w:val="center"/>
          </w:tcPr>
          <w:p w14:paraId="303BEB9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tcBorders>
              <w:top w:val="double" w:color="auto" w:sz="6" w:space="0"/>
              <w:bottom w:val="single" w:color="auto" w:sz="6" w:space="0"/>
            </w:tcBorders>
            <w:vAlign w:val="center"/>
          </w:tcPr>
          <w:p w14:paraId="05CA0F5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BDD4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39C70D5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tcBorders>
              <w:top w:val="nil"/>
            </w:tcBorders>
            <w:vAlign w:val="center"/>
          </w:tcPr>
          <w:p w14:paraId="2457DD4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tcBorders>
              <w:top w:val="nil"/>
            </w:tcBorders>
            <w:vAlign w:val="center"/>
          </w:tcPr>
          <w:p w14:paraId="59D0033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tcBorders>
              <w:top w:val="nil"/>
            </w:tcBorders>
            <w:vAlign w:val="center"/>
          </w:tcPr>
          <w:p w14:paraId="1C1857C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6CED593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tcBorders>
              <w:top w:val="nil"/>
            </w:tcBorders>
            <w:vAlign w:val="center"/>
          </w:tcPr>
          <w:p w14:paraId="68849BF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tcBorders>
              <w:top w:val="nil"/>
            </w:tcBorders>
            <w:vAlign w:val="center"/>
          </w:tcPr>
          <w:p w14:paraId="425F949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tcBorders>
              <w:top w:val="nil"/>
            </w:tcBorders>
            <w:vAlign w:val="center"/>
          </w:tcPr>
          <w:p w14:paraId="67D534F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tcBorders>
              <w:top w:val="nil"/>
            </w:tcBorders>
            <w:vAlign w:val="center"/>
          </w:tcPr>
          <w:p w14:paraId="795E7B3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tcBorders>
              <w:top w:val="nil"/>
            </w:tcBorders>
            <w:vAlign w:val="center"/>
          </w:tcPr>
          <w:p w14:paraId="38AACF3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892D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44269E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42E5C94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0467035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7EF78E3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7A18F3D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2A4F106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36358AD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3F1C869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44642DF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52433D4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FD74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581054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31B40A0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62F064F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3B5F003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46985B0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5DE910F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513C52A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123CC89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40E7E12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1AB4A98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4C33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0B0D7A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3B4E202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3F341CA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4D3C447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1C1BE84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75AB554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48F3119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2FF7438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3BE71C5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2C36FE3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3BD7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041B48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53B78A3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433D49E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2148DD1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035586D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0323437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7ADF359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6018D9F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346FF64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46472E0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6D55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5F8346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1DFF2FF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61DF89F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57BDB3C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23A5F53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30BC18D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3B12BBB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58B9194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500A930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40B83BA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5C09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2AB052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25F0936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1953130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230EF4F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0FD8DC1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0D7FF37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00ACBE6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7E12486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1E701AA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4DBAE3C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81CA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848F48C">
            <w:pPr>
              <w:jc w:val="center"/>
              <w:rPr>
                <w:rFonts w:ascii="Times New Roman" w:hAnsi="Times New Roman" w:eastAsia="仿宋_GB2312"/>
                <w:color w:val="auto"/>
                <w:sz w:val="30"/>
                <w:szCs w:val="30"/>
                <w:highlight w:val="none"/>
                <w:shd w:val="clear"/>
              </w:rPr>
            </w:pPr>
          </w:p>
        </w:tc>
        <w:tc>
          <w:tcPr>
            <w:tcW w:w="1276" w:type="dxa"/>
            <w:vAlign w:val="center"/>
          </w:tcPr>
          <w:p w14:paraId="41DA5C73">
            <w:pPr>
              <w:jc w:val="center"/>
              <w:rPr>
                <w:rFonts w:ascii="Times New Roman" w:hAnsi="Times New Roman" w:eastAsia="仿宋_GB2312"/>
                <w:color w:val="auto"/>
                <w:sz w:val="30"/>
                <w:szCs w:val="30"/>
                <w:highlight w:val="none"/>
                <w:shd w:val="clear"/>
              </w:rPr>
            </w:pPr>
          </w:p>
        </w:tc>
        <w:tc>
          <w:tcPr>
            <w:tcW w:w="1418" w:type="dxa"/>
            <w:vAlign w:val="center"/>
          </w:tcPr>
          <w:p w14:paraId="71198D74">
            <w:pPr>
              <w:jc w:val="center"/>
              <w:rPr>
                <w:rFonts w:ascii="Times New Roman" w:hAnsi="Times New Roman" w:eastAsia="仿宋_GB2312"/>
                <w:color w:val="auto"/>
                <w:sz w:val="30"/>
                <w:szCs w:val="30"/>
                <w:highlight w:val="none"/>
                <w:shd w:val="clear"/>
              </w:rPr>
            </w:pPr>
          </w:p>
        </w:tc>
        <w:tc>
          <w:tcPr>
            <w:tcW w:w="940" w:type="dxa"/>
            <w:vAlign w:val="center"/>
          </w:tcPr>
          <w:p w14:paraId="7C5487A2">
            <w:pPr>
              <w:jc w:val="center"/>
              <w:rPr>
                <w:rFonts w:ascii="Times New Roman" w:hAnsi="Times New Roman" w:eastAsia="仿宋_GB2312"/>
                <w:color w:val="auto"/>
                <w:sz w:val="30"/>
                <w:szCs w:val="30"/>
                <w:highlight w:val="none"/>
                <w:shd w:val="clear"/>
              </w:rPr>
            </w:pPr>
          </w:p>
        </w:tc>
        <w:tc>
          <w:tcPr>
            <w:tcW w:w="851" w:type="dxa"/>
            <w:vAlign w:val="center"/>
          </w:tcPr>
          <w:p w14:paraId="51E452A7">
            <w:pPr>
              <w:jc w:val="center"/>
              <w:rPr>
                <w:rFonts w:ascii="Times New Roman" w:hAnsi="Times New Roman" w:eastAsia="仿宋_GB2312"/>
                <w:color w:val="auto"/>
                <w:sz w:val="30"/>
                <w:szCs w:val="30"/>
                <w:highlight w:val="none"/>
                <w:shd w:val="clear"/>
              </w:rPr>
            </w:pPr>
          </w:p>
        </w:tc>
        <w:tc>
          <w:tcPr>
            <w:tcW w:w="1044" w:type="dxa"/>
            <w:vAlign w:val="center"/>
          </w:tcPr>
          <w:p w14:paraId="3F43B3CC">
            <w:pPr>
              <w:jc w:val="center"/>
              <w:rPr>
                <w:rFonts w:ascii="Times New Roman" w:hAnsi="Times New Roman" w:eastAsia="仿宋_GB2312"/>
                <w:color w:val="auto"/>
                <w:sz w:val="30"/>
                <w:szCs w:val="30"/>
                <w:highlight w:val="none"/>
                <w:shd w:val="clear"/>
              </w:rPr>
            </w:pPr>
          </w:p>
        </w:tc>
        <w:tc>
          <w:tcPr>
            <w:tcW w:w="992" w:type="dxa"/>
            <w:vAlign w:val="center"/>
          </w:tcPr>
          <w:p w14:paraId="23557EDD">
            <w:pPr>
              <w:jc w:val="center"/>
              <w:rPr>
                <w:rFonts w:ascii="Times New Roman" w:hAnsi="Times New Roman" w:eastAsia="仿宋_GB2312"/>
                <w:color w:val="auto"/>
                <w:sz w:val="30"/>
                <w:szCs w:val="30"/>
                <w:highlight w:val="none"/>
                <w:shd w:val="clear"/>
              </w:rPr>
            </w:pPr>
          </w:p>
        </w:tc>
        <w:tc>
          <w:tcPr>
            <w:tcW w:w="851" w:type="dxa"/>
            <w:vAlign w:val="center"/>
          </w:tcPr>
          <w:p w14:paraId="21F0B163">
            <w:pPr>
              <w:jc w:val="center"/>
              <w:rPr>
                <w:rFonts w:ascii="Times New Roman" w:hAnsi="Times New Roman" w:eastAsia="仿宋_GB2312"/>
                <w:color w:val="auto"/>
                <w:sz w:val="30"/>
                <w:szCs w:val="30"/>
                <w:highlight w:val="none"/>
                <w:shd w:val="clear"/>
              </w:rPr>
            </w:pPr>
          </w:p>
        </w:tc>
        <w:tc>
          <w:tcPr>
            <w:tcW w:w="1487" w:type="dxa"/>
            <w:vAlign w:val="center"/>
          </w:tcPr>
          <w:p w14:paraId="29D1F949">
            <w:pPr>
              <w:jc w:val="center"/>
              <w:rPr>
                <w:rFonts w:ascii="Times New Roman" w:hAnsi="Times New Roman" w:eastAsia="仿宋_GB2312"/>
                <w:color w:val="auto"/>
                <w:sz w:val="30"/>
                <w:szCs w:val="30"/>
                <w:highlight w:val="none"/>
                <w:shd w:val="clear"/>
              </w:rPr>
            </w:pPr>
          </w:p>
        </w:tc>
        <w:tc>
          <w:tcPr>
            <w:tcW w:w="992" w:type="dxa"/>
            <w:vAlign w:val="center"/>
          </w:tcPr>
          <w:p w14:paraId="77552295">
            <w:pPr>
              <w:jc w:val="center"/>
              <w:rPr>
                <w:rFonts w:ascii="Times New Roman" w:hAnsi="Times New Roman" w:eastAsia="仿宋_GB2312"/>
                <w:color w:val="auto"/>
                <w:sz w:val="30"/>
                <w:szCs w:val="30"/>
                <w:highlight w:val="none"/>
                <w:shd w:val="clear"/>
              </w:rPr>
            </w:pPr>
          </w:p>
        </w:tc>
      </w:tr>
      <w:tr w14:paraId="199D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F8F623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5AB8CA4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18" w:type="dxa"/>
            <w:vAlign w:val="center"/>
          </w:tcPr>
          <w:p w14:paraId="7E34D2E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0" w:type="dxa"/>
            <w:vAlign w:val="center"/>
          </w:tcPr>
          <w:p w14:paraId="4B8B718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3F8E6BA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44" w:type="dxa"/>
            <w:vAlign w:val="center"/>
          </w:tcPr>
          <w:p w14:paraId="55C4E74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7DEA0B3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51" w:type="dxa"/>
            <w:vAlign w:val="center"/>
          </w:tcPr>
          <w:p w14:paraId="16BD87E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7" w:type="dxa"/>
            <w:vAlign w:val="center"/>
          </w:tcPr>
          <w:p w14:paraId="0012E4D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92" w:type="dxa"/>
            <w:vAlign w:val="center"/>
          </w:tcPr>
          <w:p w14:paraId="6FE0AEC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00EB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A37FBAB">
            <w:pPr>
              <w:jc w:val="center"/>
              <w:rPr>
                <w:rFonts w:ascii="Times New Roman" w:hAnsi="Times New Roman" w:eastAsia="仿宋_GB2312"/>
                <w:color w:val="auto"/>
                <w:sz w:val="30"/>
                <w:szCs w:val="30"/>
                <w:highlight w:val="none"/>
                <w:shd w:val="clear"/>
              </w:rPr>
            </w:pPr>
          </w:p>
        </w:tc>
        <w:tc>
          <w:tcPr>
            <w:tcW w:w="1276" w:type="dxa"/>
            <w:vAlign w:val="center"/>
          </w:tcPr>
          <w:p w14:paraId="60BEB792">
            <w:pPr>
              <w:jc w:val="center"/>
              <w:rPr>
                <w:rFonts w:ascii="Times New Roman" w:hAnsi="Times New Roman" w:eastAsia="仿宋_GB2312"/>
                <w:color w:val="auto"/>
                <w:sz w:val="30"/>
                <w:szCs w:val="30"/>
                <w:highlight w:val="none"/>
                <w:shd w:val="clear"/>
              </w:rPr>
            </w:pPr>
          </w:p>
        </w:tc>
        <w:tc>
          <w:tcPr>
            <w:tcW w:w="1418" w:type="dxa"/>
            <w:vAlign w:val="center"/>
          </w:tcPr>
          <w:p w14:paraId="0F953DD3">
            <w:pPr>
              <w:jc w:val="center"/>
              <w:rPr>
                <w:rFonts w:ascii="Times New Roman" w:hAnsi="Times New Roman" w:eastAsia="仿宋_GB2312"/>
                <w:color w:val="auto"/>
                <w:sz w:val="30"/>
                <w:szCs w:val="30"/>
                <w:highlight w:val="none"/>
                <w:shd w:val="clear"/>
              </w:rPr>
            </w:pPr>
          </w:p>
        </w:tc>
        <w:tc>
          <w:tcPr>
            <w:tcW w:w="940" w:type="dxa"/>
            <w:vAlign w:val="center"/>
          </w:tcPr>
          <w:p w14:paraId="6B717CB3">
            <w:pPr>
              <w:jc w:val="center"/>
              <w:rPr>
                <w:rFonts w:ascii="Times New Roman" w:hAnsi="Times New Roman" w:eastAsia="仿宋_GB2312"/>
                <w:color w:val="auto"/>
                <w:sz w:val="30"/>
                <w:szCs w:val="30"/>
                <w:highlight w:val="none"/>
                <w:shd w:val="clear"/>
              </w:rPr>
            </w:pPr>
          </w:p>
        </w:tc>
        <w:tc>
          <w:tcPr>
            <w:tcW w:w="851" w:type="dxa"/>
            <w:vAlign w:val="center"/>
          </w:tcPr>
          <w:p w14:paraId="7BC9CFF1">
            <w:pPr>
              <w:jc w:val="center"/>
              <w:rPr>
                <w:rFonts w:ascii="Times New Roman" w:hAnsi="Times New Roman" w:eastAsia="仿宋_GB2312"/>
                <w:color w:val="auto"/>
                <w:sz w:val="30"/>
                <w:szCs w:val="30"/>
                <w:highlight w:val="none"/>
                <w:shd w:val="clear"/>
              </w:rPr>
            </w:pPr>
          </w:p>
        </w:tc>
        <w:tc>
          <w:tcPr>
            <w:tcW w:w="1044" w:type="dxa"/>
            <w:vAlign w:val="center"/>
          </w:tcPr>
          <w:p w14:paraId="083B4691">
            <w:pPr>
              <w:jc w:val="center"/>
              <w:rPr>
                <w:rFonts w:ascii="Times New Roman" w:hAnsi="Times New Roman" w:eastAsia="仿宋_GB2312"/>
                <w:color w:val="auto"/>
                <w:sz w:val="30"/>
                <w:szCs w:val="30"/>
                <w:highlight w:val="none"/>
                <w:shd w:val="clear"/>
              </w:rPr>
            </w:pPr>
          </w:p>
        </w:tc>
        <w:tc>
          <w:tcPr>
            <w:tcW w:w="992" w:type="dxa"/>
            <w:vAlign w:val="center"/>
          </w:tcPr>
          <w:p w14:paraId="650EDF72">
            <w:pPr>
              <w:jc w:val="center"/>
              <w:rPr>
                <w:rFonts w:ascii="Times New Roman" w:hAnsi="Times New Roman" w:eastAsia="仿宋_GB2312"/>
                <w:color w:val="auto"/>
                <w:sz w:val="30"/>
                <w:szCs w:val="30"/>
                <w:highlight w:val="none"/>
                <w:shd w:val="clear"/>
              </w:rPr>
            </w:pPr>
          </w:p>
        </w:tc>
        <w:tc>
          <w:tcPr>
            <w:tcW w:w="851" w:type="dxa"/>
            <w:vAlign w:val="center"/>
          </w:tcPr>
          <w:p w14:paraId="069F1027">
            <w:pPr>
              <w:jc w:val="center"/>
              <w:rPr>
                <w:rFonts w:ascii="Times New Roman" w:hAnsi="Times New Roman" w:eastAsia="仿宋_GB2312"/>
                <w:color w:val="auto"/>
                <w:sz w:val="30"/>
                <w:szCs w:val="30"/>
                <w:highlight w:val="none"/>
                <w:shd w:val="clear"/>
              </w:rPr>
            </w:pPr>
          </w:p>
        </w:tc>
        <w:tc>
          <w:tcPr>
            <w:tcW w:w="1487" w:type="dxa"/>
            <w:vAlign w:val="center"/>
          </w:tcPr>
          <w:p w14:paraId="1F3B65B0">
            <w:pPr>
              <w:jc w:val="center"/>
              <w:rPr>
                <w:rFonts w:ascii="Times New Roman" w:hAnsi="Times New Roman" w:eastAsia="仿宋_GB2312"/>
                <w:color w:val="auto"/>
                <w:sz w:val="30"/>
                <w:szCs w:val="30"/>
                <w:highlight w:val="none"/>
                <w:shd w:val="clear"/>
              </w:rPr>
            </w:pPr>
          </w:p>
        </w:tc>
        <w:tc>
          <w:tcPr>
            <w:tcW w:w="992" w:type="dxa"/>
            <w:vAlign w:val="center"/>
          </w:tcPr>
          <w:p w14:paraId="44B8C949">
            <w:pPr>
              <w:jc w:val="center"/>
              <w:rPr>
                <w:rFonts w:ascii="Times New Roman" w:hAnsi="Times New Roman" w:eastAsia="仿宋_GB2312"/>
                <w:color w:val="auto"/>
                <w:sz w:val="30"/>
                <w:szCs w:val="30"/>
                <w:highlight w:val="none"/>
                <w:shd w:val="clear"/>
              </w:rPr>
            </w:pPr>
          </w:p>
        </w:tc>
      </w:tr>
      <w:tr w14:paraId="13CB9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0DFE8FE">
            <w:pPr>
              <w:jc w:val="center"/>
              <w:rPr>
                <w:rFonts w:ascii="Times New Roman" w:hAnsi="Times New Roman" w:eastAsia="仿宋_GB2312"/>
                <w:color w:val="auto"/>
                <w:sz w:val="30"/>
                <w:szCs w:val="30"/>
                <w:highlight w:val="none"/>
                <w:shd w:val="clear"/>
              </w:rPr>
            </w:pPr>
          </w:p>
        </w:tc>
        <w:tc>
          <w:tcPr>
            <w:tcW w:w="1276" w:type="dxa"/>
            <w:vAlign w:val="center"/>
          </w:tcPr>
          <w:p w14:paraId="38FA3EDA">
            <w:pPr>
              <w:jc w:val="center"/>
              <w:rPr>
                <w:rFonts w:ascii="Times New Roman" w:hAnsi="Times New Roman" w:eastAsia="仿宋_GB2312"/>
                <w:color w:val="auto"/>
                <w:sz w:val="30"/>
                <w:szCs w:val="30"/>
                <w:highlight w:val="none"/>
                <w:shd w:val="clear"/>
              </w:rPr>
            </w:pPr>
          </w:p>
        </w:tc>
        <w:tc>
          <w:tcPr>
            <w:tcW w:w="1418" w:type="dxa"/>
            <w:vAlign w:val="center"/>
          </w:tcPr>
          <w:p w14:paraId="734A0BDB">
            <w:pPr>
              <w:jc w:val="center"/>
              <w:rPr>
                <w:rFonts w:ascii="Times New Roman" w:hAnsi="Times New Roman" w:eastAsia="仿宋_GB2312"/>
                <w:color w:val="auto"/>
                <w:sz w:val="30"/>
                <w:szCs w:val="30"/>
                <w:highlight w:val="none"/>
                <w:shd w:val="clear"/>
              </w:rPr>
            </w:pPr>
          </w:p>
        </w:tc>
        <w:tc>
          <w:tcPr>
            <w:tcW w:w="940" w:type="dxa"/>
            <w:vAlign w:val="center"/>
          </w:tcPr>
          <w:p w14:paraId="7AB5C884">
            <w:pPr>
              <w:jc w:val="center"/>
              <w:rPr>
                <w:rFonts w:ascii="Times New Roman" w:hAnsi="Times New Roman" w:eastAsia="仿宋_GB2312"/>
                <w:color w:val="auto"/>
                <w:sz w:val="30"/>
                <w:szCs w:val="30"/>
                <w:highlight w:val="none"/>
                <w:shd w:val="clear"/>
              </w:rPr>
            </w:pPr>
          </w:p>
        </w:tc>
        <w:tc>
          <w:tcPr>
            <w:tcW w:w="851" w:type="dxa"/>
            <w:vAlign w:val="center"/>
          </w:tcPr>
          <w:p w14:paraId="2ADA68D0">
            <w:pPr>
              <w:jc w:val="center"/>
              <w:rPr>
                <w:rFonts w:ascii="Times New Roman" w:hAnsi="Times New Roman" w:eastAsia="仿宋_GB2312"/>
                <w:color w:val="auto"/>
                <w:sz w:val="30"/>
                <w:szCs w:val="30"/>
                <w:highlight w:val="none"/>
                <w:shd w:val="clear"/>
              </w:rPr>
            </w:pPr>
          </w:p>
        </w:tc>
        <w:tc>
          <w:tcPr>
            <w:tcW w:w="1044" w:type="dxa"/>
            <w:vAlign w:val="center"/>
          </w:tcPr>
          <w:p w14:paraId="17F3CCF4">
            <w:pPr>
              <w:jc w:val="center"/>
              <w:rPr>
                <w:rFonts w:ascii="Times New Roman" w:hAnsi="Times New Roman" w:eastAsia="仿宋_GB2312"/>
                <w:color w:val="auto"/>
                <w:sz w:val="30"/>
                <w:szCs w:val="30"/>
                <w:highlight w:val="none"/>
                <w:shd w:val="clear"/>
              </w:rPr>
            </w:pPr>
          </w:p>
        </w:tc>
        <w:tc>
          <w:tcPr>
            <w:tcW w:w="992" w:type="dxa"/>
            <w:vAlign w:val="center"/>
          </w:tcPr>
          <w:p w14:paraId="7F0A7ADD">
            <w:pPr>
              <w:jc w:val="center"/>
              <w:rPr>
                <w:rFonts w:ascii="Times New Roman" w:hAnsi="Times New Roman" w:eastAsia="仿宋_GB2312"/>
                <w:color w:val="auto"/>
                <w:sz w:val="30"/>
                <w:szCs w:val="30"/>
                <w:highlight w:val="none"/>
                <w:shd w:val="clear"/>
              </w:rPr>
            </w:pPr>
          </w:p>
        </w:tc>
        <w:tc>
          <w:tcPr>
            <w:tcW w:w="851" w:type="dxa"/>
            <w:vAlign w:val="center"/>
          </w:tcPr>
          <w:p w14:paraId="50186266">
            <w:pPr>
              <w:jc w:val="center"/>
              <w:rPr>
                <w:rFonts w:ascii="Times New Roman" w:hAnsi="Times New Roman" w:eastAsia="仿宋_GB2312"/>
                <w:color w:val="auto"/>
                <w:sz w:val="30"/>
                <w:szCs w:val="30"/>
                <w:highlight w:val="none"/>
                <w:shd w:val="clear"/>
              </w:rPr>
            </w:pPr>
          </w:p>
        </w:tc>
        <w:tc>
          <w:tcPr>
            <w:tcW w:w="1487" w:type="dxa"/>
            <w:vAlign w:val="center"/>
          </w:tcPr>
          <w:p w14:paraId="5283D578">
            <w:pPr>
              <w:jc w:val="center"/>
              <w:rPr>
                <w:rFonts w:ascii="Times New Roman" w:hAnsi="Times New Roman" w:eastAsia="仿宋_GB2312"/>
                <w:color w:val="auto"/>
                <w:sz w:val="30"/>
                <w:szCs w:val="30"/>
                <w:highlight w:val="none"/>
                <w:shd w:val="clear"/>
              </w:rPr>
            </w:pPr>
          </w:p>
        </w:tc>
        <w:tc>
          <w:tcPr>
            <w:tcW w:w="992" w:type="dxa"/>
            <w:vAlign w:val="center"/>
          </w:tcPr>
          <w:p w14:paraId="26A14472">
            <w:pPr>
              <w:jc w:val="center"/>
              <w:rPr>
                <w:rFonts w:ascii="Times New Roman" w:hAnsi="Times New Roman" w:eastAsia="仿宋_GB2312"/>
                <w:color w:val="auto"/>
                <w:sz w:val="30"/>
                <w:szCs w:val="30"/>
                <w:highlight w:val="none"/>
                <w:shd w:val="clear"/>
              </w:rPr>
            </w:pPr>
          </w:p>
        </w:tc>
      </w:tr>
      <w:tr w14:paraId="72F7A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4D89696">
            <w:pPr>
              <w:jc w:val="center"/>
              <w:rPr>
                <w:rFonts w:ascii="Times New Roman" w:hAnsi="Times New Roman" w:eastAsia="仿宋_GB2312"/>
                <w:color w:val="auto"/>
                <w:sz w:val="30"/>
                <w:szCs w:val="30"/>
                <w:highlight w:val="none"/>
                <w:shd w:val="clear"/>
              </w:rPr>
            </w:pPr>
          </w:p>
        </w:tc>
        <w:tc>
          <w:tcPr>
            <w:tcW w:w="1276" w:type="dxa"/>
            <w:vAlign w:val="center"/>
          </w:tcPr>
          <w:p w14:paraId="041599B0">
            <w:pPr>
              <w:jc w:val="center"/>
              <w:rPr>
                <w:rFonts w:ascii="Times New Roman" w:hAnsi="Times New Roman" w:eastAsia="仿宋_GB2312"/>
                <w:color w:val="auto"/>
                <w:sz w:val="30"/>
                <w:szCs w:val="30"/>
                <w:highlight w:val="none"/>
                <w:shd w:val="clear"/>
              </w:rPr>
            </w:pPr>
          </w:p>
        </w:tc>
        <w:tc>
          <w:tcPr>
            <w:tcW w:w="1418" w:type="dxa"/>
            <w:vAlign w:val="center"/>
          </w:tcPr>
          <w:p w14:paraId="4BB5BA52">
            <w:pPr>
              <w:jc w:val="center"/>
              <w:rPr>
                <w:rFonts w:ascii="Times New Roman" w:hAnsi="Times New Roman" w:eastAsia="仿宋_GB2312"/>
                <w:color w:val="auto"/>
                <w:sz w:val="30"/>
                <w:szCs w:val="30"/>
                <w:highlight w:val="none"/>
                <w:shd w:val="clear"/>
              </w:rPr>
            </w:pPr>
          </w:p>
        </w:tc>
        <w:tc>
          <w:tcPr>
            <w:tcW w:w="940" w:type="dxa"/>
            <w:vAlign w:val="center"/>
          </w:tcPr>
          <w:p w14:paraId="15B9BD46">
            <w:pPr>
              <w:jc w:val="center"/>
              <w:rPr>
                <w:rFonts w:ascii="Times New Roman" w:hAnsi="Times New Roman" w:eastAsia="仿宋_GB2312"/>
                <w:color w:val="auto"/>
                <w:sz w:val="30"/>
                <w:szCs w:val="30"/>
                <w:highlight w:val="none"/>
                <w:shd w:val="clear"/>
              </w:rPr>
            </w:pPr>
          </w:p>
        </w:tc>
        <w:tc>
          <w:tcPr>
            <w:tcW w:w="851" w:type="dxa"/>
            <w:vAlign w:val="center"/>
          </w:tcPr>
          <w:p w14:paraId="119EE5F9">
            <w:pPr>
              <w:jc w:val="center"/>
              <w:rPr>
                <w:rFonts w:ascii="Times New Roman" w:hAnsi="Times New Roman" w:eastAsia="仿宋_GB2312"/>
                <w:color w:val="auto"/>
                <w:sz w:val="30"/>
                <w:szCs w:val="30"/>
                <w:highlight w:val="none"/>
                <w:shd w:val="clear"/>
              </w:rPr>
            </w:pPr>
          </w:p>
        </w:tc>
        <w:tc>
          <w:tcPr>
            <w:tcW w:w="1044" w:type="dxa"/>
            <w:vAlign w:val="center"/>
          </w:tcPr>
          <w:p w14:paraId="17E93622">
            <w:pPr>
              <w:jc w:val="center"/>
              <w:rPr>
                <w:rFonts w:ascii="Times New Roman" w:hAnsi="Times New Roman" w:eastAsia="仿宋_GB2312"/>
                <w:color w:val="auto"/>
                <w:sz w:val="30"/>
                <w:szCs w:val="30"/>
                <w:highlight w:val="none"/>
                <w:shd w:val="clear"/>
              </w:rPr>
            </w:pPr>
          </w:p>
        </w:tc>
        <w:tc>
          <w:tcPr>
            <w:tcW w:w="992" w:type="dxa"/>
            <w:vAlign w:val="center"/>
          </w:tcPr>
          <w:p w14:paraId="68CE846D">
            <w:pPr>
              <w:jc w:val="center"/>
              <w:rPr>
                <w:rFonts w:ascii="Times New Roman" w:hAnsi="Times New Roman" w:eastAsia="仿宋_GB2312"/>
                <w:color w:val="auto"/>
                <w:sz w:val="30"/>
                <w:szCs w:val="30"/>
                <w:highlight w:val="none"/>
                <w:shd w:val="clear"/>
              </w:rPr>
            </w:pPr>
          </w:p>
        </w:tc>
        <w:tc>
          <w:tcPr>
            <w:tcW w:w="851" w:type="dxa"/>
            <w:vAlign w:val="center"/>
          </w:tcPr>
          <w:p w14:paraId="55BB2DC7">
            <w:pPr>
              <w:jc w:val="center"/>
              <w:rPr>
                <w:rFonts w:ascii="Times New Roman" w:hAnsi="Times New Roman" w:eastAsia="仿宋_GB2312"/>
                <w:color w:val="auto"/>
                <w:sz w:val="30"/>
                <w:szCs w:val="30"/>
                <w:highlight w:val="none"/>
                <w:shd w:val="clear"/>
              </w:rPr>
            </w:pPr>
          </w:p>
        </w:tc>
        <w:tc>
          <w:tcPr>
            <w:tcW w:w="1487" w:type="dxa"/>
            <w:vAlign w:val="center"/>
          </w:tcPr>
          <w:p w14:paraId="08D7FF84">
            <w:pPr>
              <w:jc w:val="center"/>
              <w:rPr>
                <w:rFonts w:ascii="Times New Roman" w:hAnsi="Times New Roman" w:eastAsia="仿宋_GB2312"/>
                <w:color w:val="auto"/>
                <w:sz w:val="30"/>
                <w:szCs w:val="30"/>
                <w:highlight w:val="none"/>
                <w:shd w:val="clear"/>
              </w:rPr>
            </w:pPr>
          </w:p>
        </w:tc>
        <w:tc>
          <w:tcPr>
            <w:tcW w:w="992" w:type="dxa"/>
            <w:vAlign w:val="center"/>
          </w:tcPr>
          <w:p w14:paraId="617224B9">
            <w:pPr>
              <w:jc w:val="center"/>
              <w:rPr>
                <w:rFonts w:ascii="Times New Roman" w:hAnsi="Times New Roman" w:eastAsia="仿宋_GB2312"/>
                <w:color w:val="auto"/>
                <w:sz w:val="30"/>
                <w:szCs w:val="30"/>
                <w:highlight w:val="none"/>
                <w:shd w:val="clear"/>
              </w:rPr>
            </w:pPr>
          </w:p>
        </w:tc>
      </w:tr>
      <w:tr w14:paraId="6E56F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212660F">
            <w:pPr>
              <w:jc w:val="center"/>
              <w:rPr>
                <w:rFonts w:ascii="Times New Roman" w:hAnsi="Times New Roman" w:eastAsia="仿宋_GB2312"/>
                <w:color w:val="auto"/>
                <w:sz w:val="30"/>
                <w:szCs w:val="30"/>
                <w:highlight w:val="none"/>
                <w:shd w:val="clear"/>
              </w:rPr>
            </w:pPr>
          </w:p>
        </w:tc>
        <w:tc>
          <w:tcPr>
            <w:tcW w:w="1276" w:type="dxa"/>
            <w:vAlign w:val="center"/>
          </w:tcPr>
          <w:p w14:paraId="36E214DB">
            <w:pPr>
              <w:jc w:val="center"/>
              <w:rPr>
                <w:rFonts w:ascii="Times New Roman" w:hAnsi="Times New Roman" w:eastAsia="仿宋_GB2312"/>
                <w:color w:val="auto"/>
                <w:sz w:val="30"/>
                <w:szCs w:val="30"/>
                <w:highlight w:val="none"/>
                <w:shd w:val="clear"/>
              </w:rPr>
            </w:pPr>
          </w:p>
        </w:tc>
        <w:tc>
          <w:tcPr>
            <w:tcW w:w="1418" w:type="dxa"/>
            <w:vAlign w:val="center"/>
          </w:tcPr>
          <w:p w14:paraId="1A46F35F">
            <w:pPr>
              <w:jc w:val="center"/>
              <w:rPr>
                <w:rFonts w:ascii="Times New Roman" w:hAnsi="Times New Roman" w:eastAsia="仿宋_GB2312"/>
                <w:color w:val="auto"/>
                <w:sz w:val="30"/>
                <w:szCs w:val="30"/>
                <w:highlight w:val="none"/>
                <w:shd w:val="clear"/>
              </w:rPr>
            </w:pPr>
          </w:p>
        </w:tc>
        <w:tc>
          <w:tcPr>
            <w:tcW w:w="940" w:type="dxa"/>
            <w:vAlign w:val="center"/>
          </w:tcPr>
          <w:p w14:paraId="2EF346E0">
            <w:pPr>
              <w:jc w:val="center"/>
              <w:rPr>
                <w:rFonts w:ascii="Times New Roman" w:hAnsi="Times New Roman" w:eastAsia="仿宋_GB2312"/>
                <w:color w:val="auto"/>
                <w:sz w:val="30"/>
                <w:szCs w:val="30"/>
                <w:highlight w:val="none"/>
                <w:shd w:val="clear"/>
              </w:rPr>
            </w:pPr>
          </w:p>
        </w:tc>
        <w:tc>
          <w:tcPr>
            <w:tcW w:w="851" w:type="dxa"/>
            <w:vAlign w:val="center"/>
          </w:tcPr>
          <w:p w14:paraId="45F2BE2A">
            <w:pPr>
              <w:jc w:val="center"/>
              <w:rPr>
                <w:rFonts w:ascii="Times New Roman" w:hAnsi="Times New Roman" w:eastAsia="仿宋_GB2312"/>
                <w:color w:val="auto"/>
                <w:sz w:val="30"/>
                <w:szCs w:val="30"/>
                <w:highlight w:val="none"/>
                <w:shd w:val="clear"/>
              </w:rPr>
            </w:pPr>
          </w:p>
        </w:tc>
        <w:tc>
          <w:tcPr>
            <w:tcW w:w="1044" w:type="dxa"/>
            <w:vAlign w:val="center"/>
          </w:tcPr>
          <w:p w14:paraId="0C763358">
            <w:pPr>
              <w:jc w:val="center"/>
              <w:rPr>
                <w:rFonts w:ascii="Times New Roman" w:hAnsi="Times New Roman" w:eastAsia="仿宋_GB2312"/>
                <w:color w:val="auto"/>
                <w:sz w:val="30"/>
                <w:szCs w:val="30"/>
                <w:highlight w:val="none"/>
                <w:shd w:val="clear"/>
              </w:rPr>
            </w:pPr>
          </w:p>
        </w:tc>
        <w:tc>
          <w:tcPr>
            <w:tcW w:w="992" w:type="dxa"/>
            <w:vAlign w:val="center"/>
          </w:tcPr>
          <w:p w14:paraId="2D9C6188">
            <w:pPr>
              <w:jc w:val="center"/>
              <w:rPr>
                <w:rFonts w:ascii="Times New Roman" w:hAnsi="Times New Roman" w:eastAsia="仿宋_GB2312"/>
                <w:color w:val="auto"/>
                <w:sz w:val="30"/>
                <w:szCs w:val="30"/>
                <w:highlight w:val="none"/>
                <w:shd w:val="clear"/>
              </w:rPr>
            </w:pPr>
          </w:p>
        </w:tc>
        <w:tc>
          <w:tcPr>
            <w:tcW w:w="851" w:type="dxa"/>
            <w:vAlign w:val="center"/>
          </w:tcPr>
          <w:p w14:paraId="63565879">
            <w:pPr>
              <w:jc w:val="center"/>
              <w:rPr>
                <w:rFonts w:ascii="Times New Roman" w:hAnsi="Times New Roman" w:eastAsia="仿宋_GB2312"/>
                <w:color w:val="auto"/>
                <w:sz w:val="30"/>
                <w:szCs w:val="30"/>
                <w:highlight w:val="none"/>
                <w:shd w:val="clear"/>
              </w:rPr>
            </w:pPr>
          </w:p>
        </w:tc>
        <w:tc>
          <w:tcPr>
            <w:tcW w:w="1487" w:type="dxa"/>
            <w:vAlign w:val="center"/>
          </w:tcPr>
          <w:p w14:paraId="028D1166">
            <w:pPr>
              <w:jc w:val="center"/>
              <w:rPr>
                <w:rFonts w:ascii="Times New Roman" w:hAnsi="Times New Roman" w:eastAsia="仿宋_GB2312"/>
                <w:color w:val="auto"/>
                <w:sz w:val="30"/>
                <w:szCs w:val="30"/>
                <w:highlight w:val="none"/>
                <w:shd w:val="clear"/>
              </w:rPr>
            </w:pPr>
          </w:p>
        </w:tc>
        <w:tc>
          <w:tcPr>
            <w:tcW w:w="992" w:type="dxa"/>
            <w:vAlign w:val="center"/>
          </w:tcPr>
          <w:p w14:paraId="78E117B2">
            <w:pPr>
              <w:jc w:val="center"/>
              <w:rPr>
                <w:rFonts w:ascii="Times New Roman" w:hAnsi="Times New Roman" w:eastAsia="仿宋_GB2312"/>
                <w:color w:val="auto"/>
                <w:sz w:val="30"/>
                <w:szCs w:val="30"/>
                <w:highlight w:val="none"/>
                <w:shd w:val="clear"/>
              </w:rPr>
            </w:pPr>
          </w:p>
        </w:tc>
      </w:tr>
      <w:tr w14:paraId="5F4E6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94935C2">
            <w:pPr>
              <w:jc w:val="center"/>
              <w:rPr>
                <w:rFonts w:ascii="Times New Roman" w:hAnsi="Times New Roman" w:eastAsia="仿宋_GB2312"/>
                <w:color w:val="auto"/>
                <w:sz w:val="30"/>
                <w:szCs w:val="30"/>
                <w:highlight w:val="none"/>
                <w:shd w:val="clear"/>
              </w:rPr>
            </w:pPr>
          </w:p>
        </w:tc>
        <w:tc>
          <w:tcPr>
            <w:tcW w:w="1276" w:type="dxa"/>
            <w:vAlign w:val="center"/>
          </w:tcPr>
          <w:p w14:paraId="28A0133E">
            <w:pPr>
              <w:jc w:val="center"/>
              <w:rPr>
                <w:rFonts w:ascii="Times New Roman" w:hAnsi="Times New Roman" w:eastAsia="仿宋_GB2312"/>
                <w:color w:val="auto"/>
                <w:sz w:val="30"/>
                <w:szCs w:val="30"/>
                <w:highlight w:val="none"/>
                <w:shd w:val="clear"/>
              </w:rPr>
            </w:pPr>
          </w:p>
        </w:tc>
        <w:tc>
          <w:tcPr>
            <w:tcW w:w="1418" w:type="dxa"/>
            <w:vAlign w:val="center"/>
          </w:tcPr>
          <w:p w14:paraId="200EFB1B">
            <w:pPr>
              <w:jc w:val="center"/>
              <w:rPr>
                <w:rFonts w:ascii="Times New Roman" w:hAnsi="Times New Roman" w:eastAsia="仿宋_GB2312"/>
                <w:color w:val="auto"/>
                <w:sz w:val="30"/>
                <w:szCs w:val="30"/>
                <w:highlight w:val="none"/>
                <w:shd w:val="clear"/>
              </w:rPr>
            </w:pPr>
          </w:p>
        </w:tc>
        <w:tc>
          <w:tcPr>
            <w:tcW w:w="940" w:type="dxa"/>
            <w:vAlign w:val="center"/>
          </w:tcPr>
          <w:p w14:paraId="79C3FC84">
            <w:pPr>
              <w:jc w:val="center"/>
              <w:rPr>
                <w:rFonts w:ascii="Times New Roman" w:hAnsi="Times New Roman" w:eastAsia="仿宋_GB2312"/>
                <w:color w:val="auto"/>
                <w:sz w:val="30"/>
                <w:szCs w:val="30"/>
                <w:highlight w:val="none"/>
                <w:shd w:val="clear"/>
              </w:rPr>
            </w:pPr>
          </w:p>
        </w:tc>
        <w:tc>
          <w:tcPr>
            <w:tcW w:w="851" w:type="dxa"/>
            <w:vAlign w:val="center"/>
          </w:tcPr>
          <w:p w14:paraId="6EBB5F9E">
            <w:pPr>
              <w:jc w:val="center"/>
              <w:rPr>
                <w:rFonts w:ascii="Times New Roman" w:hAnsi="Times New Roman" w:eastAsia="仿宋_GB2312"/>
                <w:color w:val="auto"/>
                <w:sz w:val="30"/>
                <w:szCs w:val="30"/>
                <w:highlight w:val="none"/>
                <w:shd w:val="clear"/>
              </w:rPr>
            </w:pPr>
          </w:p>
        </w:tc>
        <w:tc>
          <w:tcPr>
            <w:tcW w:w="1044" w:type="dxa"/>
            <w:vAlign w:val="center"/>
          </w:tcPr>
          <w:p w14:paraId="2550206B">
            <w:pPr>
              <w:jc w:val="center"/>
              <w:rPr>
                <w:rFonts w:ascii="Times New Roman" w:hAnsi="Times New Roman" w:eastAsia="仿宋_GB2312"/>
                <w:color w:val="auto"/>
                <w:sz w:val="30"/>
                <w:szCs w:val="30"/>
                <w:highlight w:val="none"/>
                <w:shd w:val="clear"/>
              </w:rPr>
            </w:pPr>
          </w:p>
        </w:tc>
        <w:tc>
          <w:tcPr>
            <w:tcW w:w="992" w:type="dxa"/>
            <w:vAlign w:val="center"/>
          </w:tcPr>
          <w:p w14:paraId="0DF871A1">
            <w:pPr>
              <w:jc w:val="center"/>
              <w:rPr>
                <w:rFonts w:ascii="Times New Roman" w:hAnsi="Times New Roman" w:eastAsia="仿宋_GB2312"/>
                <w:color w:val="auto"/>
                <w:sz w:val="30"/>
                <w:szCs w:val="30"/>
                <w:highlight w:val="none"/>
                <w:shd w:val="clear"/>
              </w:rPr>
            </w:pPr>
          </w:p>
        </w:tc>
        <w:tc>
          <w:tcPr>
            <w:tcW w:w="851" w:type="dxa"/>
            <w:vAlign w:val="center"/>
          </w:tcPr>
          <w:p w14:paraId="0F2BEF47">
            <w:pPr>
              <w:jc w:val="center"/>
              <w:rPr>
                <w:rFonts w:ascii="Times New Roman" w:hAnsi="Times New Roman" w:eastAsia="仿宋_GB2312"/>
                <w:color w:val="auto"/>
                <w:sz w:val="30"/>
                <w:szCs w:val="30"/>
                <w:highlight w:val="none"/>
                <w:shd w:val="clear"/>
              </w:rPr>
            </w:pPr>
          </w:p>
        </w:tc>
        <w:tc>
          <w:tcPr>
            <w:tcW w:w="1487" w:type="dxa"/>
            <w:vAlign w:val="center"/>
          </w:tcPr>
          <w:p w14:paraId="23873CB4">
            <w:pPr>
              <w:jc w:val="center"/>
              <w:rPr>
                <w:rFonts w:ascii="Times New Roman" w:hAnsi="Times New Roman" w:eastAsia="仿宋_GB2312"/>
                <w:color w:val="auto"/>
                <w:sz w:val="30"/>
                <w:szCs w:val="30"/>
                <w:highlight w:val="none"/>
                <w:shd w:val="clear"/>
              </w:rPr>
            </w:pPr>
          </w:p>
        </w:tc>
        <w:tc>
          <w:tcPr>
            <w:tcW w:w="992" w:type="dxa"/>
            <w:vAlign w:val="center"/>
          </w:tcPr>
          <w:p w14:paraId="16308AED">
            <w:pPr>
              <w:jc w:val="center"/>
              <w:rPr>
                <w:rFonts w:ascii="Times New Roman" w:hAnsi="Times New Roman" w:eastAsia="仿宋_GB2312"/>
                <w:color w:val="auto"/>
                <w:sz w:val="30"/>
                <w:szCs w:val="30"/>
                <w:highlight w:val="none"/>
                <w:shd w:val="clear"/>
              </w:rPr>
            </w:pPr>
          </w:p>
        </w:tc>
      </w:tr>
      <w:tr w14:paraId="0453F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F0B08D4">
            <w:pPr>
              <w:jc w:val="center"/>
              <w:rPr>
                <w:rFonts w:ascii="Times New Roman" w:hAnsi="Times New Roman" w:eastAsia="仿宋_GB2312"/>
                <w:color w:val="auto"/>
                <w:sz w:val="30"/>
                <w:szCs w:val="30"/>
                <w:highlight w:val="none"/>
                <w:shd w:val="clear"/>
              </w:rPr>
            </w:pPr>
          </w:p>
        </w:tc>
        <w:tc>
          <w:tcPr>
            <w:tcW w:w="1276" w:type="dxa"/>
            <w:vAlign w:val="center"/>
          </w:tcPr>
          <w:p w14:paraId="455E88CE">
            <w:pPr>
              <w:jc w:val="center"/>
              <w:rPr>
                <w:rFonts w:ascii="Times New Roman" w:hAnsi="Times New Roman" w:eastAsia="仿宋_GB2312"/>
                <w:color w:val="auto"/>
                <w:sz w:val="30"/>
                <w:szCs w:val="30"/>
                <w:highlight w:val="none"/>
                <w:shd w:val="clear"/>
              </w:rPr>
            </w:pPr>
          </w:p>
        </w:tc>
        <w:tc>
          <w:tcPr>
            <w:tcW w:w="1418" w:type="dxa"/>
            <w:vAlign w:val="center"/>
          </w:tcPr>
          <w:p w14:paraId="56B30DDE">
            <w:pPr>
              <w:jc w:val="center"/>
              <w:rPr>
                <w:rFonts w:ascii="Times New Roman" w:hAnsi="Times New Roman" w:eastAsia="仿宋_GB2312"/>
                <w:color w:val="auto"/>
                <w:sz w:val="30"/>
                <w:szCs w:val="30"/>
                <w:highlight w:val="none"/>
                <w:shd w:val="clear"/>
              </w:rPr>
            </w:pPr>
          </w:p>
        </w:tc>
        <w:tc>
          <w:tcPr>
            <w:tcW w:w="940" w:type="dxa"/>
            <w:vAlign w:val="center"/>
          </w:tcPr>
          <w:p w14:paraId="2E27DEFB">
            <w:pPr>
              <w:jc w:val="center"/>
              <w:rPr>
                <w:rFonts w:ascii="Times New Roman" w:hAnsi="Times New Roman" w:eastAsia="仿宋_GB2312"/>
                <w:color w:val="auto"/>
                <w:sz w:val="30"/>
                <w:szCs w:val="30"/>
                <w:highlight w:val="none"/>
                <w:shd w:val="clear"/>
              </w:rPr>
            </w:pPr>
          </w:p>
        </w:tc>
        <w:tc>
          <w:tcPr>
            <w:tcW w:w="851" w:type="dxa"/>
            <w:vAlign w:val="center"/>
          </w:tcPr>
          <w:p w14:paraId="4AA21B26">
            <w:pPr>
              <w:jc w:val="center"/>
              <w:rPr>
                <w:rFonts w:ascii="Times New Roman" w:hAnsi="Times New Roman" w:eastAsia="仿宋_GB2312"/>
                <w:color w:val="auto"/>
                <w:sz w:val="30"/>
                <w:szCs w:val="30"/>
                <w:highlight w:val="none"/>
                <w:shd w:val="clear"/>
              </w:rPr>
            </w:pPr>
          </w:p>
        </w:tc>
        <w:tc>
          <w:tcPr>
            <w:tcW w:w="1044" w:type="dxa"/>
            <w:vAlign w:val="center"/>
          </w:tcPr>
          <w:p w14:paraId="47F86416">
            <w:pPr>
              <w:jc w:val="center"/>
              <w:rPr>
                <w:rFonts w:ascii="Times New Roman" w:hAnsi="Times New Roman" w:eastAsia="仿宋_GB2312"/>
                <w:color w:val="auto"/>
                <w:sz w:val="30"/>
                <w:szCs w:val="30"/>
                <w:highlight w:val="none"/>
                <w:shd w:val="clear"/>
              </w:rPr>
            </w:pPr>
          </w:p>
        </w:tc>
        <w:tc>
          <w:tcPr>
            <w:tcW w:w="992" w:type="dxa"/>
            <w:vAlign w:val="center"/>
          </w:tcPr>
          <w:p w14:paraId="1F246D52">
            <w:pPr>
              <w:jc w:val="center"/>
              <w:rPr>
                <w:rFonts w:ascii="Times New Roman" w:hAnsi="Times New Roman" w:eastAsia="仿宋_GB2312"/>
                <w:color w:val="auto"/>
                <w:sz w:val="30"/>
                <w:szCs w:val="30"/>
                <w:highlight w:val="none"/>
                <w:shd w:val="clear"/>
              </w:rPr>
            </w:pPr>
          </w:p>
        </w:tc>
        <w:tc>
          <w:tcPr>
            <w:tcW w:w="851" w:type="dxa"/>
            <w:vAlign w:val="center"/>
          </w:tcPr>
          <w:p w14:paraId="5382A7A6">
            <w:pPr>
              <w:jc w:val="center"/>
              <w:rPr>
                <w:rFonts w:ascii="Times New Roman" w:hAnsi="Times New Roman" w:eastAsia="仿宋_GB2312"/>
                <w:color w:val="auto"/>
                <w:sz w:val="30"/>
                <w:szCs w:val="30"/>
                <w:highlight w:val="none"/>
                <w:shd w:val="clear"/>
              </w:rPr>
            </w:pPr>
          </w:p>
        </w:tc>
        <w:tc>
          <w:tcPr>
            <w:tcW w:w="1487" w:type="dxa"/>
            <w:vAlign w:val="center"/>
          </w:tcPr>
          <w:p w14:paraId="5666625F">
            <w:pPr>
              <w:jc w:val="center"/>
              <w:rPr>
                <w:rFonts w:ascii="Times New Roman" w:hAnsi="Times New Roman" w:eastAsia="仿宋_GB2312"/>
                <w:color w:val="auto"/>
                <w:sz w:val="30"/>
                <w:szCs w:val="30"/>
                <w:highlight w:val="none"/>
                <w:shd w:val="clear"/>
              </w:rPr>
            </w:pPr>
          </w:p>
        </w:tc>
        <w:tc>
          <w:tcPr>
            <w:tcW w:w="992" w:type="dxa"/>
            <w:vAlign w:val="center"/>
          </w:tcPr>
          <w:p w14:paraId="30D8B2E6">
            <w:pPr>
              <w:jc w:val="center"/>
              <w:rPr>
                <w:rFonts w:ascii="Times New Roman" w:hAnsi="Times New Roman" w:eastAsia="仿宋_GB2312"/>
                <w:color w:val="auto"/>
                <w:sz w:val="30"/>
                <w:szCs w:val="30"/>
                <w:highlight w:val="none"/>
                <w:shd w:val="clear"/>
              </w:rPr>
            </w:pPr>
          </w:p>
        </w:tc>
      </w:tr>
      <w:tr w14:paraId="41588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4A985D3">
            <w:pPr>
              <w:jc w:val="center"/>
              <w:rPr>
                <w:rFonts w:ascii="Times New Roman" w:hAnsi="Times New Roman" w:eastAsia="仿宋_GB2312"/>
                <w:color w:val="auto"/>
                <w:sz w:val="30"/>
                <w:szCs w:val="30"/>
                <w:highlight w:val="none"/>
                <w:shd w:val="clear"/>
              </w:rPr>
            </w:pPr>
          </w:p>
        </w:tc>
        <w:tc>
          <w:tcPr>
            <w:tcW w:w="1276" w:type="dxa"/>
            <w:vAlign w:val="center"/>
          </w:tcPr>
          <w:p w14:paraId="167FA441">
            <w:pPr>
              <w:jc w:val="center"/>
              <w:rPr>
                <w:rFonts w:ascii="Times New Roman" w:hAnsi="Times New Roman" w:eastAsia="仿宋_GB2312"/>
                <w:color w:val="auto"/>
                <w:sz w:val="30"/>
                <w:szCs w:val="30"/>
                <w:highlight w:val="none"/>
                <w:shd w:val="clear"/>
              </w:rPr>
            </w:pPr>
          </w:p>
        </w:tc>
        <w:tc>
          <w:tcPr>
            <w:tcW w:w="1418" w:type="dxa"/>
            <w:vAlign w:val="center"/>
          </w:tcPr>
          <w:p w14:paraId="39CD18B9">
            <w:pPr>
              <w:jc w:val="center"/>
              <w:rPr>
                <w:rFonts w:ascii="Times New Roman" w:hAnsi="Times New Roman" w:eastAsia="仿宋_GB2312"/>
                <w:color w:val="auto"/>
                <w:sz w:val="30"/>
                <w:szCs w:val="30"/>
                <w:highlight w:val="none"/>
                <w:shd w:val="clear"/>
              </w:rPr>
            </w:pPr>
          </w:p>
        </w:tc>
        <w:tc>
          <w:tcPr>
            <w:tcW w:w="940" w:type="dxa"/>
            <w:vAlign w:val="center"/>
          </w:tcPr>
          <w:p w14:paraId="0C3A3326">
            <w:pPr>
              <w:jc w:val="center"/>
              <w:rPr>
                <w:rFonts w:ascii="Times New Roman" w:hAnsi="Times New Roman" w:eastAsia="仿宋_GB2312"/>
                <w:color w:val="auto"/>
                <w:sz w:val="30"/>
                <w:szCs w:val="30"/>
                <w:highlight w:val="none"/>
                <w:shd w:val="clear"/>
              </w:rPr>
            </w:pPr>
          </w:p>
        </w:tc>
        <w:tc>
          <w:tcPr>
            <w:tcW w:w="851" w:type="dxa"/>
            <w:vAlign w:val="center"/>
          </w:tcPr>
          <w:p w14:paraId="2FC8E64A">
            <w:pPr>
              <w:jc w:val="center"/>
              <w:rPr>
                <w:rFonts w:ascii="Times New Roman" w:hAnsi="Times New Roman" w:eastAsia="仿宋_GB2312"/>
                <w:color w:val="auto"/>
                <w:sz w:val="30"/>
                <w:szCs w:val="30"/>
                <w:highlight w:val="none"/>
                <w:shd w:val="clear"/>
              </w:rPr>
            </w:pPr>
          </w:p>
        </w:tc>
        <w:tc>
          <w:tcPr>
            <w:tcW w:w="1044" w:type="dxa"/>
            <w:vAlign w:val="center"/>
          </w:tcPr>
          <w:p w14:paraId="4937622D">
            <w:pPr>
              <w:jc w:val="center"/>
              <w:rPr>
                <w:rFonts w:ascii="Times New Roman" w:hAnsi="Times New Roman" w:eastAsia="仿宋_GB2312"/>
                <w:color w:val="auto"/>
                <w:sz w:val="30"/>
                <w:szCs w:val="30"/>
                <w:highlight w:val="none"/>
                <w:shd w:val="clear"/>
              </w:rPr>
            </w:pPr>
          </w:p>
        </w:tc>
        <w:tc>
          <w:tcPr>
            <w:tcW w:w="992" w:type="dxa"/>
            <w:vAlign w:val="center"/>
          </w:tcPr>
          <w:p w14:paraId="6CBE2226">
            <w:pPr>
              <w:jc w:val="center"/>
              <w:rPr>
                <w:rFonts w:ascii="Times New Roman" w:hAnsi="Times New Roman" w:eastAsia="仿宋_GB2312"/>
                <w:color w:val="auto"/>
                <w:sz w:val="30"/>
                <w:szCs w:val="30"/>
                <w:highlight w:val="none"/>
                <w:shd w:val="clear"/>
              </w:rPr>
            </w:pPr>
          </w:p>
        </w:tc>
        <w:tc>
          <w:tcPr>
            <w:tcW w:w="851" w:type="dxa"/>
            <w:vAlign w:val="center"/>
          </w:tcPr>
          <w:p w14:paraId="553108C9">
            <w:pPr>
              <w:jc w:val="center"/>
              <w:rPr>
                <w:rFonts w:ascii="Times New Roman" w:hAnsi="Times New Roman" w:eastAsia="仿宋_GB2312"/>
                <w:color w:val="auto"/>
                <w:sz w:val="30"/>
                <w:szCs w:val="30"/>
                <w:highlight w:val="none"/>
                <w:shd w:val="clear"/>
              </w:rPr>
            </w:pPr>
          </w:p>
        </w:tc>
        <w:tc>
          <w:tcPr>
            <w:tcW w:w="1487" w:type="dxa"/>
            <w:vAlign w:val="center"/>
          </w:tcPr>
          <w:p w14:paraId="552ADFF5">
            <w:pPr>
              <w:jc w:val="center"/>
              <w:rPr>
                <w:rFonts w:ascii="Times New Roman" w:hAnsi="Times New Roman" w:eastAsia="仿宋_GB2312"/>
                <w:color w:val="auto"/>
                <w:sz w:val="30"/>
                <w:szCs w:val="30"/>
                <w:highlight w:val="none"/>
                <w:shd w:val="clear"/>
              </w:rPr>
            </w:pPr>
          </w:p>
        </w:tc>
        <w:tc>
          <w:tcPr>
            <w:tcW w:w="992" w:type="dxa"/>
            <w:vAlign w:val="center"/>
          </w:tcPr>
          <w:p w14:paraId="68DEAB25">
            <w:pPr>
              <w:jc w:val="center"/>
              <w:rPr>
                <w:rFonts w:ascii="Times New Roman" w:hAnsi="Times New Roman" w:eastAsia="仿宋_GB2312"/>
                <w:color w:val="auto"/>
                <w:sz w:val="30"/>
                <w:szCs w:val="30"/>
                <w:highlight w:val="none"/>
                <w:shd w:val="clear"/>
              </w:rPr>
            </w:pPr>
          </w:p>
        </w:tc>
      </w:tr>
      <w:tr w14:paraId="364FC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D6FBD76">
            <w:pPr>
              <w:jc w:val="center"/>
              <w:rPr>
                <w:rFonts w:ascii="Times New Roman" w:hAnsi="Times New Roman" w:eastAsia="仿宋_GB2312"/>
                <w:color w:val="auto"/>
                <w:sz w:val="30"/>
                <w:szCs w:val="30"/>
                <w:highlight w:val="none"/>
                <w:shd w:val="clear"/>
              </w:rPr>
            </w:pPr>
          </w:p>
        </w:tc>
        <w:tc>
          <w:tcPr>
            <w:tcW w:w="1276" w:type="dxa"/>
            <w:vAlign w:val="center"/>
          </w:tcPr>
          <w:p w14:paraId="42C44DE1">
            <w:pPr>
              <w:jc w:val="center"/>
              <w:rPr>
                <w:rFonts w:ascii="Times New Roman" w:hAnsi="Times New Roman" w:eastAsia="仿宋_GB2312"/>
                <w:color w:val="auto"/>
                <w:sz w:val="30"/>
                <w:szCs w:val="30"/>
                <w:highlight w:val="none"/>
                <w:shd w:val="clear"/>
              </w:rPr>
            </w:pPr>
          </w:p>
        </w:tc>
        <w:tc>
          <w:tcPr>
            <w:tcW w:w="1418" w:type="dxa"/>
            <w:vAlign w:val="center"/>
          </w:tcPr>
          <w:p w14:paraId="7FEC8DDF">
            <w:pPr>
              <w:jc w:val="center"/>
              <w:rPr>
                <w:rFonts w:ascii="Times New Roman" w:hAnsi="Times New Roman" w:eastAsia="仿宋_GB2312"/>
                <w:color w:val="auto"/>
                <w:sz w:val="30"/>
                <w:szCs w:val="30"/>
                <w:highlight w:val="none"/>
                <w:shd w:val="clear"/>
              </w:rPr>
            </w:pPr>
          </w:p>
        </w:tc>
        <w:tc>
          <w:tcPr>
            <w:tcW w:w="940" w:type="dxa"/>
            <w:vAlign w:val="center"/>
          </w:tcPr>
          <w:p w14:paraId="310B9BC0">
            <w:pPr>
              <w:jc w:val="center"/>
              <w:rPr>
                <w:rFonts w:ascii="Times New Roman" w:hAnsi="Times New Roman" w:eastAsia="仿宋_GB2312"/>
                <w:color w:val="auto"/>
                <w:sz w:val="30"/>
                <w:szCs w:val="30"/>
                <w:highlight w:val="none"/>
                <w:shd w:val="clear"/>
              </w:rPr>
            </w:pPr>
          </w:p>
        </w:tc>
        <w:tc>
          <w:tcPr>
            <w:tcW w:w="851" w:type="dxa"/>
            <w:vAlign w:val="center"/>
          </w:tcPr>
          <w:p w14:paraId="2562D26B">
            <w:pPr>
              <w:jc w:val="center"/>
              <w:rPr>
                <w:rFonts w:ascii="Times New Roman" w:hAnsi="Times New Roman" w:eastAsia="仿宋_GB2312"/>
                <w:color w:val="auto"/>
                <w:sz w:val="30"/>
                <w:szCs w:val="30"/>
                <w:highlight w:val="none"/>
                <w:shd w:val="clear"/>
              </w:rPr>
            </w:pPr>
          </w:p>
        </w:tc>
        <w:tc>
          <w:tcPr>
            <w:tcW w:w="1044" w:type="dxa"/>
            <w:vAlign w:val="center"/>
          </w:tcPr>
          <w:p w14:paraId="5B2F1927">
            <w:pPr>
              <w:jc w:val="center"/>
              <w:rPr>
                <w:rFonts w:ascii="Times New Roman" w:hAnsi="Times New Roman" w:eastAsia="仿宋_GB2312"/>
                <w:color w:val="auto"/>
                <w:sz w:val="30"/>
                <w:szCs w:val="30"/>
                <w:highlight w:val="none"/>
                <w:shd w:val="clear"/>
              </w:rPr>
            </w:pPr>
          </w:p>
        </w:tc>
        <w:tc>
          <w:tcPr>
            <w:tcW w:w="992" w:type="dxa"/>
            <w:vAlign w:val="center"/>
          </w:tcPr>
          <w:p w14:paraId="38E4D58B">
            <w:pPr>
              <w:jc w:val="center"/>
              <w:rPr>
                <w:rFonts w:ascii="Times New Roman" w:hAnsi="Times New Roman" w:eastAsia="仿宋_GB2312"/>
                <w:color w:val="auto"/>
                <w:sz w:val="30"/>
                <w:szCs w:val="30"/>
                <w:highlight w:val="none"/>
                <w:shd w:val="clear"/>
              </w:rPr>
            </w:pPr>
          </w:p>
        </w:tc>
        <w:tc>
          <w:tcPr>
            <w:tcW w:w="851" w:type="dxa"/>
            <w:vAlign w:val="center"/>
          </w:tcPr>
          <w:p w14:paraId="3DE1104F">
            <w:pPr>
              <w:jc w:val="center"/>
              <w:rPr>
                <w:rFonts w:ascii="Times New Roman" w:hAnsi="Times New Roman" w:eastAsia="仿宋_GB2312"/>
                <w:color w:val="auto"/>
                <w:sz w:val="30"/>
                <w:szCs w:val="30"/>
                <w:highlight w:val="none"/>
                <w:shd w:val="clear"/>
              </w:rPr>
            </w:pPr>
          </w:p>
        </w:tc>
        <w:tc>
          <w:tcPr>
            <w:tcW w:w="1487" w:type="dxa"/>
            <w:vAlign w:val="center"/>
          </w:tcPr>
          <w:p w14:paraId="7E3B863B">
            <w:pPr>
              <w:jc w:val="center"/>
              <w:rPr>
                <w:rFonts w:ascii="Times New Roman" w:hAnsi="Times New Roman" w:eastAsia="仿宋_GB2312"/>
                <w:color w:val="auto"/>
                <w:sz w:val="30"/>
                <w:szCs w:val="30"/>
                <w:highlight w:val="none"/>
                <w:shd w:val="clear"/>
              </w:rPr>
            </w:pPr>
          </w:p>
        </w:tc>
        <w:tc>
          <w:tcPr>
            <w:tcW w:w="992" w:type="dxa"/>
            <w:vAlign w:val="center"/>
          </w:tcPr>
          <w:p w14:paraId="4C9975FA">
            <w:pPr>
              <w:jc w:val="center"/>
              <w:rPr>
                <w:rFonts w:ascii="Times New Roman" w:hAnsi="Times New Roman" w:eastAsia="仿宋_GB2312"/>
                <w:color w:val="auto"/>
                <w:sz w:val="30"/>
                <w:szCs w:val="30"/>
                <w:highlight w:val="none"/>
                <w:shd w:val="clear"/>
              </w:rPr>
            </w:pPr>
          </w:p>
        </w:tc>
      </w:tr>
    </w:tbl>
    <w:p w14:paraId="2E2E1D73">
      <w:pPr>
        <w:spacing w:line="440" w:lineRule="exact"/>
        <w:rPr>
          <w:rFonts w:ascii="Times New Roman" w:hAnsi="Times New Roman" w:eastAsia="仿宋_GB2312"/>
          <w:color w:val="auto"/>
          <w:sz w:val="30"/>
          <w:szCs w:val="30"/>
          <w:highlight w:val="none"/>
          <w:shd w:val="clear"/>
        </w:rPr>
      </w:pPr>
    </w:p>
    <w:p w14:paraId="3A2C8930">
      <w:pPr>
        <w:rPr>
          <w:rFonts w:ascii="Times New Roman" w:hAnsi="Times New Roman" w:eastAsia="仿宋_GB2312"/>
          <w:color w:val="auto"/>
          <w:sz w:val="30"/>
          <w:szCs w:val="30"/>
          <w:highlight w:val="none"/>
          <w:shd w:val="clear"/>
        </w:rPr>
      </w:pPr>
      <w:r>
        <w:rPr>
          <w:rFonts w:ascii="Times New Roman" w:hAnsi="Times New Roman" w:eastAsia="仿宋_GB2312"/>
          <w:color w:val="auto"/>
          <w:sz w:val="30"/>
          <w:szCs w:val="30"/>
          <w:highlight w:val="none"/>
          <w:shd w:val="clear"/>
        </w:rPr>
        <w:br w:type="page"/>
      </w:r>
    </w:p>
    <w:p w14:paraId="5997CA0E">
      <w:pPr>
        <w:pStyle w:val="33"/>
        <w:rPr>
          <w:color w:val="auto"/>
          <w:highlight w:val="none"/>
          <w:shd w:val="clear"/>
        </w:rPr>
      </w:pPr>
      <w:r>
        <w:rPr>
          <w:color w:val="auto"/>
          <w:highlight w:val="none"/>
          <w:shd w:val="clear"/>
        </w:rPr>
        <w:t>附</w:t>
      </w:r>
      <w:bookmarkStart w:id="1923" w:name="_Toc267261693"/>
      <w:bookmarkStart w:id="1924" w:name="_Toc296944565"/>
      <w:bookmarkStart w:id="1925" w:name="_Toc296346727"/>
      <w:bookmarkStart w:id="1926" w:name="_Toc296891054"/>
      <w:bookmarkStart w:id="1927" w:name="_Toc296891266"/>
      <w:bookmarkStart w:id="1928" w:name="_Toc296347225"/>
      <w:bookmarkStart w:id="1929" w:name="_Toc296503226"/>
      <w:r>
        <w:rPr>
          <w:color w:val="auto"/>
          <w:highlight w:val="none"/>
          <w:shd w:val="clear"/>
        </w:rPr>
        <w:t>件3：</w:t>
      </w:r>
      <w:bookmarkEnd w:id="1923"/>
      <w:bookmarkEnd w:id="1924"/>
      <w:bookmarkEnd w:id="1925"/>
      <w:bookmarkEnd w:id="1926"/>
      <w:bookmarkEnd w:id="1927"/>
      <w:bookmarkEnd w:id="1928"/>
      <w:bookmarkEnd w:id="1929"/>
    </w:p>
    <w:p w14:paraId="2F2F7033">
      <w:pPr>
        <w:pStyle w:val="20"/>
        <w:rPr>
          <w:rFonts w:ascii="Times New Roman" w:hAnsi="Times New Roman"/>
          <w:color w:val="auto"/>
          <w:highlight w:val="none"/>
          <w:shd w:val="clear"/>
        </w:rPr>
      </w:pPr>
      <w:r>
        <w:rPr>
          <w:rFonts w:ascii="Times New Roman" w:hAnsi="Times New Roman"/>
          <w:color w:val="auto"/>
          <w:highlight w:val="none"/>
          <w:shd w:val="clear"/>
        </w:rPr>
        <w:t>工程质量保修书</w:t>
      </w:r>
    </w:p>
    <w:p w14:paraId="49F02AB2">
      <w:pPr>
        <w:pStyle w:val="22"/>
        <w:ind w:firstLine="0" w:firstLineChars="0"/>
        <w:rPr>
          <w:rFonts w:ascii="Times New Roman" w:hAnsi="Times New Roman"/>
          <w:color w:val="auto"/>
          <w:highlight w:val="none"/>
          <w:shd w:val="clear"/>
        </w:rPr>
      </w:pPr>
      <w:r>
        <w:rPr>
          <w:rFonts w:hint="eastAsia" w:ascii="Times New Roman" w:hAnsi="Times New Roman"/>
          <w:color w:val="auto"/>
          <w:highlight w:val="none"/>
          <w:shd w:val="clear"/>
        </w:rPr>
        <w:t>发包人（全称）：</w:t>
      </w:r>
      <w:r>
        <w:rPr>
          <w:rFonts w:hint="eastAsia" w:ascii="Times New Roman" w:hAnsi="Times New Roman"/>
          <w:color w:val="auto"/>
          <w:highlight w:val="none"/>
          <w:shd w:val="clear"/>
        </w:rPr>
        <w:t>【招标人】</w:t>
      </w:r>
    </w:p>
    <w:p w14:paraId="1DA2C429">
      <w:pPr>
        <w:pStyle w:val="22"/>
        <w:ind w:firstLine="0" w:firstLineChars="0"/>
        <w:rPr>
          <w:rFonts w:ascii="Times New Roman" w:hAnsi="Times New Roman"/>
          <w:color w:val="auto"/>
          <w:highlight w:val="none"/>
          <w:shd w:val="clear"/>
        </w:rPr>
      </w:pPr>
      <w:r>
        <w:rPr>
          <w:rFonts w:hint="eastAsia" w:ascii="Times New Roman" w:hAnsi="Times New Roman"/>
          <w:color w:val="auto"/>
          <w:highlight w:val="none"/>
          <w:shd w:val="clear"/>
        </w:rPr>
        <w:t>承包人（全称）：</w:t>
      </w:r>
      <w:r>
        <w:rPr>
          <w:rFonts w:hint="eastAsia" w:ascii="Times New Roman" w:hAnsi="Times New Roman"/>
          <w:color w:val="auto"/>
          <w:highlight w:val="none"/>
          <w:shd w:val="clear"/>
        </w:rPr>
        <w:t>【中标人】</w:t>
      </w:r>
    </w:p>
    <w:p w14:paraId="084C16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发包人和承包人根据《中华人民共和国建筑法》和《建设工程质量管理条例》，经协商一致就</w:t>
      </w:r>
      <w:bookmarkStart w:id="1930" w:name="_Hlk169618523"/>
      <w:r>
        <w:rPr>
          <w:rFonts w:hint="eastAsia" w:ascii="Times New Roman" w:hAnsi="Times New Roman"/>
          <w:color w:val="auto"/>
          <w:highlight w:val="none"/>
          <w:shd w:val="clear"/>
        </w:rPr>
        <w:t>【招标项目名称】</w:t>
      </w:r>
      <w:bookmarkEnd w:id="1930"/>
      <w:r>
        <w:rPr>
          <w:rFonts w:hint="eastAsia" w:ascii="Times New Roman" w:hAnsi="Times New Roman"/>
          <w:color w:val="auto"/>
          <w:highlight w:val="none"/>
          <w:shd w:val="clear"/>
        </w:rPr>
        <w:t>（工程全称）签订工程质量保修书。</w:t>
      </w:r>
    </w:p>
    <w:p w14:paraId="69F63980">
      <w:pPr>
        <w:pStyle w:val="22"/>
        <w:ind w:firstLine="420"/>
        <w:rPr>
          <w:rFonts w:ascii="Times New Roman" w:hAnsi="Times New Roman"/>
          <w:color w:val="auto"/>
          <w:highlight w:val="none"/>
          <w:shd w:val="clear"/>
        </w:rPr>
      </w:pPr>
      <w:bookmarkStart w:id="1931" w:name="_Toc170804170"/>
      <w:bookmarkStart w:id="1932" w:name="_Toc170805358"/>
      <w:bookmarkStart w:id="1933" w:name="_Toc170805738"/>
      <w:r>
        <w:rPr>
          <w:rFonts w:ascii="Times New Roman" w:hAnsi="Times New Roman"/>
          <w:color w:val="auto"/>
          <w:highlight w:val="none"/>
          <w:shd w:val="clear"/>
        </w:rPr>
        <w:t>一、工程质量保修范围和内容</w:t>
      </w:r>
      <w:bookmarkEnd w:id="1931"/>
      <w:bookmarkEnd w:id="1932"/>
      <w:bookmarkEnd w:id="1933"/>
    </w:p>
    <w:p w14:paraId="2608C25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承包人在质量保修期内，按照有关法律规定和合同约定，承担工程质量保修责任。</w:t>
      </w:r>
    </w:p>
    <w:p w14:paraId="39151B9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9D127D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【根据项目需要，招标人自行约定。】</w:t>
      </w:r>
    </w:p>
    <w:p w14:paraId="67F2E3E2">
      <w:pPr>
        <w:pStyle w:val="22"/>
        <w:ind w:firstLine="420"/>
        <w:rPr>
          <w:rFonts w:ascii="Times New Roman" w:hAnsi="Times New Roman"/>
          <w:color w:val="auto"/>
          <w:highlight w:val="none"/>
          <w:shd w:val="clear"/>
        </w:rPr>
      </w:pPr>
      <w:bookmarkStart w:id="1934" w:name="_Toc170804171"/>
      <w:bookmarkStart w:id="1935" w:name="_Toc170805359"/>
      <w:bookmarkStart w:id="1936" w:name="_Toc170805739"/>
      <w:r>
        <w:rPr>
          <w:rFonts w:ascii="Times New Roman" w:hAnsi="Times New Roman"/>
          <w:color w:val="auto"/>
          <w:highlight w:val="none"/>
          <w:shd w:val="clear"/>
        </w:rPr>
        <w:t>二、质量保修期</w:t>
      </w:r>
      <w:bookmarkEnd w:id="1934"/>
      <w:bookmarkEnd w:id="1935"/>
      <w:bookmarkEnd w:id="1936"/>
    </w:p>
    <w:p w14:paraId="6C1D418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根据《建设工程质量管理条例》及有关规定，工程的质量保修期如下：</w:t>
      </w:r>
      <w:r>
        <w:rPr>
          <w:rFonts w:hint="eastAsia" w:ascii="Times New Roman" w:hAnsi="Times New Roman"/>
          <w:color w:val="auto"/>
          <w:highlight w:val="none"/>
          <w:shd w:val="clear"/>
        </w:rPr>
        <w:t>【以下为最低年限，招标人可延长】</w:t>
      </w:r>
    </w:p>
    <w:p w14:paraId="3967852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1．地基基础工程和主体结构工程为设计文件规定的工程合理使用年限；</w:t>
      </w:r>
    </w:p>
    <w:p w14:paraId="536BEA2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2．屋面防水工程、有防水要求的卫生间、房间和外墙面的防渗为5年；</w:t>
      </w:r>
    </w:p>
    <w:p w14:paraId="6E01E0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3．装修工程为2年；</w:t>
      </w:r>
    </w:p>
    <w:p w14:paraId="59080FB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4．电气管线、给排水管道、设备安装工程为2年；</w:t>
      </w:r>
    </w:p>
    <w:p w14:paraId="2550D76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5．供热与供冷系统为2个采暖期、供冷期；</w:t>
      </w:r>
    </w:p>
    <w:p w14:paraId="296422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6．住宅小区内的给排水设施、道路等配套工程为</w:t>
      </w:r>
      <w:r>
        <w:rPr>
          <w:rFonts w:hint="eastAsia" w:ascii="Times New Roman" w:hAnsi="Times New Roman"/>
          <w:color w:val="auto"/>
          <w:highlight w:val="none"/>
          <w:shd w:val="clear"/>
          <w:lang w:val="en-US" w:eastAsia="zh-CN"/>
        </w:rPr>
        <w:t>2</w:t>
      </w:r>
      <w:r>
        <w:rPr>
          <w:rFonts w:hint="eastAsia" w:ascii="Times New Roman" w:hAnsi="Times New Roman"/>
          <w:color w:val="auto"/>
          <w:highlight w:val="none"/>
          <w:shd w:val="clear"/>
        </w:rPr>
        <w:t>年；</w:t>
      </w:r>
    </w:p>
    <w:p w14:paraId="0193DAD0">
      <w:pPr>
        <w:pStyle w:val="22"/>
        <w:ind w:firstLine="420"/>
        <w:rPr>
          <w:rFonts w:hint="default" w:ascii="Times New Roman" w:hAnsi="Times New Roman" w:eastAsia="宋体"/>
          <w:color w:val="auto"/>
          <w:highlight w:val="none"/>
          <w:shd w:val="clear"/>
          <w:lang w:val="en-US" w:eastAsia="zh-CN"/>
        </w:rPr>
      </w:pPr>
      <w:r>
        <w:rPr>
          <w:rFonts w:hint="eastAsia" w:ascii="Times New Roman" w:hAnsi="Times New Roman"/>
          <w:color w:val="auto"/>
          <w:highlight w:val="none"/>
          <w:shd w:val="clear"/>
        </w:rPr>
        <w:t>7．其他项目保修期限约定如下：</w:t>
      </w:r>
      <w:r>
        <w:rPr>
          <w:rFonts w:hint="eastAsia" w:ascii="Times New Roman" w:hAnsi="Times New Roman"/>
          <w:color w:val="auto"/>
          <w:highlight w:val="none"/>
          <w:shd w:val="clear"/>
          <w:lang w:val="en-US" w:eastAsia="zh-CN"/>
        </w:rPr>
        <w:t>1年</w:t>
      </w:r>
    </w:p>
    <w:p w14:paraId="08069F7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质量保修期自工程竣工验收合格之日起计算。</w:t>
      </w:r>
    </w:p>
    <w:p w14:paraId="0120A237">
      <w:pPr>
        <w:pStyle w:val="22"/>
        <w:ind w:firstLine="420"/>
        <w:rPr>
          <w:rFonts w:ascii="Times New Roman" w:hAnsi="Times New Roman"/>
          <w:color w:val="auto"/>
          <w:highlight w:val="none"/>
          <w:shd w:val="clear"/>
        </w:rPr>
      </w:pPr>
      <w:bookmarkStart w:id="1937" w:name="_Toc170805740"/>
      <w:bookmarkStart w:id="1938" w:name="_Toc170804172"/>
      <w:bookmarkStart w:id="1939" w:name="_Toc170805360"/>
      <w:r>
        <w:rPr>
          <w:rFonts w:ascii="Times New Roman" w:hAnsi="Times New Roman"/>
          <w:color w:val="auto"/>
          <w:highlight w:val="none"/>
          <w:shd w:val="clear"/>
        </w:rPr>
        <w:t>三、缺陷责任期</w:t>
      </w:r>
      <w:bookmarkEnd w:id="1937"/>
      <w:bookmarkEnd w:id="1938"/>
      <w:bookmarkEnd w:id="1939"/>
    </w:p>
    <w:p w14:paraId="5BFBCB1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工程缺陷责任期为</w:t>
      </w:r>
      <w:r>
        <w:rPr>
          <w:rFonts w:hint="eastAsia" w:ascii="Times New Roman" w:hAnsi="Times New Roman"/>
          <w:color w:val="auto"/>
          <w:highlight w:val="none"/>
          <w:shd w:val="clear"/>
          <w:lang w:val="en-US" w:eastAsia="zh-CN"/>
        </w:rPr>
        <w:t>12</w:t>
      </w:r>
      <w:r>
        <w:rPr>
          <w:rFonts w:hint="eastAsia" w:ascii="Times New Roman" w:hAnsi="Times New Roman"/>
          <w:color w:val="auto"/>
          <w:highlight w:val="none"/>
          <w:shd w:val="clear"/>
        </w:rPr>
        <w:t>个月，缺陷责任期自工程通过竣工验收之日起计算。单位工程先于全部工程进行验收，单位工程缺陷责任期自单位工程验收合格之日起算。</w:t>
      </w:r>
    </w:p>
    <w:p w14:paraId="65AC29C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缺陷责任期终止后，发包人应退还剩余的质量保证金。</w:t>
      </w:r>
    </w:p>
    <w:p w14:paraId="18CADBBC">
      <w:pPr>
        <w:pStyle w:val="22"/>
        <w:ind w:firstLine="420"/>
        <w:rPr>
          <w:rFonts w:ascii="Times New Roman" w:hAnsi="Times New Roman"/>
          <w:color w:val="auto"/>
          <w:highlight w:val="none"/>
          <w:shd w:val="clear"/>
        </w:rPr>
      </w:pPr>
      <w:bookmarkStart w:id="1940" w:name="_Toc170805361"/>
      <w:bookmarkStart w:id="1941" w:name="_Toc170804173"/>
      <w:bookmarkStart w:id="1942" w:name="_Toc170805741"/>
      <w:r>
        <w:rPr>
          <w:rFonts w:ascii="Times New Roman" w:hAnsi="Times New Roman"/>
          <w:color w:val="auto"/>
          <w:highlight w:val="none"/>
          <w:shd w:val="clear"/>
        </w:rPr>
        <w:t>四、质量保修责任</w:t>
      </w:r>
      <w:bookmarkEnd w:id="1940"/>
      <w:bookmarkEnd w:id="1941"/>
      <w:bookmarkEnd w:id="1942"/>
    </w:p>
    <w:p w14:paraId="395C701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1．属于保修范围、内容的项目，承包人应当在接到保修通知之日起7天内派人保修。承包人不在约定期限内派人保修的，发包人可以委托他人修理。</w:t>
      </w:r>
    </w:p>
    <w:p w14:paraId="2A46314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2．发生紧急事故需抢修的，承包人在接到事故通知后，应当立即到达事故现场抢修。</w:t>
      </w:r>
    </w:p>
    <w:p w14:paraId="61DD265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C15B91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4．质量保修完成后，由发包人组织验收。</w:t>
      </w:r>
    </w:p>
    <w:p w14:paraId="686B8CFC">
      <w:pPr>
        <w:pStyle w:val="22"/>
        <w:ind w:firstLine="420"/>
        <w:rPr>
          <w:rFonts w:ascii="Times New Roman" w:hAnsi="Times New Roman"/>
          <w:color w:val="auto"/>
          <w:highlight w:val="none"/>
          <w:shd w:val="clear"/>
        </w:rPr>
      </w:pPr>
      <w:bookmarkStart w:id="1943" w:name="_Toc170805742"/>
      <w:bookmarkStart w:id="1944" w:name="_Toc170804174"/>
      <w:bookmarkStart w:id="1945" w:name="_Toc170805362"/>
      <w:r>
        <w:rPr>
          <w:rFonts w:ascii="Times New Roman" w:hAnsi="Times New Roman"/>
          <w:color w:val="auto"/>
          <w:highlight w:val="none"/>
          <w:shd w:val="clear"/>
        </w:rPr>
        <w:t>五、保修费用</w:t>
      </w:r>
      <w:bookmarkEnd w:id="1943"/>
      <w:bookmarkEnd w:id="1944"/>
      <w:bookmarkEnd w:id="1945"/>
    </w:p>
    <w:p w14:paraId="010C9EB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保修费用由造成质量缺陷的责任方承担。</w:t>
      </w:r>
    </w:p>
    <w:p w14:paraId="5C311C3B">
      <w:pPr>
        <w:pStyle w:val="22"/>
        <w:ind w:firstLine="420"/>
        <w:rPr>
          <w:rFonts w:ascii="Times New Roman" w:hAnsi="Times New Roman"/>
          <w:color w:val="auto"/>
          <w:highlight w:val="none"/>
          <w:shd w:val="clear"/>
        </w:rPr>
      </w:pPr>
      <w:bookmarkStart w:id="1946" w:name="_Toc170804175"/>
      <w:bookmarkStart w:id="1947" w:name="_Toc170805743"/>
      <w:bookmarkStart w:id="1948" w:name="_Toc170805363"/>
      <w:r>
        <w:rPr>
          <w:rFonts w:ascii="Times New Roman" w:hAnsi="Times New Roman"/>
          <w:color w:val="auto"/>
          <w:highlight w:val="none"/>
          <w:shd w:val="clear"/>
        </w:rPr>
        <w:t>六、双方约定的其他工程质量保修事项：</w:t>
      </w:r>
    </w:p>
    <w:p w14:paraId="6314F02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【根据项目需要，招标人自行约定。可填写“/”】</w:t>
      </w:r>
      <w:r>
        <w:rPr>
          <w:rFonts w:hint="eastAsia" w:ascii="Times New Roman" w:hAnsi="Times New Roman"/>
          <w:color w:val="auto"/>
          <w:highlight w:val="none"/>
          <w:shd w:val="clear"/>
        </w:rPr>
        <w:t>。</w:t>
      </w:r>
      <w:bookmarkEnd w:id="1946"/>
      <w:bookmarkEnd w:id="1947"/>
      <w:bookmarkEnd w:id="1948"/>
    </w:p>
    <w:p w14:paraId="354E02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工程质量保修书由发包人、承包人在工程竣工验收前共同签署，作为施工合同附件，其有效期限至保修期满。</w:t>
      </w:r>
    </w:p>
    <w:p w14:paraId="0CD4FF80">
      <w:pPr>
        <w:spacing w:line="360" w:lineRule="auto"/>
        <w:ind w:firstLine="420"/>
        <w:rPr>
          <w:rFonts w:ascii="Times New Roman" w:hAnsi="Times New Roman" w:eastAsia="仿宋_GB2312"/>
          <w:color w:val="auto"/>
          <w:sz w:val="30"/>
          <w:szCs w:val="30"/>
          <w:highlight w:val="none"/>
          <w:shd w:val="clear"/>
        </w:rPr>
      </w:pPr>
    </w:p>
    <w:p w14:paraId="06EE7CF4">
      <w:pPr>
        <w:spacing w:line="360" w:lineRule="auto"/>
        <w:ind w:firstLine="420"/>
        <w:rPr>
          <w:rFonts w:ascii="Times New Roman" w:hAnsi="Times New Roman" w:eastAsia="仿宋_GB2312"/>
          <w:color w:val="auto"/>
          <w:sz w:val="30"/>
          <w:szCs w:val="30"/>
          <w:highlight w:val="none"/>
          <w:shd w:val="cle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44140EDB">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发包人(公章)：</w:t>
      </w:r>
      <w:r>
        <w:rPr>
          <w:rFonts w:hint="eastAsia" w:ascii="Times New Roman" w:hAnsi="Times New Roman"/>
          <w:color w:val="auto"/>
          <w:highlight w:val="none"/>
          <w:u w:val="single"/>
          <w:shd w:val="clear"/>
        </w:rPr>
        <w:t xml:space="preserve">                    </w:t>
      </w:r>
    </w:p>
    <w:p w14:paraId="508ACAB0">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地  址：</w:t>
      </w:r>
      <w:r>
        <w:rPr>
          <w:rFonts w:hint="eastAsia" w:ascii="Times New Roman" w:hAnsi="Times New Roman"/>
          <w:color w:val="auto"/>
          <w:highlight w:val="none"/>
          <w:u w:val="single"/>
          <w:shd w:val="clear"/>
        </w:rPr>
        <w:t xml:space="preserve">                         </w:t>
      </w:r>
    </w:p>
    <w:p w14:paraId="778EA7B0">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法定代表人(签字)：</w:t>
      </w:r>
      <w:r>
        <w:rPr>
          <w:rFonts w:hint="eastAsia" w:ascii="Times New Roman" w:hAnsi="Times New Roman"/>
          <w:color w:val="auto"/>
          <w:highlight w:val="none"/>
          <w:u w:val="single"/>
          <w:shd w:val="clear"/>
        </w:rPr>
        <w:t xml:space="preserve">                </w:t>
      </w:r>
    </w:p>
    <w:p w14:paraId="36C3FE67">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委托代理人(签字)：</w:t>
      </w:r>
      <w:r>
        <w:rPr>
          <w:rFonts w:hint="eastAsia" w:ascii="Times New Roman" w:hAnsi="Times New Roman"/>
          <w:color w:val="auto"/>
          <w:highlight w:val="none"/>
          <w:u w:val="single"/>
          <w:shd w:val="clear"/>
        </w:rPr>
        <w:t xml:space="preserve">                </w:t>
      </w:r>
    </w:p>
    <w:p w14:paraId="18038BD0">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电  话：</w:t>
      </w:r>
      <w:r>
        <w:rPr>
          <w:rFonts w:hint="eastAsia" w:ascii="Times New Roman" w:hAnsi="Times New Roman"/>
          <w:color w:val="auto"/>
          <w:highlight w:val="none"/>
          <w:u w:val="single"/>
          <w:shd w:val="clear"/>
        </w:rPr>
        <w:t xml:space="preserve">                         </w:t>
      </w:r>
    </w:p>
    <w:p w14:paraId="5B176E99">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传  真：</w:t>
      </w:r>
      <w:r>
        <w:rPr>
          <w:rFonts w:hint="eastAsia" w:ascii="Times New Roman" w:hAnsi="Times New Roman"/>
          <w:color w:val="auto"/>
          <w:highlight w:val="none"/>
          <w:u w:val="single"/>
          <w:shd w:val="clear"/>
        </w:rPr>
        <w:t xml:space="preserve">                         </w:t>
      </w:r>
    </w:p>
    <w:p w14:paraId="2CFABABA">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开户银行：</w:t>
      </w:r>
      <w:r>
        <w:rPr>
          <w:rFonts w:hint="eastAsia" w:ascii="Times New Roman" w:hAnsi="Times New Roman"/>
          <w:color w:val="auto"/>
          <w:highlight w:val="none"/>
          <w:u w:val="single"/>
          <w:shd w:val="clear"/>
        </w:rPr>
        <w:t xml:space="preserve">                       </w:t>
      </w:r>
    </w:p>
    <w:p w14:paraId="29DA2E90">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账  号：</w:t>
      </w:r>
      <w:r>
        <w:rPr>
          <w:rFonts w:hint="eastAsia" w:ascii="Times New Roman" w:hAnsi="Times New Roman"/>
          <w:color w:val="auto"/>
          <w:highlight w:val="none"/>
          <w:u w:val="single"/>
          <w:shd w:val="clear"/>
        </w:rPr>
        <w:t xml:space="preserve">                         </w:t>
      </w:r>
    </w:p>
    <w:p w14:paraId="32391E9C">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p>
    <w:p w14:paraId="54580769">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承包人(公章)：</w:t>
      </w:r>
      <w:r>
        <w:rPr>
          <w:rFonts w:hint="eastAsia" w:ascii="Times New Roman" w:hAnsi="Times New Roman"/>
          <w:color w:val="auto"/>
          <w:highlight w:val="none"/>
          <w:u w:val="single"/>
          <w:shd w:val="clear"/>
        </w:rPr>
        <w:t xml:space="preserve">                    </w:t>
      </w:r>
    </w:p>
    <w:p w14:paraId="50211E96">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地  址：</w:t>
      </w:r>
      <w:r>
        <w:rPr>
          <w:rFonts w:hint="eastAsia" w:ascii="Times New Roman" w:hAnsi="Times New Roman"/>
          <w:color w:val="auto"/>
          <w:highlight w:val="none"/>
          <w:u w:val="single"/>
          <w:shd w:val="clear"/>
        </w:rPr>
        <w:t xml:space="preserve">                         </w:t>
      </w:r>
    </w:p>
    <w:p w14:paraId="219F395C">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法定代表人(签字)：</w:t>
      </w:r>
      <w:r>
        <w:rPr>
          <w:rFonts w:hint="eastAsia" w:ascii="Times New Roman" w:hAnsi="Times New Roman"/>
          <w:color w:val="auto"/>
          <w:highlight w:val="none"/>
          <w:u w:val="single"/>
          <w:shd w:val="clear"/>
        </w:rPr>
        <w:t xml:space="preserve">                </w:t>
      </w:r>
    </w:p>
    <w:p w14:paraId="7468423B">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委托代理人(签字)：</w:t>
      </w:r>
      <w:r>
        <w:rPr>
          <w:rFonts w:hint="eastAsia" w:ascii="Times New Roman" w:hAnsi="Times New Roman"/>
          <w:color w:val="auto"/>
          <w:highlight w:val="none"/>
          <w:u w:val="single"/>
          <w:shd w:val="clear"/>
        </w:rPr>
        <w:t xml:space="preserve">                </w:t>
      </w:r>
    </w:p>
    <w:p w14:paraId="5EC1BA08">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电  话：</w:t>
      </w:r>
      <w:r>
        <w:rPr>
          <w:rFonts w:hint="eastAsia" w:ascii="Times New Roman" w:hAnsi="Times New Roman"/>
          <w:color w:val="auto"/>
          <w:highlight w:val="none"/>
          <w:u w:val="single"/>
          <w:shd w:val="clear"/>
        </w:rPr>
        <w:t xml:space="preserve">                         </w:t>
      </w:r>
    </w:p>
    <w:p w14:paraId="490AB4A0">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传  真：</w:t>
      </w:r>
      <w:r>
        <w:rPr>
          <w:rFonts w:hint="eastAsia" w:ascii="Times New Roman" w:hAnsi="Times New Roman"/>
          <w:color w:val="auto"/>
          <w:highlight w:val="none"/>
          <w:u w:val="single"/>
          <w:shd w:val="clear"/>
        </w:rPr>
        <w:t xml:space="preserve">                         </w:t>
      </w:r>
    </w:p>
    <w:p w14:paraId="3AC0314C">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开户银行：</w:t>
      </w:r>
      <w:r>
        <w:rPr>
          <w:rFonts w:hint="eastAsia" w:ascii="Times New Roman" w:hAnsi="Times New Roman"/>
          <w:color w:val="auto"/>
          <w:highlight w:val="none"/>
          <w:u w:val="single"/>
          <w:shd w:val="clear"/>
        </w:rPr>
        <w:t xml:space="preserve">                       </w:t>
      </w:r>
    </w:p>
    <w:p w14:paraId="7A2FFBE9">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账  号：</w:t>
      </w:r>
      <w:r>
        <w:rPr>
          <w:rFonts w:hint="eastAsia" w:ascii="Times New Roman" w:hAnsi="Times New Roman"/>
          <w:color w:val="auto"/>
          <w:highlight w:val="none"/>
          <w:u w:val="single"/>
          <w:shd w:val="clear"/>
        </w:rPr>
        <w:t xml:space="preserve">                         </w:t>
      </w:r>
    </w:p>
    <w:p w14:paraId="1DE0088A">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p>
    <w:p w14:paraId="2E5021BC">
      <w:pPr>
        <w:spacing w:line="360" w:lineRule="auto"/>
        <w:rPr>
          <w:rFonts w:ascii="Times New Roman" w:hAnsi="Times New Roman"/>
          <w:color w:val="auto"/>
          <w:highlight w:val="none"/>
          <w:u w:val="single"/>
          <w:shd w:val="cle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equalWidth="0" w:num="2">
            <w:col w:w="3940" w:space="425"/>
            <w:col w:w="3940"/>
          </w:cols>
          <w:docGrid w:type="lines" w:linePitch="326" w:charSpace="0"/>
        </w:sectPr>
      </w:pPr>
    </w:p>
    <w:p w14:paraId="423B8082">
      <w:pPr>
        <w:spacing w:line="360" w:lineRule="auto"/>
        <w:rPr>
          <w:rFonts w:ascii="Times New Roman" w:hAnsi="Times New Roman"/>
          <w:color w:val="auto"/>
          <w:sz w:val="24"/>
          <w:szCs w:val="24"/>
          <w:highlight w:val="none"/>
          <w:shd w:val="clear"/>
        </w:rPr>
      </w:pPr>
      <w:r>
        <w:rPr>
          <w:rFonts w:ascii="Times New Roman" w:hAnsi="Times New Roman" w:eastAsia="仿宋_GB2312"/>
          <w:b/>
          <w:color w:val="auto"/>
          <w:sz w:val="30"/>
          <w:szCs w:val="30"/>
          <w:highlight w:val="none"/>
          <w:shd w:val="clear"/>
        </w:rPr>
        <w:br w:type="page"/>
      </w:r>
    </w:p>
    <w:p w14:paraId="7FBDE5FF">
      <w:pPr>
        <w:pStyle w:val="33"/>
        <w:rPr>
          <w:color w:val="auto"/>
          <w:highlight w:val="none"/>
          <w:shd w:val="clear"/>
        </w:rPr>
      </w:pPr>
      <w:r>
        <w:rPr>
          <w:color w:val="auto"/>
          <w:highlight w:val="none"/>
          <w:shd w:val="clear"/>
        </w:rPr>
        <w:t>附件4：</w:t>
      </w:r>
    </w:p>
    <w:p w14:paraId="332D619F">
      <w:pPr>
        <w:pStyle w:val="20"/>
        <w:rPr>
          <w:rFonts w:ascii="Times New Roman" w:hAnsi="Times New Roman"/>
          <w:color w:val="auto"/>
          <w:highlight w:val="none"/>
          <w:shd w:val="clear"/>
        </w:rPr>
      </w:pPr>
      <w:bookmarkStart w:id="1949" w:name="_Toc170805744"/>
      <w:bookmarkStart w:id="1950" w:name="_Toc170804176"/>
      <w:bookmarkStart w:id="1951" w:name="_Toc170805364"/>
      <w:r>
        <w:rPr>
          <w:rFonts w:ascii="Times New Roman" w:hAnsi="Times New Roman"/>
          <w:color w:val="auto"/>
          <w:highlight w:val="none"/>
          <w:shd w:val="clear"/>
        </w:rPr>
        <w:t>主要建设工程文件目录</w:t>
      </w:r>
      <w:bookmarkEnd w:id="1949"/>
      <w:bookmarkEnd w:id="1950"/>
      <w:bookmarkEnd w:id="1951"/>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4ADF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F06DF82">
            <w:pPr>
              <w:pStyle w:val="28"/>
              <w:rPr>
                <w:rFonts w:ascii="Times New Roman" w:hAnsi="Times New Roman"/>
                <w:color w:val="auto"/>
                <w:highlight w:val="none"/>
                <w:shd w:val="clear"/>
              </w:rPr>
            </w:pPr>
            <w:r>
              <w:rPr>
                <w:rFonts w:ascii="Times New Roman" w:hAnsi="Times New Roman"/>
                <w:color w:val="auto"/>
                <w:highlight w:val="none"/>
                <w:shd w:val="clear"/>
              </w:rPr>
              <w:t>文件名称</w:t>
            </w:r>
          </w:p>
        </w:tc>
        <w:tc>
          <w:tcPr>
            <w:tcW w:w="1276" w:type="dxa"/>
            <w:tcBorders>
              <w:top w:val="single" w:color="auto" w:sz="12" w:space="0"/>
              <w:bottom w:val="double" w:color="auto" w:sz="6" w:space="0"/>
            </w:tcBorders>
            <w:vAlign w:val="center"/>
          </w:tcPr>
          <w:p w14:paraId="75B97AC1">
            <w:pPr>
              <w:pStyle w:val="28"/>
              <w:rPr>
                <w:rFonts w:ascii="Times New Roman" w:hAnsi="Times New Roman"/>
                <w:color w:val="auto"/>
                <w:highlight w:val="none"/>
                <w:shd w:val="clear"/>
              </w:rPr>
            </w:pPr>
            <w:r>
              <w:rPr>
                <w:rFonts w:ascii="Times New Roman" w:hAnsi="Times New Roman"/>
                <w:color w:val="auto"/>
                <w:highlight w:val="none"/>
                <w:shd w:val="clear"/>
              </w:rPr>
              <w:t>套数</w:t>
            </w:r>
          </w:p>
        </w:tc>
        <w:tc>
          <w:tcPr>
            <w:tcW w:w="1450" w:type="dxa"/>
            <w:tcBorders>
              <w:top w:val="single" w:color="auto" w:sz="12" w:space="0"/>
              <w:bottom w:val="double" w:color="auto" w:sz="6" w:space="0"/>
            </w:tcBorders>
            <w:vAlign w:val="center"/>
          </w:tcPr>
          <w:p w14:paraId="67A73A1E">
            <w:pPr>
              <w:pStyle w:val="28"/>
              <w:rPr>
                <w:rFonts w:ascii="Times New Roman" w:hAnsi="Times New Roman"/>
                <w:color w:val="auto"/>
                <w:highlight w:val="none"/>
                <w:shd w:val="clear"/>
              </w:rPr>
            </w:pPr>
            <w:r>
              <w:rPr>
                <w:rFonts w:ascii="Times New Roman" w:hAnsi="Times New Roman"/>
                <w:color w:val="auto"/>
                <w:highlight w:val="none"/>
                <w:shd w:val="clear"/>
              </w:rPr>
              <w:t>费用</w:t>
            </w:r>
            <w:r>
              <w:rPr>
                <w:rFonts w:hint="eastAsia" w:ascii="Times New Roman" w:hAnsi="Times New Roman"/>
                <w:color w:val="auto"/>
                <w:highlight w:val="none"/>
                <w:shd w:val="clear"/>
              </w:rPr>
              <w:t>（元）</w:t>
            </w:r>
          </w:p>
        </w:tc>
        <w:tc>
          <w:tcPr>
            <w:tcW w:w="1243" w:type="dxa"/>
            <w:tcBorders>
              <w:top w:val="single" w:color="auto" w:sz="12" w:space="0"/>
              <w:bottom w:val="double" w:color="auto" w:sz="6" w:space="0"/>
            </w:tcBorders>
            <w:vAlign w:val="center"/>
          </w:tcPr>
          <w:p w14:paraId="156D826B">
            <w:pPr>
              <w:pStyle w:val="28"/>
              <w:rPr>
                <w:rFonts w:ascii="Times New Roman" w:hAnsi="Times New Roman"/>
                <w:color w:val="auto"/>
                <w:highlight w:val="none"/>
                <w:shd w:val="clear"/>
              </w:rPr>
            </w:pPr>
            <w:r>
              <w:rPr>
                <w:rFonts w:ascii="Times New Roman" w:hAnsi="Times New Roman"/>
                <w:color w:val="auto"/>
                <w:highlight w:val="none"/>
                <w:shd w:val="clear"/>
              </w:rPr>
              <w:t>质量</w:t>
            </w:r>
          </w:p>
        </w:tc>
        <w:tc>
          <w:tcPr>
            <w:tcW w:w="1450" w:type="dxa"/>
            <w:tcBorders>
              <w:top w:val="single" w:color="auto" w:sz="12" w:space="0"/>
              <w:bottom w:val="double" w:color="auto" w:sz="6" w:space="0"/>
            </w:tcBorders>
          </w:tcPr>
          <w:p w14:paraId="2530FD78">
            <w:pPr>
              <w:pStyle w:val="28"/>
              <w:rPr>
                <w:rFonts w:ascii="Times New Roman" w:hAnsi="Times New Roman"/>
                <w:color w:val="auto"/>
                <w:highlight w:val="none"/>
                <w:shd w:val="clear"/>
              </w:rPr>
            </w:pPr>
            <w:r>
              <w:rPr>
                <w:rFonts w:ascii="Times New Roman" w:hAnsi="Times New Roman"/>
                <w:color w:val="auto"/>
                <w:highlight w:val="none"/>
                <w:shd w:val="clear"/>
              </w:rPr>
              <w:t>移交时间</w:t>
            </w:r>
          </w:p>
        </w:tc>
        <w:tc>
          <w:tcPr>
            <w:tcW w:w="1667" w:type="dxa"/>
            <w:tcBorders>
              <w:top w:val="single" w:color="auto" w:sz="12" w:space="0"/>
              <w:bottom w:val="double" w:color="auto" w:sz="6" w:space="0"/>
            </w:tcBorders>
          </w:tcPr>
          <w:p w14:paraId="637899B7">
            <w:pPr>
              <w:pStyle w:val="28"/>
              <w:rPr>
                <w:rFonts w:ascii="Times New Roman" w:hAnsi="Times New Roman"/>
                <w:color w:val="auto"/>
                <w:highlight w:val="none"/>
                <w:shd w:val="clear"/>
              </w:rPr>
            </w:pPr>
            <w:r>
              <w:rPr>
                <w:rFonts w:ascii="Times New Roman" w:hAnsi="Times New Roman"/>
                <w:color w:val="auto"/>
                <w:highlight w:val="none"/>
                <w:shd w:val="clear"/>
              </w:rPr>
              <w:t>责任人</w:t>
            </w:r>
          </w:p>
        </w:tc>
      </w:tr>
      <w:tr w14:paraId="64BBA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4144569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tcBorders>
              <w:top w:val="double" w:color="auto" w:sz="6" w:space="0"/>
              <w:bottom w:val="single" w:color="auto" w:sz="6" w:space="0"/>
            </w:tcBorders>
            <w:vAlign w:val="center"/>
          </w:tcPr>
          <w:p w14:paraId="75BB286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tcBorders>
              <w:top w:val="double" w:color="auto" w:sz="6" w:space="0"/>
              <w:bottom w:val="single" w:color="auto" w:sz="6" w:space="0"/>
            </w:tcBorders>
            <w:vAlign w:val="center"/>
          </w:tcPr>
          <w:p w14:paraId="280A358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tcBorders>
              <w:top w:val="double" w:color="auto" w:sz="6" w:space="0"/>
              <w:bottom w:val="single" w:color="auto" w:sz="6" w:space="0"/>
            </w:tcBorders>
            <w:vAlign w:val="center"/>
          </w:tcPr>
          <w:p w14:paraId="2AB3B5B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tcBorders>
              <w:top w:val="double" w:color="auto" w:sz="6" w:space="0"/>
              <w:bottom w:val="single" w:color="auto" w:sz="6" w:space="0"/>
            </w:tcBorders>
            <w:vAlign w:val="center"/>
          </w:tcPr>
          <w:p w14:paraId="4B4DE54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tcBorders>
              <w:top w:val="double" w:color="auto" w:sz="6" w:space="0"/>
              <w:bottom w:val="single" w:color="auto" w:sz="6" w:space="0"/>
            </w:tcBorders>
            <w:vAlign w:val="center"/>
          </w:tcPr>
          <w:p w14:paraId="06617B1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AC70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E15AF4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tcBorders>
              <w:top w:val="nil"/>
            </w:tcBorders>
            <w:vAlign w:val="center"/>
          </w:tcPr>
          <w:p w14:paraId="70F2A94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tcBorders>
              <w:top w:val="nil"/>
            </w:tcBorders>
            <w:vAlign w:val="center"/>
          </w:tcPr>
          <w:p w14:paraId="2854411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tcBorders>
              <w:top w:val="nil"/>
            </w:tcBorders>
            <w:vAlign w:val="center"/>
          </w:tcPr>
          <w:p w14:paraId="4351C96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tcBorders>
              <w:top w:val="nil"/>
            </w:tcBorders>
            <w:vAlign w:val="center"/>
          </w:tcPr>
          <w:p w14:paraId="33A92BA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tcBorders>
              <w:top w:val="nil"/>
            </w:tcBorders>
            <w:vAlign w:val="center"/>
          </w:tcPr>
          <w:p w14:paraId="7BFD2D7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A0C5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FE21A0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200EBFF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70E72CC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6FAE14D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0462D68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5ECC98B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3C38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783FF2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1DE0CCA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541890D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4D7A58D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69AEC87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714D0B9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7523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E49AC2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1B5F62A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3557DFD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0733A9D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6406F89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7A7C8DA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9C92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81D688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2B40400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5AE490A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0D8F11A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44A5984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1FCF966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4EC6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62E46A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2859B33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143CF51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0193180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030C64A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0D7E64C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6B87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C8947A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798F9A9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152AEF3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2B28192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3C58BC0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3332963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208FA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EED6C2E">
            <w:pPr>
              <w:rPr>
                <w:rFonts w:ascii="Times New Roman" w:hAnsi="Times New Roman" w:eastAsia="仿宋_GB2312"/>
                <w:color w:val="auto"/>
                <w:sz w:val="30"/>
                <w:szCs w:val="30"/>
                <w:highlight w:val="none"/>
                <w:shd w:val="clear"/>
              </w:rPr>
            </w:pPr>
          </w:p>
        </w:tc>
        <w:tc>
          <w:tcPr>
            <w:tcW w:w="1276" w:type="dxa"/>
          </w:tcPr>
          <w:p w14:paraId="555C1599">
            <w:pPr>
              <w:rPr>
                <w:rFonts w:ascii="Times New Roman" w:hAnsi="Times New Roman" w:eastAsia="仿宋_GB2312"/>
                <w:color w:val="auto"/>
                <w:sz w:val="30"/>
                <w:szCs w:val="30"/>
                <w:highlight w:val="none"/>
                <w:shd w:val="clear"/>
              </w:rPr>
            </w:pPr>
          </w:p>
        </w:tc>
        <w:tc>
          <w:tcPr>
            <w:tcW w:w="1450" w:type="dxa"/>
          </w:tcPr>
          <w:p w14:paraId="48B57635">
            <w:pPr>
              <w:rPr>
                <w:rFonts w:ascii="Times New Roman" w:hAnsi="Times New Roman" w:eastAsia="仿宋_GB2312"/>
                <w:color w:val="auto"/>
                <w:sz w:val="30"/>
                <w:szCs w:val="30"/>
                <w:highlight w:val="none"/>
                <w:shd w:val="clear"/>
              </w:rPr>
            </w:pPr>
          </w:p>
        </w:tc>
        <w:tc>
          <w:tcPr>
            <w:tcW w:w="1243" w:type="dxa"/>
          </w:tcPr>
          <w:p w14:paraId="7484B11B">
            <w:pPr>
              <w:rPr>
                <w:rFonts w:ascii="Times New Roman" w:hAnsi="Times New Roman" w:eastAsia="仿宋_GB2312"/>
                <w:color w:val="auto"/>
                <w:sz w:val="30"/>
                <w:szCs w:val="30"/>
                <w:highlight w:val="none"/>
                <w:shd w:val="clear"/>
              </w:rPr>
            </w:pPr>
          </w:p>
        </w:tc>
        <w:tc>
          <w:tcPr>
            <w:tcW w:w="1450" w:type="dxa"/>
          </w:tcPr>
          <w:p w14:paraId="218B618E">
            <w:pPr>
              <w:rPr>
                <w:rFonts w:ascii="Times New Roman" w:hAnsi="Times New Roman" w:eastAsia="仿宋_GB2312"/>
                <w:color w:val="auto"/>
                <w:sz w:val="30"/>
                <w:szCs w:val="30"/>
                <w:highlight w:val="none"/>
                <w:shd w:val="clear"/>
              </w:rPr>
            </w:pPr>
          </w:p>
        </w:tc>
        <w:tc>
          <w:tcPr>
            <w:tcW w:w="1667" w:type="dxa"/>
          </w:tcPr>
          <w:p w14:paraId="7B2A4B17">
            <w:pPr>
              <w:rPr>
                <w:rFonts w:ascii="Times New Roman" w:hAnsi="Times New Roman" w:eastAsia="仿宋_GB2312"/>
                <w:color w:val="auto"/>
                <w:sz w:val="30"/>
                <w:szCs w:val="30"/>
                <w:highlight w:val="none"/>
                <w:shd w:val="clear"/>
              </w:rPr>
            </w:pPr>
          </w:p>
        </w:tc>
      </w:tr>
      <w:tr w14:paraId="1FEDD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32B71A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76" w:type="dxa"/>
            <w:vAlign w:val="center"/>
          </w:tcPr>
          <w:p w14:paraId="74B4676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47F0337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243" w:type="dxa"/>
            <w:vAlign w:val="center"/>
          </w:tcPr>
          <w:p w14:paraId="64F3FE2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50" w:type="dxa"/>
            <w:vAlign w:val="center"/>
          </w:tcPr>
          <w:p w14:paraId="7F6908E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67" w:type="dxa"/>
            <w:vAlign w:val="center"/>
          </w:tcPr>
          <w:p w14:paraId="7B87B31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2D9A8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26DCC90">
            <w:pPr>
              <w:rPr>
                <w:rFonts w:ascii="Times New Roman" w:hAnsi="Times New Roman" w:eastAsia="仿宋_GB2312"/>
                <w:color w:val="auto"/>
                <w:sz w:val="30"/>
                <w:szCs w:val="30"/>
                <w:highlight w:val="none"/>
                <w:shd w:val="clear"/>
              </w:rPr>
            </w:pPr>
          </w:p>
        </w:tc>
        <w:tc>
          <w:tcPr>
            <w:tcW w:w="1276" w:type="dxa"/>
          </w:tcPr>
          <w:p w14:paraId="494D55A0">
            <w:pPr>
              <w:rPr>
                <w:rFonts w:ascii="Times New Roman" w:hAnsi="Times New Roman" w:eastAsia="仿宋_GB2312"/>
                <w:color w:val="auto"/>
                <w:sz w:val="30"/>
                <w:szCs w:val="30"/>
                <w:highlight w:val="none"/>
                <w:shd w:val="clear"/>
              </w:rPr>
            </w:pPr>
          </w:p>
        </w:tc>
        <w:tc>
          <w:tcPr>
            <w:tcW w:w="1450" w:type="dxa"/>
          </w:tcPr>
          <w:p w14:paraId="36DAC680">
            <w:pPr>
              <w:rPr>
                <w:rFonts w:ascii="Times New Roman" w:hAnsi="Times New Roman" w:eastAsia="仿宋_GB2312"/>
                <w:color w:val="auto"/>
                <w:sz w:val="30"/>
                <w:szCs w:val="30"/>
                <w:highlight w:val="none"/>
                <w:shd w:val="clear"/>
              </w:rPr>
            </w:pPr>
          </w:p>
        </w:tc>
        <w:tc>
          <w:tcPr>
            <w:tcW w:w="1243" w:type="dxa"/>
          </w:tcPr>
          <w:p w14:paraId="01FDF226">
            <w:pPr>
              <w:rPr>
                <w:rFonts w:ascii="Times New Roman" w:hAnsi="Times New Roman" w:eastAsia="仿宋_GB2312"/>
                <w:color w:val="auto"/>
                <w:sz w:val="30"/>
                <w:szCs w:val="30"/>
                <w:highlight w:val="none"/>
                <w:shd w:val="clear"/>
              </w:rPr>
            </w:pPr>
          </w:p>
        </w:tc>
        <w:tc>
          <w:tcPr>
            <w:tcW w:w="1450" w:type="dxa"/>
          </w:tcPr>
          <w:p w14:paraId="063F4086">
            <w:pPr>
              <w:rPr>
                <w:rFonts w:ascii="Times New Roman" w:hAnsi="Times New Roman" w:eastAsia="仿宋_GB2312"/>
                <w:color w:val="auto"/>
                <w:sz w:val="30"/>
                <w:szCs w:val="30"/>
                <w:highlight w:val="none"/>
                <w:shd w:val="clear"/>
              </w:rPr>
            </w:pPr>
          </w:p>
        </w:tc>
        <w:tc>
          <w:tcPr>
            <w:tcW w:w="1667" w:type="dxa"/>
          </w:tcPr>
          <w:p w14:paraId="439B084F">
            <w:pPr>
              <w:rPr>
                <w:rFonts w:ascii="Times New Roman" w:hAnsi="Times New Roman" w:eastAsia="仿宋_GB2312"/>
                <w:color w:val="auto"/>
                <w:sz w:val="30"/>
                <w:szCs w:val="30"/>
                <w:highlight w:val="none"/>
                <w:shd w:val="clear"/>
              </w:rPr>
            </w:pPr>
          </w:p>
        </w:tc>
      </w:tr>
      <w:tr w14:paraId="3C511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D6A6C59">
            <w:pPr>
              <w:rPr>
                <w:rFonts w:ascii="Times New Roman" w:hAnsi="Times New Roman" w:eastAsia="仿宋_GB2312"/>
                <w:color w:val="auto"/>
                <w:sz w:val="30"/>
                <w:szCs w:val="30"/>
                <w:highlight w:val="none"/>
                <w:shd w:val="clear"/>
              </w:rPr>
            </w:pPr>
          </w:p>
        </w:tc>
        <w:tc>
          <w:tcPr>
            <w:tcW w:w="1276" w:type="dxa"/>
          </w:tcPr>
          <w:p w14:paraId="16CB6009">
            <w:pPr>
              <w:rPr>
                <w:rFonts w:ascii="Times New Roman" w:hAnsi="Times New Roman" w:eastAsia="仿宋_GB2312"/>
                <w:color w:val="auto"/>
                <w:sz w:val="30"/>
                <w:szCs w:val="30"/>
                <w:highlight w:val="none"/>
                <w:shd w:val="clear"/>
              </w:rPr>
            </w:pPr>
          </w:p>
        </w:tc>
        <w:tc>
          <w:tcPr>
            <w:tcW w:w="1450" w:type="dxa"/>
          </w:tcPr>
          <w:p w14:paraId="132FFA9C">
            <w:pPr>
              <w:rPr>
                <w:rFonts w:ascii="Times New Roman" w:hAnsi="Times New Roman" w:eastAsia="仿宋_GB2312"/>
                <w:color w:val="auto"/>
                <w:sz w:val="30"/>
                <w:szCs w:val="30"/>
                <w:highlight w:val="none"/>
                <w:shd w:val="clear"/>
              </w:rPr>
            </w:pPr>
          </w:p>
        </w:tc>
        <w:tc>
          <w:tcPr>
            <w:tcW w:w="1243" w:type="dxa"/>
          </w:tcPr>
          <w:p w14:paraId="32ADF522">
            <w:pPr>
              <w:rPr>
                <w:rFonts w:ascii="Times New Roman" w:hAnsi="Times New Roman" w:eastAsia="仿宋_GB2312"/>
                <w:color w:val="auto"/>
                <w:sz w:val="30"/>
                <w:szCs w:val="30"/>
                <w:highlight w:val="none"/>
                <w:shd w:val="clear"/>
              </w:rPr>
            </w:pPr>
          </w:p>
        </w:tc>
        <w:tc>
          <w:tcPr>
            <w:tcW w:w="1450" w:type="dxa"/>
          </w:tcPr>
          <w:p w14:paraId="56A1F79C">
            <w:pPr>
              <w:rPr>
                <w:rFonts w:ascii="Times New Roman" w:hAnsi="Times New Roman" w:eastAsia="仿宋_GB2312"/>
                <w:color w:val="auto"/>
                <w:sz w:val="30"/>
                <w:szCs w:val="30"/>
                <w:highlight w:val="none"/>
                <w:shd w:val="clear"/>
              </w:rPr>
            </w:pPr>
          </w:p>
        </w:tc>
        <w:tc>
          <w:tcPr>
            <w:tcW w:w="1667" w:type="dxa"/>
          </w:tcPr>
          <w:p w14:paraId="1EA508D8">
            <w:pPr>
              <w:rPr>
                <w:rFonts w:ascii="Times New Roman" w:hAnsi="Times New Roman" w:eastAsia="仿宋_GB2312"/>
                <w:color w:val="auto"/>
                <w:sz w:val="30"/>
                <w:szCs w:val="30"/>
                <w:highlight w:val="none"/>
                <w:shd w:val="clear"/>
              </w:rPr>
            </w:pPr>
          </w:p>
        </w:tc>
      </w:tr>
      <w:tr w14:paraId="281D2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D4EBF86">
            <w:pPr>
              <w:rPr>
                <w:rFonts w:ascii="Times New Roman" w:hAnsi="Times New Roman" w:eastAsia="仿宋_GB2312"/>
                <w:color w:val="auto"/>
                <w:sz w:val="30"/>
                <w:szCs w:val="30"/>
                <w:highlight w:val="none"/>
                <w:shd w:val="clear"/>
              </w:rPr>
            </w:pPr>
          </w:p>
        </w:tc>
        <w:tc>
          <w:tcPr>
            <w:tcW w:w="1276" w:type="dxa"/>
          </w:tcPr>
          <w:p w14:paraId="2116337A">
            <w:pPr>
              <w:rPr>
                <w:rFonts w:ascii="Times New Roman" w:hAnsi="Times New Roman" w:eastAsia="仿宋_GB2312"/>
                <w:color w:val="auto"/>
                <w:sz w:val="30"/>
                <w:szCs w:val="30"/>
                <w:highlight w:val="none"/>
                <w:shd w:val="clear"/>
              </w:rPr>
            </w:pPr>
          </w:p>
        </w:tc>
        <w:tc>
          <w:tcPr>
            <w:tcW w:w="1450" w:type="dxa"/>
          </w:tcPr>
          <w:p w14:paraId="6BC180D8">
            <w:pPr>
              <w:rPr>
                <w:rFonts w:ascii="Times New Roman" w:hAnsi="Times New Roman" w:eastAsia="仿宋_GB2312"/>
                <w:color w:val="auto"/>
                <w:sz w:val="30"/>
                <w:szCs w:val="30"/>
                <w:highlight w:val="none"/>
                <w:shd w:val="clear"/>
              </w:rPr>
            </w:pPr>
          </w:p>
        </w:tc>
        <w:tc>
          <w:tcPr>
            <w:tcW w:w="1243" w:type="dxa"/>
          </w:tcPr>
          <w:p w14:paraId="7978E124">
            <w:pPr>
              <w:rPr>
                <w:rFonts w:ascii="Times New Roman" w:hAnsi="Times New Roman" w:eastAsia="仿宋_GB2312"/>
                <w:color w:val="auto"/>
                <w:sz w:val="30"/>
                <w:szCs w:val="30"/>
                <w:highlight w:val="none"/>
                <w:shd w:val="clear"/>
              </w:rPr>
            </w:pPr>
          </w:p>
        </w:tc>
        <w:tc>
          <w:tcPr>
            <w:tcW w:w="1450" w:type="dxa"/>
          </w:tcPr>
          <w:p w14:paraId="2D6219E4">
            <w:pPr>
              <w:rPr>
                <w:rFonts w:ascii="Times New Roman" w:hAnsi="Times New Roman" w:eastAsia="仿宋_GB2312"/>
                <w:color w:val="auto"/>
                <w:sz w:val="30"/>
                <w:szCs w:val="30"/>
                <w:highlight w:val="none"/>
                <w:shd w:val="clear"/>
              </w:rPr>
            </w:pPr>
          </w:p>
        </w:tc>
        <w:tc>
          <w:tcPr>
            <w:tcW w:w="1667" w:type="dxa"/>
          </w:tcPr>
          <w:p w14:paraId="27880464">
            <w:pPr>
              <w:rPr>
                <w:rFonts w:ascii="Times New Roman" w:hAnsi="Times New Roman" w:eastAsia="仿宋_GB2312"/>
                <w:color w:val="auto"/>
                <w:sz w:val="30"/>
                <w:szCs w:val="30"/>
                <w:highlight w:val="none"/>
                <w:shd w:val="clear"/>
              </w:rPr>
            </w:pPr>
          </w:p>
        </w:tc>
      </w:tr>
      <w:tr w14:paraId="2F337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21B7A31">
            <w:pPr>
              <w:rPr>
                <w:rFonts w:ascii="Times New Roman" w:hAnsi="Times New Roman" w:eastAsia="仿宋_GB2312"/>
                <w:color w:val="auto"/>
                <w:sz w:val="30"/>
                <w:szCs w:val="30"/>
                <w:highlight w:val="none"/>
                <w:shd w:val="clear"/>
              </w:rPr>
            </w:pPr>
          </w:p>
        </w:tc>
        <w:tc>
          <w:tcPr>
            <w:tcW w:w="1276" w:type="dxa"/>
          </w:tcPr>
          <w:p w14:paraId="732B5A5A">
            <w:pPr>
              <w:rPr>
                <w:rFonts w:ascii="Times New Roman" w:hAnsi="Times New Roman" w:eastAsia="仿宋_GB2312"/>
                <w:color w:val="auto"/>
                <w:sz w:val="30"/>
                <w:szCs w:val="30"/>
                <w:highlight w:val="none"/>
                <w:shd w:val="clear"/>
              </w:rPr>
            </w:pPr>
          </w:p>
        </w:tc>
        <w:tc>
          <w:tcPr>
            <w:tcW w:w="1450" w:type="dxa"/>
          </w:tcPr>
          <w:p w14:paraId="61362382">
            <w:pPr>
              <w:rPr>
                <w:rFonts w:ascii="Times New Roman" w:hAnsi="Times New Roman" w:eastAsia="仿宋_GB2312"/>
                <w:color w:val="auto"/>
                <w:sz w:val="30"/>
                <w:szCs w:val="30"/>
                <w:highlight w:val="none"/>
                <w:shd w:val="clear"/>
              </w:rPr>
            </w:pPr>
          </w:p>
        </w:tc>
        <w:tc>
          <w:tcPr>
            <w:tcW w:w="1243" w:type="dxa"/>
          </w:tcPr>
          <w:p w14:paraId="74FD29E2">
            <w:pPr>
              <w:rPr>
                <w:rFonts w:ascii="Times New Roman" w:hAnsi="Times New Roman" w:eastAsia="仿宋_GB2312"/>
                <w:color w:val="auto"/>
                <w:sz w:val="30"/>
                <w:szCs w:val="30"/>
                <w:highlight w:val="none"/>
                <w:shd w:val="clear"/>
              </w:rPr>
            </w:pPr>
          </w:p>
        </w:tc>
        <w:tc>
          <w:tcPr>
            <w:tcW w:w="1450" w:type="dxa"/>
          </w:tcPr>
          <w:p w14:paraId="2F3CC661">
            <w:pPr>
              <w:rPr>
                <w:rFonts w:ascii="Times New Roman" w:hAnsi="Times New Roman" w:eastAsia="仿宋_GB2312"/>
                <w:color w:val="auto"/>
                <w:sz w:val="30"/>
                <w:szCs w:val="30"/>
                <w:highlight w:val="none"/>
                <w:shd w:val="clear"/>
              </w:rPr>
            </w:pPr>
          </w:p>
        </w:tc>
        <w:tc>
          <w:tcPr>
            <w:tcW w:w="1667" w:type="dxa"/>
          </w:tcPr>
          <w:p w14:paraId="499333B5">
            <w:pPr>
              <w:rPr>
                <w:rFonts w:ascii="Times New Roman" w:hAnsi="Times New Roman" w:eastAsia="仿宋_GB2312"/>
                <w:color w:val="auto"/>
                <w:sz w:val="30"/>
                <w:szCs w:val="30"/>
                <w:highlight w:val="none"/>
                <w:shd w:val="clear"/>
              </w:rPr>
            </w:pPr>
          </w:p>
        </w:tc>
      </w:tr>
      <w:tr w14:paraId="4DD0A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14:paraId="6374D46F">
            <w:pPr>
              <w:rPr>
                <w:rFonts w:ascii="Times New Roman" w:hAnsi="Times New Roman" w:eastAsia="仿宋_GB2312"/>
                <w:color w:val="auto"/>
                <w:sz w:val="30"/>
                <w:szCs w:val="30"/>
                <w:highlight w:val="none"/>
                <w:shd w:val="clear"/>
              </w:rPr>
            </w:pPr>
          </w:p>
        </w:tc>
        <w:tc>
          <w:tcPr>
            <w:tcW w:w="1276" w:type="dxa"/>
          </w:tcPr>
          <w:p w14:paraId="1406A182">
            <w:pPr>
              <w:rPr>
                <w:rFonts w:ascii="Times New Roman" w:hAnsi="Times New Roman" w:eastAsia="仿宋_GB2312"/>
                <w:color w:val="auto"/>
                <w:sz w:val="30"/>
                <w:szCs w:val="30"/>
                <w:highlight w:val="none"/>
                <w:shd w:val="clear"/>
              </w:rPr>
            </w:pPr>
          </w:p>
        </w:tc>
        <w:tc>
          <w:tcPr>
            <w:tcW w:w="1450" w:type="dxa"/>
          </w:tcPr>
          <w:p w14:paraId="5D6EC361">
            <w:pPr>
              <w:rPr>
                <w:rFonts w:ascii="Times New Roman" w:hAnsi="Times New Roman" w:eastAsia="仿宋_GB2312"/>
                <w:color w:val="auto"/>
                <w:sz w:val="30"/>
                <w:szCs w:val="30"/>
                <w:highlight w:val="none"/>
                <w:shd w:val="clear"/>
              </w:rPr>
            </w:pPr>
          </w:p>
        </w:tc>
        <w:tc>
          <w:tcPr>
            <w:tcW w:w="1243" w:type="dxa"/>
          </w:tcPr>
          <w:p w14:paraId="7D4A4131">
            <w:pPr>
              <w:rPr>
                <w:rFonts w:ascii="Times New Roman" w:hAnsi="Times New Roman" w:eastAsia="仿宋_GB2312"/>
                <w:color w:val="auto"/>
                <w:sz w:val="30"/>
                <w:szCs w:val="30"/>
                <w:highlight w:val="none"/>
                <w:shd w:val="clear"/>
              </w:rPr>
            </w:pPr>
          </w:p>
        </w:tc>
        <w:tc>
          <w:tcPr>
            <w:tcW w:w="1450" w:type="dxa"/>
          </w:tcPr>
          <w:p w14:paraId="24B3F6A7">
            <w:pPr>
              <w:rPr>
                <w:rFonts w:ascii="Times New Roman" w:hAnsi="Times New Roman" w:eastAsia="仿宋_GB2312"/>
                <w:color w:val="auto"/>
                <w:sz w:val="30"/>
                <w:szCs w:val="30"/>
                <w:highlight w:val="none"/>
                <w:shd w:val="clear"/>
              </w:rPr>
            </w:pPr>
          </w:p>
        </w:tc>
        <w:tc>
          <w:tcPr>
            <w:tcW w:w="1667" w:type="dxa"/>
          </w:tcPr>
          <w:p w14:paraId="270A3644">
            <w:pPr>
              <w:rPr>
                <w:rFonts w:ascii="Times New Roman" w:hAnsi="Times New Roman" w:eastAsia="仿宋_GB2312"/>
                <w:color w:val="auto"/>
                <w:sz w:val="30"/>
                <w:szCs w:val="30"/>
                <w:highlight w:val="none"/>
                <w:shd w:val="clear"/>
              </w:rPr>
            </w:pPr>
          </w:p>
        </w:tc>
      </w:tr>
      <w:tr w14:paraId="21810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7C21AF8">
            <w:pPr>
              <w:rPr>
                <w:rFonts w:ascii="Times New Roman" w:hAnsi="Times New Roman" w:eastAsia="仿宋_GB2312"/>
                <w:color w:val="auto"/>
                <w:sz w:val="30"/>
                <w:szCs w:val="30"/>
                <w:highlight w:val="none"/>
                <w:shd w:val="clear"/>
              </w:rPr>
            </w:pPr>
          </w:p>
        </w:tc>
        <w:tc>
          <w:tcPr>
            <w:tcW w:w="1276" w:type="dxa"/>
          </w:tcPr>
          <w:p w14:paraId="4C918DD6">
            <w:pPr>
              <w:rPr>
                <w:rFonts w:ascii="Times New Roman" w:hAnsi="Times New Roman" w:eastAsia="仿宋_GB2312"/>
                <w:color w:val="auto"/>
                <w:sz w:val="30"/>
                <w:szCs w:val="30"/>
                <w:highlight w:val="none"/>
                <w:shd w:val="clear"/>
              </w:rPr>
            </w:pPr>
          </w:p>
        </w:tc>
        <w:tc>
          <w:tcPr>
            <w:tcW w:w="1450" w:type="dxa"/>
          </w:tcPr>
          <w:p w14:paraId="06FB1A3F">
            <w:pPr>
              <w:rPr>
                <w:rFonts w:ascii="Times New Roman" w:hAnsi="Times New Roman" w:eastAsia="仿宋_GB2312"/>
                <w:color w:val="auto"/>
                <w:sz w:val="30"/>
                <w:szCs w:val="30"/>
                <w:highlight w:val="none"/>
                <w:shd w:val="clear"/>
              </w:rPr>
            </w:pPr>
          </w:p>
        </w:tc>
        <w:tc>
          <w:tcPr>
            <w:tcW w:w="1243" w:type="dxa"/>
          </w:tcPr>
          <w:p w14:paraId="6A2A8BA5">
            <w:pPr>
              <w:rPr>
                <w:rFonts w:ascii="Times New Roman" w:hAnsi="Times New Roman" w:eastAsia="仿宋_GB2312"/>
                <w:color w:val="auto"/>
                <w:sz w:val="30"/>
                <w:szCs w:val="30"/>
                <w:highlight w:val="none"/>
                <w:shd w:val="clear"/>
              </w:rPr>
            </w:pPr>
          </w:p>
        </w:tc>
        <w:tc>
          <w:tcPr>
            <w:tcW w:w="1450" w:type="dxa"/>
          </w:tcPr>
          <w:p w14:paraId="7D3C31F2">
            <w:pPr>
              <w:rPr>
                <w:rFonts w:ascii="Times New Roman" w:hAnsi="Times New Roman" w:eastAsia="仿宋_GB2312"/>
                <w:color w:val="auto"/>
                <w:sz w:val="30"/>
                <w:szCs w:val="30"/>
                <w:highlight w:val="none"/>
                <w:shd w:val="clear"/>
              </w:rPr>
            </w:pPr>
          </w:p>
        </w:tc>
        <w:tc>
          <w:tcPr>
            <w:tcW w:w="1667" w:type="dxa"/>
          </w:tcPr>
          <w:p w14:paraId="09551E88">
            <w:pPr>
              <w:rPr>
                <w:rFonts w:ascii="Times New Roman" w:hAnsi="Times New Roman" w:eastAsia="仿宋_GB2312"/>
                <w:color w:val="auto"/>
                <w:sz w:val="30"/>
                <w:szCs w:val="30"/>
                <w:highlight w:val="none"/>
                <w:shd w:val="clear"/>
              </w:rPr>
            </w:pPr>
          </w:p>
        </w:tc>
      </w:tr>
      <w:tr w14:paraId="4E1EB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DE5ED99">
            <w:pPr>
              <w:rPr>
                <w:rFonts w:ascii="Times New Roman" w:hAnsi="Times New Roman" w:eastAsia="仿宋_GB2312"/>
                <w:color w:val="auto"/>
                <w:sz w:val="30"/>
                <w:szCs w:val="30"/>
                <w:highlight w:val="none"/>
                <w:shd w:val="clear"/>
              </w:rPr>
            </w:pPr>
          </w:p>
        </w:tc>
        <w:tc>
          <w:tcPr>
            <w:tcW w:w="1276" w:type="dxa"/>
          </w:tcPr>
          <w:p w14:paraId="28D8E944">
            <w:pPr>
              <w:rPr>
                <w:rFonts w:ascii="Times New Roman" w:hAnsi="Times New Roman" w:eastAsia="仿宋_GB2312"/>
                <w:color w:val="auto"/>
                <w:sz w:val="30"/>
                <w:szCs w:val="30"/>
                <w:highlight w:val="none"/>
                <w:shd w:val="clear"/>
              </w:rPr>
            </w:pPr>
          </w:p>
        </w:tc>
        <w:tc>
          <w:tcPr>
            <w:tcW w:w="1450" w:type="dxa"/>
          </w:tcPr>
          <w:p w14:paraId="247991B9">
            <w:pPr>
              <w:rPr>
                <w:rFonts w:ascii="Times New Roman" w:hAnsi="Times New Roman" w:eastAsia="仿宋_GB2312"/>
                <w:color w:val="auto"/>
                <w:sz w:val="30"/>
                <w:szCs w:val="30"/>
                <w:highlight w:val="none"/>
                <w:shd w:val="clear"/>
              </w:rPr>
            </w:pPr>
          </w:p>
        </w:tc>
        <w:tc>
          <w:tcPr>
            <w:tcW w:w="1243" w:type="dxa"/>
          </w:tcPr>
          <w:p w14:paraId="66D82CA3">
            <w:pPr>
              <w:rPr>
                <w:rFonts w:ascii="Times New Roman" w:hAnsi="Times New Roman" w:eastAsia="仿宋_GB2312"/>
                <w:color w:val="auto"/>
                <w:sz w:val="30"/>
                <w:szCs w:val="30"/>
                <w:highlight w:val="none"/>
                <w:shd w:val="clear"/>
              </w:rPr>
            </w:pPr>
          </w:p>
        </w:tc>
        <w:tc>
          <w:tcPr>
            <w:tcW w:w="1450" w:type="dxa"/>
          </w:tcPr>
          <w:p w14:paraId="0E355F88">
            <w:pPr>
              <w:rPr>
                <w:rFonts w:ascii="Times New Roman" w:hAnsi="Times New Roman" w:eastAsia="仿宋_GB2312"/>
                <w:color w:val="auto"/>
                <w:sz w:val="30"/>
                <w:szCs w:val="30"/>
                <w:highlight w:val="none"/>
                <w:shd w:val="clear"/>
              </w:rPr>
            </w:pPr>
          </w:p>
        </w:tc>
        <w:tc>
          <w:tcPr>
            <w:tcW w:w="1667" w:type="dxa"/>
          </w:tcPr>
          <w:p w14:paraId="309E909D">
            <w:pPr>
              <w:rPr>
                <w:rFonts w:ascii="Times New Roman" w:hAnsi="Times New Roman" w:eastAsia="仿宋_GB2312"/>
                <w:color w:val="auto"/>
                <w:sz w:val="30"/>
                <w:szCs w:val="30"/>
                <w:highlight w:val="none"/>
                <w:shd w:val="clear"/>
              </w:rPr>
            </w:pPr>
          </w:p>
        </w:tc>
      </w:tr>
      <w:tr w14:paraId="424DE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6B87EE">
            <w:pPr>
              <w:rPr>
                <w:rFonts w:ascii="Times New Roman" w:hAnsi="Times New Roman" w:eastAsia="仿宋_GB2312"/>
                <w:color w:val="auto"/>
                <w:sz w:val="30"/>
                <w:szCs w:val="30"/>
                <w:highlight w:val="none"/>
                <w:shd w:val="clear"/>
              </w:rPr>
            </w:pPr>
          </w:p>
        </w:tc>
        <w:tc>
          <w:tcPr>
            <w:tcW w:w="1276" w:type="dxa"/>
          </w:tcPr>
          <w:p w14:paraId="374A5F59">
            <w:pPr>
              <w:rPr>
                <w:rFonts w:ascii="Times New Roman" w:hAnsi="Times New Roman" w:eastAsia="仿宋_GB2312"/>
                <w:color w:val="auto"/>
                <w:sz w:val="30"/>
                <w:szCs w:val="30"/>
                <w:highlight w:val="none"/>
                <w:shd w:val="clear"/>
              </w:rPr>
            </w:pPr>
          </w:p>
        </w:tc>
        <w:tc>
          <w:tcPr>
            <w:tcW w:w="1450" w:type="dxa"/>
          </w:tcPr>
          <w:p w14:paraId="3B38A16A">
            <w:pPr>
              <w:rPr>
                <w:rFonts w:ascii="Times New Roman" w:hAnsi="Times New Roman" w:eastAsia="仿宋_GB2312"/>
                <w:color w:val="auto"/>
                <w:sz w:val="30"/>
                <w:szCs w:val="30"/>
                <w:highlight w:val="none"/>
                <w:shd w:val="clear"/>
              </w:rPr>
            </w:pPr>
          </w:p>
        </w:tc>
        <w:tc>
          <w:tcPr>
            <w:tcW w:w="1243" w:type="dxa"/>
          </w:tcPr>
          <w:p w14:paraId="06952F4F">
            <w:pPr>
              <w:rPr>
                <w:rFonts w:ascii="Times New Roman" w:hAnsi="Times New Roman" w:eastAsia="仿宋_GB2312"/>
                <w:color w:val="auto"/>
                <w:sz w:val="30"/>
                <w:szCs w:val="30"/>
                <w:highlight w:val="none"/>
                <w:shd w:val="clear"/>
              </w:rPr>
            </w:pPr>
          </w:p>
        </w:tc>
        <w:tc>
          <w:tcPr>
            <w:tcW w:w="1450" w:type="dxa"/>
          </w:tcPr>
          <w:p w14:paraId="2444AE56">
            <w:pPr>
              <w:rPr>
                <w:rFonts w:ascii="Times New Roman" w:hAnsi="Times New Roman" w:eastAsia="仿宋_GB2312"/>
                <w:color w:val="auto"/>
                <w:sz w:val="30"/>
                <w:szCs w:val="30"/>
                <w:highlight w:val="none"/>
                <w:shd w:val="clear"/>
              </w:rPr>
            </w:pPr>
          </w:p>
        </w:tc>
        <w:tc>
          <w:tcPr>
            <w:tcW w:w="1667" w:type="dxa"/>
          </w:tcPr>
          <w:p w14:paraId="79E0DB67">
            <w:pPr>
              <w:rPr>
                <w:rFonts w:ascii="Times New Roman" w:hAnsi="Times New Roman" w:eastAsia="仿宋_GB2312"/>
                <w:color w:val="auto"/>
                <w:sz w:val="30"/>
                <w:szCs w:val="30"/>
                <w:highlight w:val="none"/>
                <w:shd w:val="clear"/>
              </w:rPr>
            </w:pPr>
          </w:p>
        </w:tc>
      </w:tr>
      <w:tr w14:paraId="52683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1AA3410">
            <w:pPr>
              <w:rPr>
                <w:rFonts w:ascii="Times New Roman" w:hAnsi="Times New Roman" w:eastAsia="仿宋_GB2312"/>
                <w:color w:val="auto"/>
                <w:sz w:val="30"/>
                <w:szCs w:val="30"/>
                <w:highlight w:val="none"/>
                <w:shd w:val="clear"/>
              </w:rPr>
            </w:pPr>
          </w:p>
        </w:tc>
        <w:tc>
          <w:tcPr>
            <w:tcW w:w="1276" w:type="dxa"/>
          </w:tcPr>
          <w:p w14:paraId="399C22AE">
            <w:pPr>
              <w:rPr>
                <w:rFonts w:ascii="Times New Roman" w:hAnsi="Times New Roman" w:eastAsia="仿宋_GB2312"/>
                <w:color w:val="auto"/>
                <w:sz w:val="30"/>
                <w:szCs w:val="30"/>
                <w:highlight w:val="none"/>
                <w:shd w:val="clear"/>
              </w:rPr>
            </w:pPr>
          </w:p>
        </w:tc>
        <w:tc>
          <w:tcPr>
            <w:tcW w:w="1450" w:type="dxa"/>
          </w:tcPr>
          <w:p w14:paraId="35EB3106">
            <w:pPr>
              <w:rPr>
                <w:rFonts w:ascii="Times New Roman" w:hAnsi="Times New Roman" w:eastAsia="仿宋_GB2312"/>
                <w:color w:val="auto"/>
                <w:sz w:val="30"/>
                <w:szCs w:val="30"/>
                <w:highlight w:val="none"/>
                <w:shd w:val="clear"/>
              </w:rPr>
            </w:pPr>
          </w:p>
        </w:tc>
        <w:tc>
          <w:tcPr>
            <w:tcW w:w="1243" w:type="dxa"/>
          </w:tcPr>
          <w:p w14:paraId="1AC4756B">
            <w:pPr>
              <w:rPr>
                <w:rFonts w:ascii="Times New Roman" w:hAnsi="Times New Roman" w:eastAsia="仿宋_GB2312"/>
                <w:color w:val="auto"/>
                <w:sz w:val="30"/>
                <w:szCs w:val="30"/>
                <w:highlight w:val="none"/>
                <w:shd w:val="clear"/>
              </w:rPr>
            </w:pPr>
          </w:p>
        </w:tc>
        <w:tc>
          <w:tcPr>
            <w:tcW w:w="1450" w:type="dxa"/>
          </w:tcPr>
          <w:p w14:paraId="7DD95339">
            <w:pPr>
              <w:rPr>
                <w:rFonts w:ascii="Times New Roman" w:hAnsi="Times New Roman" w:eastAsia="仿宋_GB2312"/>
                <w:color w:val="auto"/>
                <w:sz w:val="30"/>
                <w:szCs w:val="30"/>
                <w:highlight w:val="none"/>
                <w:shd w:val="clear"/>
              </w:rPr>
            </w:pPr>
          </w:p>
        </w:tc>
        <w:tc>
          <w:tcPr>
            <w:tcW w:w="1667" w:type="dxa"/>
          </w:tcPr>
          <w:p w14:paraId="155AAB3E">
            <w:pPr>
              <w:rPr>
                <w:rFonts w:ascii="Times New Roman" w:hAnsi="Times New Roman" w:eastAsia="仿宋_GB2312"/>
                <w:color w:val="auto"/>
                <w:sz w:val="30"/>
                <w:szCs w:val="30"/>
                <w:highlight w:val="none"/>
                <w:shd w:val="clear"/>
              </w:rPr>
            </w:pPr>
          </w:p>
        </w:tc>
      </w:tr>
    </w:tbl>
    <w:p w14:paraId="02C5314B">
      <w:pPr>
        <w:pStyle w:val="33"/>
        <w:rPr>
          <w:color w:val="auto"/>
          <w:sz w:val="30"/>
          <w:szCs w:val="30"/>
          <w:highlight w:val="none"/>
          <w:shd w:val="clear"/>
        </w:rPr>
      </w:pPr>
      <w:r>
        <w:rPr>
          <w:rFonts w:eastAsia="仿宋_GB2312"/>
          <w:color w:val="auto"/>
          <w:sz w:val="30"/>
          <w:szCs w:val="30"/>
          <w:highlight w:val="none"/>
          <w:shd w:val="clear"/>
        </w:rPr>
        <w:br w:type="page"/>
      </w:r>
      <w:r>
        <w:rPr>
          <w:color w:val="auto"/>
          <w:highlight w:val="none"/>
          <w:shd w:val="clear"/>
        </w:rPr>
        <w:t>附</w:t>
      </w:r>
      <w:bookmarkStart w:id="1952" w:name="_Toc267261698"/>
      <w:bookmarkStart w:id="1953" w:name="_Toc296346728"/>
      <w:bookmarkStart w:id="1954" w:name="_Toc296944566"/>
      <w:bookmarkStart w:id="1955" w:name="_Toc296347226"/>
      <w:bookmarkStart w:id="1956" w:name="_Toc296891055"/>
      <w:bookmarkStart w:id="1957" w:name="_Toc296891267"/>
      <w:bookmarkStart w:id="1958" w:name="_Toc296503227"/>
      <w:r>
        <w:rPr>
          <w:color w:val="auto"/>
          <w:highlight w:val="none"/>
          <w:shd w:val="clear"/>
        </w:rPr>
        <w:t>件5：</w:t>
      </w:r>
    </w:p>
    <w:bookmarkEnd w:id="1952"/>
    <w:bookmarkEnd w:id="1953"/>
    <w:bookmarkEnd w:id="1954"/>
    <w:bookmarkEnd w:id="1955"/>
    <w:bookmarkEnd w:id="1956"/>
    <w:bookmarkEnd w:id="1957"/>
    <w:bookmarkEnd w:id="1958"/>
    <w:p w14:paraId="6200AEE2">
      <w:pPr>
        <w:pStyle w:val="20"/>
        <w:rPr>
          <w:rFonts w:ascii="Times New Roman" w:hAnsi="Times New Roman"/>
          <w:color w:val="auto"/>
          <w:highlight w:val="none"/>
          <w:shd w:val="clear"/>
        </w:rPr>
      </w:pPr>
      <w:bookmarkStart w:id="1959" w:name="_Toc170805745"/>
      <w:bookmarkStart w:id="1960" w:name="_Toc170805365"/>
      <w:bookmarkStart w:id="1961" w:name="_Toc170804177"/>
      <w:r>
        <w:rPr>
          <w:rFonts w:ascii="Times New Roman" w:hAnsi="Times New Roman"/>
          <w:color w:val="auto"/>
          <w:highlight w:val="none"/>
          <w:shd w:val="clear"/>
        </w:rPr>
        <w:t>承包人用于本工程施工的机械设备表</w:t>
      </w:r>
      <w:bookmarkEnd w:id="1959"/>
      <w:bookmarkEnd w:id="1960"/>
      <w:bookmarkEnd w:id="1961"/>
    </w:p>
    <w:tbl>
      <w:tblPr>
        <w:tblStyle w:val="1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8"/>
        <w:gridCol w:w="1602"/>
        <w:gridCol w:w="949"/>
        <w:gridCol w:w="959"/>
        <w:gridCol w:w="880"/>
        <w:gridCol w:w="1020"/>
        <w:gridCol w:w="1480"/>
        <w:gridCol w:w="1020"/>
        <w:gridCol w:w="921"/>
      </w:tblGrid>
      <w:tr w14:paraId="14314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 w:type="dxa"/>
            <w:tcBorders>
              <w:top w:val="single" w:color="auto" w:sz="12" w:space="0"/>
              <w:bottom w:val="double" w:color="auto" w:sz="6" w:space="0"/>
            </w:tcBorders>
            <w:vAlign w:val="center"/>
          </w:tcPr>
          <w:p w14:paraId="4F420D7D">
            <w:pPr>
              <w:pStyle w:val="28"/>
              <w:rPr>
                <w:rFonts w:ascii="Times New Roman" w:hAnsi="Times New Roman"/>
                <w:color w:val="auto"/>
                <w:highlight w:val="none"/>
                <w:shd w:val="clear"/>
              </w:rPr>
            </w:pPr>
            <w:r>
              <w:rPr>
                <w:rFonts w:ascii="Times New Roman" w:hAnsi="Times New Roman"/>
                <w:color w:val="auto"/>
                <w:highlight w:val="none"/>
                <w:shd w:val="clear"/>
              </w:rPr>
              <w:t>序号</w:t>
            </w:r>
          </w:p>
        </w:tc>
        <w:tc>
          <w:tcPr>
            <w:tcW w:w="1602" w:type="dxa"/>
            <w:tcBorders>
              <w:top w:val="single" w:color="auto" w:sz="12" w:space="0"/>
              <w:bottom w:val="double" w:color="auto" w:sz="6" w:space="0"/>
            </w:tcBorders>
            <w:vAlign w:val="center"/>
          </w:tcPr>
          <w:p w14:paraId="340C48C8">
            <w:pPr>
              <w:pStyle w:val="28"/>
              <w:rPr>
                <w:rFonts w:ascii="Times New Roman" w:hAnsi="Times New Roman"/>
                <w:color w:val="auto"/>
                <w:highlight w:val="none"/>
                <w:shd w:val="clear"/>
              </w:rPr>
            </w:pPr>
            <w:r>
              <w:rPr>
                <w:rFonts w:ascii="Times New Roman" w:hAnsi="Times New Roman"/>
                <w:color w:val="auto"/>
                <w:highlight w:val="none"/>
                <w:shd w:val="clear"/>
              </w:rPr>
              <w:t>机械或设备名称</w:t>
            </w:r>
          </w:p>
        </w:tc>
        <w:tc>
          <w:tcPr>
            <w:tcW w:w="949" w:type="dxa"/>
            <w:tcBorders>
              <w:top w:val="single" w:color="auto" w:sz="12" w:space="0"/>
              <w:bottom w:val="double" w:color="auto" w:sz="6" w:space="0"/>
            </w:tcBorders>
            <w:vAlign w:val="center"/>
          </w:tcPr>
          <w:p w14:paraId="5650E85D">
            <w:pPr>
              <w:pStyle w:val="28"/>
              <w:rPr>
                <w:rFonts w:ascii="Times New Roman" w:hAnsi="Times New Roman"/>
                <w:color w:val="auto"/>
                <w:highlight w:val="none"/>
                <w:shd w:val="clear"/>
              </w:rPr>
            </w:pPr>
            <w:r>
              <w:rPr>
                <w:rFonts w:ascii="Times New Roman" w:hAnsi="Times New Roman"/>
                <w:color w:val="auto"/>
                <w:highlight w:val="none"/>
                <w:shd w:val="clear"/>
              </w:rPr>
              <w:t>规格型号</w:t>
            </w:r>
          </w:p>
        </w:tc>
        <w:tc>
          <w:tcPr>
            <w:tcW w:w="959" w:type="dxa"/>
            <w:tcBorders>
              <w:top w:val="single" w:color="auto" w:sz="12" w:space="0"/>
              <w:bottom w:val="double" w:color="auto" w:sz="6" w:space="0"/>
            </w:tcBorders>
            <w:vAlign w:val="center"/>
          </w:tcPr>
          <w:p w14:paraId="78EF0B1A">
            <w:pPr>
              <w:pStyle w:val="28"/>
              <w:rPr>
                <w:rFonts w:ascii="Times New Roman" w:hAnsi="Times New Roman"/>
                <w:color w:val="auto"/>
                <w:highlight w:val="none"/>
                <w:shd w:val="clear"/>
              </w:rPr>
            </w:pPr>
            <w:r>
              <w:rPr>
                <w:rFonts w:ascii="Times New Roman" w:hAnsi="Times New Roman"/>
                <w:color w:val="auto"/>
                <w:highlight w:val="none"/>
                <w:shd w:val="clear"/>
              </w:rPr>
              <w:t>数量</w:t>
            </w:r>
          </w:p>
        </w:tc>
        <w:tc>
          <w:tcPr>
            <w:tcW w:w="880" w:type="dxa"/>
            <w:tcBorders>
              <w:top w:val="single" w:color="auto" w:sz="12" w:space="0"/>
              <w:bottom w:val="double" w:color="auto" w:sz="6" w:space="0"/>
            </w:tcBorders>
            <w:vAlign w:val="center"/>
          </w:tcPr>
          <w:p w14:paraId="0589E40D">
            <w:pPr>
              <w:pStyle w:val="28"/>
              <w:rPr>
                <w:rFonts w:ascii="Times New Roman" w:hAnsi="Times New Roman"/>
                <w:color w:val="auto"/>
                <w:highlight w:val="none"/>
                <w:shd w:val="clear"/>
              </w:rPr>
            </w:pPr>
            <w:r>
              <w:rPr>
                <w:rFonts w:ascii="Times New Roman" w:hAnsi="Times New Roman"/>
                <w:color w:val="auto"/>
                <w:highlight w:val="none"/>
                <w:shd w:val="clear"/>
              </w:rPr>
              <w:t>产地</w:t>
            </w:r>
          </w:p>
        </w:tc>
        <w:tc>
          <w:tcPr>
            <w:tcW w:w="1020" w:type="dxa"/>
            <w:tcBorders>
              <w:top w:val="single" w:color="auto" w:sz="12" w:space="0"/>
              <w:bottom w:val="double" w:color="auto" w:sz="6" w:space="0"/>
            </w:tcBorders>
            <w:vAlign w:val="center"/>
          </w:tcPr>
          <w:p w14:paraId="15FE8717">
            <w:pPr>
              <w:pStyle w:val="28"/>
              <w:rPr>
                <w:rFonts w:ascii="Times New Roman" w:hAnsi="Times New Roman"/>
                <w:color w:val="auto"/>
                <w:highlight w:val="none"/>
                <w:shd w:val="clear"/>
              </w:rPr>
            </w:pPr>
            <w:r>
              <w:rPr>
                <w:rFonts w:ascii="Times New Roman" w:hAnsi="Times New Roman"/>
                <w:color w:val="auto"/>
                <w:highlight w:val="none"/>
                <w:shd w:val="clear"/>
              </w:rPr>
              <w:t>制造年份</w:t>
            </w:r>
          </w:p>
        </w:tc>
        <w:tc>
          <w:tcPr>
            <w:tcW w:w="1480" w:type="dxa"/>
            <w:tcBorders>
              <w:top w:val="single" w:color="auto" w:sz="12" w:space="0"/>
              <w:bottom w:val="double" w:color="auto" w:sz="6" w:space="0"/>
            </w:tcBorders>
            <w:vAlign w:val="center"/>
          </w:tcPr>
          <w:p w14:paraId="609131F4">
            <w:pPr>
              <w:pStyle w:val="28"/>
              <w:rPr>
                <w:rFonts w:ascii="Times New Roman" w:hAnsi="Times New Roman"/>
                <w:color w:val="auto"/>
                <w:highlight w:val="none"/>
                <w:shd w:val="clear"/>
              </w:rPr>
            </w:pPr>
            <w:r>
              <w:rPr>
                <w:rFonts w:ascii="Times New Roman" w:hAnsi="Times New Roman"/>
                <w:color w:val="auto"/>
                <w:highlight w:val="none"/>
                <w:shd w:val="clear"/>
              </w:rPr>
              <w:t>额定功率(kW)</w:t>
            </w:r>
          </w:p>
        </w:tc>
        <w:tc>
          <w:tcPr>
            <w:tcW w:w="1020" w:type="dxa"/>
            <w:tcBorders>
              <w:top w:val="single" w:color="auto" w:sz="12" w:space="0"/>
              <w:bottom w:val="double" w:color="auto" w:sz="6" w:space="0"/>
            </w:tcBorders>
            <w:vAlign w:val="center"/>
          </w:tcPr>
          <w:p w14:paraId="3D364B1D">
            <w:pPr>
              <w:pStyle w:val="28"/>
              <w:rPr>
                <w:rFonts w:ascii="Times New Roman" w:hAnsi="Times New Roman"/>
                <w:color w:val="auto"/>
                <w:highlight w:val="none"/>
                <w:shd w:val="clear"/>
              </w:rPr>
            </w:pPr>
            <w:r>
              <w:rPr>
                <w:rFonts w:ascii="Times New Roman" w:hAnsi="Times New Roman"/>
                <w:color w:val="auto"/>
                <w:highlight w:val="none"/>
                <w:shd w:val="clear"/>
              </w:rPr>
              <w:t>生产能力</w:t>
            </w:r>
          </w:p>
        </w:tc>
        <w:tc>
          <w:tcPr>
            <w:tcW w:w="921" w:type="dxa"/>
            <w:tcBorders>
              <w:top w:val="single" w:color="auto" w:sz="12" w:space="0"/>
              <w:bottom w:val="double" w:color="auto" w:sz="6" w:space="0"/>
            </w:tcBorders>
            <w:vAlign w:val="center"/>
          </w:tcPr>
          <w:p w14:paraId="66EC5978">
            <w:pPr>
              <w:pStyle w:val="28"/>
              <w:rPr>
                <w:rFonts w:ascii="Times New Roman" w:hAnsi="Times New Roman"/>
                <w:color w:val="auto"/>
                <w:highlight w:val="none"/>
                <w:shd w:val="clear"/>
              </w:rPr>
            </w:pPr>
            <w:r>
              <w:rPr>
                <w:rFonts w:ascii="Times New Roman" w:hAnsi="Times New Roman"/>
                <w:color w:val="auto"/>
                <w:highlight w:val="none"/>
                <w:shd w:val="clear"/>
              </w:rPr>
              <w:t>备注</w:t>
            </w:r>
          </w:p>
        </w:tc>
      </w:tr>
      <w:tr w14:paraId="7A3F3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Borders>
              <w:top w:val="nil"/>
            </w:tcBorders>
            <w:vAlign w:val="center"/>
          </w:tcPr>
          <w:p w14:paraId="420F7E2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tcBorders>
              <w:top w:val="nil"/>
            </w:tcBorders>
            <w:vAlign w:val="center"/>
          </w:tcPr>
          <w:p w14:paraId="676681C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tcBorders>
              <w:top w:val="nil"/>
            </w:tcBorders>
            <w:vAlign w:val="center"/>
          </w:tcPr>
          <w:p w14:paraId="628E1F5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tcBorders>
              <w:top w:val="nil"/>
            </w:tcBorders>
            <w:vAlign w:val="center"/>
          </w:tcPr>
          <w:p w14:paraId="01560BB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tcBorders>
              <w:top w:val="nil"/>
            </w:tcBorders>
            <w:vAlign w:val="center"/>
          </w:tcPr>
          <w:p w14:paraId="5D0CA95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tcBorders>
              <w:top w:val="nil"/>
            </w:tcBorders>
            <w:vAlign w:val="center"/>
          </w:tcPr>
          <w:p w14:paraId="49C99FD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tcBorders>
              <w:top w:val="nil"/>
            </w:tcBorders>
            <w:vAlign w:val="center"/>
          </w:tcPr>
          <w:p w14:paraId="5704C3C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tcBorders>
              <w:top w:val="nil"/>
            </w:tcBorders>
            <w:vAlign w:val="center"/>
          </w:tcPr>
          <w:p w14:paraId="6CD6B11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tcBorders>
              <w:top w:val="nil"/>
            </w:tcBorders>
            <w:vAlign w:val="center"/>
          </w:tcPr>
          <w:p w14:paraId="03554B8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485A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654C12C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32796D2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775C691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2F38C35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2FA9CF2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207D8F2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0BEA49B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361A332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2628C12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5B2E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15B0F86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4135A43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41E998F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399D098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5884424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64F0B39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0127122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52F061F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6AEC48D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DE21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3B409AB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387CCB8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2699D55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769A1A6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10F403A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7C3C67C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3466BFF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64DE81A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4720BC3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A2BC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75C349C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5FF32BB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0EE006A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436B4CD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066ED13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645CAB9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522F37F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7883BBF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70CF423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52C7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5C013DC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36AC728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10B39B5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555A0AD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7A5F2F4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30A587B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595457E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13BD7D1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677456A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C80A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456CB91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770675C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4DE086B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399D026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5772272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5154AEB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38BEF75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1122ED0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03EB7F5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1464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6DB883AC">
            <w:pPr>
              <w:rPr>
                <w:rFonts w:ascii="Times New Roman" w:hAnsi="Times New Roman" w:eastAsia="仿宋_GB2312"/>
                <w:color w:val="auto"/>
                <w:sz w:val="30"/>
                <w:szCs w:val="30"/>
                <w:highlight w:val="none"/>
                <w:shd w:val="clear"/>
              </w:rPr>
            </w:pPr>
          </w:p>
        </w:tc>
        <w:tc>
          <w:tcPr>
            <w:tcW w:w="1602" w:type="dxa"/>
          </w:tcPr>
          <w:p w14:paraId="5AA05DFC">
            <w:pPr>
              <w:rPr>
                <w:rFonts w:ascii="Times New Roman" w:hAnsi="Times New Roman" w:eastAsia="仿宋_GB2312"/>
                <w:color w:val="auto"/>
                <w:sz w:val="30"/>
                <w:szCs w:val="30"/>
                <w:highlight w:val="none"/>
                <w:shd w:val="clear"/>
              </w:rPr>
            </w:pPr>
          </w:p>
        </w:tc>
        <w:tc>
          <w:tcPr>
            <w:tcW w:w="949" w:type="dxa"/>
          </w:tcPr>
          <w:p w14:paraId="55427A2A">
            <w:pPr>
              <w:rPr>
                <w:rFonts w:ascii="Times New Roman" w:hAnsi="Times New Roman" w:eastAsia="仿宋_GB2312"/>
                <w:color w:val="auto"/>
                <w:sz w:val="30"/>
                <w:szCs w:val="30"/>
                <w:highlight w:val="none"/>
                <w:shd w:val="clear"/>
              </w:rPr>
            </w:pPr>
          </w:p>
        </w:tc>
        <w:tc>
          <w:tcPr>
            <w:tcW w:w="959" w:type="dxa"/>
          </w:tcPr>
          <w:p w14:paraId="7255937E">
            <w:pPr>
              <w:rPr>
                <w:rFonts w:ascii="Times New Roman" w:hAnsi="Times New Roman" w:eastAsia="仿宋_GB2312"/>
                <w:color w:val="auto"/>
                <w:sz w:val="30"/>
                <w:szCs w:val="30"/>
                <w:highlight w:val="none"/>
                <w:shd w:val="clear"/>
              </w:rPr>
            </w:pPr>
          </w:p>
        </w:tc>
        <w:tc>
          <w:tcPr>
            <w:tcW w:w="880" w:type="dxa"/>
          </w:tcPr>
          <w:p w14:paraId="58083ABD">
            <w:pPr>
              <w:rPr>
                <w:rFonts w:ascii="Times New Roman" w:hAnsi="Times New Roman" w:eastAsia="仿宋_GB2312"/>
                <w:color w:val="auto"/>
                <w:sz w:val="30"/>
                <w:szCs w:val="30"/>
                <w:highlight w:val="none"/>
                <w:shd w:val="clear"/>
              </w:rPr>
            </w:pPr>
          </w:p>
        </w:tc>
        <w:tc>
          <w:tcPr>
            <w:tcW w:w="1020" w:type="dxa"/>
          </w:tcPr>
          <w:p w14:paraId="4EC24923">
            <w:pPr>
              <w:rPr>
                <w:rFonts w:ascii="Times New Roman" w:hAnsi="Times New Roman" w:eastAsia="仿宋_GB2312"/>
                <w:color w:val="auto"/>
                <w:sz w:val="30"/>
                <w:szCs w:val="30"/>
                <w:highlight w:val="none"/>
                <w:shd w:val="clear"/>
              </w:rPr>
            </w:pPr>
          </w:p>
        </w:tc>
        <w:tc>
          <w:tcPr>
            <w:tcW w:w="1480" w:type="dxa"/>
          </w:tcPr>
          <w:p w14:paraId="0E7CB3D0">
            <w:pPr>
              <w:rPr>
                <w:rFonts w:ascii="Times New Roman" w:hAnsi="Times New Roman" w:eastAsia="仿宋_GB2312"/>
                <w:color w:val="auto"/>
                <w:sz w:val="30"/>
                <w:szCs w:val="30"/>
                <w:highlight w:val="none"/>
                <w:shd w:val="clear"/>
              </w:rPr>
            </w:pPr>
          </w:p>
        </w:tc>
        <w:tc>
          <w:tcPr>
            <w:tcW w:w="1020" w:type="dxa"/>
          </w:tcPr>
          <w:p w14:paraId="610ADBD9">
            <w:pPr>
              <w:rPr>
                <w:rFonts w:ascii="Times New Roman" w:hAnsi="Times New Roman" w:eastAsia="仿宋_GB2312"/>
                <w:color w:val="auto"/>
                <w:sz w:val="30"/>
                <w:szCs w:val="30"/>
                <w:highlight w:val="none"/>
                <w:shd w:val="clear"/>
              </w:rPr>
            </w:pPr>
          </w:p>
        </w:tc>
        <w:tc>
          <w:tcPr>
            <w:tcW w:w="921" w:type="dxa"/>
          </w:tcPr>
          <w:p w14:paraId="78A0F0E4">
            <w:pPr>
              <w:rPr>
                <w:rFonts w:ascii="Times New Roman" w:hAnsi="Times New Roman" w:eastAsia="仿宋_GB2312"/>
                <w:color w:val="auto"/>
                <w:sz w:val="30"/>
                <w:szCs w:val="30"/>
                <w:highlight w:val="none"/>
                <w:shd w:val="clear"/>
              </w:rPr>
            </w:pPr>
          </w:p>
        </w:tc>
      </w:tr>
      <w:tr w14:paraId="56927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vAlign w:val="center"/>
          </w:tcPr>
          <w:p w14:paraId="10CEEE4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602" w:type="dxa"/>
            <w:vAlign w:val="center"/>
          </w:tcPr>
          <w:p w14:paraId="6D98988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49" w:type="dxa"/>
            <w:vAlign w:val="center"/>
          </w:tcPr>
          <w:p w14:paraId="122122E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59" w:type="dxa"/>
            <w:vAlign w:val="center"/>
          </w:tcPr>
          <w:p w14:paraId="1C43DA7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880" w:type="dxa"/>
            <w:vAlign w:val="center"/>
          </w:tcPr>
          <w:p w14:paraId="7221FBE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1CCA790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480" w:type="dxa"/>
            <w:vAlign w:val="center"/>
          </w:tcPr>
          <w:p w14:paraId="1E91075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020" w:type="dxa"/>
            <w:vAlign w:val="center"/>
          </w:tcPr>
          <w:p w14:paraId="3CD33E4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921" w:type="dxa"/>
            <w:vAlign w:val="center"/>
          </w:tcPr>
          <w:p w14:paraId="0F08903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CEF8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4BE00173">
            <w:pPr>
              <w:rPr>
                <w:rFonts w:ascii="Times New Roman" w:hAnsi="Times New Roman" w:eastAsia="仿宋_GB2312"/>
                <w:color w:val="auto"/>
                <w:sz w:val="30"/>
                <w:szCs w:val="30"/>
                <w:highlight w:val="none"/>
                <w:shd w:val="clear"/>
              </w:rPr>
            </w:pPr>
          </w:p>
        </w:tc>
        <w:tc>
          <w:tcPr>
            <w:tcW w:w="1602" w:type="dxa"/>
          </w:tcPr>
          <w:p w14:paraId="6BA46580">
            <w:pPr>
              <w:rPr>
                <w:rFonts w:ascii="Times New Roman" w:hAnsi="Times New Roman" w:eastAsia="仿宋_GB2312"/>
                <w:color w:val="auto"/>
                <w:sz w:val="30"/>
                <w:szCs w:val="30"/>
                <w:highlight w:val="none"/>
                <w:shd w:val="clear"/>
              </w:rPr>
            </w:pPr>
          </w:p>
        </w:tc>
        <w:tc>
          <w:tcPr>
            <w:tcW w:w="949" w:type="dxa"/>
          </w:tcPr>
          <w:p w14:paraId="1CD6DFB4">
            <w:pPr>
              <w:rPr>
                <w:rFonts w:ascii="Times New Roman" w:hAnsi="Times New Roman" w:eastAsia="仿宋_GB2312"/>
                <w:color w:val="auto"/>
                <w:sz w:val="30"/>
                <w:szCs w:val="30"/>
                <w:highlight w:val="none"/>
                <w:shd w:val="clear"/>
              </w:rPr>
            </w:pPr>
          </w:p>
        </w:tc>
        <w:tc>
          <w:tcPr>
            <w:tcW w:w="959" w:type="dxa"/>
          </w:tcPr>
          <w:p w14:paraId="7A50CE22">
            <w:pPr>
              <w:rPr>
                <w:rFonts w:ascii="Times New Roman" w:hAnsi="Times New Roman" w:eastAsia="仿宋_GB2312"/>
                <w:color w:val="auto"/>
                <w:sz w:val="30"/>
                <w:szCs w:val="30"/>
                <w:highlight w:val="none"/>
                <w:shd w:val="clear"/>
              </w:rPr>
            </w:pPr>
          </w:p>
        </w:tc>
        <w:tc>
          <w:tcPr>
            <w:tcW w:w="880" w:type="dxa"/>
          </w:tcPr>
          <w:p w14:paraId="0900F514">
            <w:pPr>
              <w:rPr>
                <w:rFonts w:ascii="Times New Roman" w:hAnsi="Times New Roman" w:eastAsia="仿宋_GB2312"/>
                <w:color w:val="auto"/>
                <w:sz w:val="30"/>
                <w:szCs w:val="30"/>
                <w:highlight w:val="none"/>
                <w:shd w:val="clear"/>
              </w:rPr>
            </w:pPr>
          </w:p>
        </w:tc>
        <w:tc>
          <w:tcPr>
            <w:tcW w:w="1020" w:type="dxa"/>
          </w:tcPr>
          <w:p w14:paraId="04C6A429">
            <w:pPr>
              <w:rPr>
                <w:rFonts w:ascii="Times New Roman" w:hAnsi="Times New Roman" w:eastAsia="仿宋_GB2312"/>
                <w:color w:val="auto"/>
                <w:sz w:val="30"/>
                <w:szCs w:val="30"/>
                <w:highlight w:val="none"/>
                <w:shd w:val="clear"/>
              </w:rPr>
            </w:pPr>
          </w:p>
        </w:tc>
        <w:tc>
          <w:tcPr>
            <w:tcW w:w="1480" w:type="dxa"/>
          </w:tcPr>
          <w:p w14:paraId="53946C98">
            <w:pPr>
              <w:rPr>
                <w:rFonts w:ascii="Times New Roman" w:hAnsi="Times New Roman" w:eastAsia="仿宋_GB2312"/>
                <w:color w:val="auto"/>
                <w:sz w:val="30"/>
                <w:szCs w:val="30"/>
                <w:highlight w:val="none"/>
                <w:shd w:val="clear"/>
              </w:rPr>
            </w:pPr>
          </w:p>
        </w:tc>
        <w:tc>
          <w:tcPr>
            <w:tcW w:w="1020" w:type="dxa"/>
          </w:tcPr>
          <w:p w14:paraId="0016E9CD">
            <w:pPr>
              <w:rPr>
                <w:rFonts w:ascii="Times New Roman" w:hAnsi="Times New Roman" w:eastAsia="仿宋_GB2312"/>
                <w:color w:val="auto"/>
                <w:sz w:val="30"/>
                <w:szCs w:val="30"/>
                <w:highlight w:val="none"/>
                <w:shd w:val="clear"/>
              </w:rPr>
            </w:pPr>
          </w:p>
        </w:tc>
        <w:tc>
          <w:tcPr>
            <w:tcW w:w="921" w:type="dxa"/>
          </w:tcPr>
          <w:p w14:paraId="0A140424">
            <w:pPr>
              <w:rPr>
                <w:rFonts w:ascii="Times New Roman" w:hAnsi="Times New Roman" w:eastAsia="仿宋_GB2312"/>
                <w:color w:val="auto"/>
                <w:sz w:val="30"/>
                <w:szCs w:val="30"/>
                <w:highlight w:val="none"/>
                <w:shd w:val="clear"/>
              </w:rPr>
            </w:pPr>
          </w:p>
        </w:tc>
      </w:tr>
      <w:tr w14:paraId="64AD2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4B5D9505">
            <w:pPr>
              <w:rPr>
                <w:rFonts w:ascii="Times New Roman" w:hAnsi="Times New Roman" w:eastAsia="仿宋_GB2312"/>
                <w:color w:val="auto"/>
                <w:sz w:val="30"/>
                <w:szCs w:val="30"/>
                <w:highlight w:val="none"/>
                <w:shd w:val="clear"/>
              </w:rPr>
            </w:pPr>
          </w:p>
        </w:tc>
        <w:tc>
          <w:tcPr>
            <w:tcW w:w="1602" w:type="dxa"/>
          </w:tcPr>
          <w:p w14:paraId="602AB615">
            <w:pPr>
              <w:rPr>
                <w:rFonts w:ascii="Times New Roman" w:hAnsi="Times New Roman" w:eastAsia="仿宋_GB2312"/>
                <w:color w:val="auto"/>
                <w:sz w:val="30"/>
                <w:szCs w:val="30"/>
                <w:highlight w:val="none"/>
                <w:shd w:val="clear"/>
              </w:rPr>
            </w:pPr>
          </w:p>
        </w:tc>
        <w:tc>
          <w:tcPr>
            <w:tcW w:w="949" w:type="dxa"/>
          </w:tcPr>
          <w:p w14:paraId="61983897">
            <w:pPr>
              <w:rPr>
                <w:rFonts w:ascii="Times New Roman" w:hAnsi="Times New Roman" w:eastAsia="仿宋_GB2312"/>
                <w:color w:val="auto"/>
                <w:sz w:val="30"/>
                <w:szCs w:val="30"/>
                <w:highlight w:val="none"/>
                <w:shd w:val="clear"/>
              </w:rPr>
            </w:pPr>
          </w:p>
        </w:tc>
        <w:tc>
          <w:tcPr>
            <w:tcW w:w="959" w:type="dxa"/>
          </w:tcPr>
          <w:p w14:paraId="27BFE774">
            <w:pPr>
              <w:rPr>
                <w:rFonts w:ascii="Times New Roman" w:hAnsi="Times New Roman" w:eastAsia="仿宋_GB2312"/>
                <w:color w:val="auto"/>
                <w:sz w:val="30"/>
                <w:szCs w:val="30"/>
                <w:highlight w:val="none"/>
                <w:shd w:val="clear"/>
              </w:rPr>
            </w:pPr>
          </w:p>
        </w:tc>
        <w:tc>
          <w:tcPr>
            <w:tcW w:w="880" w:type="dxa"/>
          </w:tcPr>
          <w:p w14:paraId="081F0484">
            <w:pPr>
              <w:rPr>
                <w:rFonts w:ascii="Times New Roman" w:hAnsi="Times New Roman" w:eastAsia="仿宋_GB2312"/>
                <w:color w:val="auto"/>
                <w:sz w:val="30"/>
                <w:szCs w:val="30"/>
                <w:highlight w:val="none"/>
                <w:shd w:val="clear"/>
              </w:rPr>
            </w:pPr>
          </w:p>
        </w:tc>
        <w:tc>
          <w:tcPr>
            <w:tcW w:w="1020" w:type="dxa"/>
          </w:tcPr>
          <w:p w14:paraId="28FCF859">
            <w:pPr>
              <w:rPr>
                <w:rFonts w:ascii="Times New Roman" w:hAnsi="Times New Roman" w:eastAsia="仿宋_GB2312"/>
                <w:color w:val="auto"/>
                <w:sz w:val="30"/>
                <w:szCs w:val="30"/>
                <w:highlight w:val="none"/>
                <w:shd w:val="clear"/>
              </w:rPr>
            </w:pPr>
          </w:p>
        </w:tc>
        <w:tc>
          <w:tcPr>
            <w:tcW w:w="1480" w:type="dxa"/>
          </w:tcPr>
          <w:p w14:paraId="0BD0313F">
            <w:pPr>
              <w:rPr>
                <w:rFonts w:ascii="Times New Roman" w:hAnsi="Times New Roman" w:eastAsia="仿宋_GB2312"/>
                <w:color w:val="auto"/>
                <w:sz w:val="30"/>
                <w:szCs w:val="30"/>
                <w:highlight w:val="none"/>
                <w:shd w:val="clear"/>
              </w:rPr>
            </w:pPr>
          </w:p>
        </w:tc>
        <w:tc>
          <w:tcPr>
            <w:tcW w:w="1020" w:type="dxa"/>
          </w:tcPr>
          <w:p w14:paraId="4CFDF93B">
            <w:pPr>
              <w:rPr>
                <w:rFonts w:ascii="Times New Roman" w:hAnsi="Times New Roman" w:eastAsia="仿宋_GB2312"/>
                <w:color w:val="auto"/>
                <w:sz w:val="30"/>
                <w:szCs w:val="30"/>
                <w:highlight w:val="none"/>
                <w:shd w:val="clear"/>
              </w:rPr>
            </w:pPr>
          </w:p>
        </w:tc>
        <w:tc>
          <w:tcPr>
            <w:tcW w:w="921" w:type="dxa"/>
          </w:tcPr>
          <w:p w14:paraId="464F20E1">
            <w:pPr>
              <w:rPr>
                <w:rFonts w:ascii="Times New Roman" w:hAnsi="Times New Roman" w:eastAsia="仿宋_GB2312"/>
                <w:color w:val="auto"/>
                <w:sz w:val="30"/>
                <w:szCs w:val="30"/>
                <w:highlight w:val="none"/>
                <w:shd w:val="clear"/>
              </w:rPr>
            </w:pPr>
          </w:p>
        </w:tc>
      </w:tr>
      <w:tr w14:paraId="34D0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61A77FB5">
            <w:pPr>
              <w:rPr>
                <w:rFonts w:ascii="Times New Roman" w:hAnsi="Times New Roman" w:eastAsia="仿宋_GB2312"/>
                <w:color w:val="auto"/>
                <w:sz w:val="30"/>
                <w:szCs w:val="30"/>
                <w:highlight w:val="none"/>
                <w:shd w:val="clear"/>
              </w:rPr>
            </w:pPr>
          </w:p>
        </w:tc>
        <w:tc>
          <w:tcPr>
            <w:tcW w:w="1602" w:type="dxa"/>
          </w:tcPr>
          <w:p w14:paraId="71DB1C5E">
            <w:pPr>
              <w:rPr>
                <w:rFonts w:ascii="Times New Roman" w:hAnsi="Times New Roman" w:eastAsia="仿宋_GB2312"/>
                <w:color w:val="auto"/>
                <w:sz w:val="30"/>
                <w:szCs w:val="30"/>
                <w:highlight w:val="none"/>
                <w:shd w:val="clear"/>
              </w:rPr>
            </w:pPr>
          </w:p>
        </w:tc>
        <w:tc>
          <w:tcPr>
            <w:tcW w:w="949" w:type="dxa"/>
          </w:tcPr>
          <w:p w14:paraId="7DDC2546">
            <w:pPr>
              <w:rPr>
                <w:rFonts w:ascii="Times New Roman" w:hAnsi="Times New Roman" w:eastAsia="仿宋_GB2312"/>
                <w:color w:val="auto"/>
                <w:sz w:val="30"/>
                <w:szCs w:val="30"/>
                <w:highlight w:val="none"/>
                <w:shd w:val="clear"/>
              </w:rPr>
            </w:pPr>
          </w:p>
        </w:tc>
        <w:tc>
          <w:tcPr>
            <w:tcW w:w="959" w:type="dxa"/>
          </w:tcPr>
          <w:p w14:paraId="018EFAA0">
            <w:pPr>
              <w:rPr>
                <w:rFonts w:ascii="Times New Roman" w:hAnsi="Times New Roman" w:eastAsia="仿宋_GB2312"/>
                <w:color w:val="auto"/>
                <w:sz w:val="30"/>
                <w:szCs w:val="30"/>
                <w:highlight w:val="none"/>
                <w:shd w:val="clear"/>
              </w:rPr>
            </w:pPr>
          </w:p>
        </w:tc>
        <w:tc>
          <w:tcPr>
            <w:tcW w:w="880" w:type="dxa"/>
          </w:tcPr>
          <w:p w14:paraId="653179E7">
            <w:pPr>
              <w:rPr>
                <w:rFonts w:ascii="Times New Roman" w:hAnsi="Times New Roman" w:eastAsia="仿宋_GB2312"/>
                <w:color w:val="auto"/>
                <w:sz w:val="30"/>
                <w:szCs w:val="30"/>
                <w:highlight w:val="none"/>
                <w:shd w:val="clear"/>
              </w:rPr>
            </w:pPr>
          </w:p>
        </w:tc>
        <w:tc>
          <w:tcPr>
            <w:tcW w:w="1020" w:type="dxa"/>
          </w:tcPr>
          <w:p w14:paraId="361E9273">
            <w:pPr>
              <w:rPr>
                <w:rFonts w:ascii="Times New Roman" w:hAnsi="Times New Roman" w:eastAsia="仿宋_GB2312"/>
                <w:color w:val="auto"/>
                <w:sz w:val="30"/>
                <w:szCs w:val="30"/>
                <w:highlight w:val="none"/>
                <w:shd w:val="clear"/>
              </w:rPr>
            </w:pPr>
          </w:p>
        </w:tc>
        <w:tc>
          <w:tcPr>
            <w:tcW w:w="1480" w:type="dxa"/>
          </w:tcPr>
          <w:p w14:paraId="4DE50A90">
            <w:pPr>
              <w:rPr>
                <w:rFonts w:ascii="Times New Roman" w:hAnsi="Times New Roman" w:eastAsia="仿宋_GB2312"/>
                <w:color w:val="auto"/>
                <w:sz w:val="30"/>
                <w:szCs w:val="30"/>
                <w:highlight w:val="none"/>
                <w:shd w:val="clear"/>
              </w:rPr>
            </w:pPr>
          </w:p>
        </w:tc>
        <w:tc>
          <w:tcPr>
            <w:tcW w:w="1020" w:type="dxa"/>
          </w:tcPr>
          <w:p w14:paraId="66D30669">
            <w:pPr>
              <w:rPr>
                <w:rFonts w:ascii="Times New Roman" w:hAnsi="Times New Roman" w:eastAsia="仿宋_GB2312"/>
                <w:color w:val="auto"/>
                <w:sz w:val="30"/>
                <w:szCs w:val="30"/>
                <w:highlight w:val="none"/>
                <w:shd w:val="clear"/>
              </w:rPr>
            </w:pPr>
          </w:p>
        </w:tc>
        <w:tc>
          <w:tcPr>
            <w:tcW w:w="921" w:type="dxa"/>
          </w:tcPr>
          <w:p w14:paraId="48A9CAA7">
            <w:pPr>
              <w:rPr>
                <w:rFonts w:ascii="Times New Roman" w:hAnsi="Times New Roman" w:eastAsia="仿宋_GB2312"/>
                <w:color w:val="auto"/>
                <w:sz w:val="30"/>
                <w:szCs w:val="30"/>
                <w:highlight w:val="none"/>
                <w:shd w:val="clear"/>
              </w:rPr>
            </w:pPr>
          </w:p>
        </w:tc>
      </w:tr>
      <w:tr w14:paraId="73927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344F4A01">
            <w:pPr>
              <w:rPr>
                <w:rFonts w:ascii="Times New Roman" w:hAnsi="Times New Roman" w:eastAsia="仿宋_GB2312"/>
                <w:color w:val="auto"/>
                <w:sz w:val="30"/>
                <w:szCs w:val="30"/>
                <w:highlight w:val="none"/>
                <w:shd w:val="clear"/>
              </w:rPr>
            </w:pPr>
          </w:p>
        </w:tc>
        <w:tc>
          <w:tcPr>
            <w:tcW w:w="1602" w:type="dxa"/>
          </w:tcPr>
          <w:p w14:paraId="60D6D191">
            <w:pPr>
              <w:rPr>
                <w:rFonts w:ascii="Times New Roman" w:hAnsi="Times New Roman" w:eastAsia="仿宋_GB2312"/>
                <w:color w:val="auto"/>
                <w:sz w:val="30"/>
                <w:szCs w:val="30"/>
                <w:highlight w:val="none"/>
                <w:shd w:val="clear"/>
              </w:rPr>
            </w:pPr>
          </w:p>
        </w:tc>
        <w:tc>
          <w:tcPr>
            <w:tcW w:w="949" w:type="dxa"/>
          </w:tcPr>
          <w:p w14:paraId="2C329346">
            <w:pPr>
              <w:rPr>
                <w:rFonts w:ascii="Times New Roman" w:hAnsi="Times New Roman" w:eastAsia="仿宋_GB2312"/>
                <w:color w:val="auto"/>
                <w:sz w:val="30"/>
                <w:szCs w:val="30"/>
                <w:highlight w:val="none"/>
                <w:shd w:val="clear"/>
              </w:rPr>
            </w:pPr>
          </w:p>
        </w:tc>
        <w:tc>
          <w:tcPr>
            <w:tcW w:w="959" w:type="dxa"/>
          </w:tcPr>
          <w:p w14:paraId="2B48B7FA">
            <w:pPr>
              <w:rPr>
                <w:rFonts w:ascii="Times New Roman" w:hAnsi="Times New Roman" w:eastAsia="仿宋_GB2312"/>
                <w:color w:val="auto"/>
                <w:sz w:val="30"/>
                <w:szCs w:val="30"/>
                <w:highlight w:val="none"/>
                <w:shd w:val="clear"/>
              </w:rPr>
            </w:pPr>
          </w:p>
        </w:tc>
        <w:tc>
          <w:tcPr>
            <w:tcW w:w="880" w:type="dxa"/>
          </w:tcPr>
          <w:p w14:paraId="1FC6B99B">
            <w:pPr>
              <w:rPr>
                <w:rFonts w:ascii="Times New Roman" w:hAnsi="Times New Roman" w:eastAsia="仿宋_GB2312"/>
                <w:color w:val="auto"/>
                <w:sz w:val="30"/>
                <w:szCs w:val="30"/>
                <w:highlight w:val="none"/>
                <w:shd w:val="clear"/>
              </w:rPr>
            </w:pPr>
          </w:p>
        </w:tc>
        <w:tc>
          <w:tcPr>
            <w:tcW w:w="1020" w:type="dxa"/>
          </w:tcPr>
          <w:p w14:paraId="25CB233C">
            <w:pPr>
              <w:rPr>
                <w:rFonts w:ascii="Times New Roman" w:hAnsi="Times New Roman" w:eastAsia="仿宋_GB2312"/>
                <w:color w:val="auto"/>
                <w:sz w:val="30"/>
                <w:szCs w:val="30"/>
                <w:highlight w:val="none"/>
                <w:shd w:val="clear"/>
              </w:rPr>
            </w:pPr>
          </w:p>
        </w:tc>
        <w:tc>
          <w:tcPr>
            <w:tcW w:w="1480" w:type="dxa"/>
          </w:tcPr>
          <w:p w14:paraId="7D1389E9">
            <w:pPr>
              <w:rPr>
                <w:rFonts w:ascii="Times New Roman" w:hAnsi="Times New Roman" w:eastAsia="仿宋_GB2312"/>
                <w:color w:val="auto"/>
                <w:sz w:val="30"/>
                <w:szCs w:val="30"/>
                <w:highlight w:val="none"/>
                <w:shd w:val="clear"/>
              </w:rPr>
            </w:pPr>
          </w:p>
        </w:tc>
        <w:tc>
          <w:tcPr>
            <w:tcW w:w="1020" w:type="dxa"/>
          </w:tcPr>
          <w:p w14:paraId="719EBD08">
            <w:pPr>
              <w:rPr>
                <w:rFonts w:ascii="Times New Roman" w:hAnsi="Times New Roman" w:eastAsia="仿宋_GB2312"/>
                <w:color w:val="auto"/>
                <w:sz w:val="30"/>
                <w:szCs w:val="30"/>
                <w:highlight w:val="none"/>
                <w:shd w:val="clear"/>
              </w:rPr>
            </w:pPr>
          </w:p>
        </w:tc>
        <w:tc>
          <w:tcPr>
            <w:tcW w:w="921" w:type="dxa"/>
          </w:tcPr>
          <w:p w14:paraId="71C6D2D1">
            <w:pPr>
              <w:rPr>
                <w:rFonts w:ascii="Times New Roman" w:hAnsi="Times New Roman" w:eastAsia="仿宋_GB2312"/>
                <w:color w:val="auto"/>
                <w:sz w:val="30"/>
                <w:szCs w:val="30"/>
                <w:highlight w:val="none"/>
                <w:shd w:val="clear"/>
              </w:rPr>
            </w:pPr>
          </w:p>
        </w:tc>
      </w:tr>
      <w:tr w14:paraId="1FEE6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5643A05C">
            <w:pPr>
              <w:rPr>
                <w:rFonts w:ascii="Times New Roman" w:hAnsi="Times New Roman" w:eastAsia="仿宋_GB2312"/>
                <w:color w:val="auto"/>
                <w:sz w:val="30"/>
                <w:szCs w:val="30"/>
                <w:highlight w:val="none"/>
                <w:shd w:val="clear"/>
              </w:rPr>
            </w:pPr>
          </w:p>
        </w:tc>
        <w:tc>
          <w:tcPr>
            <w:tcW w:w="1602" w:type="dxa"/>
          </w:tcPr>
          <w:p w14:paraId="7B6BD8D6">
            <w:pPr>
              <w:rPr>
                <w:rFonts w:ascii="Times New Roman" w:hAnsi="Times New Roman" w:eastAsia="仿宋_GB2312"/>
                <w:color w:val="auto"/>
                <w:sz w:val="30"/>
                <w:szCs w:val="30"/>
                <w:highlight w:val="none"/>
                <w:shd w:val="clear"/>
              </w:rPr>
            </w:pPr>
          </w:p>
        </w:tc>
        <w:tc>
          <w:tcPr>
            <w:tcW w:w="949" w:type="dxa"/>
          </w:tcPr>
          <w:p w14:paraId="736A8DC3">
            <w:pPr>
              <w:rPr>
                <w:rFonts w:ascii="Times New Roman" w:hAnsi="Times New Roman" w:eastAsia="仿宋_GB2312"/>
                <w:color w:val="auto"/>
                <w:sz w:val="30"/>
                <w:szCs w:val="30"/>
                <w:highlight w:val="none"/>
                <w:shd w:val="clear"/>
              </w:rPr>
            </w:pPr>
          </w:p>
        </w:tc>
        <w:tc>
          <w:tcPr>
            <w:tcW w:w="959" w:type="dxa"/>
          </w:tcPr>
          <w:p w14:paraId="59CD7424">
            <w:pPr>
              <w:rPr>
                <w:rFonts w:ascii="Times New Roman" w:hAnsi="Times New Roman" w:eastAsia="仿宋_GB2312"/>
                <w:color w:val="auto"/>
                <w:sz w:val="30"/>
                <w:szCs w:val="30"/>
                <w:highlight w:val="none"/>
                <w:shd w:val="clear"/>
              </w:rPr>
            </w:pPr>
          </w:p>
        </w:tc>
        <w:tc>
          <w:tcPr>
            <w:tcW w:w="880" w:type="dxa"/>
          </w:tcPr>
          <w:p w14:paraId="39ED5E1F">
            <w:pPr>
              <w:rPr>
                <w:rFonts w:ascii="Times New Roman" w:hAnsi="Times New Roman" w:eastAsia="仿宋_GB2312"/>
                <w:color w:val="auto"/>
                <w:sz w:val="30"/>
                <w:szCs w:val="30"/>
                <w:highlight w:val="none"/>
                <w:shd w:val="clear"/>
              </w:rPr>
            </w:pPr>
          </w:p>
        </w:tc>
        <w:tc>
          <w:tcPr>
            <w:tcW w:w="1020" w:type="dxa"/>
          </w:tcPr>
          <w:p w14:paraId="6240AB51">
            <w:pPr>
              <w:rPr>
                <w:rFonts w:ascii="Times New Roman" w:hAnsi="Times New Roman" w:eastAsia="仿宋_GB2312"/>
                <w:color w:val="auto"/>
                <w:sz w:val="30"/>
                <w:szCs w:val="30"/>
                <w:highlight w:val="none"/>
                <w:shd w:val="clear"/>
              </w:rPr>
            </w:pPr>
          </w:p>
        </w:tc>
        <w:tc>
          <w:tcPr>
            <w:tcW w:w="1480" w:type="dxa"/>
          </w:tcPr>
          <w:p w14:paraId="65F93D62">
            <w:pPr>
              <w:rPr>
                <w:rFonts w:ascii="Times New Roman" w:hAnsi="Times New Roman" w:eastAsia="仿宋_GB2312"/>
                <w:color w:val="auto"/>
                <w:sz w:val="30"/>
                <w:szCs w:val="30"/>
                <w:highlight w:val="none"/>
                <w:shd w:val="clear"/>
              </w:rPr>
            </w:pPr>
          </w:p>
        </w:tc>
        <w:tc>
          <w:tcPr>
            <w:tcW w:w="1020" w:type="dxa"/>
          </w:tcPr>
          <w:p w14:paraId="25B4B537">
            <w:pPr>
              <w:rPr>
                <w:rFonts w:ascii="Times New Roman" w:hAnsi="Times New Roman" w:eastAsia="仿宋_GB2312"/>
                <w:color w:val="auto"/>
                <w:sz w:val="30"/>
                <w:szCs w:val="30"/>
                <w:highlight w:val="none"/>
                <w:shd w:val="clear"/>
              </w:rPr>
            </w:pPr>
          </w:p>
        </w:tc>
        <w:tc>
          <w:tcPr>
            <w:tcW w:w="921" w:type="dxa"/>
          </w:tcPr>
          <w:p w14:paraId="2098C5F1">
            <w:pPr>
              <w:rPr>
                <w:rFonts w:ascii="Times New Roman" w:hAnsi="Times New Roman" w:eastAsia="仿宋_GB2312"/>
                <w:color w:val="auto"/>
                <w:sz w:val="30"/>
                <w:szCs w:val="30"/>
                <w:highlight w:val="none"/>
                <w:shd w:val="clear"/>
              </w:rPr>
            </w:pPr>
          </w:p>
        </w:tc>
      </w:tr>
      <w:tr w14:paraId="04059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17479750">
            <w:pPr>
              <w:rPr>
                <w:rFonts w:ascii="Times New Roman" w:hAnsi="Times New Roman" w:eastAsia="仿宋_GB2312"/>
                <w:color w:val="auto"/>
                <w:sz w:val="30"/>
                <w:szCs w:val="30"/>
                <w:highlight w:val="none"/>
                <w:shd w:val="clear"/>
              </w:rPr>
            </w:pPr>
          </w:p>
        </w:tc>
        <w:tc>
          <w:tcPr>
            <w:tcW w:w="1602" w:type="dxa"/>
          </w:tcPr>
          <w:p w14:paraId="3084949B">
            <w:pPr>
              <w:rPr>
                <w:rFonts w:ascii="Times New Roman" w:hAnsi="Times New Roman" w:eastAsia="仿宋_GB2312"/>
                <w:color w:val="auto"/>
                <w:sz w:val="30"/>
                <w:szCs w:val="30"/>
                <w:highlight w:val="none"/>
                <w:shd w:val="clear"/>
              </w:rPr>
            </w:pPr>
          </w:p>
        </w:tc>
        <w:tc>
          <w:tcPr>
            <w:tcW w:w="949" w:type="dxa"/>
          </w:tcPr>
          <w:p w14:paraId="6945CF27">
            <w:pPr>
              <w:rPr>
                <w:rFonts w:ascii="Times New Roman" w:hAnsi="Times New Roman" w:eastAsia="仿宋_GB2312"/>
                <w:color w:val="auto"/>
                <w:sz w:val="30"/>
                <w:szCs w:val="30"/>
                <w:highlight w:val="none"/>
                <w:shd w:val="clear"/>
              </w:rPr>
            </w:pPr>
          </w:p>
        </w:tc>
        <w:tc>
          <w:tcPr>
            <w:tcW w:w="959" w:type="dxa"/>
          </w:tcPr>
          <w:p w14:paraId="36290AFF">
            <w:pPr>
              <w:rPr>
                <w:rFonts w:ascii="Times New Roman" w:hAnsi="Times New Roman" w:eastAsia="仿宋_GB2312"/>
                <w:color w:val="auto"/>
                <w:sz w:val="30"/>
                <w:szCs w:val="30"/>
                <w:highlight w:val="none"/>
                <w:shd w:val="clear"/>
              </w:rPr>
            </w:pPr>
          </w:p>
        </w:tc>
        <w:tc>
          <w:tcPr>
            <w:tcW w:w="880" w:type="dxa"/>
          </w:tcPr>
          <w:p w14:paraId="5F97ADD4">
            <w:pPr>
              <w:rPr>
                <w:rFonts w:ascii="Times New Roman" w:hAnsi="Times New Roman" w:eastAsia="仿宋_GB2312"/>
                <w:color w:val="auto"/>
                <w:sz w:val="30"/>
                <w:szCs w:val="30"/>
                <w:highlight w:val="none"/>
                <w:shd w:val="clear"/>
              </w:rPr>
            </w:pPr>
          </w:p>
        </w:tc>
        <w:tc>
          <w:tcPr>
            <w:tcW w:w="1020" w:type="dxa"/>
          </w:tcPr>
          <w:p w14:paraId="58F48C02">
            <w:pPr>
              <w:rPr>
                <w:rFonts w:ascii="Times New Roman" w:hAnsi="Times New Roman" w:eastAsia="仿宋_GB2312"/>
                <w:color w:val="auto"/>
                <w:sz w:val="30"/>
                <w:szCs w:val="30"/>
                <w:highlight w:val="none"/>
                <w:shd w:val="clear"/>
              </w:rPr>
            </w:pPr>
          </w:p>
        </w:tc>
        <w:tc>
          <w:tcPr>
            <w:tcW w:w="1480" w:type="dxa"/>
          </w:tcPr>
          <w:p w14:paraId="38AC1B71">
            <w:pPr>
              <w:rPr>
                <w:rFonts w:ascii="Times New Roman" w:hAnsi="Times New Roman" w:eastAsia="仿宋_GB2312"/>
                <w:color w:val="auto"/>
                <w:sz w:val="30"/>
                <w:szCs w:val="30"/>
                <w:highlight w:val="none"/>
                <w:shd w:val="clear"/>
              </w:rPr>
            </w:pPr>
          </w:p>
        </w:tc>
        <w:tc>
          <w:tcPr>
            <w:tcW w:w="1020" w:type="dxa"/>
          </w:tcPr>
          <w:p w14:paraId="3DA59B69">
            <w:pPr>
              <w:rPr>
                <w:rFonts w:ascii="Times New Roman" w:hAnsi="Times New Roman" w:eastAsia="仿宋_GB2312"/>
                <w:color w:val="auto"/>
                <w:sz w:val="30"/>
                <w:szCs w:val="30"/>
                <w:highlight w:val="none"/>
                <w:shd w:val="clear"/>
              </w:rPr>
            </w:pPr>
          </w:p>
        </w:tc>
        <w:tc>
          <w:tcPr>
            <w:tcW w:w="921" w:type="dxa"/>
          </w:tcPr>
          <w:p w14:paraId="1547F16D">
            <w:pPr>
              <w:rPr>
                <w:rFonts w:ascii="Times New Roman" w:hAnsi="Times New Roman" w:eastAsia="仿宋_GB2312"/>
                <w:color w:val="auto"/>
                <w:sz w:val="30"/>
                <w:szCs w:val="30"/>
                <w:highlight w:val="none"/>
                <w:shd w:val="clear"/>
              </w:rPr>
            </w:pPr>
          </w:p>
        </w:tc>
      </w:tr>
      <w:tr w14:paraId="4812F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65020C95">
            <w:pPr>
              <w:rPr>
                <w:rFonts w:ascii="Times New Roman" w:hAnsi="Times New Roman" w:eastAsia="仿宋_GB2312"/>
                <w:color w:val="auto"/>
                <w:sz w:val="30"/>
                <w:szCs w:val="30"/>
                <w:highlight w:val="none"/>
                <w:shd w:val="clear"/>
              </w:rPr>
            </w:pPr>
          </w:p>
        </w:tc>
        <w:tc>
          <w:tcPr>
            <w:tcW w:w="1602" w:type="dxa"/>
          </w:tcPr>
          <w:p w14:paraId="1AA9962F">
            <w:pPr>
              <w:rPr>
                <w:rFonts w:ascii="Times New Roman" w:hAnsi="Times New Roman" w:eastAsia="仿宋_GB2312"/>
                <w:color w:val="auto"/>
                <w:sz w:val="30"/>
                <w:szCs w:val="30"/>
                <w:highlight w:val="none"/>
                <w:shd w:val="clear"/>
              </w:rPr>
            </w:pPr>
          </w:p>
        </w:tc>
        <w:tc>
          <w:tcPr>
            <w:tcW w:w="949" w:type="dxa"/>
          </w:tcPr>
          <w:p w14:paraId="76F34BAF">
            <w:pPr>
              <w:rPr>
                <w:rFonts w:ascii="Times New Roman" w:hAnsi="Times New Roman" w:eastAsia="仿宋_GB2312"/>
                <w:color w:val="auto"/>
                <w:sz w:val="30"/>
                <w:szCs w:val="30"/>
                <w:highlight w:val="none"/>
                <w:shd w:val="clear"/>
              </w:rPr>
            </w:pPr>
          </w:p>
        </w:tc>
        <w:tc>
          <w:tcPr>
            <w:tcW w:w="959" w:type="dxa"/>
          </w:tcPr>
          <w:p w14:paraId="6EAB64C5">
            <w:pPr>
              <w:rPr>
                <w:rFonts w:ascii="Times New Roman" w:hAnsi="Times New Roman" w:eastAsia="仿宋_GB2312"/>
                <w:color w:val="auto"/>
                <w:sz w:val="30"/>
                <w:szCs w:val="30"/>
                <w:highlight w:val="none"/>
                <w:shd w:val="clear"/>
              </w:rPr>
            </w:pPr>
          </w:p>
        </w:tc>
        <w:tc>
          <w:tcPr>
            <w:tcW w:w="880" w:type="dxa"/>
          </w:tcPr>
          <w:p w14:paraId="4045BE7F">
            <w:pPr>
              <w:rPr>
                <w:rFonts w:ascii="Times New Roman" w:hAnsi="Times New Roman" w:eastAsia="仿宋_GB2312"/>
                <w:color w:val="auto"/>
                <w:sz w:val="30"/>
                <w:szCs w:val="30"/>
                <w:highlight w:val="none"/>
                <w:shd w:val="clear"/>
              </w:rPr>
            </w:pPr>
          </w:p>
        </w:tc>
        <w:tc>
          <w:tcPr>
            <w:tcW w:w="1020" w:type="dxa"/>
          </w:tcPr>
          <w:p w14:paraId="4EA9DB63">
            <w:pPr>
              <w:rPr>
                <w:rFonts w:ascii="Times New Roman" w:hAnsi="Times New Roman" w:eastAsia="仿宋_GB2312"/>
                <w:color w:val="auto"/>
                <w:sz w:val="30"/>
                <w:szCs w:val="30"/>
                <w:highlight w:val="none"/>
                <w:shd w:val="clear"/>
              </w:rPr>
            </w:pPr>
          </w:p>
        </w:tc>
        <w:tc>
          <w:tcPr>
            <w:tcW w:w="1480" w:type="dxa"/>
          </w:tcPr>
          <w:p w14:paraId="65524938">
            <w:pPr>
              <w:rPr>
                <w:rFonts w:ascii="Times New Roman" w:hAnsi="Times New Roman" w:eastAsia="仿宋_GB2312"/>
                <w:color w:val="auto"/>
                <w:sz w:val="30"/>
                <w:szCs w:val="30"/>
                <w:highlight w:val="none"/>
                <w:shd w:val="clear"/>
              </w:rPr>
            </w:pPr>
          </w:p>
        </w:tc>
        <w:tc>
          <w:tcPr>
            <w:tcW w:w="1020" w:type="dxa"/>
          </w:tcPr>
          <w:p w14:paraId="20CFC489">
            <w:pPr>
              <w:rPr>
                <w:rFonts w:ascii="Times New Roman" w:hAnsi="Times New Roman" w:eastAsia="仿宋_GB2312"/>
                <w:color w:val="auto"/>
                <w:sz w:val="30"/>
                <w:szCs w:val="30"/>
                <w:highlight w:val="none"/>
                <w:shd w:val="clear"/>
              </w:rPr>
            </w:pPr>
          </w:p>
        </w:tc>
        <w:tc>
          <w:tcPr>
            <w:tcW w:w="921" w:type="dxa"/>
          </w:tcPr>
          <w:p w14:paraId="5DB3716B">
            <w:pPr>
              <w:rPr>
                <w:rFonts w:ascii="Times New Roman" w:hAnsi="Times New Roman" w:eastAsia="仿宋_GB2312"/>
                <w:color w:val="auto"/>
                <w:sz w:val="30"/>
                <w:szCs w:val="30"/>
                <w:highlight w:val="none"/>
                <w:shd w:val="clear"/>
              </w:rPr>
            </w:pPr>
          </w:p>
        </w:tc>
      </w:tr>
      <w:tr w14:paraId="1711A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19D3672C">
            <w:pPr>
              <w:rPr>
                <w:rFonts w:ascii="Times New Roman" w:hAnsi="Times New Roman" w:eastAsia="仿宋_GB2312"/>
                <w:color w:val="auto"/>
                <w:sz w:val="30"/>
                <w:szCs w:val="30"/>
                <w:highlight w:val="none"/>
                <w:shd w:val="clear"/>
              </w:rPr>
            </w:pPr>
          </w:p>
        </w:tc>
        <w:tc>
          <w:tcPr>
            <w:tcW w:w="1602" w:type="dxa"/>
          </w:tcPr>
          <w:p w14:paraId="5E29B5B6">
            <w:pPr>
              <w:rPr>
                <w:rFonts w:ascii="Times New Roman" w:hAnsi="Times New Roman" w:eastAsia="仿宋_GB2312"/>
                <w:color w:val="auto"/>
                <w:sz w:val="30"/>
                <w:szCs w:val="30"/>
                <w:highlight w:val="none"/>
                <w:shd w:val="clear"/>
              </w:rPr>
            </w:pPr>
          </w:p>
        </w:tc>
        <w:tc>
          <w:tcPr>
            <w:tcW w:w="949" w:type="dxa"/>
          </w:tcPr>
          <w:p w14:paraId="012CDFD6">
            <w:pPr>
              <w:rPr>
                <w:rFonts w:ascii="Times New Roman" w:hAnsi="Times New Roman" w:eastAsia="仿宋_GB2312"/>
                <w:color w:val="auto"/>
                <w:sz w:val="30"/>
                <w:szCs w:val="30"/>
                <w:highlight w:val="none"/>
                <w:shd w:val="clear"/>
              </w:rPr>
            </w:pPr>
          </w:p>
        </w:tc>
        <w:tc>
          <w:tcPr>
            <w:tcW w:w="959" w:type="dxa"/>
          </w:tcPr>
          <w:p w14:paraId="3193CA9E">
            <w:pPr>
              <w:rPr>
                <w:rFonts w:ascii="Times New Roman" w:hAnsi="Times New Roman" w:eastAsia="仿宋_GB2312"/>
                <w:color w:val="auto"/>
                <w:sz w:val="30"/>
                <w:szCs w:val="30"/>
                <w:highlight w:val="none"/>
                <w:shd w:val="clear"/>
              </w:rPr>
            </w:pPr>
          </w:p>
        </w:tc>
        <w:tc>
          <w:tcPr>
            <w:tcW w:w="880" w:type="dxa"/>
          </w:tcPr>
          <w:p w14:paraId="0DD0D9E2">
            <w:pPr>
              <w:rPr>
                <w:rFonts w:ascii="Times New Roman" w:hAnsi="Times New Roman" w:eastAsia="仿宋_GB2312"/>
                <w:color w:val="auto"/>
                <w:sz w:val="30"/>
                <w:szCs w:val="30"/>
                <w:highlight w:val="none"/>
                <w:shd w:val="clear"/>
              </w:rPr>
            </w:pPr>
          </w:p>
        </w:tc>
        <w:tc>
          <w:tcPr>
            <w:tcW w:w="1020" w:type="dxa"/>
          </w:tcPr>
          <w:p w14:paraId="204360D9">
            <w:pPr>
              <w:rPr>
                <w:rFonts w:ascii="Times New Roman" w:hAnsi="Times New Roman" w:eastAsia="仿宋_GB2312"/>
                <w:color w:val="auto"/>
                <w:sz w:val="30"/>
                <w:szCs w:val="30"/>
                <w:highlight w:val="none"/>
                <w:shd w:val="clear"/>
              </w:rPr>
            </w:pPr>
          </w:p>
        </w:tc>
        <w:tc>
          <w:tcPr>
            <w:tcW w:w="1480" w:type="dxa"/>
          </w:tcPr>
          <w:p w14:paraId="53E72754">
            <w:pPr>
              <w:rPr>
                <w:rFonts w:ascii="Times New Roman" w:hAnsi="Times New Roman" w:eastAsia="仿宋_GB2312"/>
                <w:color w:val="auto"/>
                <w:sz w:val="30"/>
                <w:szCs w:val="30"/>
                <w:highlight w:val="none"/>
                <w:shd w:val="clear"/>
              </w:rPr>
            </w:pPr>
          </w:p>
        </w:tc>
        <w:tc>
          <w:tcPr>
            <w:tcW w:w="1020" w:type="dxa"/>
          </w:tcPr>
          <w:p w14:paraId="65DCB670">
            <w:pPr>
              <w:rPr>
                <w:rFonts w:ascii="Times New Roman" w:hAnsi="Times New Roman" w:eastAsia="仿宋_GB2312"/>
                <w:color w:val="auto"/>
                <w:sz w:val="30"/>
                <w:szCs w:val="30"/>
                <w:highlight w:val="none"/>
                <w:shd w:val="clear"/>
              </w:rPr>
            </w:pPr>
          </w:p>
        </w:tc>
        <w:tc>
          <w:tcPr>
            <w:tcW w:w="921" w:type="dxa"/>
          </w:tcPr>
          <w:p w14:paraId="5F4FE504">
            <w:pPr>
              <w:rPr>
                <w:rFonts w:ascii="Times New Roman" w:hAnsi="Times New Roman" w:eastAsia="仿宋_GB2312"/>
                <w:color w:val="auto"/>
                <w:sz w:val="30"/>
                <w:szCs w:val="30"/>
                <w:highlight w:val="none"/>
                <w:shd w:val="clear"/>
              </w:rPr>
            </w:pPr>
          </w:p>
        </w:tc>
      </w:tr>
      <w:tr w14:paraId="632D8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78" w:type="dxa"/>
          </w:tcPr>
          <w:p w14:paraId="1C42D2A0">
            <w:pPr>
              <w:rPr>
                <w:rFonts w:ascii="Times New Roman" w:hAnsi="Times New Roman" w:eastAsia="仿宋_GB2312"/>
                <w:color w:val="auto"/>
                <w:sz w:val="30"/>
                <w:szCs w:val="30"/>
                <w:highlight w:val="none"/>
                <w:shd w:val="clear"/>
              </w:rPr>
            </w:pPr>
          </w:p>
        </w:tc>
        <w:tc>
          <w:tcPr>
            <w:tcW w:w="1602" w:type="dxa"/>
          </w:tcPr>
          <w:p w14:paraId="4A9708FC">
            <w:pPr>
              <w:rPr>
                <w:rFonts w:ascii="Times New Roman" w:hAnsi="Times New Roman" w:eastAsia="仿宋_GB2312"/>
                <w:color w:val="auto"/>
                <w:sz w:val="30"/>
                <w:szCs w:val="30"/>
                <w:highlight w:val="none"/>
                <w:shd w:val="clear"/>
              </w:rPr>
            </w:pPr>
          </w:p>
        </w:tc>
        <w:tc>
          <w:tcPr>
            <w:tcW w:w="949" w:type="dxa"/>
          </w:tcPr>
          <w:p w14:paraId="1F40829E">
            <w:pPr>
              <w:rPr>
                <w:rFonts w:ascii="Times New Roman" w:hAnsi="Times New Roman" w:eastAsia="仿宋_GB2312"/>
                <w:color w:val="auto"/>
                <w:sz w:val="30"/>
                <w:szCs w:val="30"/>
                <w:highlight w:val="none"/>
                <w:shd w:val="clear"/>
              </w:rPr>
            </w:pPr>
          </w:p>
        </w:tc>
        <w:tc>
          <w:tcPr>
            <w:tcW w:w="959" w:type="dxa"/>
          </w:tcPr>
          <w:p w14:paraId="08DF9D6D">
            <w:pPr>
              <w:rPr>
                <w:rFonts w:ascii="Times New Roman" w:hAnsi="Times New Roman" w:eastAsia="仿宋_GB2312"/>
                <w:color w:val="auto"/>
                <w:sz w:val="30"/>
                <w:szCs w:val="30"/>
                <w:highlight w:val="none"/>
                <w:shd w:val="clear"/>
              </w:rPr>
            </w:pPr>
          </w:p>
        </w:tc>
        <w:tc>
          <w:tcPr>
            <w:tcW w:w="880" w:type="dxa"/>
          </w:tcPr>
          <w:p w14:paraId="05A710A7">
            <w:pPr>
              <w:rPr>
                <w:rFonts w:ascii="Times New Roman" w:hAnsi="Times New Roman" w:eastAsia="仿宋_GB2312"/>
                <w:color w:val="auto"/>
                <w:sz w:val="30"/>
                <w:szCs w:val="30"/>
                <w:highlight w:val="none"/>
                <w:shd w:val="clear"/>
              </w:rPr>
            </w:pPr>
          </w:p>
        </w:tc>
        <w:tc>
          <w:tcPr>
            <w:tcW w:w="1020" w:type="dxa"/>
          </w:tcPr>
          <w:p w14:paraId="75369707">
            <w:pPr>
              <w:rPr>
                <w:rFonts w:ascii="Times New Roman" w:hAnsi="Times New Roman" w:eastAsia="仿宋_GB2312"/>
                <w:color w:val="auto"/>
                <w:sz w:val="30"/>
                <w:szCs w:val="30"/>
                <w:highlight w:val="none"/>
                <w:shd w:val="clear"/>
              </w:rPr>
            </w:pPr>
          </w:p>
        </w:tc>
        <w:tc>
          <w:tcPr>
            <w:tcW w:w="1480" w:type="dxa"/>
          </w:tcPr>
          <w:p w14:paraId="4A4CE8DE">
            <w:pPr>
              <w:rPr>
                <w:rFonts w:ascii="Times New Roman" w:hAnsi="Times New Roman" w:eastAsia="仿宋_GB2312"/>
                <w:color w:val="auto"/>
                <w:sz w:val="30"/>
                <w:szCs w:val="30"/>
                <w:highlight w:val="none"/>
                <w:shd w:val="clear"/>
              </w:rPr>
            </w:pPr>
          </w:p>
        </w:tc>
        <w:tc>
          <w:tcPr>
            <w:tcW w:w="1020" w:type="dxa"/>
          </w:tcPr>
          <w:p w14:paraId="038E7A46">
            <w:pPr>
              <w:rPr>
                <w:rFonts w:ascii="Times New Roman" w:hAnsi="Times New Roman" w:eastAsia="仿宋_GB2312"/>
                <w:color w:val="auto"/>
                <w:sz w:val="30"/>
                <w:szCs w:val="30"/>
                <w:highlight w:val="none"/>
                <w:shd w:val="clear"/>
              </w:rPr>
            </w:pPr>
          </w:p>
        </w:tc>
        <w:tc>
          <w:tcPr>
            <w:tcW w:w="921" w:type="dxa"/>
          </w:tcPr>
          <w:p w14:paraId="0BF578F2">
            <w:pPr>
              <w:rPr>
                <w:rFonts w:ascii="Times New Roman" w:hAnsi="Times New Roman" w:eastAsia="仿宋_GB2312"/>
                <w:color w:val="auto"/>
                <w:sz w:val="30"/>
                <w:szCs w:val="30"/>
                <w:highlight w:val="none"/>
                <w:shd w:val="clear"/>
              </w:rPr>
            </w:pPr>
          </w:p>
        </w:tc>
      </w:tr>
    </w:tbl>
    <w:p w14:paraId="63C09992">
      <w:pPr>
        <w:rPr>
          <w:rFonts w:ascii="Times New Roman" w:hAnsi="Times New Roman" w:eastAsia="仿宋_GB2312"/>
          <w:color w:val="auto"/>
          <w:sz w:val="30"/>
          <w:szCs w:val="30"/>
          <w:highlight w:val="none"/>
          <w:shd w:val="clear"/>
        </w:rPr>
      </w:pPr>
      <w:r>
        <w:rPr>
          <w:rFonts w:ascii="Times New Roman" w:hAnsi="Times New Roman" w:eastAsia="仿宋_GB2312"/>
          <w:color w:val="auto"/>
          <w:sz w:val="30"/>
          <w:szCs w:val="30"/>
          <w:highlight w:val="none"/>
          <w:shd w:val="clear"/>
        </w:rPr>
        <w:br w:type="page"/>
      </w:r>
    </w:p>
    <w:p w14:paraId="6ED05F29">
      <w:pPr>
        <w:pStyle w:val="33"/>
        <w:rPr>
          <w:color w:val="auto"/>
          <w:highlight w:val="none"/>
          <w:shd w:val="clear"/>
        </w:rPr>
      </w:pPr>
      <w:r>
        <w:rPr>
          <w:color w:val="auto"/>
          <w:highlight w:val="none"/>
          <w:shd w:val="clear"/>
        </w:rPr>
        <w:t>附</w:t>
      </w:r>
      <w:bookmarkStart w:id="1962" w:name="_Toc296891056"/>
      <w:bookmarkStart w:id="1963" w:name="_Toc296347227"/>
      <w:bookmarkStart w:id="1964" w:name="_Toc267261699"/>
      <w:bookmarkStart w:id="1965" w:name="_Toc296503228"/>
      <w:bookmarkStart w:id="1966" w:name="_Toc296944567"/>
      <w:bookmarkStart w:id="1967" w:name="_Toc296891268"/>
      <w:bookmarkStart w:id="1968" w:name="_Toc296346729"/>
      <w:r>
        <w:rPr>
          <w:color w:val="auto"/>
          <w:highlight w:val="none"/>
          <w:shd w:val="clear"/>
        </w:rPr>
        <w:t>件6：</w:t>
      </w:r>
    </w:p>
    <w:bookmarkEnd w:id="1962"/>
    <w:bookmarkEnd w:id="1963"/>
    <w:bookmarkEnd w:id="1964"/>
    <w:bookmarkEnd w:id="1965"/>
    <w:bookmarkEnd w:id="1966"/>
    <w:bookmarkEnd w:id="1967"/>
    <w:bookmarkEnd w:id="1968"/>
    <w:p w14:paraId="4ADFA207">
      <w:pPr>
        <w:pStyle w:val="20"/>
        <w:rPr>
          <w:rFonts w:ascii="Times New Roman" w:hAnsi="Times New Roman"/>
          <w:color w:val="auto"/>
          <w:highlight w:val="none"/>
          <w:shd w:val="clear"/>
        </w:rPr>
      </w:pPr>
      <w:bookmarkStart w:id="1969" w:name="_Toc170805746"/>
      <w:bookmarkStart w:id="1970" w:name="_Toc170805366"/>
      <w:bookmarkStart w:id="1971" w:name="_Toc170804178"/>
      <w:r>
        <w:rPr>
          <w:rFonts w:ascii="Times New Roman" w:hAnsi="Times New Roman"/>
          <w:color w:val="auto"/>
          <w:highlight w:val="none"/>
          <w:shd w:val="clear"/>
        </w:rPr>
        <w:t>承包人主要施工管理人员表</w:t>
      </w:r>
      <w:bookmarkEnd w:id="1969"/>
      <w:bookmarkEnd w:id="1970"/>
      <w:bookmarkEnd w:id="1971"/>
    </w:p>
    <w:tbl>
      <w:tblPr>
        <w:tblStyle w:val="1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946E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057C362">
            <w:pPr>
              <w:pStyle w:val="28"/>
              <w:rPr>
                <w:rFonts w:ascii="Times New Roman" w:hAnsi="Times New Roman"/>
                <w:color w:val="auto"/>
                <w:highlight w:val="none"/>
                <w:shd w:val="clear"/>
              </w:rPr>
            </w:pPr>
            <w:r>
              <w:rPr>
                <w:rFonts w:ascii="Times New Roman" w:hAnsi="Times New Roman"/>
                <w:color w:val="auto"/>
                <w:highlight w:val="none"/>
                <w:shd w:val="clear"/>
              </w:rPr>
              <w:t>名    称</w:t>
            </w:r>
          </w:p>
        </w:tc>
        <w:tc>
          <w:tcPr>
            <w:tcW w:w="1418" w:type="dxa"/>
            <w:vAlign w:val="center"/>
          </w:tcPr>
          <w:p w14:paraId="41EF3C1A">
            <w:pPr>
              <w:pStyle w:val="28"/>
              <w:rPr>
                <w:rFonts w:ascii="Times New Roman" w:hAnsi="Times New Roman"/>
                <w:color w:val="auto"/>
                <w:highlight w:val="none"/>
                <w:shd w:val="clear"/>
              </w:rPr>
            </w:pPr>
            <w:r>
              <w:rPr>
                <w:rFonts w:ascii="Times New Roman" w:hAnsi="Times New Roman"/>
                <w:color w:val="auto"/>
                <w:highlight w:val="none"/>
                <w:shd w:val="clear"/>
              </w:rPr>
              <w:t>姓名</w:t>
            </w:r>
          </w:p>
        </w:tc>
        <w:tc>
          <w:tcPr>
            <w:tcW w:w="1134" w:type="dxa"/>
            <w:vAlign w:val="center"/>
          </w:tcPr>
          <w:p w14:paraId="11E17F73">
            <w:pPr>
              <w:pStyle w:val="28"/>
              <w:rPr>
                <w:rFonts w:ascii="Times New Roman" w:hAnsi="Times New Roman"/>
                <w:color w:val="auto"/>
                <w:highlight w:val="none"/>
                <w:shd w:val="clear"/>
              </w:rPr>
            </w:pPr>
            <w:r>
              <w:rPr>
                <w:rFonts w:ascii="Times New Roman" w:hAnsi="Times New Roman"/>
                <w:color w:val="auto"/>
                <w:highlight w:val="none"/>
                <w:shd w:val="clear"/>
              </w:rPr>
              <w:t>职务</w:t>
            </w:r>
          </w:p>
        </w:tc>
        <w:tc>
          <w:tcPr>
            <w:tcW w:w="1134" w:type="dxa"/>
            <w:vAlign w:val="center"/>
          </w:tcPr>
          <w:p w14:paraId="12E32404">
            <w:pPr>
              <w:pStyle w:val="28"/>
              <w:rPr>
                <w:rFonts w:ascii="Times New Roman" w:hAnsi="Times New Roman"/>
                <w:color w:val="auto"/>
                <w:highlight w:val="none"/>
                <w:shd w:val="clear"/>
              </w:rPr>
            </w:pPr>
            <w:r>
              <w:rPr>
                <w:rFonts w:ascii="Times New Roman" w:hAnsi="Times New Roman"/>
                <w:color w:val="auto"/>
                <w:highlight w:val="none"/>
                <w:shd w:val="clear"/>
              </w:rPr>
              <w:t>职称</w:t>
            </w:r>
          </w:p>
        </w:tc>
        <w:tc>
          <w:tcPr>
            <w:tcW w:w="4252" w:type="dxa"/>
            <w:vAlign w:val="center"/>
          </w:tcPr>
          <w:p w14:paraId="2EE95AA3">
            <w:pPr>
              <w:pStyle w:val="28"/>
              <w:rPr>
                <w:rFonts w:ascii="Times New Roman" w:hAnsi="Times New Roman"/>
                <w:color w:val="auto"/>
                <w:highlight w:val="none"/>
                <w:shd w:val="clear"/>
              </w:rPr>
            </w:pPr>
            <w:r>
              <w:rPr>
                <w:rFonts w:ascii="Times New Roman" w:hAnsi="Times New Roman"/>
                <w:color w:val="auto"/>
                <w:highlight w:val="none"/>
                <w:shd w:val="clear"/>
              </w:rPr>
              <w:t>主要资历、经验及承担过的项目</w:t>
            </w:r>
          </w:p>
        </w:tc>
      </w:tr>
      <w:tr w14:paraId="0B95B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40189EED">
            <w:pPr>
              <w:pStyle w:val="28"/>
              <w:rPr>
                <w:rFonts w:ascii="Times New Roman" w:hAnsi="Times New Roman"/>
                <w:color w:val="auto"/>
                <w:highlight w:val="none"/>
                <w:shd w:val="clear"/>
              </w:rPr>
            </w:pPr>
            <w:r>
              <w:rPr>
                <w:rFonts w:ascii="Times New Roman" w:hAnsi="Times New Roman"/>
                <w:color w:val="auto"/>
                <w:highlight w:val="none"/>
                <w:shd w:val="clear"/>
              </w:rPr>
              <w:t>一、总部人员</w:t>
            </w:r>
          </w:p>
        </w:tc>
      </w:tr>
      <w:tr w14:paraId="3E3AE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AD58803">
            <w:pPr>
              <w:pStyle w:val="29"/>
              <w:rPr>
                <w:rFonts w:ascii="Times New Roman" w:hAnsi="Times New Roman"/>
                <w:color w:val="auto"/>
                <w:highlight w:val="none"/>
                <w:shd w:val="clear"/>
              </w:rPr>
            </w:pPr>
            <w:r>
              <w:rPr>
                <w:rFonts w:ascii="Times New Roman" w:hAnsi="Times New Roman"/>
                <w:color w:val="auto"/>
                <w:highlight w:val="none"/>
                <w:shd w:val="clear"/>
              </w:rPr>
              <w:t>项目主管</w:t>
            </w:r>
          </w:p>
        </w:tc>
        <w:tc>
          <w:tcPr>
            <w:tcW w:w="1418" w:type="dxa"/>
            <w:vAlign w:val="center"/>
          </w:tcPr>
          <w:p w14:paraId="3CCF8533">
            <w:pPr>
              <w:pStyle w:val="29"/>
              <w:rPr>
                <w:rFonts w:ascii="Times New Roman" w:hAnsi="Times New Roman" w:eastAsia="仿宋_GB2312"/>
                <w:color w:val="auto"/>
                <w:sz w:val="28"/>
                <w:szCs w:val="30"/>
                <w:highlight w:val="none"/>
                <w:shd w:val="clear"/>
              </w:rPr>
            </w:pPr>
          </w:p>
        </w:tc>
        <w:tc>
          <w:tcPr>
            <w:tcW w:w="1134" w:type="dxa"/>
            <w:vAlign w:val="center"/>
          </w:tcPr>
          <w:p w14:paraId="0035D284">
            <w:pPr>
              <w:pStyle w:val="29"/>
              <w:rPr>
                <w:rFonts w:ascii="Times New Roman" w:hAnsi="Times New Roman" w:eastAsia="仿宋_GB2312"/>
                <w:color w:val="auto"/>
                <w:sz w:val="30"/>
                <w:szCs w:val="30"/>
                <w:highlight w:val="none"/>
                <w:shd w:val="clear"/>
              </w:rPr>
            </w:pPr>
          </w:p>
        </w:tc>
        <w:tc>
          <w:tcPr>
            <w:tcW w:w="1134" w:type="dxa"/>
            <w:vAlign w:val="center"/>
          </w:tcPr>
          <w:p w14:paraId="2BD9D564">
            <w:pPr>
              <w:pStyle w:val="29"/>
              <w:rPr>
                <w:rFonts w:ascii="Times New Roman" w:hAnsi="Times New Roman" w:eastAsia="仿宋_GB2312"/>
                <w:color w:val="auto"/>
                <w:sz w:val="30"/>
                <w:szCs w:val="30"/>
                <w:highlight w:val="none"/>
                <w:shd w:val="clear"/>
              </w:rPr>
            </w:pPr>
          </w:p>
        </w:tc>
        <w:tc>
          <w:tcPr>
            <w:tcW w:w="4252" w:type="dxa"/>
            <w:vAlign w:val="center"/>
          </w:tcPr>
          <w:p w14:paraId="5EDC2316">
            <w:pPr>
              <w:pStyle w:val="29"/>
              <w:rPr>
                <w:rFonts w:ascii="Times New Roman" w:hAnsi="Times New Roman" w:eastAsia="仿宋_GB2312"/>
                <w:color w:val="auto"/>
                <w:sz w:val="30"/>
                <w:szCs w:val="30"/>
                <w:highlight w:val="none"/>
                <w:shd w:val="clear"/>
              </w:rPr>
            </w:pPr>
          </w:p>
        </w:tc>
      </w:tr>
      <w:tr w14:paraId="38F47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5FCA91B">
            <w:pPr>
              <w:pStyle w:val="29"/>
              <w:rPr>
                <w:rFonts w:ascii="Times New Roman" w:hAnsi="Times New Roman"/>
                <w:color w:val="auto"/>
                <w:highlight w:val="none"/>
                <w:shd w:val="clear"/>
              </w:rPr>
            </w:pPr>
          </w:p>
        </w:tc>
        <w:tc>
          <w:tcPr>
            <w:tcW w:w="1418" w:type="dxa"/>
            <w:vAlign w:val="center"/>
          </w:tcPr>
          <w:p w14:paraId="78F05C1A">
            <w:pPr>
              <w:pStyle w:val="29"/>
              <w:rPr>
                <w:rFonts w:ascii="Times New Roman" w:hAnsi="Times New Roman" w:eastAsia="仿宋_GB2312"/>
                <w:color w:val="auto"/>
                <w:sz w:val="28"/>
                <w:szCs w:val="30"/>
                <w:highlight w:val="none"/>
                <w:shd w:val="clear"/>
              </w:rPr>
            </w:pPr>
          </w:p>
        </w:tc>
        <w:tc>
          <w:tcPr>
            <w:tcW w:w="1134" w:type="dxa"/>
            <w:vAlign w:val="center"/>
          </w:tcPr>
          <w:p w14:paraId="380A55D8">
            <w:pPr>
              <w:pStyle w:val="29"/>
              <w:rPr>
                <w:rFonts w:ascii="Times New Roman" w:hAnsi="Times New Roman" w:eastAsia="仿宋_GB2312"/>
                <w:color w:val="auto"/>
                <w:sz w:val="30"/>
                <w:szCs w:val="30"/>
                <w:highlight w:val="none"/>
                <w:shd w:val="clear"/>
              </w:rPr>
            </w:pPr>
          </w:p>
        </w:tc>
        <w:tc>
          <w:tcPr>
            <w:tcW w:w="1134" w:type="dxa"/>
            <w:vAlign w:val="center"/>
          </w:tcPr>
          <w:p w14:paraId="7F8C17CE">
            <w:pPr>
              <w:pStyle w:val="29"/>
              <w:rPr>
                <w:rFonts w:ascii="Times New Roman" w:hAnsi="Times New Roman" w:eastAsia="仿宋_GB2312"/>
                <w:color w:val="auto"/>
                <w:sz w:val="30"/>
                <w:szCs w:val="30"/>
                <w:highlight w:val="none"/>
                <w:shd w:val="clear"/>
              </w:rPr>
            </w:pPr>
          </w:p>
        </w:tc>
        <w:tc>
          <w:tcPr>
            <w:tcW w:w="4252" w:type="dxa"/>
            <w:vAlign w:val="center"/>
          </w:tcPr>
          <w:p w14:paraId="3C7A3FF5">
            <w:pPr>
              <w:pStyle w:val="29"/>
              <w:rPr>
                <w:rFonts w:ascii="Times New Roman" w:hAnsi="Times New Roman" w:eastAsia="仿宋_GB2312"/>
                <w:color w:val="auto"/>
                <w:sz w:val="30"/>
                <w:szCs w:val="30"/>
                <w:highlight w:val="none"/>
                <w:shd w:val="clear"/>
              </w:rPr>
            </w:pPr>
          </w:p>
        </w:tc>
      </w:tr>
      <w:tr w14:paraId="46E2C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5DBEDD5">
            <w:pPr>
              <w:pStyle w:val="29"/>
              <w:rPr>
                <w:rFonts w:ascii="Times New Roman" w:hAnsi="Times New Roman"/>
                <w:color w:val="auto"/>
                <w:highlight w:val="none"/>
                <w:shd w:val="clear"/>
              </w:rPr>
            </w:pPr>
            <w:r>
              <w:rPr>
                <w:rFonts w:ascii="Times New Roman" w:hAnsi="Times New Roman"/>
                <w:color w:val="auto"/>
                <w:highlight w:val="none"/>
                <w:shd w:val="clear"/>
              </w:rPr>
              <w:t>其他人员</w:t>
            </w:r>
          </w:p>
        </w:tc>
        <w:tc>
          <w:tcPr>
            <w:tcW w:w="1418" w:type="dxa"/>
            <w:vAlign w:val="center"/>
          </w:tcPr>
          <w:p w14:paraId="313FC199">
            <w:pPr>
              <w:pStyle w:val="29"/>
              <w:rPr>
                <w:rFonts w:ascii="Times New Roman" w:hAnsi="Times New Roman" w:eastAsia="仿宋_GB2312"/>
                <w:color w:val="auto"/>
                <w:sz w:val="28"/>
                <w:szCs w:val="30"/>
                <w:highlight w:val="none"/>
                <w:shd w:val="clear"/>
              </w:rPr>
            </w:pPr>
          </w:p>
        </w:tc>
        <w:tc>
          <w:tcPr>
            <w:tcW w:w="1134" w:type="dxa"/>
            <w:vAlign w:val="center"/>
          </w:tcPr>
          <w:p w14:paraId="75F2CD6A">
            <w:pPr>
              <w:pStyle w:val="29"/>
              <w:rPr>
                <w:rFonts w:ascii="Times New Roman" w:hAnsi="Times New Roman" w:eastAsia="仿宋_GB2312"/>
                <w:color w:val="auto"/>
                <w:sz w:val="30"/>
                <w:szCs w:val="30"/>
                <w:highlight w:val="none"/>
                <w:shd w:val="clear"/>
              </w:rPr>
            </w:pPr>
          </w:p>
        </w:tc>
        <w:tc>
          <w:tcPr>
            <w:tcW w:w="1134" w:type="dxa"/>
            <w:vAlign w:val="center"/>
          </w:tcPr>
          <w:p w14:paraId="7EBF5C9B">
            <w:pPr>
              <w:pStyle w:val="29"/>
              <w:rPr>
                <w:rFonts w:ascii="Times New Roman" w:hAnsi="Times New Roman" w:eastAsia="仿宋_GB2312"/>
                <w:color w:val="auto"/>
                <w:sz w:val="30"/>
                <w:szCs w:val="30"/>
                <w:highlight w:val="none"/>
                <w:shd w:val="clear"/>
              </w:rPr>
            </w:pPr>
          </w:p>
        </w:tc>
        <w:tc>
          <w:tcPr>
            <w:tcW w:w="4252" w:type="dxa"/>
            <w:vAlign w:val="center"/>
          </w:tcPr>
          <w:p w14:paraId="0E50A551">
            <w:pPr>
              <w:pStyle w:val="29"/>
              <w:rPr>
                <w:rFonts w:ascii="Times New Roman" w:hAnsi="Times New Roman" w:eastAsia="仿宋_GB2312"/>
                <w:color w:val="auto"/>
                <w:sz w:val="30"/>
                <w:szCs w:val="30"/>
                <w:highlight w:val="none"/>
                <w:shd w:val="clear"/>
              </w:rPr>
            </w:pPr>
          </w:p>
        </w:tc>
      </w:tr>
      <w:tr w14:paraId="708A3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46F425A">
            <w:pPr>
              <w:pStyle w:val="29"/>
              <w:rPr>
                <w:rFonts w:ascii="Times New Roman" w:hAnsi="Times New Roman" w:eastAsia="仿宋_GB2312"/>
                <w:color w:val="auto"/>
                <w:sz w:val="28"/>
                <w:szCs w:val="30"/>
                <w:highlight w:val="none"/>
                <w:shd w:val="clear"/>
              </w:rPr>
            </w:pPr>
          </w:p>
        </w:tc>
        <w:tc>
          <w:tcPr>
            <w:tcW w:w="1418" w:type="dxa"/>
            <w:vAlign w:val="center"/>
          </w:tcPr>
          <w:p w14:paraId="3B513ACE">
            <w:pPr>
              <w:pStyle w:val="29"/>
              <w:rPr>
                <w:rFonts w:ascii="Times New Roman" w:hAnsi="Times New Roman" w:eastAsia="仿宋_GB2312"/>
                <w:color w:val="auto"/>
                <w:sz w:val="28"/>
                <w:szCs w:val="30"/>
                <w:highlight w:val="none"/>
                <w:shd w:val="clear"/>
              </w:rPr>
            </w:pPr>
          </w:p>
        </w:tc>
        <w:tc>
          <w:tcPr>
            <w:tcW w:w="1134" w:type="dxa"/>
            <w:vAlign w:val="center"/>
          </w:tcPr>
          <w:p w14:paraId="3649CEF2">
            <w:pPr>
              <w:pStyle w:val="29"/>
              <w:rPr>
                <w:rFonts w:ascii="Times New Roman" w:hAnsi="Times New Roman" w:eastAsia="仿宋_GB2312"/>
                <w:color w:val="auto"/>
                <w:sz w:val="30"/>
                <w:szCs w:val="30"/>
                <w:highlight w:val="none"/>
                <w:shd w:val="clear"/>
              </w:rPr>
            </w:pPr>
          </w:p>
        </w:tc>
        <w:tc>
          <w:tcPr>
            <w:tcW w:w="1134" w:type="dxa"/>
            <w:vAlign w:val="center"/>
          </w:tcPr>
          <w:p w14:paraId="4894F926">
            <w:pPr>
              <w:pStyle w:val="29"/>
              <w:rPr>
                <w:rFonts w:ascii="Times New Roman" w:hAnsi="Times New Roman" w:eastAsia="仿宋_GB2312"/>
                <w:color w:val="auto"/>
                <w:sz w:val="30"/>
                <w:szCs w:val="30"/>
                <w:highlight w:val="none"/>
                <w:shd w:val="clear"/>
              </w:rPr>
            </w:pPr>
          </w:p>
        </w:tc>
        <w:tc>
          <w:tcPr>
            <w:tcW w:w="4252" w:type="dxa"/>
            <w:vAlign w:val="center"/>
          </w:tcPr>
          <w:p w14:paraId="1626FB7A">
            <w:pPr>
              <w:pStyle w:val="29"/>
              <w:rPr>
                <w:rFonts w:ascii="Times New Roman" w:hAnsi="Times New Roman" w:eastAsia="仿宋_GB2312"/>
                <w:color w:val="auto"/>
                <w:sz w:val="30"/>
                <w:szCs w:val="30"/>
                <w:highlight w:val="none"/>
                <w:shd w:val="clear"/>
              </w:rPr>
            </w:pPr>
          </w:p>
        </w:tc>
      </w:tr>
      <w:tr w14:paraId="1DDE8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010E54F9">
            <w:pPr>
              <w:pStyle w:val="28"/>
              <w:rPr>
                <w:rFonts w:ascii="Times New Roman" w:hAnsi="Times New Roman"/>
                <w:color w:val="auto"/>
                <w:highlight w:val="none"/>
                <w:shd w:val="clear"/>
              </w:rPr>
            </w:pPr>
            <w:r>
              <w:rPr>
                <w:rFonts w:ascii="Times New Roman" w:hAnsi="Times New Roman"/>
                <w:color w:val="auto"/>
                <w:highlight w:val="none"/>
                <w:shd w:val="clear"/>
              </w:rPr>
              <w:t>二、现场人员</w:t>
            </w:r>
          </w:p>
        </w:tc>
      </w:tr>
      <w:tr w14:paraId="7B881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D342BF1">
            <w:pPr>
              <w:pStyle w:val="29"/>
              <w:rPr>
                <w:rFonts w:ascii="Times New Roman" w:hAnsi="Times New Roman"/>
                <w:color w:val="auto"/>
                <w:highlight w:val="none"/>
                <w:shd w:val="clear"/>
              </w:rPr>
            </w:pPr>
            <w:r>
              <w:rPr>
                <w:rFonts w:ascii="Times New Roman" w:hAnsi="Times New Roman"/>
                <w:color w:val="auto"/>
                <w:highlight w:val="none"/>
                <w:shd w:val="clear"/>
              </w:rPr>
              <w:t>项目经理</w:t>
            </w:r>
          </w:p>
        </w:tc>
        <w:tc>
          <w:tcPr>
            <w:tcW w:w="1418" w:type="dxa"/>
            <w:vAlign w:val="center"/>
          </w:tcPr>
          <w:p w14:paraId="5586BCB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2D0299F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57D9584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481C2A1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87AC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FA29148">
            <w:pPr>
              <w:pStyle w:val="29"/>
              <w:rPr>
                <w:rFonts w:ascii="Times New Roman" w:hAnsi="Times New Roman"/>
                <w:color w:val="auto"/>
                <w:highlight w:val="none"/>
                <w:shd w:val="clear"/>
              </w:rPr>
            </w:pPr>
            <w:r>
              <w:rPr>
                <w:rFonts w:ascii="Times New Roman" w:hAnsi="Times New Roman"/>
                <w:color w:val="auto"/>
                <w:highlight w:val="none"/>
                <w:shd w:val="clear"/>
              </w:rPr>
              <w:t>项目副经理</w:t>
            </w:r>
          </w:p>
        </w:tc>
        <w:tc>
          <w:tcPr>
            <w:tcW w:w="1418" w:type="dxa"/>
            <w:vAlign w:val="center"/>
          </w:tcPr>
          <w:p w14:paraId="0AAC4B7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0ED761E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77D2CC2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6CEFD99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8529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871" w:type="dxa"/>
            <w:vAlign w:val="center"/>
          </w:tcPr>
          <w:p w14:paraId="29269DD2">
            <w:pPr>
              <w:pStyle w:val="29"/>
              <w:rPr>
                <w:rFonts w:ascii="Times New Roman" w:hAnsi="Times New Roman"/>
                <w:color w:val="auto"/>
                <w:highlight w:val="none"/>
                <w:shd w:val="clear"/>
              </w:rPr>
            </w:pPr>
            <w:r>
              <w:rPr>
                <w:rFonts w:ascii="Times New Roman" w:hAnsi="Times New Roman"/>
                <w:color w:val="auto"/>
                <w:highlight w:val="none"/>
                <w:shd w:val="clear"/>
              </w:rPr>
              <w:t>技术负责人</w:t>
            </w:r>
          </w:p>
        </w:tc>
        <w:tc>
          <w:tcPr>
            <w:tcW w:w="1418" w:type="dxa"/>
            <w:vAlign w:val="center"/>
          </w:tcPr>
          <w:p w14:paraId="4981495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7FE8914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181B6EB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6F728B3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50D1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CB9DE1">
            <w:pPr>
              <w:pStyle w:val="29"/>
              <w:rPr>
                <w:rFonts w:ascii="Times New Roman" w:hAnsi="Times New Roman"/>
                <w:color w:val="auto"/>
                <w:highlight w:val="none"/>
                <w:shd w:val="clear"/>
              </w:rPr>
            </w:pPr>
            <w:r>
              <w:rPr>
                <w:rFonts w:ascii="Times New Roman" w:hAnsi="Times New Roman"/>
                <w:color w:val="auto"/>
                <w:highlight w:val="none"/>
                <w:shd w:val="clear"/>
              </w:rPr>
              <w:t>造价管理</w:t>
            </w:r>
          </w:p>
        </w:tc>
        <w:tc>
          <w:tcPr>
            <w:tcW w:w="1418" w:type="dxa"/>
            <w:vAlign w:val="center"/>
          </w:tcPr>
          <w:p w14:paraId="2574999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0535931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7359CE7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5753CDD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98A6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33D3A1C">
            <w:pPr>
              <w:pStyle w:val="29"/>
              <w:rPr>
                <w:rFonts w:ascii="Times New Roman" w:hAnsi="Times New Roman"/>
                <w:color w:val="auto"/>
                <w:highlight w:val="none"/>
                <w:shd w:val="clear"/>
              </w:rPr>
            </w:pPr>
            <w:r>
              <w:rPr>
                <w:rFonts w:ascii="Times New Roman" w:hAnsi="Times New Roman"/>
                <w:color w:val="auto"/>
                <w:highlight w:val="none"/>
                <w:shd w:val="clear"/>
              </w:rPr>
              <w:t>质量管理</w:t>
            </w:r>
          </w:p>
        </w:tc>
        <w:tc>
          <w:tcPr>
            <w:tcW w:w="1418" w:type="dxa"/>
            <w:vAlign w:val="center"/>
          </w:tcPr>
          <w:p w14:paraId="7EEB089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19B50FC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522A078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316E8FA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3FCE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1871" w:type="dxa"/>
            <w:vAlign w:val="center"/>
          </w:tcPr>
          <w:p w14:paraId="4DDC328A">
            <w:pPr>
              <w:pStyle w:val="29"/>
              <w:rPr>
                <w:rFonts w:ascii="Times New Roman" w:hAnsi="Times New Roman"/>
                <w:color w:val="auto"/>
                <w:highlight w:val="none"/>
                <w:shd w:val="clear"/>
              </w:rPr>
            </w:pPr>
            <w:r>
              <w:rPr>
                <w:rFonts w:ascii="Times New Roman" w:hAnsi="Times New Roman"/>
                <w:color w:val="auto"/>
                <w:highlight w:val="none"/>
                <w:shd w:val="clear"/>
              </w:rPr>
              <w:t>材料管理</w:t>
            </w:r>
          </w:p>
        </w:tc>
        <w:tc>
          <w:tcPr>
            <w:tcW w:w="1418" w:type="dxa"/>
            <w:vAlign w:val="center"/>
          </w:tcPr>
          <w:p w14:paraId="138BBA5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727960A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357D722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2890544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73D4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7A443EF">
            <w:pPr>
              <w:pStyle w:val="29"/>
              <w:rPr>
                <w:rFonts w:ascii="Times New Roman" w:hAnsi="Times New Roman"/>
                <w:color w:val="auto"/>
                <w:highlight w:val="none"/>
                <w:shd w:val="clear"/>
              </w:rPr>
            </w:pPr>
            <w:r>
              <w:rPr>
                <w:rFonts w:ascii="Times New Roman" w:hAnsi="Times New Roman"/>
                <w:color w:val="auto"/>
                <w:highlight w:val="none"/>
                <w:shd w:val="clear"/>
              </w:rPr>
              <w:t>计划管理</w:t>
            </w:r>
          </w:p>
        </w:tc>
        <w:tc>
          <w:tcPr>
            <w:tcW w:w="1418" w:type="dxa"/>
            <w:vAlign w:val="center"/>
          </w:tcPr>
          <w:p w14:paraId="53CF1B1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4B4E1C9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0EAB964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4252" w:type="dxa"/>
            <w:vAlign w:val="center"/>
          </w:tcPr>
          <w:p w14:paraId="67B148A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70E3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42FF0AC">
            <w:pPr>
              <w:pStyle w:val="29"/>
              <w:rPr>
                <w:rFonts w:ascii="Times New Roman" w:hAnsi="Times New Roman"/>
                <w:color w:val="auto"/>
                <w:highlight w:val="none"/>
                <w:shd w:val="clear"/>
              </w:rPr>
            </w:pPr>
            <w:r>
              <w:rPr>
                <w:rFonts w:ascii="Times New Roman" w:hAnsi="Times New Roman"/>
                <w:color w:val="auto"/>
                <w:highlight w:val="none"/>
                <w:shd w:val="clear"/>
              </w:rPr>
              <w:t>安全管理</w:t>
            </w:r>
          </w:p>
        </w:tc>
        <w:tc>
          <w:tcPr>
            <w:tcW w:w="1418" w:type="dxa"/>
            <w:vAlign w:val="center"/>
          </w:tcPr>
          <w:p w14:paraId="5E30C63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1030C34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39C08DC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4252" w:type="dxa"/>
            <w:vAlign w:val="center"/>
          </w:tcPr>
          <w:p w14:paraId="2B0CD9D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CE1F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67067D79">
            <w:pPr>
              <w:pStyle w:val="29"/>
              <w:rPr>
                <w:rFonts w:ascii="Times New Roman" w:hAnsi="Times New Roman"/>
                <w:color w:val="auto"/>
                <w:highlight w:val="none"/>
                <w:shd w:val="clear"/>
              </w:rPr>
            </w:pPr>
            <w:r>
              <w:rPr>
                <w:rFonts w:ascii="Times New Roman" w:hAnsi="Times New Roman"/>
                <w:color w:val="auto"/>
                <w:highlight w:val="none"/>
                <w:shd w:val="clear"/>
              </w:rPr>
              <w:t>其他人员</w:t>
            </w:r>
          </w:p>
        </w:tc>
        <w:tc>
          <w:tcPr>
            <w:tcW w:w="1418" w:type="dxa"/>
            <w:vAlign w:val="center"/>
          </w:tcPr>
          <w:p w14:paraId="7F087B7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0376B09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7B61A1F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6B9060E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26BC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52496C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07B9C63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7CF5BEA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7A9F55D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4DAC34A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EA5D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BEA347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42EBB13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66F9773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0B5F980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6D591C7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394B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A45652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2345A2F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4189C0D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5CB89DAC">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3185C2F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B398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BC73CA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156E87A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4C568887">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2EC076B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2898066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68A1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9548B6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5B74351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1425DBA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0B68216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34D766A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bl>
    <w:p w14:paraId="39DC85DB">
      <w:pPr>
        <w:pStyle w:val="33"/>
        <w:rPr>
          <w:color w:val="auto"/>
          <w:sz w:val="28"/>
          <w:szCs w:val="28"/>
          <w:highlight w:val="none"/>
          <w:shd w:val="clear"/>
        </w:rPr>
      </w:pPr>
      <w:r>
        <w:rPr>
          <w:rFonts w:eastAsia="仿宋_GB2312"/>
          <w:color w:val="auto"/>
          <w:sz w:val="30"/>
          <w:szCs w:val="30"/>
          <w:highlight w:val="none"/>
          <w:shd w:val="clear"/>
        </w:rPr>
        <w:br w:type="page"/>
      </w:r>
      <w:r>
        <w:rPr>
          <w:color w:val="auto"/>
          <w:highlight w:val="none"/>
          <w:shd w:val="clear"/>
        </w:rPr>
        <w:t>附</w:t>
      </w:r>
      <w:bookmarkStart w:id="1972" w:name="_Toc296503229"/>
      <w:bookmarkStart w:id="1973" w:name="_Toc296891269"/>
      <w:bookmarkStart w:id="1974" w:name="_Toc296944568"/>
      <w:bookmarkStart w:id="1975" w:name="_Toc296347228"/>
      <w:bookmarkStart w:id="1976" w:name="_Toc296346730"/>
      <w:bookmarkStart w:id="1977" w:name="_Toc296891057"/>
      <w:r>
        <w:rPr>
          <w:color w:val="auto"/>
          <w:highlight w:val="none"/>
          <w:shd w:val="clear"/>
        </w:rPr>
        <w:t>件7：</w:t>
      </w:r>
    </w:p>
    <w:bookmarkEnd w:id="1972"/>
    <w:bookmarkEnd w:id="1973"/>
    <w:bookmarkEnd w:id="1974"/>
    <w:bookmarkEnd w:id="1975"/>
    <w:bookmarkEnd w:id="1976"/>
    <w:bookmarkEnd w:id="1977"/>
    <w:p w14:paraId="5C080756">
      <w:pPr>
        <w:pStyle w:val="20"/>
        <w:rPr>
          <w:rFonts w:ascii="Times New Roman" w:hAnsi="Times New Roman"/>
          <w:color w:val="auto"/>
          <w:highlight w:val="none"/>
          <w:shd w:val="clear"/>
        </w:rPr>
      </w:pPr>
      <w:bookmarkStart w:id="1978" w:name="_Toc170804179"/>
      <w:bookmarkStart w:id="1979" w:name="_Toc170805367"/>
      <w:bookmarkStart w:id="1980" w:name="_Toc170805747"/>
      <w:r>
        <w:rPr>
          <w:rFonts w:ascii="Times New Roman" w:hAnsi="Times New Roman"/>
          <w:color w:val="auto"/>
          <w:highlight w:val="none"/>
          <w:shd w:val="clear"/>
        </w:rPr>
        <w:t>分包人主要施工管理人员表</w:t>
      </w:r>
      <w:bookmarkEnd w:id="1978"/>
      <w:bookmarkEnd w:id="1979"/>
      <w:bookmarkEnd w:id="1980"/>
    </w:p>
    <w:tbl>
      <w:tblPr>
        <w:tblStyle w:val="1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0812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B0E53D8">
            <w:pPr>
              <w:pStyle w:val="28"/>
              <w:rPr>
                <w:rFonts w:ascii="Times New Roman" w:hAnsi="Times New Roman"/>
                <w:color w:val="auto"/>
                <w:highlight w:val="none"/>
                <w:shd w:val="clear"/>
              </w:rPr>
            </w:pPr>
            <w:r>
              <w:rPr>
                <w:rFonts w:ascii="Times New Roman" w:hAnsi="Times New Roman"/>
                <w:color w:val="auto"/>
                <w:highlight w:val="none"/>
                <w:shd w:val="clear"/>
              </w:rPr>
              <w:t>名    称</w:t>
            </w:r>
          </w:p>
        </w:tc>
        <w:tc>
          <w:tcPr>
            <w:tcW w:w="1418" w:type="dxa"/>
            <w:tcBorders>
              <w:top w:val="single" w:color="auto" w:sz="12" w:space="0"/>
              <w:bottom w:val="double" w:color="auto" w:sz="6" w:space="0"/>
            </w:tcBorders>
            <w:vAlign w:val="center"/>
          </w:tcPr>
          <w:p w14:paraId="2FB36AFF">
            <w:pPr>
              <w:pStyle w:val="28"/>
              <w:rPr>
                <w:rFonts w:ascii="Times New Roman" w:hAnsi="Times New Roman"/>
                <w:color w:val="auto"/>
                <w:highlight w:val="none"/>
                <w:shd w:val="clear"/>
              </w:rPr>
            </w:pPr>
            <w:r>
              <w:rPr>
                <w:rFonts w:ascii="Times New Roman" w:hAnsi="Times New Roman"/>
                <w:color w:val="auto"/>
                <w:highlight w:val="none"/>
                <w:shd w:val="clear"/>
              </w:rPr>
              <w:t>姓名</w:t>
            </w:r>
          </w:p>
        </w:tc>
        <w:tc>
          <w:tcPr>
            <w:tcW w:w="1134" w:type="dxa"/>
            <w:tcBorders>
              <w:top w:val="single" w:color="auto" w:sz="12" w:space="0"/>
              <w:bottom w:val="double" w:color="auto" w:sz="6" w:space="0"/>
            </w:tcBorders>
            <w:vAlign w:val="center"/>
          </w:tcPr>
          <w:p w14:paraId="111C9733">
            <w:pPr>
              <w:pStyle w:val="28"/>
              <w:rPr>
                <w:rFonts w:ascii="Times New Roman" w:hAnsi="Times New Roman"/>
                <w:color w:val="auto"/>
                <w:highlight w:val="none"/>
                <w:shd w:val="clear"/>
              </w:rPr>
            </w:pPr>
            <w:r>
              <w:rPr>
                <w:rFonts w:ascii="Times New Roman" w:hAnsi="Times New Roman"/>
                <w:color w:val="auto"/>
                <w:highlight w:val="none"/>
                <w:shd w:val="clear"/>
              </w:rPr>
              <w:t>职务</w:t>
            </w:r>
          </w:p>
        </w:tc>
        <w:tc>
          <w:tcPr>
            <w:tcW w:w="1134" w:type="dxa"/>
            <w:tcBorders>
              <w:top w:val="single" w:color="auto" w:sz="12" w:space="0"/>
              <w:bottom w:val="double" w:color="auto" w:sz="6" w:space="0"/>
            </w:tcBorders>
            <w:vAlign w:val="center"/>
          </w:tcPr>
          <w:p w14:paraId="10E13BD9">
            <w:pPr>
              <w:pStyle w:val="28"/>
              <w:rPr>
                <w:rFonts w:ascii="Times New Roman" w:hAnsi="Times New Roman"/>
                <w:color w:val="auto"/>
                <w:highlight w:val="none"/>
                <w:shd w:val="clear"/>
              </w:rPr>
            </w:pPr>
            <w:r>
              <w:rPr>
                <w:rFonts w:ascii="Times New Roman" w:hAnsi="Times New Roman"/>
                <w:color w:val="auto"/>
                <w:highlight w:val="none"/>
                <w:shd w:val="clear"/>
              </w:rPr>
              <w:t>职称</w:t>
            </w:r>
          </w:p>
        </w:tc>
        <w:tc>
          <w:tcPr>
            <w:tcW w:w="4252" w:type="dxa"/>
            <w:tcBorders>
              <w:top w:val="single" w:color="auto" w:sz="12" w:space="0"/>
              <w:bottom w:val="double" w:color="auto" w:sz="6" w:space="0"/>
            </w:tcBorders>
            <w:vAlign w:val="center"/>
          </w:tcPr>
          <w:p w14:paraId="2BC1AFC7">
            <w:pPr>
              <w:pStyle w:val="28"/>
              <w:rPr>
                <w:rFonts w:ascii="Times New Roman" w:hAnsi="Times New Roman"/>
                <w:color w:val="auto"/>
                <w:highlight w:val="none"/>
                <w:shd w:val="clear"/>
              </w:rPr>
            </w:pPr>
            <w:r>
              <w:rPr>
                <w:rFonts w:ascii="Times New Roman" w:hAnsi="Times New Roman"/>
                <w:color w:val="auto"/>
                <w:highlight w:val="none"/>
                <w:shd w:val="clear"/>
              </w:rPr>
              <w:t>主要资历、经验及承担过的项目</w:t>
            </w:r>
          </w:p>
        </w:tc>
      </w:tr>
      <w:tr w14:paraId="0A779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356BFA8C">
            <w:pPr>
              <w:pStyle w:val="28"/>
              <w:rPr>
                <w:rFonts w:ascii="Times New Roman" w:hAnsi="Times New Roman"/>
                <w:color w:val="auto"/>
                <w:highlight w:val="none"/>
                <w:shd w:val="clear"/>
              </w:rPr>
            </w:pPr>
            <w:r>
              <w:rPr>
                <w:rFonts w:ascii="Times New Roman" w:hAnsi="Times New Roman"/>
                <w:color w:val="auto"/>
                <w:highlight w:val="none"/>
                <w:shd w:val="clear"/>
              </w:rPr>
              <w:t>一、总部人员</w:t>
            </w:r>
          </w:p>
        </w:tc>
      </w:tr>
      <w:tr w14:paraId="1DB10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A1DBFE4">
            <w:pPr>
              <w:pStyle w:val="29"/>
              <w:rPr>
                <w:rFonts w:ascii="Times New Roman" w:hAnsi="Times New Roman"/>
                <w:color w:val="auto"/>
                <w:highlight w:val="none"/>
                <w:shd w:val="clear"/>
              </w:rPr>
            </w:pPr>
            <w:r>
              <w:rPr>
                <w:rFonts w:ascii="Times New Roman" w:hAnsi="Times New Roman"/>
                <w:color w:val="auto"/>
                <w:highlight w:val="none"/>
                <w:shd w:val="clear"/>
              </w:rPr>
              <w:t>项目主管</w:t>
            </w:r>
          </w:p>
        </w:tc>
        <w:tc>
          <w:tcPr>
            <w:tcW w:w="1418" w:type="dxa"/>
            <w:tcBorders>
              <w:top w:val="nil"/>
            </w:tcBorders>
            <w:vAlign w:val="center"/>
          </w:tcPr>
          <w:p w14:paraId="5257659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Borders>
              <w:top w:val="nil"/>
            </w:tcBorders>
            <w:vAlign w:val="center"/>
          </w:tcPr>
          <w:p w14:paraId="7DE0606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tcBorders>
              <w:top w:val="nil"/>
            </w:tcBorders>
            <w:vAlign w:val="center"/>
          </w:tcPr>
          <w:p w14:paraId="23DF9C3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tcBorders>
              <w:top w:val="nil"/>
            </w:tcBorders>
            <w:vAlign w:val="center"/>
          </w:tcPr>
          <w:p w14:paraId="5478145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5DE1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CB99AD3">
            <w:pPr>
              <w:pStyle w:val="29"/>
              <w:rPr>
                <w:rFonts w:ascii="Times New Roman" w:hAnsi="Times New Roman"/>
                <w:color w:val="auto"/>
                <w:highlight w:val="none"/>
                <w:shd w:val="clear"/>
              </w:rPr>
            </w:pPr>
            <w:r>
              <w:rPr>
                <w:rFonts w:ascii="Times New Roman" w:hAnsi="Times New Roman"/>
                <w:color w:val="auto"/>
                <w:highlight w:val="none"/>
                <w:shd w:val="clear"/>
              </w:rPr>
              <w:t>其他人员</w:t>
            </w:r>
          </w:p>
        </w:tc>
        <w:tc>
          <w:tcPr>
            <w:tcW w:w="1418" w:type="dxa"/>
            <w:vAlign w:val="center"/>
          </w:tcPr>
          <w:p w14:paraId="677563D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1D8360F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542B5F8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1EFCDE0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BD7A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35AD0FC">
            <w:pPr>
              <w:pStyle w:val="29"/>
              <w:rPr>
                <w:rFonts w:ascii="Times New Roman" w:hAnsi="Times New Roman"/>
                <w:color w:val="auto"/>
                <w:highlight w:val="none"/>
                <w:shd w:val="clear"/>
              </w:rPr>
            </w:pPr>
          </w:p>
        </w:tc>
        <w:tc>
          <w:tcPr>
            <w:tcW w:w="1418" w:type="dxa"/>
            <w:vAlign w:val="center"/>
          </w:tcPr>
          <w:p w14:paraId="1E1000C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66FBAD9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603F29A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722E0DE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2E6BD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14:paraId="4A472C53">
            <w:pPr>
              <w:keepNext/>
              <w:adjustRightInd w:val="0"/>
              <w:spacing w:line="440" w:lineRule="exact"/>
              <w:ind w:right="63" w:rightChars="30"/>
              <w:textAlignment w:val="baseline"/>
              <w:rPr>
                <w:rFonts w:ascii="Times New Roman" w:hAnsi="Times New Roman" w:eastAsia="仿宋_GB2312"/>
                <w:color w:val="auto"/>
                <w:sz w:val="28"/>
                <w:szCs w:val="30"/>
                <w:highlight w:val="none"/>
                <w:shd w:val="clear"/>
              </w:rPr>
            </w:pPr>
          </w:p>
        </w:tc>
        <w:tc>
          <w:tcPr>
            <w:tcW w:w="1418" w:type="dxa"/>
            <w:vAlign w:val="center"/>
          </w:tcPr>
          <w:p w14:paraId="277C4B1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66596A2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0F4A27D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2AE8575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64D4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A9D0ECA">
            <w:pPr>
              <w:pStyle w:val="28"/>
              <w:rPr>
                <w:rFonts w:ascii="Times New Roman" w:hAnsi="Times New Roman"/>
                <w:color w:val="auto"/>
                <w:highlight w:val="none"/>
                <w:shd w:val="clear"/>
              </w:rPr>
            </w:pPr>
            <w:r>
              <w:rPr>
                <w:rFonts w:ascii="Times New Roman" w:hAnsi="Times New Roman"/>
                <w:color w:val="auto"/>
                <w:highlight w:val="none"/>
                <w:shd w:val="clear"/>
              </w:rPr>
              <w:t>二、现场人员</w:t>
            </w:r>
          </w:p>
        </w:tc>
      </w:tr>
      <w:tr w14:paraId="61294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E53C17">
            <w:pPr>
              <w:pStyle w:val="29"/>
              <w:rPr>
                <w:rFonts w:ascii="Times New Roman" w:hAnsi="Times New Roman"/>
                <w:color w:val="auto"/>
                <w:highlight w:val="none"/>
                <w:shd w:val="clear"/>
              </w:rPr>
            </w:pPr>
            <w:r>
              <w:rPr>
                <w:rFonts w:ascii="Times New Roman" w:hAnsi="Times New Roman"/>
                <w:color w:val="auto"/>
                <w:highlight w:val="none"/>
                <w:shd w:val="clear"/>
              </w:rPr>
              <w:t>项目经理</w:t>
            </w:r>
          </w:p>
        </w:tc>
        <w:tc>
          <w:tcPr>
            <w:tcW w:w="1418" w:type="dxa"/>
            <w:vAlign w:val="center"/>
          </w:tcPr>
          <w:p w14:paraId="2E3F035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4270EBC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0112788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3CA6AC3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7870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7976C5">
            <w:pPr>
              <w:pStyle w:val="29"/>
              <w:rPr>
                <w:rFonts w:ascii="Times New Roman" w:hAnsi="Times New Roman"/>
                <w:color w:val="auto"/>
                <w:highlight w:val="none"/>
                <w:shd w:val="clear"/>
              </w:rPr>
            </w:pPr>
            <w:r>
              <w:rPr>
                <w:rFonts w:ascii="Times New Roman" w:hAnsi="Times New Roman"/>
                <w:color w:val="auto"/>
                <w:highlight w:val="none"/>
                <w:shd w:val="clear"/>
              </w:rPr>
              <w:t>项目副经理</w:t>
            </w:r>
          </w:p>
        </w:tc>
        <w:tc>
          <w:tcPr>
            <w:tcW w:w="1418" w:type="dxa"/>
            <w:vAlign w:val="center"/>
          </w:tcPr>
          <w:p w14:paraId="36CE266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1DA4182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3B3F8F1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1061806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66B07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170F202">
            <w:pPr>
              <w:pStyle w:val="29"/>
              <w:rPr>
                <w:rFonts w:ascii="Times New Roman" w:hAnsi="Times New Roman"/>
                <w:color w:val="auto"/>
                <w:highlight w:val="none"/>
                <w:shd w:val="clear"/>
              </w:rPr>
            </w:pPr>
            <w:r>
              <w:rPr>
                <w:rFonts w:ascii="Times New Roman" w:hAnsi="Times New Roman"/>
                <w:color w:val="auto"/>
                <w:highlight w:val="none"/>
                <w:shd w:val="clear"/>
              </w:rPr>
              <w:t>技术负责人</w:t>
            </w:r>
          </w:p>
        </w:tc>
        <w:tc>
          <w:tcPr>
            <w:tcW w:w="1418" w:type="dxa"/>
            <w:vAlign w:val="center"/>
          </w:tcPr>
          <w:p w14:paraId="450117F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5601EF8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234F8EE6">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3E29DA8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2C0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A9CA6FC">
            <w:pPr>
              <w:pStyle w:val="29"/>
              <w:rPr>
                <w:rFonts w:ascii="Times New Roman" w:hAnsi="Times New Roman"/>
                <w:color w:val="auto"/>
                <w:highlight w:val="none"/>
                <w:shd w:val="clear"/>
              </w:rPr>
            </w:pPr>
            <w:r>
              <w:rPr>
                <w:rFonts w:ascii="Times New Roman" w:hAnsi="Times New Roman"/>
                <w:color w:val="auto"/>
                <w:highlight w:val="none"/>
                <w:shd w:val="clear"/>
              </w:rPr>
              <w:t>造价管理</w:t>
            </w:r>
          </w:p>
        </w:tc>
        <w:tc>
          <w:tcPr>
            <w:tcW w:w="1418" w:type="dxa"/>
            <w:vAlign w:val="center"/>
          </w:tcPr>
          <w:p w14:paraId="06BEC5B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5FB327B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7706659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4B74968B">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759A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057FD97">
            <w:pPr>
              <w:pStyle w:val="29"/>
              <w:rPr>
                <w:rFonts w:ascii="Times New Roman" w:hAnsi="Times New Roman"/>
                <w:color w:val="auto"/>
                <w:highlight w:val="none"/>
                <w:shd w:val="clear"/>
              </w:rPr>
            </w:pPr>
            <w:r>
              <w:rPr>
                <w:rFonts w:ascii="Times New Roman" w:hAnsi="Times New Roman"/>
                <w:color w:val="auto"/>
                <w:highlight w:val="none"/>
                <w:shd w:val="clear"/>
              </w:rPr>
              <w:t>质量管理</w:t>
            </w:r>
          </w:p>
        </w:tc>
        <w:tc>
          <w:tcPr>
            <w:tcW w:w="1418" w:type="dxa"/>
            <w:vAlign w:val="center"/>
          </w:tcPr>
          <w:p w14:paraId="3AA8511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663C956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3D3CA8B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5B228BC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3847E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6622800">
            <w:pPr>
              <w:pStyle w:val="29"/>
              <w:rPr>
                <w:rFonts w:ascii="Times New Roman" w:hAnsi="Times New Roman"/>
                <w:color w:val="auto"/>
                <w:highlight w:val="none"/>
                <w:shd w:val="clear"/>
              </w:rPr>
            </w:pPr>
            <w:r>
              <w:rPr>
                <w:rFonts w:ascii="Times New Roman" w:hAnsi="Times New Roman"/>
                <w:color w:val="auto"/>
                <w:highlight w:val="none"/>
                <w:shd w:val="clear"/>
              </w:rPr>
              <w:t>材料管理</w:t>
            </w:r>
          </w:p>
        </w:tc>
        <w:tc>
          <w:tcPr>
            <w:tcW w:w="1418" w:type="dxa"/>
            <w:vAlign w:val="center"/>
          </w:tcPr>
          <w:p w14:paraId="1EA53E5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4454C41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02F3098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40C09CB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08EF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A1BA266">
            <w:pPr>
              <w:pStyle w:val="29"/>
              <w:rPr>
                <w:rFonts w:ascii="Times New Roman" w:hAnsi="Times New Roman"/>
                <w:color w:val="auto"/>
                <w:highlight w:val="none"/>
                <w:shd w:val="clear"/>
              </w:rPr>
            </w:pPr>
            <w:r>
              <w:rPr>
                <w:rFonts w:ascii="Times New Roman" w:hAnsi="Times New Roman"/>
                <w:color w:val="auto"/>
                <w:highlight w:val="none"/>
                <w:shd w:val="clear"/>
              </w:rPr>
              <w:t>计划管理</w:t>
            </w:r>
          </w:p>
        </w:tc>
        <w:tc>
          <w:tcPr>
            <w:tcW w:w="1418" w:type="dxa"/>
            <w:vAlign w:val="center"/>
          </w:tcPr>
          <w:p w14:paraId="5131F55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049D5BE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23DC66B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595D6F9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078AF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6A8DB75">
            <w:pPr>
              <w:pStyle w:val="29"/>
              <w:rPr>
                <w:rFonts w:ascii="Times New Roman" w:hAnsi="Times New Roman"/>
                <w:color w:val="auto"/>
                <w:highlight w:val="none"/>
                <w:shd w:val="clear"/>
              </w:rPr>
            </w:pPr>
            <w:r>
              <w:rPr>
                <w:rFonts w:ascii="Times New Roman" w:hAnsi="Times New Roman"/>
                <w:color w:val="auto"/>
                <w:highlight w:val="none"/>
                <w:shd w:val="clear"/>
              </w:rPr>
              <w:t>安全管理</w:t>
            </w:r>
          </w:p>
        </w:tc>
        <w:tc>
          <w:tcPr>
            <w:tcW w:w="1418" w:type="dxa"/>
            <w:vAlign w:val="center"/>
          </w:tcPr>
          <w:p w14:paraId="06F7FB1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72683DD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2418C8C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65DA6CC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9CEA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7A276733">
            <w:pPr>
              <w:pStyle w:val="29"/>
              <w:rPr>
                <w:rFonts w:ascii="Times New Roman" w:hAnsi="Times New Roman"/>
                <w:color w:val="auto"/>
                <w:highlight w:val="none"/>
                <w:shd w:val="clear"/>
              </w:rPr>
            </w:pPr>
            <w:r>
              <w:rPr>
                <w:rFonts w:ascii="Times New Roman" w:hAnsi="Times New Roman"/>
                <w:color w:val="auto"/>
                <w:highlight w:val="none"/>
                <w:shd w:val="clear"/>
              </w:rPr>
              <w:t>其他人员</w:t>
            </w:r>
          </w:p>
        </w:tc>
        <w:tc>
          <w:tcPr>
            <w:tcW w:w="1418" w:type="dxa"/>
            <w:vAlign w:val="center"/>
          </w:tcPr>
          <w:p w14:paraId="54AEFE1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5857C8F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3AC6C16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75F6029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52E56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9356E1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tcBorders>
              <w:bottom w:val="nil"/>
            </w:tcBorders>
            <w:vAlign w:val="center"/>
          </w:tcPr>
          <w:p w14:paraId="61CE1D4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Borders>
              <w:bottom w:val="nil"/>
            </w:tcBorders>
            <w:vAlign w:val="center"/>
          </w:tcPr>
          <w:p w14:paraId="3B464FB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tcBorders>
              <w:bottom w:val="nil"/>
            </w:tcBorders>
            <w:vAlign w:val="center"/>
          </w:tcPr>
          <w:p w14:paraId="136BE86F">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tcBorders>
              <w:bottom w:val="nil"/>
            </w:tcBorders>
            <w:vAlign w:val="center"/>
          </w:tcPr>
          <w:p w14:paraId="2DC0A77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19D58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4FF27B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0BA3E2C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293F24AA">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766E4EB8">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00CED532">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7338F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F6D860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17BB026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7C575143">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3CD56FDD">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63313E89">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27819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AA9AB5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vAlign w:val="center"/>
          </w:tcPr>
          <w:p w14:paraId="0A20113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vAlign w:val="center"/>
          </w:tcPr>
          <w:p w14:paraId="0B420DB5">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vAlign w:val="center"/>
          </w:tcPr>
          <w:p w14:paraId="0014833E">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vAlign w:val="center"/>
          </w:tcPr>
          <w:p w14:paraId="2DFB94A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r w14:paraId="43F39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0FD860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418" w:type="dxa"/>
            <w:tcBorders>
              <w:bottom w:val="single" w:color="auto" w:sz="12" w:space="0"/>
            </w:tcBorders>
            <w:vAlign w:val="center"/>
          </w:tcPr>
          <w:p w14:paraId="090CBC0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Borders>
              <w:bottom w:val="single" w:color="auto" w:sz="12" w:space="0"/>
            </w:tcBorders>
            <w:vAlign w:val="center"/>
          </w:tcPr>
          <w:p w14:paraId="489706F4">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1134" w:type="dxa"/>
            <w:tcBorders>
              <w:bottom w:val="single" w:color="auto" w:sz="12" w:space="0"/>
            </w:tcBorders>
            <w:vAlign w:val="center"/>
          </w:tcPr>
          <w:p w14:paraId="64F29C60">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c>
          <w:tcPr>
            <w:tcW w:w="4252" w:type="dxa"/>
            <w:tcBorders>
              <w:bottom w:val="single" w:color="auto" w:sz="12" w:space="0"/>
            </w:tcBorders>
            <w:vAlign w:val="center"/>
          </w:tcPr>
          <w:p w14:paraId="4A65F1A1">
            <w:pPr>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shd w:val="clear"/>
              </w:rPr>
            </w:pPr>
          </w:p>
        </w:tc>
      </w:tr>
    </w:tbl>
    <w:p w14:paraId="72EB988B">
      <w:pPr>
        <w:pStyle w:val="33"/>
        <w:rPr>
          <w:color w:val="auto"/>
          <w:sz w:val="28"/>
          <w:szCs w:val="28"/>
          <w:highlight w:val="none"/>
          <w:shd w:val="clear"/>
        </w:rPr>
      </w:pPr>
      <w:r>
        <w:rPr>
          <w:rFonts w:eastAsia="仿宋_GB2312"/>
          <w:color w:val="auto"/>
          <w:sz w:val="30"/>
          <w:szCs w:val="30"/>
          <w:highlight w:val="none"/>
          <w:shd w:val="clear"/>
        </w:rPr>
        <w:br w:type="page"/>
      </w:r>
      <w:bookmarkStart w:id="1981" w:name="_Toc267261701"/>
      <w:r>
        <w:rPr>
          <w:color w:val="auto"/>
          <w:highlight w:val="none"/>
          <w:shd w:val="clear"/>
        </w:rPr>
        <w:t>附</w:t>
      </w:r>
      <w:bookmarkStart w:id="1982" w:name="_Toc296347230"/>
      <w:bookmarkStart w:id="1983" w:name="_Toc296346732"/>
      <w:bookmarkStart w:id="1984" w:name="_Toc296944570"/>
      <w:bookmarkStart w:id="1985" w:name="_Toc296891271"/>
      <w:bookmarkStart w:id="1986" w:name="_Toc296503231"/>
      <w:bookmarkStart w:id="1987" w:name="_Toc296891059"/>
      <w:r>
        <w:rPr>
          <w:color w:val="auto"/>
          <w:highlight w:val="none"/>
          <w:shd w:val="clear"/>
        </w:rPr>
        <w:t>件8：</w:t>
      </w:r>
    </w:p>
    <w:bookmarkEnd w:id="1981"/>
    <w:bookmarkEnd w:id="1982"/>
    <w:bookmarkEnd w:id="1983"/>
    <w:bookmarkEnd w:id="1984"/>
    <w:bookmarkEnd w:id="1985"/>
    <w:bookmarkEnd w:id="1986"/>
    <w:bookmarkEnd w:id="1987"/>
    <w:p w14:paraId="5348074D">
      <w:pPr>
        <w:pStyle w:val="20"/>
        <w:rPr>
          <w:rFonts w:ascii="Times New Roman" w:hAnsi="Times New Roman"/>
          <w:color w:val="auto"/>
          <w:highlight w:val="none"/>
          <w:shd w:val="clear"/>
        </w:rPr>
      </w:pPr>
      <w:r>
        <w:rPr>
          <w:rFonts w:ascii="Times New Roman" w:hAnsi="Times New Roman"/>
          <w:color w:val="auto"/>
          <w:highlight w:val="none"/>
          <w:shd w:val="clear"/>
        </w:rPr>
        <w:t>履约担保</w:t>
      </w:r>
    </w:p>
    <w:p w14:paraId="0D4D0A17">
      <w:pPr>
        <w:pStyle w:val="22"/>
        <w:ind w:firstLine="0" w:firstLineChars="0"/>
        <w:rPr>
          <w:rFonts w:ascii="Times New Roman" w:hAnsi="Times New Roman"/>
          <w:color w:val="auto"/>
          <w:highlight w:val="none"/>
          <w:shd w:val="clear"/>
        </w:rPr>
      </w:pPr>
      <w:bookmarkStart w:id="1988" w:name="_Hlk169627317"/>
      <w:r>
        <w:rPr>
          <w:rFonts w:hint="eastAsia" w:ascii="Times New Roman" w:hAnsi="Times New Roman"/>
          <w:color w:val="auto"/>
          <w:highlight w:val="none"/>
          <w:shd w:val="clear"/>
        </w:rPr>
        <w:t>【招标人】</w:t>
      </w:r>
      <w:bookmarkEnd w:id="1988"/>
      <w:r>
        <w:rPr>
          <w:rFonts w:hint="eastAsia" w:ascii="Times New Roman" w:hAnsi="Times New Roman"/>
          <w:color w:val="auto"/>
          <w:highlight w:val="none"/>
          <w:shd w:val="clear"/>
        </w:rPr>
        <w:t>：</w:t>
      </w:r>
    </w:p>
    <w:p w14:paraId="5F88C4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鉴于</w:t>
      </w:r>
      <w:r>
        <w:rPr>
          <w:rFonts w:hint="eastAsia" w:ascii="Times New Roman" w:hAnsi="Times New Roman"/>
          <w:color w:val="auto"/>
          <w:highlight w:val="none"/>
          <w:shd w:val="clear"/>
        </w:rPr>
        <w:t>【招标人】</w:t>
      </w:r>
      <w:r>
        <w:rPr>
          <w:rFonts w:hint="eastAsia" w:ascii="Times New Roman" w:hAnsi="Times New Roman"/>
          <w:color w:val="auto"/>
          <w:highlight w:val="none"/>
          <w:shd w:val="clear"/>
        </w:rPr>
        <w:t>与</w:t>
      </w:r>
      <w:r>
        <w:rPr>
          <w:rFonts w:hint="eastAsia" w:ascii="Times New Roman" w:hAnsi="Times New Roman"/>
          <w:color w:val="auto"/>
          <w:highlight w:val="none"/>
          <w:shd w:val="clear"/>
        </w:rPr>
        <w:t>【中标人】</w:t>
      </w:r>
      <w:r>
        <w:rPr>
          <w:rFonts w:hint="eastAsia" w:ascii="Times New Roman" w:hAnsi="Times New Roman"/>
          <w:color w:val="auto"/>
          <w:highlight w:val="none"/>
          <w:shd w:val="clear"/>
        </w:rPr>
        <w:t>（承包人名称）（以下称“承包人”）于</w:t>
      </w:r>
      <w:r>
        <w:rPr>
          <w:rFonts w:hint="eastAsia" w:ascii="Times New Roman" w:hAnsi="Times New Roman"/>
          <w:color w:val="auto"/>
          <w:highlight w:val="none"/>
          <w:shd w:val="clear"/>
        </w:rPr>
        <w:t>【   】</w:t>
      </w:r>
      <w:r>
        <w:rPr>
          <w:rFonts w:hint="eastAsia" w:ascii="Times New Roman" w:hAnsi="Times New Roman"/>
          <w:color w:val="auto"/>
          <w:highlight w:val="none"/>
          <w:shd w:val="clear"/>
        </w:rPr>
        <w:t>年</w:t>
      </w:r>
      <w:r>
        <w:rPr>
          <w:rFonts w:hint="eastAsia" w:ascii="Times New Roman" w:hAnsi="Times New Roman"/>
          <w:color w:val="auto"/>
          <w:highlight w:val="none"/>
          <w:shd w:val="clear"/>
        </w:rPr>
        <w:t>【   】</w:t>
      </w:r>
      <w:r>
        <w:rPr>
          <w:rFonts w:hint="eastAsia" w:ascii="Times New Roman" w:hAnsi="Times New Roman"/>
          <w:color w:val="auto"/>
          <w:highlight w:val="none"/>
          <w:shd w:val="clear"/>
        </w:rPr>
        <w:t>月</w:t>
      </w:r>
      <w:r>
        <w:rPr>
          <w:rFonts w:hint="eastAsia" w:ascii="Times New Roman" w:hAnsi="Times New Roman"/>
          <w:color w:val="auto"/>
          <w:highlight w:val="none"/>
          <w:shd w:val="clear"/>
        </w:rPr>
        <w:t>【   】</w:t>
      </w:r>
      <w:r>
        <w:rPr>
          <w:rFonts w:hint="eastAsia" w:ascii="Times New Roman" w:hAnsi="Times New Roman"/>
          <w:color w:val="auto"/>
          <w:highlight w:val="none"/>
          <w:shd w:val="clear"/>
        </w:rPr>
        <w:t>日就</w:t>
      </w:r>
      <w:r>
        <w:rPr>
          <w:rFonts w:hint="eastAsia" w:ascii="Times New Roman" w:hAnsi="Times New Roman"/>
          <w:color w:val="auto"/>
          <w:highlight w:val="none"/>
          <w:shd w:val="clear"/>
        </w:rPr>
        <w:t>【招标项目名称】</w:t>
      </w:r>
      <w:r>
        <w:rPr>
          <w:rFonts w:hint="eastAsia" w:ascii="Times New Roman" w:hAnsi="Times New Roman"/>
          <w:color w:val="auto"/>
          <w:highlight w:val="none"/>
          <w:shd w:val="clear"/>
        </w:rPr>
        <w:t>施工及有关事项协商一致共同签订《建设工程施工合同》。我方愿意无条件地、不可撤销地就承包人履行与你方签订的合同，向你方提供连带责任担保。</w:t>
      </w:r>
    </w:p>
    <w:p w14:paraId="1CDA2E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1.担保金额人民币（大写）</w:t>
      </w:r>
      <w:r>
        <w:rPr>
          <w:rFonts w:hint="eastAsia" w:ascii="Times New Roman" w:hAnsi="Times New Roman"/>
          <w:color w:val="auto"/>
          <w:highlight w:val="none"/>
          <w:shd w:val="clear"/>
        </w:rPr>
        <w:t>【   】</w:t>
      </w:r>
      <w:r>
        <w:rPr>
          <w:rFonts w:hint="eastAsia" w:ascii="Times New Roman" w:hAnsi="Times New Roman"/>
          <w:color w:val="auto"/>
          <w:highlight w:val="none"/>
          <w:shd w:val="clear"/>
        </w:rPr>
        <w:t>元（¥</w:t>
      </w:r>
      <w:r>
        <w:rPr>
          <w:rFonts w:hint="eastAsia" w:ascii="Times New Roman" w:hAnsi="Times New Roman"/>
          <w:color w:val="auto"/>
          <w:highlight w:val="none"/>
          <w:shd w:val="clear"/>
        </w:rPr>
        <w:t>【   】</w:t>
      </w:r>
      <w:r>
        <w:rPr>
          <w:rFonts w:hint="eastAsia" w:ascii="Times New Roman" w:hAnsi="Times New Roman"/>
          <w:color w:val="auto"/>
          <w:highlight w:val="none"/>
          <w:shd w:val="clear"/>
        </w:rPr>
        <w:t>）。</w:t>
      </w:r>
    </w:p>
    <w:p w14:paraId="79326F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2.担保有效期自你方与承包人签订的合同生效之日起至你方签发或应签发工程接收证书之日止。</w:t>
      </w:r>
    </w:p>
    <w:p w14:paraId="1EEB30D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3.在本担保有效期内，因承包</w:t>
      </w:r>
      <w:r>
        <w:rPr>
          <w:rFonts w:ascii="Times New Roman" w:hAnsi="Times New Roman"/>
          <w:color w:val="auto"/>
          <w:highlight w:val="none"/>
          <w:shd w:val="clear"/>
        </w:rPr>
        <w:t>人违反合同约定的义务给你方造成经济</w:t>
      </w:r>
      <w:r>
        <w:rPr>
          <w:rFonts w:hint="eastAsia" w:ascii="Times New Roman" w:hAnsi="Times New Roman"/>
          <w:color w:val="auto"/>
          <w:highlight w:val="none"/>
          <w:shd w:val="clear"/>
        </w:rPr>
        <w:t>损失时，我方在收到你方以书面形式提出的在担保金额内的赔偿要求后，在7天内无条件支付。</w:t>
      </w:r>
    </w:p>
    <w:p w14:paraId="3FBCED9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4.你方和承包人按合同约定变更合同时，我方承担本担保规定的义务不变。</w:t>
      </w:r>
    </w:p>
    <w:p w14:paraId="4DF372A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5.因本保函发生的纠纷，可由双方协商解决，协商不成的，任何一方均可提请</w:t>
      </w:r>
      <w:r>
        <w:rPr>
          <w:rFonts w:hint="eastAsia" w:ascii="Times New Roman" w:hAnsi="Times New Roman"/>
          <w:color w:val="auto"/>
          <w:highlight w:val="none"/>
          <w:shd w:val="clear"/>
        </w:rPr>
        <w:t>【   】</w:t>
      </w:r>
      <w:r>
        <w:rPr>
          <w:rFonts w:hint="eastAsia" w:ascii="Times New Roman" w:hAnsi="Times New Roman"/>
          <w:color w:val="auto"/>
          <w:highlight w:val="none"/>
          <w:shd w:val="clear"/>
        </w:rPr>
        <w:t>仲裁委员会仲裁。</w:t>
      </w:r>
    </w:p>
    <w:p w14:paraId="0F823E5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6.本保函自我方法定代表人（或其授权代理人）签字并加盖公章之日起生效。</w:t>
      </w:r>
    </w:p>
    <w:p w14:paraId="129F83DA">
      <w:pPr>
        <w:spacing w:line="360" w:lineRule="auto"/>
        <w:rPr>
          <w:rFonts w:ascii="Times New Roman" w:hAnsi="Times New Roman"/>
          <w:color w:val="auto"/>
          <w:sz w:val="24"/>
          <w:szCs w:val="24"/>
          <w:highlight w:val="none"/>
          <w:shd w:val="clear"/>
        </w:rPr>
      </w:pPr>
    </w:p>
    <w:p w14:paraId="0C9204A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担 保 人：（盖单位章）</w:t>
      </w:r>
      <w:r>
        <w:rPr>
          <w:rFonts w:ascii="Times New Roman" w:hAnsi="Times New Roman"/>
          <w:color w:val="auto"/>
          <w:highlight w:val="none"/>
          <w:u w:val="single"/>
          <w:shd w:val="clear"/>
        </w:rPr>
        <w:t xml:space="preserve">                      </w:t>
      </w:r>
    </w:p>
    <w:p w14:paraId="58C97F4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法定代表人或其委托代理人：（签字）</w:t>
      </w:r>
      <w:r>
        <w:rPr>
          <w:rFonts w:ascii="Times New Roman" w:hAnsi="Times New Roman"/>
          <w:color w:val="auto"/>
          <w:highlight w:val="none"/>
          <w:u w:val="single"/>
          <w:shd w:val="clear"/>
        </w:rPr>
        <w:t xml:space="preserve">          </w:t>
      </w:r>
    </w:p>
    <w:p w14:paraId="4525270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地    址：</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3D5810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767E55E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    话：</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67B2FA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传    真：</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5841E515">
      <w:pPr>
        <w:pStyle w:val="22"/>
        <w:ind w:firstLine="409" w:firstLineChars="195"/>
        <w:rPr>
          <w:rFonts w:ascii="Times New Roman" w:hAnsi="Times New Roman"/>
          <w:color w:val="auto"/>
          <w:highlight w:val="none"/>
          <w:shd w:val="clear"/>
        </w:rPr>
      </w:pP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72FE40E0">
      <w:pPr>
        <w:widowControl/>
        <w:jc w:val="left"/>
        <w:rPr>
          <w:rFonts w:ascii="Times New Roman" w:hAnsi="Times New Roman" w:eastAsia="仿宋_GB2312"/>
          <w:color w:val="auto"/>
          <w:sz w:val="30"/>
          <w:szCs w:val="30"/>
          <w:highlight w:val="none"/>
          <w:shd w:val="clear"/>
        </w:rPr>
      </w:pPr>
      <w:r>
        <w:rPr>
          <w:rFonts w:ascii="Times New Roman" w:hAnsi="Times New Roman" w:eastAsia="仿宋_GB2312"/>
          <w:color w:val="auto"/>
          <w:sz w:val="30"/>
          <w:szCs w:val="30"/>
          <w:highlight w:val="none"/>
          <w:shd w:val="clear"/>
        </w:rPr>
        <w:br w:type="page"/>
      </w:r>
    </w:p>
    <w:p w14:paraId="1F0BC0F2">
      <w:pPr>
        <w:pStyle w:val="33"/>
        <w:rPr>
          <w:color w:val="auto"/>
          <w:highlight w:val="none"/>
          <w:shd w:val="clear"/>
        </w:rPr>
      </w:pPr>
      <w:r>
        <w:rPr>
          <w:rFonts w:hint="eastAsia"/>
          <w:color w:val="auto"/>
          <w:highlight w:val="none"/>
          <w:shd w:val="clear"/>
        </w:rPr>
        <w:t>附</w:t>
      </w:r>
      <w:bookmarkStart w:id="1989" w:name="_Toc296347231"/>
      <w:bookmarkStart w:id="1990" w:name="_Toc296891060"/>
      <w:bookmarkStart w:id="1991" w:name="_Toc296891272"/>
      <w:bookmarkStart w:id="1992" w:name="_Toc296346733"/>
      <w:bookmarkStart w:id="1993" w:name="_Toc296944571"/>
      <w:bookmarkStart w:id="1994" w:name="_Toc296503232"/>
      <w:bookmarkStart w:id="1995" w:name="_Toc267261702"/>
      <w:r>
        <w:rPr>
          <w:rFonts w:hint="eastAsia"/>
          <w:color w:val="auto"/>
          <w:highlight w:val="none"/>
          <w:shd w:val="clear"/>
        </w:rPr>
        <w:t>件9：</w:t>
      </w:r>
    </w:p>
    <w:bookmarkEnd w:id="1989"/>
    <w:bookmarkEnd w:id="1990"/>
    <w:bookmarkEnd w:id="1991"/>
    <w:bookmarkEnd w:id="1992"/>
    <w:bookmarkEnd w:id="1993"/>
    <w:bookmarkEnd w:id="1994"/>
    <w:bookmarkEnd w:id="1995"/>
    <w:p w14:paraId="20F5C93A">
      <w:pPr>
        <w:pStyle w:val="20"/>
        <w:rPr>
          <w:rFonts w:ascii="Times New Roman" w:hAnsi="Times New Roman"/>
          <w:color w:val="auto"/>
          <w:highlight w:val="none"/>
          <w:shd w:val="clear"/>
        </w:rPr>
      </w:pPr>
      <w:bookmarkStart w:id="1996" w:name="_Toc2932"/>
      <w:bookmarkStart w:id="1997" w:name="_Toc15322"/>
      <w:bookmarkStart w:id="1998" w:name="_Toc170804180"/>
      <w:bookmarkStart w:id="1999" w:name="_Toc170805368"/>
      <w:bookmarkStart w:id="2000" w:name="_Toc170805748"/>
      <w:r>
        <w:rPr>
          <w:rFonts w:ascii="Times New Roman" w:hAnsi="Times New Roman"/>
          <w:color w:val="auto"/>
          <w:highlight w:val="none"/>
          <w:shd w:val="clear"/>
        </w:rPr>
        <w:t>预付款保函示范文本</w:t>
      </w:r>
      <w:bookmarkEnd w:id="1996"/>
      <w:bookmarkEnd w:id="1997"/>
      <w:bookmarkEnd w:id="1998"/>
      <w:bookmarkEnd w:id="1999"/>
      <w:bookmarkEnd w:id="2000"/>
    </w:p>
    <w:p w14:paraId="10356A39">
      <w:pPr>
        <w:pStyle w:val="22"/>
        <w:ind w:firstLine="5810" w:firstLineChars="2767"/>
        <w:rPr>
          <w:rFonts w:ascii="Times New Roman" w:hAnsi="Times New Roman"/>
          <w:color w:val="auto"/>
          <w:highlight w:val="none"/>
          <w:shd w:val="clear"/>
        </w:rPr>
      </w:pPr>
      <w:r>
        <w:rPr>
          <w:rFonts w:hint="eastAsia" w:ascii="Times New Roman" w:hAnsi="Times New Roman"/>
          <w:color w:val="auto"/>
          <w:highlight w:val="none"/>
          <w:shd w:val="clear"/>
        </w:rPr>
        <w:t>编号：</w:t>
      </w:r>
    </w:p>
    <w:p w14:paraId="6C38D05D">
      <w:pPr>
        <w:adjustRightInd w:val="0"/>
        <w:snapToGrid w:val="0"/>
        <w:spacing w:line="360" w:lineRule="auto"/>
        <w:rPr>
          <w:rFonts w:ascii="Times New Roman" w:hAnsi="Times New Roman"/>
          <w:color w:val="auto"/>
          <w:sz w:val="24"/>
          <w:szCs w:val="24"/>
          <w:highlight w:val="none"/>
          <w:shd w:val="clear"/>
        </w:rPr>
      </w:pPr>
    </w:p>
    <w:p w14:paraId="5A9E80CF">
      <w:pPr>
        <w:pStyle w:val="22"/>
        <w:ind w:firstLine="0" w:firstLineChars="0"/>
        <w:rPr>
          <w:rFonts w:ascii="Times New Roman" w:hAnsi="Times New Roman"/>
          <w:color w:val="auto"/>
          <w:highlight w:val="none"/>
          <w:shd w:val="clear"/>
        </w:rPr>
      </w:pPr>
      <w:r>
        <w:rPr>
          <w:rFonts w:hint="eastAsia" w:ascii="Times New Roman" w:hAnsi="Times New Roman"/>
          <w:color w:val="auto"/>
          <w:highlight w:val="none"/>
          <w:shd w:val="clear"/>
        </w:rPr>
        <w:t>【招标人】</w:t>
      </w:r>
      <w:r>
        <w:rPr>
          <w:rFonts w:hint="eastAsia" w:ascii="Times New Roman" w:hAnsi="Times New Roman"/>
          <w:color w:val="auto"/>
          <w:highlight w:val="none"/>
          <w:shd w:val="clear"/>
        </w:rPr>
        <w:t>（受益人名称）：</w:t>
      </w:r>
    </w:p>
    <w:p w14:paraId="0DC07D5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鉴于</w:t>
      </w:r>
      <w:r>
        <w:rPr>
          <w:rFonts w:hint="eastAsia" w:ascii="Times New Roman" w:hAnsi="Times New Roman"/>
          <w:color w:val="auto"/>
          <w:highlight w:val="none"/>
          <w:shd w:val="clear"/>
        </w:rPr>
        <w:t>【招标人】</w:t>
      </w:r>
      <w:r>
        <w:rPr>
          <w:rFonts w:hint="eastAsia" w:ascii="Times New Roman" w:hAnsi="Times New Roman"/>
          <w:color w:val="auto"/>
          <w:highlight w:val="none"/>
          <w:shd w:val="clear"/>
        </w:rPr>
        <w:t>（以下简称“受益人”）与</w:t>
      </w:r>
      <w:r>
        <w:rPr>
          <w:rFonts w:hint="eastAsia" w:ascii="Times New Roman" w:hAnsi="Times New Roman"/>
          <w:color w:val="auto"/>
          <w:highlight w:val="none"/>
          <w:shd w:val="clear"/>
        </w:rPr>
        <w:t>【中标人】</w:t>
      </w:r>
      <w:r>
        <w:rPr>
          <w:rFonts w:hint="eastAsia" w:ascii="Times New Roman" w:hAnsi="Times New Roman"/>
          <w:color w:val="auto"/>
          <w:highlight w:val="none"/>
          <w:shd w:val="clear"/>
        </w:rPr>
        <w:t>（以下简称“申请人”）于</w:t>
      </w:r>
      <w:r>
        <w:rPr>
          <w:rFonts w:hint="eastAsia" w:ascii="Times New Roman" w:hAnsi="Times New Roman"/>
          <w:color w:val="auto"/>
          <w:highlight w:val="none"/>
          <w:shd w:val="clear"/>
        </w:rPr>
        <w:t>【    】</w:t>
      </w:r>
      <w:r>
        <w:rPr>
          <w:rFonts w:hint="eastAsia" w:ascii="Times New Roman" w:hAnsi="Times New Roman"/>
          <w:color w:val="auto"/>
          <w:highlight w:val="none"/>
          <w:shd w:val="clear"/>
        </w:rPr>
        <w:t>年</w:t>
      </w:r>
      <w:r>
        <w:rPr>
          <w:rFonts w:hint="eastAsia" w:ascii="Times New Roman" w:hAnsi="Times New Roman"/>
          <w:color w:val="auto"/>
          <w:highlight w:val="none"/>
          <w:shd w:val="clear"/>
        </w:rPr>
        <w:t>【  】</w:t>
      </w:r>
      <w:r>
        <w:rPr>
          <w:rFonts w:hint="eastAsia" w:ascii="Times New Roman" w:hAnsi="Times New Roman"/>
          <w:color w:val="auto"/>
          <w:highlight w:val="none"/>
          <w:shd w:val="clear"/>
        </w:rPr>
        <w:t>月</w:t>
      </w:r>
      <w:r>
        <w:rPr>
          <w:rFonts w:hint="eastAsia" w:ascii="Times New Roman" w:hAnsi="Times New Roman"/>
          <w:color w:val="auto"/>
          <w:highlight w:val="none"/>
          <w:shd w:val="clear"/>
        </w:rPr>
        <w:t>【  】</w:t>
      </w:r>
      <w:r>
        <w:rPr>
          <w:rFonts w:hint="eastAsia" w:ascii="Times New Roman" w:hAnsi="Times New Roman"/>
          <w:color w:val="auto"/>
          <w:highlight w:val="none"/>
          <w:shd w:val="clear"/>
        </w:rPr>
        <w:t>日就</w:t>
      </w:r>
      <w:r>
        <w:rPr>
          <w:rFonts w:hint="eastAsia" w:ascii="Times New Roman" w:hAnsi="Times New Roman"/>
          <w:color w:val="auto"/>
          <w:highlight w:val="none"/>
          <w:shd w:val="clear"/>
        </w:rPr>
        <w:t>【标段编号】</w:t>
      </w:r>
      <w:r>
        <w:rPr>
          <w:rFonts w:hint="eastAsia" w:ascii="Times New Roman" w:hAnsi="Times New Roman"/>
          <w:color w:val="auto"/>
          <w:highlight w:val="none"/>
          <w:shd w:val="clear"/>
        </w:rPr>
        <w:t>的</w:t>
      </w:r>
      <w:r>
        <w:rPr>
          <w:rFonts w:hint="eastAsia" w:ascii="Times New Roman" w:hAnsi="Times New Roman"/>
          <w:color w:val="auto"/>
          <w:highlight w:val="none"/>
          <w:shd w:val="clear"/>
        </w:rPr>
        <w:t>【标段名称 】</w:t>
      </w:r>
      <w:r>
        <w:rPr>
          <w:rFonts w:hint="eastAsia" w:ascii="Times New Roman" w:hAnsi="Times New Roman"/>
          <w:color w:val="auto"/>
          <w:highlight w:val="none"/>
          <w:shd w:val="clear"/>
        </w:rPr>
        <w:t>有关事项协商一致共同签订</w:t>
      </w:r>
      <w:r>
        <w:rPr>
          <w:rFonts w:hint="eastAsia" w:ascii="Times New Roman" w:hAnsi="Times New Roman"/>
          <w:color w:val="auto"/>
          <w:highlight w:val="none"/>
          <w:shd w:val="clear"/>
        </w:rPr>
        <w:t>【《        》】</w:t>
      </w:r>
      <w:r>
        <w:rPr>
          <w:rFonts w:hint="eastAsia" w:ascii="Times New Roman" w:hAnsi="Times New Roman"/>
          <w:color w:val="auto"/>
          <w:highlight w:val="none"/>
          <w:shd w:val="clear"/>
        </w:rPr>
        <w:t>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w:t>
      </w:r>
    </w:p>
    <w:p w14:paraId="2C9420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一、本保函担保范围：申请人未按照合同约定正确和合理地为合同目的使用预付款，应当向受益人承担的违约责任和赔偿因此造成的损失、利息、律师费、诉讼费用等实现债权的费用。</w:t>
      </w:r>
    </w:p>
    <w:p w14:paraId="499EA98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二、本保函担保金额最高不超过人民币（大写）</w:t>
      </w:r>
      <w:r>
        <w:rPr>
          <w:rFonts w:hint="eastAsia" w:ascii="Times New Roman" w:hAnsi="Times New Roman"/>
          <w:color w:val="auto"/>
          <w:highlight w:val="none"/>
          <w:shd w:val="clear"/>
        </w:rPr>
        <w:t>【        】</w:t>
      </w:r>
      <w:r>
        <w:rPr>
          <w:rFonts w:hint="eastAsia" w:ascii="Times New Roman" w:hAnsi="Times New Roman"/>
          <w:color w:val="auto"/>
          <w:highlight w:val="none"/>
          <w:shd w:val="clear"/>
        </w:rPr>
        <w:t>元（¥</w:t>
      </w:r>
      <w:r>
        <w:rPr>
          <w:rFonts w:hint="eastAsia" w:ascii="Times New Roman" w:hAnsi="Times New Roman"/>
          <w:color w:val="auto"/>
          <w:highlight w:val="none"/>
          <w:shd w:val="clear"/>
        </w:rPr>
        <w:t>【        】</w:t>
      </w:r>
      <w:r>
        <w:rPr>
          <w:rFonts w:hint="eastAsia" w:ascii="Times New Roman" w:hAnsi="Times New Roman"/>
          <w:color w:val="auto"/>
          <w:highlight w:val="none"/>
          <w:shd w:val="clear"/>
        </w:rPr>
        <w:t>）。</w:t>
      </w:r>
    </w:p>
    <w:p w14:paraId="66DB78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三、本保函有效期自开立之日起至发包人全额扣回预付款之日止。</w:t>
      </w:r>
    </w:p>
    <w:p w14:paraId="0CB2CCF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四、开立人承诺，在收到受益人发来的书面付款通知后的七日内无条件支付，前述书面付款通知即为付款要求之单据，且应满足以下要求：</w:t>
      </w:r>
    </w:p>
    <w:p w14:paraId="426CDF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（1）付款通知到达的日期在本保函的有效期内；</w:t>
      </w:r>
    </w:p>
    <w:p w14:paraId="65C5AE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（2）载明要求支付的金额；</w:t>
      </w:r>
    </w:p>
    <w:p w14:paraId="6BC8F4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（3）载明申请人违反合同义务的条款和内容；</w:t>
      </w:r>
    </w:p>
    <w:p w14:paraId="174BA0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（4）声明不存在合同文件约定或我国法律规定免除申请人或开立人支付责任的情形；</w:t>
      </w:r>
    </w:p>
    <w:p w14:paraId="4B475C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（5）付款通知应在本保函有效期内到达的地址是：</w:t>
      </w:r>
      <w:r>
        <w:rPr>
          <w:rFonts w:hint="eastAsia" w:ascii="Times New Roman" w:hAnsi="Times New Roman"/>
          <w:color w:val="auto"/>
          <w:highlight w:val="none"/>
          <w:shd w:val="clear"/>
        </w:rPr>
        <w:t>【        】</w:t>
      </w:r>
    </w:p>
    <w:p w14:paraId="0BBC1A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受益人发出的书面付款通知应由其法定代表人（负责人）或授权代理人签字并加盖公章。</w:t>
      </w:r>
    </w:p>
    <w:p w14:paraId="4A496BD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五、本保函项下的权利不得转让，不得设定担保。受益人未经开立人书面同意转让本保函或其项下任何权利，对开立人不发生法律效力。</w:t>
      </w:r>
    </w:p>
    <w:p w14:paraId="7DBBD51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六、本保函项下的基础交易不成立、不生效、无效、被撤销、被解除，不影响本保函的独立有效。</w:t>
      </w:r>
    </w:p>
    <w:p w14:paraId="29EB1B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七、本保函项下的义务和责任均在保函有效期到期后自动消灭。</w:t>
      </w:r>
    </w:p>
    <w:p w14:paraId="3B95EA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八、本保函适用的法律为中华人民共和国法律，因本保函产生的纠纷案件，由受益人所在地人民法院管辖。</w:t>
      </w:r>
    </w:p>
    <w:p w14:paraId="013FD9A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九、本保函自我方法定代表人或授权代表签字并加盖公章之日起生效。</w:t>
      </w:r>
    </w:p>
    <w:p w14:paraId="098C82C1">
      <w:pPr>
        <w:pStyle w:val="22"/>
        <w:ind w:firstLine="420"/>
        <w:rPr>
          <w:rFonts w:ascii="Times New Roman" w:hAnsi="Times New Roman"/>
          <w:color w:val="auto"/>
          <w:highlight w:val="none"/>
          <w:shd w:val="clear"/>
        </w:rPr>
      </w:pPr>
    </w:p>
    <w:p w14:paraId="6E80DF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 立 人：</w:t>
      </w:r>
      <w:r>
        <w:rPr>
          <w:rFonts w:hint="eastAsia" w:ascii="Times New Roman" w:hAnsi="Times New Roman"/>
          <w:color w:val="auto"/>
          <w:highlight w:val="none"/>
          <w:u w:val="single"/>
          <w:shd w:val="clear"/>
        </w:rPr>
        <w:t>（公章）</w:t>
      </w:r>
      <w:r>
        <w:rPr>
          <w:rFonts w:ascii="Times New Roman" w:hAnsi="Times New Roman"/>
          <w:color w:val="auto"/>
          <w:highlight w:val="none"/>
          <w:u w:val="single"/>
          <w:shd w:val="clear"/>
        </w:rPr>
        <w:t xml:space="preserve">                             </w:t>
      </w:r>
    </w:p>
    <w:p w14:paraId="6105A91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法定代表人（或授权代表）：（签字）</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3133F5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地    址：</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3155613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337E315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    话：</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0B3805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传    真：</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7F26251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开立时间：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75693EF0">
      <w:pPr>
        <w:pStyle w:val="33"/>
        <w:rPr>
          <w:color w:val="auto"/>
          <w:sz w:val="28"/>
          <w:szCs w:val="28"/>
          <w:highlight w:val="none"/>
          <w:shd w:val="clear"/>
        </w:rPr>
      </w:pPr>
      <w:r>
        <w:rPr>
          <w:rFonts w:eastAsia="仿宋"/>
          <w:b/>
          <w:color w:val="auto"/>
          <w:sz w:val="30"/>
          <w:szCs w:val="30"/>
          <w:highlight w:val="none"/>
          <w:shd w:val="clear"/>
        </w:rPr>
        <w:br w:type="page"/>
      </w:r>
      <w:r>
        <w:rPr>
          <w:rFonts w:hint="eastAsia"/>
          <w:color w:val="auto"/>
          <w:highlight w:val="none"/>
          <w:shd w:val="clear"/>
        </w:rPr>
        <w:t>附</w:t>
      </w:r>
      <w:bookmarkStart w:id="2001" w:name="_Toc296944572"/>
      <w:bookmarkStart w:id="2002" w:name="_Toc296891273"/>
      <w:bookmarkStart w:id="2003" w:name="_Toc296346734"/>
      <w:bookmarkStart w:id="2004" w:name="_Toc296347232"/>
      <w:bookmarkStart w:id="2005" w:name="_Toc296891061"/>
      <w:bookmarkStart w:id="2006" w:name="_Toc296503233"/>
      <w:r>
        <w:rPr>
          <w:rFonts w:hint="eastAsia"/>
          <w:color w:val="auto"/>
          <w:highlight w:val="none"/>
          <w:shd w:val="clear"/>
        </w:rPr>
        <w:t>件10:</w:t>
      </w:r>
    </w:p>
    <w:bookmarkEnd w:id="2001"/>
    <w:bookmarkEnd w:id="2002"/>
    <w:bookmarkEnd w:id="2003"/>
    <w:bookmarkEnd w:id="2004"/>
    <w:bookmarkEnd w:id="2005"/>
    <w:bookmarkEnd w:id="2006"/>
    <w:p w14:paraId="61A072E6">
      <w:pPr>
        <w:pStyle w:val="20"/>
        <w:rPr>
          <w:rFonts w:ascii="Times New Roman" w:hAnsi="Times New Roman"/>
          <w:color w:val="auto"/>
          <w:highlight w:val="none"/>
          <w:shd w:val="clear"/>
        </w:rPr>
      </w:pPr>
      <w:bookmarkStart w:id="2007" w:name="_Toc170804181"/>
      <w:bookmarkStart w:id="2008" w:name="_Toc8319"/>
      <w:bookmarkStart w:id="2009" w:name="_Toc170805369"/>
      <w:bookmarkStart w:id="2010" w:name="_Toc3562"/>
      <w:bookmarkStart w:id="2011" w:name="_Toc170805749"/>
      <w:r>
        <w:rPr>
          <w:rFonts w:ascii="Times New Roman" w:hAnsi="Times New Roman"/>
          <w:color w:val="auto"/>
          <w:highlight w:val="none"/>
          <w:shd w:val="clear"/>
        </w:rPr>
        <w:t>支付保函示范文本</w:t>
      </w:r>
      <w:bookmarkEnd w:id="2007"/>
      <w:bookmarkEnd w:id="2008"/>
      <w:bookmarkEnd w:id="2009"/>
      <w:bookmarkEnd w:id="2010"/>
      <w:bookmarkEnd w:id="2011"/>
    </w:p>
    <w:p w14:paraId="6364C92E">
      <w:pPr>
        <w:pStyle w:val="22"/>
        <w:ind w:firstLine="5810" w:firstLineChars="2767"/>
        <w:rPr>
          <w:rFonts w:ascii="Times New Roman" w:hAnsi="Times New Roman"/>
          <w:color w:val="auto"/>
          <w:highlight w:val="none"/>
          <w:shd w:val="clear"/>
        </w:rPr>
      </w:pPr>
      <w:r>
        <w:rPr>
          <w:rFonts w:hint="eastAsia" w:ascii="Times New Roman" w:hAnsi="Times New Roman"/>
          <w:color w:val="auto"/>
          <w:highlight w:val="none"/>
          <w:shd w:val="clear"/>
        </w:rPr>
        <w:t>编号：</w:t>
      </w:r>
    </w:p>
    <w:p w14:paraId="2C86CB92">
      <w:pPr>
        <w:adjustRightInd w:val="0"/>
        <w:snapToGrid w:val="0"/>
        <w:spacing w:line="360" w:lineRule="auto"/>
        <w:rPr>
          <w:rFonts w:ascii="Times New Roman" w:hAnsi="Times New Roman"/>
          <w:color w:val="auto"/>
          <w:sz w:val="24"/>
          <w:szCs w:val="24"/>
          <w:highlight w:val="none"/>
          <w:shd w:val="clear"/>
        </w:rPr>
      </w:pPr>
    </w:p>
    <w:p w14:paraId="4A3C5C0E">
      <w:pPr>
        <w:pStyle w:val="22"/>
        <w:ind w:firstLine="0" w:firstLineChars="0"/>
        <w:rPr>
          <w:rFonts w:ascii="Times New Roman" w:hAnsi="Times New Roman"/>
          <w:color w:val="auto"/>
          <w:highlight w:val="none"/>
          <w:shd w:val="clear"/>
        </w:rPr>
      </w:pPr>
      <w:bookmarkStart w:id="2012" w:name="_Hlk40355074"/>
      <w:r>
        <w:rPr>
          <w:rFonts w:hint="eastAsia" w:ascii="Times New Roman" w:hAnsi="Times New Roman"/>
          <w:color w:val="auto"/>
          <w:highlight w:val="none"/>
          <w:shd w:val="clear"/>
        </w:rPr>
        <w:t>【  】</w:t>
      </w:r>
      <w:r>
        <w:rPr>
          <w:rFonts w:hint="eastAsia" w:ascii="Times New Roman" w:hAnsi="Times New Roman"/>
          <w:color w:val="auto"/>
          <w:highlight w:val="none"/>
          <w:shd w:val="clear"/>
        </w:rPr>
        <w:t>（受益人名称）：</w:t>
      </w:r>
    </w:p>
    <w:bookmarkEnd w:id="2012"/>
    <w:p w14:paraId="08A471E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鉴于</w:t>
      </w:r>
      <w:r>
        <w:rPr>
          <w:rFonts w:hint="eastAsia" w:ascii="Times New Roman" w:hAnsi="Times New Roman"/>
          <w:color w:val="auto"/>
          <w:highlight w:val="none"/>
          <w:shd w:val="clear"/>
        </w:rPr>
        <w:t>【    】</w:t>
      </w:r>
      <w:r>
        <w:rPr>
          <w:rFonts w:hint="eastAsia" w:ascii="Times New Roman" w:hAnsi="Times New Roman"/>
          <w:color w:val="auto"/>
          <w:highlight w:val="none"/>
          <w:shd w:val="clear"/>
        </w:rPr>
        <w:t>（以下简称“受益人”）与</w:t>
      </w:r>
      <w:r>
        <w:rPr>
          <w:rFonts w:hint="eastAsia" w:ascii="Times New Roman" w:hAnsi="Times New Roman"/>
          <w:color w:val="auto"/>
          <w:highlight w:val="none"/>
          <w:shd w:val="clear"/>
        </w:rPr>
        <w:t>【    】</w:t>
      </w:r>
      <w:r>
        <w:rPr>
          <w:rFonts w:hint="eastAsia" w:ascii="Times New Roman" w:hAnsi="Times New Roman"/>
          <w:color w:val="auto"/>
          <w:highlight w:val="none"/>
          <w:shd w:val="clear"/>
        </w:rPr>
        <w:t>（以下简称“申请人”）于</w:t>
      </w:r>
      <w:r>
        <w:rPr>
          <w:rFonts w:hint="eastAsia" w:ascii="Times New Roman" w:hAnsi="Times New Roman"/>
          <w:color w:val="auto"/>
          <w:highlight w:val="none"/>
          <w:shd w:val="clear"/>
        </w:rPr>
        <w:t>【    】</w:t>
      </w:r>
      <w:r>
        <w:rPr>
          <w:rFonts w:hint="eastAsia" w:ascii="Times New Roman" w:hAnsi="Times New Roman"/>
          <w:color w:val="auto"/>
          <w:highlight w:val="none"/>
          <w:shd w:val="clear"/>
        </w:rPr>
        <w:t>年</w:t>
      </w:r>
      <w:r>
        <w:rPr>
          <w:rFonts w:hint="eastAsia" w:ascii="Times New Roman" w:hAnsi="Times New Roman"/>
          <w:color w:val="auto"/>
          <w:highlight w:val="none"/>
          <w:shd w:val="clear"/>
        </w:rPr>
        <w:t>【  】</w:t>
      </w:r>
      <w:r>
        <w:rPr>
          <w:rFonts w:hint="eastAsia" w:ascii="Times New Roman" w:hAnsi="Times New Roman"/>
          <w:color w:val="auto"/>
          <w:highlight w:val="none"/>
          <w:shd w:val="clear"/>
        </w:rPr>
        <w:t>月</w:t>
      </w:r>
      <w:r>
        <w:rPr>
          <w:rFonts w:hint="eastAsia" w:ascii="Times New Roman" w:hAnsi="Times New Roman"/>
          <w:color w:val="auto"/>
          <w:highlight w:val="none"/>
          <w:shd w:val="clear"/>
        </w:rPr>
        <w:t>【  】</w:t>
      </w:r>
      <w:r>
        <w:rPr>
          <w:rFonts w:hint="eastAsia" w:ascii="Times New Roman" w:hAnsi="Times New Roman"/>
          <w:color w:val="auto"/>
          <w:highlight w:val="none"/>
          <w:shd w:val="clear"/>
        </w:rPr>
        <w:t>日就</w:t>
      </w:r>
      <w:r>
        <w:rPr>
          <w:rFonts w:hint="eastAsia" w:ascii="Times New Roman" w:hAnsi="Times New Roman"/>
          <w:color w:val="auto"/>
          <w:highlight w:val="none"/>
          <w:shd w:val="clear"/>
        </w:rPr>
        <w:t>【          】</w:t>
      </w:r>
      <w:r>
        <w:rPr>
          <w:rFonts w:hint="eastAsia" w:ascii="Times New Roman" w:hAnsi="Times New Roman"/>
          <w:color w:val="auto"/>
          <w:highlight w:val="none"/>
          <w:shd w:val="clear"/>
        </w:rPr>
        <w:t>（标段编号）的</w:t>
      </w:r>
      <w:r>
        <w:rPr>
          <w:rFonts w:hint="eastAsia" w:ascii="Times New Roman" w:hAnsi="Times New Roman"/>
          <w:color w:val="auto"/>
          <w:highlight w:val="none"/>
          <w:shd w:val="clear"/>
        </w:rPr>
        <w:t>【    】</w:t>
      </w:r>
      <w:r>
        <w:rPr>
          <w:rFonts w:hint="eastAsia" w:ascii="Times New Roman" w:hAnsi="Times New Roman"/>
          <w:color w:val="auto"/>
          <w:highlight w:val="none"/>
          <w:shd w:val="clear"/>
        </w:rPr>
        <w:t>（标段名称）有关事项协商一致共同签订</w:t>
      </w:r>
      <w:r>
        <w:rPr>
          <w:rFonts w:hint="eastAsia" w:ascii="Times New Roman" w:hAnsi="Times New Roman"/>
          <w:color w:val="auto"/>
          <w:highlight w:val="none"/>
          <w:shd w:val="clear"/>
        </w:rPr>
        <w:t>【《         》】</w:t>
      </w:r>
      <w:r>
        <w:rPr>
          <w:rFonts w:hint="eastAsia" w:ascii="Times New Roman" w:hAnsi="Times New Roman"/>
          <w:color w:val="auto"/>
          <w:highlight w:val="none"/>
          <w:shd w:val="clear"/>
        </w:rPr>
        <w:t>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w:t>
      </w:r>
    </w:p>
    <w:p w14:paraId="27B1BB0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一、本保函担保范围：申请人未履行基础合同约定的工程款支付义务，应当向受益人承担的违约责任和赔偿因此造成的损失、利息、律师费、诉讼费用等实现债权的费用。</w:t>
      </w:r>
    </w:p>
    <w:p w14:paraId="6861B4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二、本保函担保金额最高不超过人民币（大写）</w:t>
      </w:r>
      <w:r>
        <w:rPr>
          <w:rFonts w:hint="eastAsia" w:ascii="Times New Roman" w:hAnsi="Times New Roman"/>
          <w:color w:val="auto"/>
          <w:highlight w:val="none"/>
          <w:shd w:val="clear"/>
        </w:rPr>
        <w:t>【    】</w:t>
      </w:r>
      <w:r>
        <w:rPr>
          <w:rFonts w:hint="eastAsia" w:ascii="Times New Roman" w:hAnsi="Times New Roman"/>
          <w:color w:val="auto"/>
          <w:highlight w:val="none"/>
          <w:shd w:val="clear"/>
        </w:rPr>
        <w:t>元（¥</w:t>
      </w:r>
      <w:r>
        <w:rPr>
          <w:rFonts w:hint="eastAsia" w:ascii="Times New Roman" w:hAnsi="Times New Roman"/>
          <w:color w:val="auto"/>
          <w:highlight w:val="none"/>
          <w:shd w:val="clear"/>
        </w:rPr>
        <w:t>【    】</w:t>
      </w:r>
      <w:r>
        <w:rPr>
          <w:rFonts w:hint="eastAsia" w:ascii="Times New Roman" w:hAnsi="Times New Roman"/>
          <w:color w:val="auto"/>
          <w:highlight w:val="none"/>
          <w:shd w:val="clear"/>
        </w:rPr>
        <w:t>）。</w:t>
      </w:r>
    </w:p>
    <w:p w14:paraId="074E818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三、本保函有效期自开立之日起至基础合同约定的除工程质量保修金以外的全部工程结算款项支付之日后</w:t>
      </w:r>
      <w:r>
        <w:rPr>
          <w:rFonts w:hint="eastAsia" w:ascii="Times New Roman" w:hAnsi="Times New Roman"/>
          <w:color w:val="auto"/>
          <w:highlight w:val="none"/>
          <w:shd w:val="clear"/>
        </w:rPr>
        <w:t>【    】</w:t>
      </w:r>
      <w:r>
        <w:rPr>
          <w:rFonts w:hint="eastAsia" w:ascii="Times New Roman" w:hAnsi="Times New Roman"/>
          <w:color w:val="auto"/>
          <w:highlight w:val="none"/>
          <w:shd w:val="clear"/>
        </w:rPr>
        <w:t>日止。</w:t>
      </w:r>
    </w:p>
    <w:p w14:paraId="69CC01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四、开立人承诺，在收到受益人发来的书面付款通知后的七日内无条件支付，前述书面付款通知即为付款要求之单据，且应满足以下要求：</w:t>
      </w:r>
    </w:p>
    <w:p w14:paraId="526401B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（1）付款通知到达的日期在本保函的有效期内；</w:t>
      </w:r>
    </w:p>
    <w:p w14:paraId="61A3C47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（2）载明要求支付的金额；</w:t>
      </w:r>
    </w:p>
    <w:p w14:paraId="62B4FF6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（3）载明申请人违反合同义务的条款和内容；</w:t>
      </w:r>
    </w:p>
    <w:p w14:paraId="54B68A5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（4）声明不存在合同文件约定或我国法律规定免除申请人或开立人支付责任的情形；</w:t>
      </w:r>
    </w:p>
    <w:p w14:paraId="79E57A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（5）付款通知应在本保函有效期内到达的地址是：</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w:t>
      </w:r>
    </w:p>
    <w:p w14:paraId="73A027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受益人发出的书面付款通知应由其法定代表人（负责人）或授权代理人签字并加盖公章。</w:t>
      </w:r>
    </w:p>
    <w:p w14:paraId="621BF00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五、本保函项下的权利不得转让，不得设定担保。受益人未经开立人书面同意转让本保函或其项下任何权利，对开立人不发生法律效力。</w:t>
      </w:r>
    </w:p>
    <w:p w14:paraId="64D3EF1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六、本保函项下的基础交易不成立、不生效、无效、被撤销、被解除，不影响本保函的独立有效。</w:t>
      </w:r>
    </w:p>
    <w:p w14:paraId="318943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七、本保函项下的义务和责任均在保函有效期到期后自动消灭。</w:t>
      </w:r>
    </w:p>
    <w:p w14:paraId="79DDBB1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八、本保函适用的法律为中华人民共和国法律，因本保函产生的纠纷案件，由申请人所在地人民法院管辖。</w:t>
      </w:r>
    </w:p>
    <w:p w14:paraId="4A6011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九、本保函自我方法定代表人或授权代表签字并加盖公章之日起生效。</w:t>
      </w:r>
    </w:p>
    <w:p w14:paraId="62832D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 立 人：</w:t>
      </w:r>
      <w:r>
        <w:rPr>
          <w:rFonts w:hint="eastAsia" w:ascii="Times New Roman" w:hAnsi="Times New Roman"/>
          <w:color w:val="auto"/>
          <w:highlight w:val="none"/>
          <w:u w:val="single"/>
          <w:shd w:val="clear"/>
        </w:rPr>
        <w:t>（公章）</w:t>
      </w:r>
      <w:r>
        <w:rPr>
          <w:rFonts w:ascii="Times New Roman" w:hAnsi="Times New Roman"/>
          <w:color w:val="auto"/>
          <w:highlight w:val="none"/>
          <w:u w:val="single"/>
          <w:shd w:val="clear"/>
        </w:rPr>
        <w:t xml:space="preserve">                             </w:t>
      </w:r>
    </w:p>
    <w:p w14:paraId="5D6FB2C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法定代表人（或授权代表）：（签字）</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212986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地    址：</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51284D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123B29F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    话：</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02C6E9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传    真：</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23F54FD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开立时间：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1503C345">
      <w:pPr>
        <w:widowControl/>
        <w:jc w:val="left"/>
        <w:rPr>
          <w:rFonts w:ascii="Times New Roman" w:hAnsi="Times New Roman" w:eastAsia="仿宋"/>
          <w:color w:val="auto"/>
          <w:sz w:val="30"/>
          <w:szCs w:val="30"/>
          <w:highlight w:val="none"/>
          <w:shd w:val="clear"/>
        </w:rPr>
      </w:pPr>
      <w:r>
        <w:rPr>
          <w:rFonts w:ascii="Times New Roman" w:hAnsi="Times New Roman" w:eastAsia="仿宋"/>
          <w:color w:val="auto"/>
          <w:sz w:val="30"/>
          <w:szCs w:val="30"/>
          <w:highlight w:val="none"/>
          <w:shd w:val="clear"/>
        </w:rPr>
        <w:br w:type="page"/>
      </w:r>
    </w:p>
    <w:p w14:paraId="4C66FD57">
      <w:pPr>
        <w:pStyle w:val="33"/>
        <w:rPr>
          <w:color w:val="auto"/>
          <w:highlight w:val="none"/>
          <w:shd w:val="clear"/>
        </w:rPr>
      </w:pPr>
      <w:r>
        <w:rPr>
          <w:color w:val="auto"/>
          <w:highlight w:val="none"/>
          <w:shd w:val="clear"/>
        </w:rPr>
        <w:t>附件11：</w:t>
      </w:r>
    </w:p>
    <w:p w14:paraId="2611D331">
      <w:pPr>
        <w:pStyle w:val="20"/>
        <w:rPr>
          <w:rFonts w:ascii="Times New Roman" w:hAnsi="Times New Roman"/>
          <w:color w:val="auto"/>
          <w:highlight w:val="none"/>
          <w:shd w:val="clear"/>
        </w:rPr>
      </w:pPr>
      <w:bookmarkStart w:id="2013" w:name="_Toc170805370"/>
      <w:bookmarkStart w:id="2014" w:name="_Toc170804182"/>
      <w:bookmarkStart w:id="2015" w:name="_Toc170805750"/>
      <w:r>
        <w:rPr>
          <w:rFonts w:ascii="Times New Roman" w:hAnsi="Times New Roman"/>
          <w:color w:val="auto"/>
          <w:highlight w:val="none"/>
          <w:shd w:val="clear"/>
        </w:rPr>
        <w:t>11-1：材料暂估价表</w:t>
      </w:r>
      <w:bookmarkEnd w:id="2013"/>
      <w:bookmarkEnd w:id="2014"/>
      <w:bookmarkEnd w:id="2015"/>
    </w:p>
    <w:tbl>
      <w:tblPr>
        <w:tblStyle w:val="12"/>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977"/>
        <w:gridCol w:w="850"/>
        <w:gridCol w:w="993"/>
        <w:gridCol w:w="1842"/>
        <w:gridCol w:w="1717"/>
        <w:gridCol w:w="1701"/>
      </w:tblGrid>
      <w:tr w14:paraId="5953A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14DFB773">
            <w:pPr>
              <w:pStyle w:val="28"/>
              <w:rPr>
                <w:rFonts w:ascii="Times New Roman" w:hAnsi="Times New Roman"/>
                <w:color w:val="auto"/>
                <w:highlight w:val="none"/>
                <w:shd w:val="clear"/>
              </w:rPr>
            </w:pPr>
            <w:r>
              <w:rPr>
                <w:rFonts w:ascii="Times New Roman" w:hAnsi="Times New Roman"/>
                <w:color w:val="auto"/>
                <w:highlight w:val="none"/>
                <w:shd w:val="clear"/>
              </w:rPr>
              <w:t>序号</w:t>
            </w:r>
          </w:p>
        </w:tc>
        <w:tc>
          <w:tcPr>
            <w:tcW w:w="977" w:type="dxa"/>
            <w:tcBorders>
              <w:top w:val="single" w:color="auto" w:sz="12" w:space="0"/>
              <w:bottom w:val="double" w:color="auto" w:sz="6" w:space="0"/>
            </w:tcBorders>
          </w:tcPr>
          <w:p w14:paraId="658D768A">
            <w:pPr>
              <w:pStyle w:val="28"/>
              <w:rPr>
                <w:rFonts w:ascii="Times New Roman" w:hAnsi="Times New Roman"/>
                <w:color w:val="auto"/>
                <w:highlight w:val="none"/>
                <w:shd w:val="clear"/>
              </w:rPr>
            </w:pPr>
            <w:r>
              <w:rPr>
                <w:rFonts w:ascii="Times New Roman" w:hAnsi="Times New Roman"/>
                <w:color w:val="auto"/>
                <w:highlight w:val="none"/>
                <w:shd w:val="clear"/>
              </w:rPr>
              <w:t>名称</w:t>
            </w:r>
          </w:p>
        </w:tc>
        <w:tc>
          <w:tcPr>
            <w:tcW w:w="850" w:type="dxa"/>
            <w:tcBorders>
              <w:top w:val="single" w:color="auto" w:sz="12" w:space="0"/>
              <w:bottom w:val="double" w:color="auto" w:sz="6" w:space="0"/>
            </w:tcBorders>
          </w:tcPr>
          <w:p w14:paraId="7F097C12">
            <w:pPr>
              <w:pStyle w:val="28"/>
              <w:rPr>
                <w:rFonts w:ascii="Times New Roman" w:hAnsi="Times New Roman"/>
                <w:color w:val="auto"/>
                <w:highlight w:val="none"/>
                <w:shd w:val="clear"/>
              </w:rPr>
            </w:pPr>
            <w:r>
              <w:rPr>
                <w:rFonts w:ascii="Times New Roman" w:hAnsi="Times New Roman"/>
                <w:color w:val="auto"/>
                <w:highlight w:val="none"/>
                <w:shd w:val="clear"/>
              </w:rPr>
              <w:t>单位</w:t>
            </w:r>
          </w:p>
        </w:tc>
        <w:tc>
          <w:tcPr>
            <w:tcW w:w="993" w:type="dxa"/>
            <w:tcBorders>
              <w:top w:val="single" w:color="auto" w:sz="12" w:space="0"/>
              <w:bottom w:val="double" w:color="auto" w:sz="6" w:space="0"/>
            </w:tcBorders>
          </w:tcPr>
          <w:p w14:paraId="29E9CCFB">
            <w:pPr>
              <w:pStyle w:val="28"/>
              <w:rPr>
                <w:rFonts w:ascii="Times New Roman" w:hAnsi="Times New Roman"/>
                <w:color w:val="auto"/>
                <w:highlight w:val="none"/>
                <w:shd w:val="clear"/>
              </w:rPr>
            </w:pPr>
            <w:r>
              <w:rPr>
                <w:rFonts w:ascii="Times New Roman" w:hAnsi="Times New Roman"/>
                <w:color w:val="auto"/>
                <w:highlight w:val="none"/>
                <w:shd w:val="clear"/>
              </w:rPr>
              <w:t>数量</w:t>
            </w:r>
          </w:p>
        </w:tc>
        <w:tc>
          <w:tcPr>
            <w:tcW w:w="1842" w:type="dxa"/>
            <w:tcBorders>
              <w:top w:val="single" w:color="auto" w:sz="12" w:space="0"/>
              <w:bottom w:val="double" w:color="auto" w:sz="6" w:space="0"/>
            </w:tcBorders>
          </w:tcPr>
          <w:p w14:paraId="09697834">
            <w:pPr>
              <w:pStyle w:val="28"/>
              <w:rPr>
                <w:rFonts w:ascii="Times New Roman" w:hAnsi="Times New Roman"/>
                <w:color w:val="auto"/>
                <w:highlight w:val="none"/>
                <w:shd w:val="clear"/>
              </w:rPr>
            </w:pPr>
            <w:r>
              <w:rPr>
                <w:rFonts w:ascii="Times New Roman" w:hAnsi="Times New Roman"/>
                <w:color w:val="auto"/>
                <w:highlight w:val="none"/>
                <w:shd w:val="clear"/>
              </w:rPr>
              <w:t>单价</w:t>
            </w:r>
            <w:r>
              <w:rPr>
                <w:rFonts w:hint="eastAsia" w:ascii="Times New Roman" w:hAnsi="Times New Roman"/>
                <w:color w:val="auto"/>
                <w:highlight w:val="none"/>
                <w:shd w:val="clear"/>
              </w:rPr>
              <w:t>（元）</w:t>
            </w:r>
          </w:p>
        </w:tc>
        <w:tc>
          <w:tcPr>
            <w:tcW w:w="1717" w:type="dxa"/>
            <w:tcBorders>
              <w:top w:val="single" w:color="auto" w:sz="12" w:space="0"/>
              <w:bottom w:val="double" w:color="auto" w:sz="6" w:space="0"/>
            </w:tcBorders>
          </w:tcPr>
          <w:p w14:paraId="2E350D27">
            <w:pPr>
              <w:pStyle w:val="28"/>
              <w:rPr>
                <w:rFonts w:ascii="Times New Roman" w:hAnsi="Times New Roman"/>
                <w:color w:val="auto"/>
                <w:highlight w:val="none"/>
                <w:shd w:val="clear"/>
              </w:rPr>
            </w:pPr>
            <w:r>
              <w:rPr>
                <w:rFonts w:ascii="Times New Roman" w:hAnsi="Times New Roman"/>
                <w:color w:val="auto"/>
                <w:highlight w:val="none"/>
                <w:shd w:val="clear"/>
              </w:rPr>
              <w:t>合价</w:t>
            </w:r>
            <w:r>
              <w:rPr>
                <w:rFonts w:hint="eastAsia" w:ascii="Times New Roman" w:hAnsi="Times New Roman"/>
                <w:color w:val="auto"/>
                <w:highlight w:val="none"/>
                <w:shd w:val="clear"/>
              </w:rPr>
              <w:t>（元）</w:t>
            </w:r>
          </w:p>
        </w:tc>
        <w:tc>
          <w:tcPr>
            <w:tcW w:w="1701" w:type="dxa"/>
            <w:tcBorders>
              <w:top w:val="single" w:color="auto" w:sz="12" w:space="0"/>
              <w:bottom w:val="double" w:color="auto" w:sz="6" w:space="0"/>
            </w:tcBorders>
          </w:tcPr>
          <w:p w14:paraId="444655BA">
            <w:pPr>
              <w:pStyle w:val="28"/>
              <w:rPr>
                <w:rFonts w:ascii="Times New Roman" w:hAnsi="Times New Roman"/>
                <w:color w:val="auto"/>
                <w:highlight w:val="none"/>
                <w:shd w:val="clear"/>
              </w:rPr>
            </w:pPr>
            <w:r>
              <w:rPr>
                <w:rFonts w:ascii="Times New Roman" w:hAnsi="Times New Roman"/>
                <w:color w:val="auto"/>
                <w:highlight w:val="none"/>
                <w:shd w:val="clear"/>
              </w:rPr>
              <w:t>备注</w:t>
            </w:r>
          </w:p>
        </w:tc>
      </w:tr>
      <w:tr w14:paraId="58C8E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787F927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Borders>
              <w:top w:val="double" w:color="auto" w:sz="6" w:space="0"/>
              <w:bottom w:val="single" w:color="auto" w:sz="6" w:space="0"/>
            </w:tcBorders>
          </w:tcPr>
          <w:p w14:paraId="5123E90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Borders>
              <w:top w:val="double" w:color="auto" w:sz="6" w:space="0"/>
              <w:bottom w:val="single" w:color="auto" w:sz="6" w:space="0"/>
            </w:tcBorders>
          </w:tcPr>
          <w:p w14:paraId="69B08C8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Borders>
              <w:top w:val="double" w:color="auto" w:sz="6" w:space="0"/>
              <w:bottom w:val="single" w:color="auto" w:sz="6" w:space="0"/>
            </w:tcBorders>
          </w:tcPr>
          <w:p w14:paraId="350C446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Borders>
              <w:top w:val="double" w:color="auto" w:sz="6" w:space="0"/>
              <w:bottom w:val="single" w:color="auto" w:sz="6" w:space="0"/>
            </w:tcBorders>
          </w:tcPr>
          <w:p w14:paraId="32A9EF9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Borders>
              <w:top w:val="double" w:color="auto" w:sz="6" w:space="0"/>
              <w:bottom w:val="single" w:color="auto" w:sz="6" w:space="0"/>
            </w:tcBorders>
          </w:tcPr>
          <w:p w14:paraId="3C58BC6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Borders>
              <w:top w:val="double" w:color="auto" w:sz="6" w:space="0"/>
              <w:bottom w:val="single" w:color="auto" w:sz="6" w:space="0"/>
            </w:tcBorders>
          </w:tcPr>
          <w:p w14:paraId="3340D21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5E619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F5156E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Borders>
              <w:top w:val="nil"/>
            </w:tcBorders>
          </w:tcPr>
          <w:p w14:paraId="5E801A8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Borders>
              <w:top w:val="nil"/>
            </w:tcBorders>
          </w:tcPr>
          <w:p w14:paraId="7386D73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Borders>
              <w:top w:val="nil"/>
            </w:tcBorders>
          </w:tcPr>
          <w:p w14:paraId="16FAD32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Borders>
              <w:top w:val="nil"/>
            </w:tcBorders>
          </w:tcPr>
          <w:p w14:paraId="2F82B94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Borders>
              <w:top w:val="nil"/>
            </w:tcBorders>
          </w:tcPr>
          <w:p w14:paraId="450A071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Borders>
              <w:top w:val="nil"/>
            </w:tcBorders>
          </w:tcPr>
          <w:p w14:paraId="2CC00A8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FF0C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1E28A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5D099F5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532102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7CA1F88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6CC7A5B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22D152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691518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5EEF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34EDA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508D269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20E0DF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003A0BB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4DE0C05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240181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2FE9C31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DE5E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05B38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71C5A53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466071B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7CF77CF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3D827A8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51A47D9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2E73DCA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9A66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F2404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5399CFD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4EC8683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7951F2E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57E025E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D1A687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927098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416C8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18FC4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3C921B5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4C3078C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7A965AC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7524B6F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1C8C108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4463BD9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92F0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C87581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6F4C4E6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D69185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23D7A7B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234AA0E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010A997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EADB61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623B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1D7DB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4F6C2BD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03D9F16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5B0FD02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08B0E45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0534FA0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C69CF1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E50F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7E651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71F8D7C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727BD95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144EDBC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3051C85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C7F9F2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709641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61339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F86A2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0C0D46D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746281E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021FAF0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1489728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77FBBBF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F66436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D797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E197B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5085A73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326BAB4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6796067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018347B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2462352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669F046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50CC3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236AA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41BFACD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7156669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1AAB327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34BC815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3EBB76B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38C74C7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33D0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4684B2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7018228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68F1B5E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1BDCAB4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7BA2768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22AA602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7D369D4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0612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86CBB8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0E636F6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17B5AD3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2FC2046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413071F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7A91A6B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40B58FF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6D54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A236D7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3C2B6F5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695AE88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5F970B9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40A4481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796E88F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2088B00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4524F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E8389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1DD0BC9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6BE0F49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3013C34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0137823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98A4DE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9DB179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54DA6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684E18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22CC775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190C390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04F3856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0D51701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0845507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662C844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C4E3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8A27D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012717C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3C821B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3FC2E71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3329233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C38F37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3FE0C0B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58067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0B888D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5267099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5E772A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2B26E64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0E5D420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2ABAF9A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620795B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90E8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5BC1D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5A28700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C5FBB3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5F9D85D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3925768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6D4113E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74A640B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02AC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F1936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4AAFD2B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632C41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74988C0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1B3FD55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7AE7148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E0BA7A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1EB8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14AB2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3AF6A10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228D5E2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2462676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6E265ED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5112532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470DA7C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6402F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C50BA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465DB85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147619B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11C4F36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4BBA3DD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42E313E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1C7F8AF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2FFC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D138A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77" w:type="dxa"/>
          </w:tcPr>
          <w:p w14:paraId="32787D0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0" w:type="dxa"/>
          </w:tcPr>
          <w:p w14:paraId="536114C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993" w:type="dxa"/>
          </w:tcPr>
          <w:p w14:paraId="4E67596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2" w:type="dxa"/>
          </w:tcPr>
          <w:p w14:paraId="6DDDC45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17" w:type="dxa"/>
          </w:tcPr>
          <w:p w14:paraId="6FC159F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67A4A94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bl>
    <w:p w14:paraId="19EA23AF">
      <w:pPr>
        <w:spacing w:before="163" w:beforeLines="50" w:after="163" w:afterLines="50" w:line="440" w:lineRule="exact"/>
        <w:rPr>
          <w:rFonts w:ascii="Times New Roman" w:hAnsi="Times New Roman" w:eastAsia="黑体"/>
          <w:color w:val="auto"/>
          <w:sz w:val="30"/>
          <w:szCs w:val="30"/>
          <w:highlight w:val="none"/>
          <w:shd w:val="clear"/>
        </w:rPr>
      </w:pPr>
    </w:p>
    <w:p w14:paraId="6E351D1C">
      <w:pPr>
        <w:pStyle w:val="20"/>
        <w:rPr>
          <w:rFonts w:ascii="Times New Roman" w:hAnsi="Times New Roman"/>
          <w:color w:val="auto"/>
          <w:highlight w:val="none"/>
          <w:shd w:val="clear"/>
        </w:rPr>
      </w:pPr>
      <w:bookmarkStart w:id="2016" w:name="_Toc170804183"/>
      <w:bookmarkStart w:id="2017" w:name="_Toc170805371"/>
      <w:bookmarkStart w:id="2018" w:name="_Toc170805751"/>
    </w:p>
    <w:p w14:paraId="15126A19">
      <w:pPr>
        <w:pStyle w:val="20"/>
        <w:rPr>
          <w:rFonts w:ascii="Times New Roman" w:hAnsi="Times New Roman"/>
          <w:color w:val="auto"/>
          <w:highlight w:val="none"/>
          <w:shd w:val="clear"/>
        </w:rPr>
      </w:pPr>
      <w:r>
        <w:rPr>
          <w:rFonts w:ascii="Times New Roman" w:hAnsi="Times New Roman"/>
          <w:color w:val="auto"/>
          <w:highlight w:val="none"/>
          <w:shd w:val="clear"/>
        </w:rPr>
        <w:t>11-2：工程设备暂估价表</w:t>
      </w:r>
      <w:bookmarkEnd w:id="2016"/>
      <w:bookmarkEnd w:id="2017"/>
      <w:bookmarkEnd w:id="2018"/>
    </w:p>
    <w:tbl>
      <w:tblPr>
        <w:tblStyle w:val="12"/>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260"/>
        <w:gridCol w:w="851"/>
        <w:gridCol w:w="1134"/>
        <w:gridCol w:w="1701"/>
        <w:gridCol w:w="1843"/>
        <w:gridCol w:w="1291"/>
      </w:tblGrid>
      <w:tr w14:paraId="499C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E7D08EF">
            <w:pPr>
              <w:pStyle w:val="28"/>
              <w:rPr>
                <w:rFonts w:ascii="Times New Roman" w:hAnsi="Times New Roman"/>
                <w:color w:val="auto"/>
                <w:highlight w:val="none"/>
                <w:shd w:val="clear"/>
              </w:rPr>
            </w:pPr>
            <w:r>
              <w:rPr>
                <w:rFonts w:ascii="Times New Roman" w:hAnsi="Times New Roman"/>
                <w:color w:val="auto"/>
                <w:highlight w:val="none"/>
                <w:shd w:val="clear"/>
              </w:rPr>
              <w:t>序号</w:t>
            </w:r>
          </w:p>
        </w:tc>
        <w:tc>
          <w:tcPr>
            <w:tcW w:w="1260" w:type="dxa"/>
            <w:tcBorders>
              <w:top w:val="single" w:color="auto" w:sz="12" w:space="0"/>
              <w:bottom w:val="double" w:color="auto" w:sz="6" w:space="0"/>
            </w:tcBorders>
          </w:tcPr>
          <w:p w14:paraId="1DCCC072">
            <w:pPr>
              <w:pStyle w:val="28"/>
              <w:rPr>
                <w:rFonts w:ascii="Times New Roman" w:hAnsi="Times New Roman"/>
                <w:color w:val="auto"/>
                <w:highlight w:val="none"/>
                <w:shd w:val="clear"/>
              </w:rPr>
            </w:pPr>
            <w:r>
              <w:rPr>
                <w:rFonts w:ascii="Times New Roman" w:hAnsi="Times New Roman"/>
                <w:color w:val="auto"/>
                <w:highlight w:val="none"/>
                <w:shd w:val="clear"/>
              </w:rPr>
              <w:t>名称</w:t>
            </w:r>
          </w:p>
        </w:tc>
        <w:tc>
          <w:tcPr>
            <w:tcW w:w="851" w:type="dxa"/>
            <w:tcBorders>
              <w:top w:val="single" w:color="auto" w:sz="12" w:space="0"/>
              <w:bottom w:val="double" w:color="auto" w:sz="6" w:space="0"/>
            </w:tcBorders>
          </w:tcPr>
          <w:p w14:paraId="52FFA690">
            <w:pPr>
              <w:pStyle w:val="28"/>
              <w:rPr>
                <w:rFonts w:ascii="Times New Roman" w:hAnsi="Times New Roman"/>
                <w:color w:val="auto"/>
                <w:highlight w:val="none"/>
                <w:shd w:val="clear"/>
              </w:rPr>
            </w:pPr>
            <w:r>
              <w:rPr>
                <w:rFonts w:ascii="Times New Roman" w:hAnsi="Times New Roman"/>
                <w:color w:val="auto"/>
                <w:highlight w:val="none"/>
                <w:shd w:val="clear"/>
              </w:rPr>
              <w:t>单位</w:t>
            </w:r>
          </w:p>
        </w:tc>
        <w:tc>
          <w:tcPr>
            <w:tcW w:w="1134" w:type="dxa"/>
            <w:tcBorders>
              <w:top w:val="single" w:color="auto" w:sz="12" w:space="0"/>
              <w:bottom w:val="double" w:color="auto" w:sz="6" w:space="0"/>
            </w:tcBorders>
          </w:tcPr>
          <w:p w14:paraId="34A5B14A">
            <w:pPr>
              <w:pStyle w:val="28"/>
              <w:rPr>
                <w:rFonts w:ascii="Times New Roman" w:hAnsi="Times New Roman"/>
                <w:color w:val="auto"/>
                <w:highlight w:val="none"/>
                <w:shd w:val="clear"/>
              </w:rPr>
            </w:pPr>
            <w:r>
              <w:rPr>
                <w:rFonts w:ascii="Times New Roman" w:hAnsi="Times New Roman"/>
                <w:color w:val="auto"/>
                <w:highlight w:val="none"/>
                <w:shd w:val="clear"/>
              </w:rPr>
              <w:t>数量</w:t>
            </w:r>
          </w:p>
        </w:tc>
        <w:tc>
          <w:tcPr>
            <w:tcW w:w="1701" w:type="dxa"/>
            <w:tcBorders>
              <w:top w:val="single" w:color="auto" w:sz="12" w:space="0"/>
              <w:bottom w:val="double" w:color="auto" w:sz="6" w:space="0"/>
            </w:tcBorders>
          </w:tcPr>
          <w:p w14:paraId="538F2897">
            <w:pPr>
              <w:pStyle w:val="28"/>
              <w:rPr>
                <w:rFonts w:ascii="Times New Roman" w:hAnsi="Times New Roman"/>
                <w:color w:val="auto"/>
                <w:highlight w:val="none"/>
                <w:shd w:val="clear"/>
              </w:rPr>
            </w:pPr>
            <w:r>
              <w:rPr>
                <w:rFonts w:ascii="Times New Roman" w:hAnsi="Times New Roman"/>
                <w:color w:val="auto"/>
                <w:highlight w:val="none"/>
                <w:shd w:val="clear"/>
              </w:rPr>
              <w:t>单价</w:t>
            </w:r>
            <w:r>
              <w:rPr>
                <w:rFonts w:hint="eastAsia" w:ascii="Times New Roman" w:hAnsi="Times New Roman"/>
                <w:color w:val="auto"/>
                <w:highlight w:val="none"/>
                <w:shd w:val="clear"/>
              </w:rPr>
              <w:t>（元）</w:t>
            </w:r>
          </w:p>
        </w:tc>
        <w:tc>
          <w:tcPr>
            <w:tcW w:w="1843" w:type="dxa"/>
            <w:tcBorders>
              <w:top w:val="single" w:color="auto" w:sz="12" w:space="0"/>
              <w:bottom w:val="double" w:color="auto" w:sz="6" w:space="0"/>
            </w:tcBorders>
          </w:tcPr>
          <w:p w14:paraId="3615185A">
            <w:pPr>
              <w:pStyle w:val="28"/>
              <w:rPr>
                <w:rFonts w:ascii="Times New Roman" w:hAnsi="Times New Roman"/>
                <w:color w:val="auto"/>
                <w:highlight w:val="none"/>
                <w:shd w:val="clear"/>
              </w:rPr>
            </w:pPr>
            <w:r>
              <w:rPr>
                <w:rFonts w:ascii="Times New Roman" w:hAnsi="Times New Roman"/>
                <w:color w:val="auto"/>
                <w:highlight w:val="none"/>
                <w:shd w:val="clear"/>
              </w:rPr>
              <w:t>合价</w:t>
            </w:r>
            <w:r>
              <w:rPr>
                <w:rFonts w:hint="eastAsia" w:ascii="Times New Roman" w:hAnsi="Times New Roman"/>
                <w:color w:val="auto"/>
                <w:highlight w:val="none"/>
                <w:shd w:val="clear"/>
              </w:rPr>
              <w:t>（元）</w:t>
            </w:r>
          </w:p>
        </w:tc>
        <w:tc>
          <w:tcPr>
            <w:tcW w:w="1291" w:type="dxa"/>
            <w:tcBorders>
              <w:top w:val="single" w:color="auto" w:sz="12" w:space="0"/>
              <w:bottom w:val="double" w:color="auto" w:sz="6" w:space="0"/>
            </w:tcBorders>
          </w:tcPr>
          <w:p w14:paraId="6253F2F5">
            <w:pPr>
              <w:pStyle w:val="28"/>
              <w:rPr>
                <w:rFonts w:ascii="Times New Roman" w:hAnsi="Times New Roman"/>
                <w:color w:val="auto"/>
                <w:highlight w:val="none"/>
                <w:shd w:val="clear"/>
              </w:rPr>
            </w:pPr>
            <w:r>
              <w:rPr>
                <w:rFonts w:ascii="Times New Roman" w:hAnsi="Times New Roman"/>
                <w:color w:val="auto"/>
                <w:highlight w:val="none"/>
                <w:shd w:val="clear"/>
              </w:rPr>
              <w:t>备注</w:t>
            </w:r>
          </w:p>
        </w:tc>
      </w:tr>
      <w:tr w14:paraId="1577D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188DE3A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Borders>
              <w:top w:val="double" w:color="auto" w:sz="6" w:space="0"/>
              <w:bottom w:val="single" w:color="auto" w:sz="6" w:space="0"/>
            </w:tcBorders>
          </w:tcPr>
          <w:p w14:paraId="166441A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Borders>
              <w:top w:val="double" w:color="auto" w:sz="6" w:space="0"/>
              <w:bottom w:val="single" w:color="auto" w:sz="6" w:space="0"/>
            </w:tcBorders>
          </w:tcPr>
          <w:p w14:paraId="1F37B3C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Borders>
              <w:top w:val="double" w:color="auto" w:sz="6" w:space="0"/>
              <w:bottom w:val="single" w:color="auto" w:sz="6" w:space="0"/>
            </w:tcBorders>
          </w:tcPr>
          <w:p w14:paraId="36F7D84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Borders>
              <w:top w:val="double" w:color="auto" w:sz="6" w:space="0"/>
              <w:bottom w:val="single" w:color="auto" w:sz="6" w:space="0"/>
            </w:tcBorders>
          </w:tcPr>
          <w:p w14:paraId="5D308AC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Borders>
              <w:top w:val="double" w:color="auto" w:sz="6" w:space="0"/>
              <w:bottom w:val="single" w:color="auto" w:sz="6" w:space="0"/>
            </w:tcBorders>
          </w:tcPr>
          <w:p w14:paraId="2A4911F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Borders>
              <w:top w:val="double" w:color="auto" w:sz="6" w:space="0"/>
              <w:bottom w:val="single" w:color="auto" w:sz="6" w:space="0"/>
            </w:tcBorders>
          </w:tcPr>
          <w:p w14:paraId="50422AF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6DFC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317159C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Borders>
              <w:top w:val="nil"/>
            </w:tcBorders>
          </w:tcPr>
          <w:p w14:paraId="648DA36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Borders>
              <w:top w:val="nil"/>
            </w:tcBorders>
          </w:tcPr>
          <w:p w14:paraId="28C248D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Borders>
              <w:top w:val="nil"/>
            </w:tcBorders>
          </w:tcPr>
          <w:p w14:paraId="4070155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Borders>
              <w:top w:val="nil"/>
            </w:tcBorders>
          </w:tcPr>
          <w:p w14:paraId="26EFE39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Borders>
              <w:top w:val="nil"/>
            </w:tcBorders>
          </w:tcPr>
          <w:p w14:paraId="5BFB76D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Borders>
              <w:top w:val="nil"/>
            </w:tcBorders>
          </w:tcPr>
          <w:p w14:paraId="590B058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BBA0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55BC6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712935B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54FEDB8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5039152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38EE233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22CA7E0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4D50B19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E5D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BCCFC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357B92D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60BDB0A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682FC3D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B7A38D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6AE3B9D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3D5C70B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B615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9F557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649EFA9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42015C6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4942056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4D6062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21B7CA4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22D90A0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090C5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8ED5B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62A8B14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7CA4EF2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5E78155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3FD6B66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2B1FFEB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057C351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4651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07C50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7A1E91D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01CD6EA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4119A64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100D97F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748BADD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2D997D3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593EF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D1F95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4356D82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75AFBC7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71DF039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1398AAC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62DBF9F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2C12687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EE1D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7E57F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6A01E88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6641C97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04DBFA2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618B56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7CF35D2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1F4A426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447C8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BF4A8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1D99DE5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32F3F1F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539697A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345A6D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321F05B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6B29FA8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6DE8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952BE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30C2CD5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3C4D06F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7211ACB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2B1CBB8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0853276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791B497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DF84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675F3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35BC0CF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0A4AD0C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733822B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4B9941D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5180A4B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4F3BA36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6BAD4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924F6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7CFCEA9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0DBFE03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150A987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28712C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22E8FD9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5F556FC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3E03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90D60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7F6FAED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7A94833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2E7BC07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C9327B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1468525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012B441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65E3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81531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2B5E3D5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596479F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7EA8C60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2BC1388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2EA2925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2DD52B1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77C9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BC916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3C22C5B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1D07678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401B776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78C1016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1F5F11A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1D35E41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4AC18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33C8C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7AAB53D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19BD14A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05CD727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35AD942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5F1A64B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1297205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345C4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423FA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7190C9F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5AA058D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547D7A7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6CD0D85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23084DA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10980DF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6A81D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2AD96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2DE3591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05DD162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0DA6BCD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50A8520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6460F93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774699A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4DF9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1F9479C">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233CE2F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71DC1FE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24BFE82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713941A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3C99AE8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6EC9C78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72C3F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777C8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02F1532A">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7F1018F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279BD07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1F98CD5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4409EB87">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4B9D75F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10B00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53F84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4A67D4C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0C5A466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7E4BF08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42564DD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03F52E5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6FFE7A8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24F44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AD621B">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3299924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488E94C6">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20EE52FD">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71F26C54">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7C32CA1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43801D6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09991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2DF1B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5FA0095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19946B5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6DE5A1D1">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1D7DD340">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7F1E0FB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3F4D0A83">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r w14:paraId="59C3D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2D5515">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60" w:type="dxa"/>
          </w:tcPr>
          <w:p w14:paraId="3025D4EE">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851" w:type="dxa"/>
          </w:tcPr>
          <w:p w14:paraId="3666812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134" w:type="dxa"/>
          </w:tcPr>
          <w:p w14:paraId="1576AFEF">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701" w:type="dxa"/>
          </w:tcPr>
          <w:p w14:paraId="05481EB9">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843" w:type="dxa"/>
          </w:tcPr>
          <w:p w14:paraId="3ACF49D8">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c>
          <w:tcPr>
            <w:tcW w:w="1291" w:type="dxa"/>
          </w:tcPr>
          <w:p w14:paraId="3D50A482">
            <w:pPr>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shd w:val="clear"/>
              </w:rPr>
            </w:pPr>
          </w:p>
        </w:tc>
      </w:tr>
    </w:tbl>
    <w:p w14:paraId="49E29917">
      <w:pPr>
        <w:spacing w:line="440" w:lineRule="exact"/>
        <w:rPr>
          <w:rFonts w:ascii="Times New Roman" w:hAnsi="Times New Roman" w:eastAsia="仿宋_GB2312"/>
          <w:color w:val="auto"/>
          <w:sz w:val="30"/>
          <w:szCs w:val="30"/>
          <w:highlight w:val="none"/>
          <w:shd w:val="clear"/>
        </w:rPr>
      </w:pPr>
    </w:p>
    <w:p w14:paraId="1517F308">
      <w:pPr>
        <w:pStyle w:val="20"/>
        <w:rPr>
          <w:rFonts w:ascii="Times New Roman" w:hAnsi="Times New Roman"/>
          <w:color w:val="auto"/>
          <w:highlight w:val="none"/>
          <w:shd w:val="clear"/>
        </w:rPr>
      </w:pPr>
      <w:r>
        <w:rPr>
          <w:rFonts w:ascii="Times New Roman" w:hAnsi="Times New Roman" w:eastAsia="仿宋_GB2312"/>
          <w:color w:val="auto"/>
          <w:sz w:val="30"/>
          <w:szCs w:val="30"/>
          <w:highlight w:val="none"/>
          <w:shd w:val="clear"/>
        </w:rPr>
        <w:br w:type="page"/>
      </w:r>
      <w:r>
        <w:rPr>
          <w:rFonts w:hint="eastAsia" w:ascii="Times New Roman" w:hAnsi="Times New Roman"/>
          <w:color w:val="auto"/>
          <w:highlight w:val="none"/>
          <w:shd w:val="clear"/>
        </w:rPr>
        <w:t>11-3：专业工程暂估价表</w:t>
      </w:r>
    </w:p>
    <w:tbl>
      <w:tblPr>
        <w:tblStyle w:val="12"/>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EE65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52D32E0E">
            <w:pPr>
              <w:pStyle w:val="28"/>
              <w:rPr>
                <w:rFonts w:ascii="Times New Roman" w:hAnsi="Times New Roman"/>
                <w:color w:val="auto"/>
                <w:highlight w:val="none"/>
                <w:shd w:val="clear"/>
              </w:rPr>
            </w:pPr>
            <w:r>
              <w:rPr>
                <w:rFonts w:ascii="Times New Roman" w:hAnsi="Times New Roman"/>
                <w:color w:val="auto"/>
                <w:highlight w:val="none"/>
                <w:shd w:val="clear"/>
              </w:rPr>
              <w:t>序号</w:t>
            </w:r>
          </w:p>
        </w:tc>
        <w:tc>
          <w:tcPr>
            <w:tcW w:w="1984" w:type="dxa"/>
            <w:tcBorders>
              <w:top w:val="single" w:color="auto" w:sz="12" w:space="0"/>
              <w:bottom w:val="double" w:color="auto" w:sz="6" w:space="0"/>
            </w:tcBorders>
          </w:tcPr>
          <w:p w14:paraId="0A9AB91D">
            <w:pPr>
              <w:pStyle w:val="28"/>
              <w:rPr>
                <w:rFonts w:ascii="Times New Roman" w:hAnsi="Times New Roman"/>
                <w:color w:val="auto"/>
                <w:highlight w:val="none"/>
                <w:shd w:val="clear"/>
              </w:rPr>
            </w:pPr>
            <w:r>
              <w:rPr>
                <w:rFonts w:ascii="Times New Roman" w:hAnsi="Times New Roman"/>
                <w:color w:val="auto"/>
                <w:highlight w:val="none"/>
                <w:shd w:val="clear"/>
              </w:rPr>
              <w:t>专业工程名称</w:t>
            </w:r>
          </w:p>
        </w:tc>
        <w:tc>
          <w:tcPr>
            <w:tcW w:w="4678" w:type="dxa"/>
            <w:tcBorders>
              <w:top w:val="single" w:color="auto" w:sz="12" w:space="0"/>
              <w:bottom w:val="double" w:color="auto" w:sz="6" w:space="0"/>
            </w:tcBorders>
          </w:tcPr>
          <w:p w14:paraId="6CBC41D5">
            <w:pPr>
              <w:pStyle w:val="28"/>
              <w:rPr>
                <w:rFonts w:ascii="Times New Roman" w:hAnsi="Times New Roman"/>
                <w:color w:val="auto"/>
                <w:highlight w:val="none"/>
                <w:shd w:val="clear"/>
              </w:rPr>
            </w:pPr>
            <w:r>
              <w:rPr>
                <w:rFonts w:ascii="Times New Roman" w:hAnsi="Times New Roman"/>
                <w:color w:val="auto"/>
                <w:highlight w:val="none"/>
                <w:shd w:val="clear"/>
              </w:rPr>
              <w:t>工程内容</w:t>
            </w:r>
          </w:p>
        </w:tc>
        <w:tc>
          <w:tcPr>
            <w:tcW w:w="1276" w:type="dxa"/>
            <w:tcBorders>
              <w:top w:val="single" w:color="auto" w:sz="12" w:space="0"/>
              <w:bottom w:val="double" w:color="auto" w:sz="6" w:space="0"/>
            </w:tcBorders>
          </w:tcPr>
          <w:p w14:paraId="0D368058">
            <w:pPr>
              <w:pStyle w:val="28"/>
              <w:rPr>
                <w:rFonts w:ascii="Times New Roman" w:hAnsi="Times New Roman"/>
                <w:color w:val="auto"/>
                <w:highlight w:val="none"/>
                <w:shd w:val="clear"/>
              </w:rPr>
            </w:pPr>
            <w:r>
              <w:rPr>
                <w:rFonts w:ascii="Times New Roman" w:hAnsi="Times New Roman"/>
                <w:color w:val="auto"/>
                <w:highlight w:val="none"/>
                <w:shd w:val="clear"/>
              </w:rPr>
              <w:t>金额</w:t>
            </w:r>
          </w:p>
        </w:tc>
      </w:tr>
      <w:tr w14:paraId="5C042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66682AC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Borders>
              <w:top w:val="double" w:color="auto" w:sz="6" w:space="0"/>
              <w:bottom w:val="single" w:color="auto" w:sz="6" w:space="0"/>
            </w:tcBorders>
          </w:tcPr>
          <w:p w14:paraId="453D421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Borders>
              <w:top w:val="double" w:color="auto" w:sz="6" w:space="0"/>
              <w:bottom w:val="single" w:color="auto" w:sz="6" w:space="0"/>
            </w:tcBorders>
          </w:tcPr>
          <w:p w14:paraId="5A1D88F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Borders>
              <w:top w:val="double" w:color="auto" w:sz="6" w:space="0"/>
              <w:bottom w:val="single" w:color="auto" w:sz="6" w:space="0"/>
            </w:tcBorders>
          </w:tcPr>
          <w:p w14:paraId="3A1BEA9B">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218F3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2567CF3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Borders>
              <w:top w:val="nil"/>
            </w:tcBorders>
          </w:tcPr>
          <w:p w14:paraId="1A86514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Borders>
              <w:top w:val="nil"/>
            </w:tcBorders>
          </w:tcPr>
          <w:p w14:paraId="2DE986E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Borders>
              <w:top w:val="nil"/>
            </w:tcBorders>
          </w:tcPr>
          <w:p w14:paraId="72EA4CB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69CF4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0E63E7D0">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Borders>
              <w:top w:val="nil"/>
            </w:tcBorders>
          </w:tcPr>
          <w:p w14:paraId="29C0D68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Borders>
              <w:top w:val="nil"/>
            </w:tcBorders>
          </w:tcPr>
          <w:p w14:paraId="65F3BDB5">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Borders>
              <w:top w:val="nil"/>
            </w:tcBorders>
          </w:tcPr>
          <w:p w14:paraId="52C1A477">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32D62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12FC57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30B7FDA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1D8A3D05">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5B53A46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69B24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D874EF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2AECB6F7">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5633F0C7">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21A8F456">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574B0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8241840">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1BC349C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2DF170B8">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227E032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58025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3CC388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7CA2ADD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07F541D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66EAC7DD">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34BAE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D53EC1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479484F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27BEFA4A">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64949F9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77629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06B066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24E1A21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7F1526A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69798EA7">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79848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B403EA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0AB1098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44C8417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51851507">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65DEE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BFCEFC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618707D8">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1444DAFD">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3091D681">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31B8C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46AC438">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7EF663CB">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4D5F5F9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5EE27BEB">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4B346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8C3BD01">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2836A0E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52C6EFEB">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34EEE0D7">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65FB6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3CAFC3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0D39C78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7CA87D2D">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66D7203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07F49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9370A2A">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4F8DDF5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10BF31E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11EB38F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758B5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CABCCDD">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75DF283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0D163EA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296DD4D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10711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D7AE77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6F0FC20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4A93B77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1FF18B1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0600F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DCB2305">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550B4FA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2DFCB06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5207883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0A2CF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ED9D00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350F9AC1">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32B0A6B8">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3DF8BB0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1764A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AE364BA">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009C2A0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0205557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21AD7B6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78228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BC754BB">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790A2EC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16B0C01A">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15C66BC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62C6E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F9AD69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52284B61">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6EE0BC3A">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3EA1DDCE">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1F26A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4B83CA2">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2AFAB2B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6EA63811">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79C1E978">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0C404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8C27A8C">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47E4110B">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136EB814">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19988C05">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4589B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976CA33">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7D37B4C1">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5D1E5316">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6F66604F">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603B6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F4EACD5">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984" w:type="dxa"/>
          </w:tcPr>
          <w:p w14:paraId="18495839">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4678" w:type="dxa"/>
          </w:tcPr>
          <w:p w14:paraId="50CA4B50">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c>
          <w:tcPr>
            <w:tcW w:w="1276" w:type="dxa"/>
          </w:tcPr>
          <w:p w14:paraId="7BB81646">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p>
        </w:tc>
      </w:tr>
      <w:tr w14:paraId="03C79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63425BC5">
            <w:pPr>
              <w:keepNext/>
              <w:adjustRightInd w:val="0"/>
              <w:spacing w:line="440" w:lineRule="exact"/>
              <w:ind w:left="63" w:leftChars="30" w:right="63" w:rightChars="30"/>
              <w:jc w:val="center"/>
              <w:textAlignment w:val="baseline"/>
              <w:rPr>
                <w:rFonts w:ascii="Times New Roman" w:hAnsi="Times New Roman"/>
                <w:color w:val="auto"/>
                <w:highlight w:val="none"/>
                <w:shd w:val="clear"/>
              </w:rPr>
            </w:pPr>
            <w:r>
              <w:rPr>
                <w:rFonts w:ascii="Times New Roman" w:hAnsi="Times New Roman" w:eastAsia="仿宋_GB2312"/>
                <w:color w:val="auto"/>
                <w:sz w:val="28"/>
                <w:szCs w:val="30"/>
                <w:highlight w:val="none"/>
                <w:shd w:val="clear"/>
              </w:rPr>
              <w:t>小计：</w:t>
            </w:r>
          </w:p>
        </w:tc>
      </w:tr>
    </w:tbl>
    <w:p w14:paraId="1A38C007">
      <w:pPr>
        <w:pStyle w:val="33"/>
        <w:rPr>
          <w:color w:val="auto"/>
          <w:highlight w:val="none"/>
          <w:shd w:val="clear"/>
        </w:rPr>
      </w:pPr>
      <w:r>
        <w:rPr>
          <w:color w:val="auto"/>
          <w:highlight w:val="none"/>
          <w:shd w:val="clear"/>
        </w:rPr>
        <w:br w:type="page"/>
      </w:r>
      <w:r>
        <w:rPr>
          <w:rFonts w:hint="eastAsia"/>
          <w:color w:val="auto"/>
          <w:highlight w:val="none"/>
          <w:shd w:val="clear"/>
        </w:rPr>
        <w:t>附件12</w:t>
      </w:r>
    </w:p>
    <w:p w14:paraId="0E2B7E99">
      <w:pPr>
        <w:pStyle w:val="20"/>
        <w:rPr>
          <w:rFonts w:ascii="Times New Roman" w:hAnsi="Times New Roman"/>
          <w:color w:val="auto"/>
          <w:highlight w:val="none"/>
          <w:shd w:val="clear"/>
        </w:rPr>
      </w:pPr>
      <w:bookmarkStart w:id="2019" w:name="_Toc170805752"/>
      <w:bookmarkStart w:id="2020" w:name="_Toc170804184"/>
      <w:bookmarkStart w:id="2021" w:name="_Toc170805372"/>
      <w:bookmarkStart w:id="2022" w:name="_Toc7607"/>
      <w:bookmarkStart w:id="2023" w:name="_Toc9808"/>
      <w:r>
        <w:rPr>
          <w:rFonts w:ascii="Times New Roman" w:hAnsi="Times New Roman"/>
          <w:color w:val="auto"/>
          <w:highlight w:val="none"/>
          <w:shd w:val="clear"/>
        </w:rPr>
        <w:t>廉 政 协 议</w:t>
      </w:r>
      <w:bookmarkEnd w:id="2019"/>
      <w:bookmarkEnd w:id="2020"/>
      <w:bookmarkEnd w:id="2021"/>
      <w:bookmarkEnd w:id="2022"/>
      <w:bookmarkEnd w:id="2023"/>
    </w:p>
    <w:p w14:paraId="35A473F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为促进双方诚信经营、廉洁从业，防范商业贿赂，保护国家、集体和当事人的合法权益，根据国家有关法律法规和安徽省、项目所在地廉政建设的规定，</w:t>
      </w:r>
      <w:r>
        <w:rPr>
          <w:rFonts w:hint="eastAsia" w:ascii="Times New Roman" w:hAnsi="Times New Roman"/>
          <w:color w:val="auto"/>
          <w:highlight w:val="none"/>
          <w:shd w:val="clear"/>
        </w:rPr>
        <w:t>【招标人】</w:t>
      </w:r>
      <w:r>
        <w:rPr>
          <w:rFonts w:hint="eastAsia" w:ascii="Times New Roman" w:hAnsi="Times New Roman"/>
          <w:color w:val="auto"/>
          <w:highlight w:val="none"/>
          <w:shd w:val="clear"/>
        </w:rPr>
        <w:t>(以下称甲方)与</w:t>
      </w:r>
      <w:r>
        <w:rPr>
          <w:rFonts w:hint="eastAsia" w:ascii="Times New Roman" w:hAnsi="Times New Roman"/>
          <w:color w:val="auto"/>
          <w:highlight w:val="none"/>
          <w:shd w:val="clear"/>
        </w:rPr>
        <w:t>【中标人】</w:t>
      </w:r>
      <w:r>
        <w:rPr>
          <w:rFonts w:hint="eastAsia" w:ascii="Times New Roman" w:hAnsi="Times New Roman"/>
          <w:color w:val="auto"/>
          <w:highlight w:val="none"/>
          <w:shd w:val="clear"/>
        </w:rPr>
        <w:t>(以下称乙方)，特此订立本协议共同遵照执行。</w:t>
      </w:r>
    </w:p>
    <w:p w14:paraId="0100E5E2">
      <w:pPr>
        <w:pStyle w:val="22"/>
        <w:ind w:firstLine="420"/>
        <w:rPr>
          <w:rFonts w:ascii="Times New Roman" w:hAnsi="Times New Roman"/>
          <w:color w:val="auto"/>
          <w:highlight w:val="none"/>
          <w:shd w:val="clear"/>
        </w:rPr>
      </w:pPr>
      <w:bookmarkStart w:id="2024" w:name="_Toc9888"/>
      <w:bookmarkStart w:id="2025" w:name="_Toc170805373"/>
      <w:bookmarkStart w:id="2026" w:name="_Toc170804185"/>
      <w:bookmarkStart w:id="2027" w:name="_Toc21306"/>
      <w:bookmarkStart w:id="2028" w:name="_Toc170805753"/>
      <w:r>
        <w:rPr>
          <w:rFonts w:ascii="Times New Roman" w:hAnsi="Times New Roman"/>
          <w:color w:val="auto"/>
          <w:highlight w:val="none"/>
          <w:shd w:val="clear"/>
        </w:rPr>
        <w:t>第一条 甲乙双方的权利和义务</w:t>
      </w:r>
      <w:bookmarkEnd w:id="2024"/>
      <w:bookmarkEnd w:id="2025"/>
      <w:bookmarkEnd w:id="2026"/>
      <w:bookmarkEnd w:id="2027"/>
      <w:bookmarkEnd w:id="2028"/>
    </w:p>
    <w:p w14:paraId="1A7FAF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F89D9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（二）严格执行合同要求，自觉履行合同约定的相关义务。</w:t>
      </w:r>
    </w:p>
    <w:p w14:paraId="567439E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（三）在业务活动中坚持公开、公正、诚信、透明的原则，不得损害国家、集体利益。</w:t>
      </w:r>
    </w:p>
    <w:p w14:paraId="43DE91F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（四）建立健全廉政制度，开展廉政教育，公布举报电话，监督并认真查处违法违纪行为。</w:t>
      </w:r>
    </w:p>
    <w:p w14:paraId="4C91E17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（五）发现对方在业务活动中有违反廉政规定的行为，应及时提醒对方纠正。情节严重的，应向其上级有关部门举报、建议给予处理，并有权要求告知处理结果。</w:t>
      </w:r>
    </w:p>
    <w:p w14:paraId="1383189A">
      <w:pPr>
        <w:pStyle w:val="22"/>
        <w:ind w:firstLine="420"/>
        <w:rPr>
          <w:rFonts w:ascii="Times New Roman" w:hAnsi="Times New Roman"/>
          <w:color w:val="auto"/>
          <w:highlight w:val="none"/>
          <w:shd w:val="clear"/>
        </w:rPr>
      </w:pPr>
      <w:bookmarkStart w:id="2029" w:name="_Toc170805374"/>
      <w:bookmarkStart w:id="2030" w:name="_Toc3866"/>
      <w:bookmarkStart w:id="2031" w:name="_Toc170804186"/>
      <w:bookmarkStart w:id="2032" w:name="_Toc170805754"/>
      <w:bookmarkStart w:id="2033" w:name="_Toc1917"/>
      <w:r>
        <w:rPr>
          <w:rFonts w:ascii="Times New Roman" w:hAnsi="Times New Roman"/>
          <w:color w:val="auto"/>
          <w:highlight w:val="none"/>
          <w:shd w:val="clear"/>
        </w:rPr>
        <w:t>第二条 甲方的义务</w:t>
      </w:r>
      <w:bookmarkEnd w:id="2029"/>
      <w:bookmarkEnd w:id="2030"/>
      <w:bookmarkEnd w:id="2031"/>
      <w:bookmarkEnd w:id="2032"/>
      <w:bookmarkEnd w:id="2033"/>
    </w:p>
    <w:p w14:paraId="275390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(一)甲方及其工作人员不得索要或接受乙方的礼金、有价证券和贵重物品，不得在乙方报销任何应由甲方单位或个人支付的费用等。</w:t>
      </w:r>
    </w:p>
    <w:p w14:paraId="4BD2E6C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4ED661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（三）甲方及其工作人员不得要求或者接受乙方为其住房装修、婚丧嫁娶活动、配偶子女工作安排以及出国出境、旅游等提供方便等。</w:t>
      </w:r>
    </w:p>
    <w:p w14:paraId="5271965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（四）甲方工作人员不得在乙方有股权关联的企业兼职，不得向乙方介绍家属或者亲友从事与甲方业务有关的经济活动。</w:t>
      </w:r>
    </w:p>
    <w:p w14:paraId="6AA113F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（五）甲方工作人员不得以明显低于市场的价格向乙方购买房屋、汽车等物品；不得以明显高于市场的价格向乙方出售房屋、汽车等物品；不得以其他交易形式非法收受请托人财物。</w:t>
      </w:r>
    </w:p>
    <w:p w14:paraId="4087E9C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（六）甲方工作人员不得利用职务之便收受乙方以回扣、手续费、加班费、咨询费、劳务费、协调费、辛苦费等各种名义给予或赠送的钱物。</w:t>
      </w:r>
    </w:p>
    <w:p w14:paraId="392186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（七）甲方工作人员不得接受乙方给予或赠送的干股或红利。</w:t>
      </w:r>
    </w:p>
    <w:p w14:paraId="562F41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（八）甲方任何人不得以个人的名义向乙方推荐设备、部件等供货商以及其他合作单位。</w:t>
      </w:r>
    </w:p>
    <w:p w14:paraId="6DE3D739">
      <w:pPr>
        <w:pStyle w:val="22"/>
        <w:ind w:firstLine="420"/>
        <w:rPr>
          <w:rFonts w:ascii="Times New Roman" w:hAnsi="Times New Roman"/>
          <w:color w:val="auto"/>
          <w:highlight w:val="none"/>
          <w:shd w:val="clear"/>
        </w:rPr>
      </w:pPr>
      <w:bookmarkStart w:id="2034" w:name="_Toc170805375"/>
      <w:bookmarkStart w:id="2035" w:name="_Toc10556"/>
      <w:bookmarkStart w:id="2036" w:name="_Toc20831"/>
      <w:bookmarkStart w:id="2037" w:name="_Toc170804187"/>
      <w:bookmarkStart w:id="2038" w:name="_Toc170805755"/>
      <w:r>
        <w:rPr>
          <w:rFonts w:ascii="Times New Roman" w:hAnsi="Times New Roman"/>
          <w:color w:val="auto"/>
          <w:highlight w:val="none"/>
          <w:shd w:val="clear"/>
        </w:rPr>
        <w:t>第三条 乙方的义务</w:t>
      </w:r>
      <w:bookmarkEnd w:id="2034"/>
      <w:bookmarkEnd w:id="2035"/>
      <w:bookmarkEnd w:id="2036"/>
      <w:bookmarkEnd w:id="2037"/>
      <w:bookmarkEnd w:id="2038"/>
    </w:p>
    <w:p w14:paraId="58C4A64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(一)乙方不得以任何理由向甲方及其工作人员行贿或馈赠礼金、有价证券、贵重礼品。</w:t>
      </w:r>
    </w:p>
    <w:p w14:paraId="0B2C0C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（二)乙方不得以任何名义为甲方及其工作人员报销应由甲方单位或个人支付的任何费用。</w:t>
      </w:r>
    </w:p>
    <w:p w14:paraId="33EEE74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(三)乙方不得以任何理由安排甲方工作人员参加可能影响相关业务公开、公正、公平性的宴请及娱乐活动。</w:t>
      </w:r>
    </w:p>
    <w:p w14:paraId="6F2B12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（四）乙方不得为甲方单位和个人购置或提供通讯工具和高档办公用品等物品，也不得为甲方提供与工作无关的房屋、汽车等。</w:t>
      </w:r>
    </w:p>
    <w:p w14:paraId="6264B5C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（五）乙方不得与甲方工作人员就合同中的质量、数量、价格、工程量、验收等条款进行私下商谈或者达成默契。</w:t>
      </w:r>
    </w:p>
    <w:p w14:paraId="4C9DF83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（六）乙方不得以回扣、手续费、加班费、咨询费、劳务费、协调费、辛苦费等各种名义向甲方工作人员给予或赠送钱物。</w:t>
      </w:r>
    </w:p>
    <w:p w14:paraId="63494CC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（七）乙方不得向甲方工作人员提供干股或红利。</w:t>
      </w:r>
    </w:p>
    <w:p w14:paraId="0E13112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（八）乙方须按甲方专项纪检监察工作组(如有)要求开展相关工作。</w:t>
      </w:r>
    </w:p>
    <w:p w14:paraId="0C8530F4">
      <w:pPr>
        <w:pStyle w:val="22"/>
        <w:ind w:firstLine="420"/>
        <w:rPr>
          <w:rFonts w:ascii="Times New Roman" w:hAnsi="Times New Roman"/>
          <w:color w:val="auto"/>
          <w:highlight w:val="none"/>
          <w:shd w:val="clear"/>
        </w:rPr>
      </w:pPr>
      <w:bookmarkStart w:id="2039" w:name="_Toc170804188"/>
      <w:bookmarkStart w:id="2040" w:name="_Toc2198"/>
      <w:bookmarkStart w:id="2041" w:name="_Toc170805376"/>
      <w:bookmarkStart w:id="2042" w:name="_Toc14507"/>
      <w:bookmarkStart w:id="2043" w:name="_Toc170805756"/>
      <w:r>
        <w:rPr>
          <w:rFonts w:ascii="Times New Roman" w:hAnsi="Times New Roman"/>
          <w:color w:val="auto"/>
          <w:highlight w:val="none"/>
          <w:shd w:val="clear"/>
        </w:rPr>
        <w:t>第四条 违约责任</w:t>
      </w:r>
      <w:bookmarkEnd w:id="2039"/>
      <w:bookmarkEnd w:id="2040"/>
      <w:bookmarkEnd w:id="2041"/>
      <w:bookmarkEnd w:id="2042"/>
      <w:bookmarkEnd w:id="2043"/>
    </w:p>
    <w:p w14:paraId="6CB3ADD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4203F6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甲方投诉联系部门：</w:t>
      </w:r>
      <w:r>
        <w:rPr>
          <w:rFonts w:hint="eastAsia" w:ascii="Times New Roman" w:hAnsi="Times New Roman"/>
          <w:color w:val="auto"/>
          <w:highlight w:val="none"/>
          <w:shd w:val="clear"/>
        </w:rPr>
        <w:t>【           】</w:t>
      </w:r>
      <w:r>
        <w:rPr>
          <w:rFonts w:hint="eastAsia" w:ascii="Times New Roman" w:hAnsi="Times New Roman"/>
          <w:color w:val="auto"/>
          <w:highlight w:val="none"/>
          <w:shd w:val="clear"/>
        </w:rPr>
        <w:t>，联系电话：</w:t>
      </w:r>
      <w:r>
        <w:rPr>
          <w:rFonts w:hint="eastAsia" w:ascii="Times New Roman" w:hAnsi="Times New Roman"/>
          <w:color w:val="auto"/>
          <w:highlight w:val="none"/>
          <w:shd w:val="clear"/>
        </w:rPr>
        <w:t>【           】</w:t>
      </w:r>
      <w:r>
        <w:rPr>
          <w:rFonts w:hint="eastAsia" w:ascii="Times New Roman" w:hAnsi="Times New Roman"/>
          <w:color w:val="auto"/>
          <w:highlight w:val="none"/>
          <w:shd w:val="clear"/>
        </w:rPr>
        <w:t>。</w:t>
      </w:r>
    </w:p>
    <w:p w14:paraId="242E5FC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（二）乙方及其工作人员违反本协议第一、三条规定。根据具体情节和造成的后果，甲方有权对乙方采取以下一种或多种处理办法：</w:t>
      </w:r>
    </w:p>
    <w:p w14:paraId="221C9E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1.全额收取乙方合同履约保证金不予退还；</w:t>
      </w:r>
    </w:p>
    <w:p w14:paraId="3F0895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2.追究乙方其他违约责任；</w:t>
      </w:r>
    </w:p>
    <w:p w14:paraId="476E69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3.终止或解除双方已签订的包括本合同在内的所有合同；</w:t>
      </w:r>
    </w:p>
    <w:p w14:paraId="71C0A0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4.乙方一定期限内（6个月至3年，具体由甲方根据情况而定）不得参与甲方作为发包人（业主）的工程项目投标。</w:t>
      </w:r>
    </w:p>
    <w:p w14:paraId="05EAFE2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甲方作出的处理意见，乙方应无条件接受并承担给甲方造成的损失，全额返还通过不正当手段从甲方获取的非法所得，并承担相应的法律责任。</w:t>
      </w:r>
    </w:p>
    <w:p w14:paraId="232474BC">
      <w:pPr>
        <w:pStyle w:val="22"/>
        <w:ind w:firstLine="420"/>
        <w:rPr>
          <w:rFonts w:ascii="Times New Roman" w:hAnsi="Times New Roman"/>
          <w:color w:val="auto"/>
          <w:highlight w:val="none"/>
          <w:shd w:val="clear"/>
        </w:rPr>
      </w:pPr>
      <w:bookmarkStart w:id="2044" w:name="_Toc170805757"/>
      <w:bookmarkStart w:id="2045" w:name="_Toc2334"/>
      <w:bookmarkStart w:id="2046" w:name="_Toc170804189"/>
      <w:bookmarkStart w:id="2047" w:name="_Toc10228"/>
      <w:bookmarkStart w:id="2048" w:name="_Toc170805377"/>
      <w:r>
        <w:rPr>
          <w:rFonts w:ascii="Times New Roman" w:hAnsi="Times New Roman"/>
          <w:color w:val="auto"/>
          <w:highlight w:val="none"/>
          <w:shd w:val="clear"/>
        </w:rPr>
        <w:t>第五条 双方约定</w:t>
      </w:r>
      <w:bookmarkEnd w:id="2044"/>
      <w:bookmarkEnd w:id="2045"/>
      <w:bookmarkEnd w:id="2046"/>
      <w:bookmarkEnd w:id="2047"/>
      <w:bookmarkEnd w:id="2048"/>
    </w:p>
    <w:p w14:paraId="489F18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本协议由双方或双方上级单位负责监督。</w:t>
      </w:r>
    </w:p>
    <w:p w14:paraId="1A8E10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可由甲方或甲方上级单位的纪检监察部门约请乙方或乙方上级单位的纪检监察部门对本协议履行情况进行检查，提出在本协议规定范围内的裁定意见。</w:t>
      </w:r>
    </w:p>
    <w:p w14:paraId="5708C064">
      <w:pPr>
        <w:pStyle w:val="22"/>
        <w:ind w:firstLine="420"/>
        <w:rPr>
          <w:rFonts w:ascii="Times New Roman" w:hAnsi="Times New Roman"/>
          <w:color w:val="auto"/>
          <w:highlight w:val="none"/>
          <w:shd w:val="clear"/>
        </w:rPr>
      </w:pPr>
      <w:bookmarkStart w:id="2049" w:name="_Toc32140"/>
      <w:bookmarkStart w:id="2050" w:name="_Toc170804190"/>
      <w:bookmarkStart w:id="2051" w:name="_Toc170805758"/>
      <w:bookmarkStart w:id="2052" w:name="_Toc17717"/>
      <w:bookmarkStart w:id="2053" w:name="_Toc170805378"/>
      <w:r>
        <w:rPr>
          <w:rFonts w:ascii="Times New Roman" w:hAnsi="Times New Roman"/>
          <w:color w:val="auto"/>
          <w:highlight w:val="none"/>
          <w:shd w:val="clear"/>
        </w:rPr>
        <w:t>第六条 本协议有效期为甲乙双方签署之日起至合同终止。</w:t>
      </w:r>
      <w:bookmarkEnd w:id="2049"/>
      <w:bookmarkEnd w:id="2050"/>
      <w:bookmarkEnd w:id="2051"/>
      <w:bookmarkEnd w:id="2052"/>
      <w:bookmarkEnd w:id="2053"/>
    </w:p>
    <w:p w14:paraId="642B5535">
      <w:pPr>
        <w:pStyle w:val="22"/>
        <w:ind w:firstLine="420"/>
        <w:rPr>
          <w:rFonts w:ascii="Times New Roman" w:hAnsi="Times New Roman"/>
          <w:color w:val="auto"/>
          <w:highlight w:val="none"/>
          <w:shd w:val="cle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bookmarkStart w:id="2054" w:name="_Toc170805379"/>
      <w:bookmarkStart w:id="2055" w:name="_Toc1871"/>
      <w:bookmarkStart w:id="2056" w:name="_Toc170804191"/>
      <w:bookmarkStart w:id="2057" w:name="_Toc24032"/>
      <w:bookmarkStart w:id="2058" w:name="_Toc170805759"/>
      <w:r>
        <w:rPr>
          <w:rFonts w:ascii="Times New Roman" w:hAnsi="Times New Roman"/>
          <w:color w:val="auto"/>
          <w:highlight w:val="none"/>
          <w:shd w:val="clear"/>
        </w:rPr>
        <w:t>第七条 本协议作为合同的附件，与本合同具有同等法律效力。</w:t>
      </w:r>
      <w:bookmarkEnd w:id="2054"/>
      <w:bookmarkEnd w:id="2055"/>
      <w:bookmarkEnd w:id="2056"/>
      <w:bookmarkEnd w:id="2057"/>
      <w:bookmarkEnd w:id="2058"/>
    </w:p>
    <w:p w14:paraId="243922C6">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甲方（盖章）：</w:t>
      </w:r>
      <w:r>
        <w:rPr>
          <w:rFonts w:hint="eastAsia" w:ascii="Times New Roman" w:hAnsi="Times New Roman"/>
          <w:color w:val="auto"/>
          <w:highlight w:val="none"/>
          <w:u w:val="single"/>
          <w:shd w:val="clear"/>
        </w:rPr>
        <w:t xml:space="preserve">                        </w:t>
      </w:r>
    </w:p>
    <w:p w14:paraId="3EF7D1D5">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法定代表人或</w:t>
      </w:r>
      <w:r>
        <w:rPr>
          <w:rFonts w:hint="eastAsia" w:ascii="Times New Roman" w:hAnsi="Times New Roman"/>
          <w:color w:val="auto"/>
          <w:highlight w:val="none"/>
          <w:u w:val="single"/>
          <w:shd w:val="clear"/>
        </w:rPr>
        <w:t xml:space="preserve">                         </w:t>
      </w:r>
    </w:p>
    <w:p w14:paraId="4439B24B">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授权代表：</w:t>
      </w:r>
      <w:r>
        <w:rPr>
          <w:rFonts w:hint="eastAsia" w:ascii="Times New Roman" w:hAnsi="Times New Roman"/>
          <w:color w:val="auto"/>
          <w:highlight w:val="none"/>
          <w:u w:val="single"/>
          <w:shd w:val="clear"/>
        </w:rPr>
        <w:t xml:space="preserve">                           </w:t>
      </w:r>
    </w:p>
    <w:p w14:paraId="7479BFE2">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姓名：</w:t>
      </w:r>
      <w:r>
        <w:rPr>
          <w:rFonts w:hint="eastAsia" w:ascii="Times New Roman" w:hAnsi="Times New Roman"/>
          <w:color w:val="auto"/>
          <w:highlight w:val="none"/>
          <w:u w:val="single"/>
          <w:shd w:val="clear"/>
        </w:rPr>
        <w:t xml:space="preserve">                               </w:t>
      </w:r>
    </w:p>
    <w:p w14:paraId="7DC33CBB">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乙方（盖章）：</w:t>
      </w:r>
      <w:r>
        <w:rPr>
          <w:rFonts w:hint="eastAsia" w:ascii="Times New Roman" w:hAnsi="Times New Roman"/>
          <w:color w:val="auto"/>
          <w:highlight w:val="none"/>
          <w:u w:val="single"/>
          <w:shd w:val="clear"/>
        </w:rPr>
        <w:t xml:space="preserve">                        </w:t>
      </w:r>
    </w:p>
    <w:p w14:paraId="45FDC70C">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授权代表：</w:t>
      </w:r>
      <w:r>
        <w:rPr>
          <w:rFonts w:hint="eastAsia" w:ascii="Times New Roman" w:hAnsi="Times New Roman"/>
          <w:color w:val="auto"/>
          <w:highlight w:val="none"/>
          <w:u w:val="single"/>
          <w:shd w:val="clear"/>
        </w:rPr>
        <w:t xml:space="preserve">                           </w:t>
      </w:r>
    </w:p>
    <w:p w14:paraId="33C9ED9A">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法定代表人或姓名：</w:t>
      </w:r>
      <w:r>
        <w:rPr>
          <w:rFonts w:hint="eastAsia" w:ascii="Times New Roman" w:hAnsi="Times New Roman"/>
          <w:color w:val="auto"/>
          <w:highlight w:val="none"/>
          <w:u w:val="single"/>
          <w:shd w:val="clear"/>
        </w:rPr>
        <w:t xml:space="preserve">                                         </w:t>
      </w:r>
    </w:p>
    <w:p w14:paraId="64AD0968">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廉政监督联系人：</w:t>
      </w:r>
      <w:r>
        <w:rPr>
          <w:rFonts w:hint="eastAsia" w:ascii="Times New Roman" w:hAnsi="Times New Roman"/>
          <w:color w:val="auto"/>
          <w:highlight w:val="none"/>
          <w:u w:val="single"/>
          <w:shd w:val="clear"/>
        </w:rPr>
        <w:t xml:space="preserve">                     </w:t>
      </w:r>
    </w:p>
    <w:p w14:paraId="5D4EBA2A">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姓名：</w:t>
      </w:r>
      <w:r>
        <w:rPr>
          <w:rFonts w:hint="eastAsia" w:ascii="Times New Roman" w:hAnsi="Times New Roman"/>
          <w:color w:val="auto"/>
          <w:highlight w:val="none"/>
          <w:u w:val="single"/>
          <w:shd w:val="clear"/>
        </w:rPr>
        <w:t xml:space="preserve">                                </w:t>
      </w:r>
    </w:p>
    <w:p w14:paraId="3048BFDD">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签字：</w:t>
      </w:r>
      <w:r>
        <w:rPr>
          <w:rFonts w:hint="eastAsia" w:ascii="Times New Roman" w:hAnsi="Times New Roman"/>
          <w:color w:val="auto"/>
          <w:highlight w:val="none"/>
          <w:u w:val="single"/>
          <w:shd w:val="clear"/>
        </w:rPr>
        <w:t xml:space="preserve">                                </w:t>
      </w:r>
    </w:p>
    <w:p w14:paraId="71F55C9F">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电话：：</w:t>
      </w:r>
      <w:r>
        <w:rPr>
          <w:rFonts w:hint="eastAsia" w:ascii="Times New Roman" w:hAnsi="Times New Roman"/>
          <w:color w:val="auto"/>
          <w:highlight w:val="none"/>
          <w:u w:val="single"/>
          <w:shd w:val="clear"/>
        </w:rPr>
        <w:t xml:space="preserve">                               </w:t>
      </w:r>
    </w:p>
    <w:p w14:paraId="6CEF29B5">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地址：</w:t>
      </w:r>
      <w:r>
        <w:rPr>
          <w:rFonts w:hint="eastAsia" w:ascii="Times New Roman" w:hAnsi="Times New Roman"/>
          <w:color w:val="auto"/>
          <w:highlight w:val="none"/>
          <w:u w:val="single"/>
          <w:shd w:val="clear"/>
        </w:rPr>
        <w:t xml:space="preserve">                                </w:t>
      </w:r>
    </w:p>
    <w:p w14:paraId="2E1FFEF7">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签字：</w:t>
      </w:r>
      <w:r>
        <w:rPr>
          <w:rFonts w:hint="eastAsia" w:ascii="Times New Roman" w:hAnsi="Times New Roman"/>
          <w:color w:val="auto"/>
          <w:highlight w:val="none"/>
          <w:u w:val="single"/>
          <w:shd w:val="clear"/>
        </w:rPr>
        <w:t xml:space="preserve">                                </w:t>
      </w:r>
    </w:p>
    <w:p w14:paraId="1C850719">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廉政监督联系人：</w:t>
      </w:r>
      <w:r>
        <w:rPr>
          <w:rFonts w:hint="eastAsia" w:ascii="Times New Roman" w:hAnsi="Times New Roman"/>
          <w:color w:val="auto"/>
          <w:highlight w:val="none"/>
          <w:u w:val="single"/>
          <w:shd w:val="clear"/>
        </w:rPr>
        <w:t xml:space="preserve">                      </w:t>
      </w:r>
    </w:p>
    <w:p w14:paraId="366E1ADB">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姓名：</w:t>
      </w:r>
      <w:r>
        <w:rPr>
          <w:rFonts w:hint="eastAsia" w:ascii="Times New Roman" w:hAnsi="Times New Roman"/>
          <w:color w:val="auto"/>
          <w:highlight w:val="none"/>
          <w:u w:val="single"/>
          <w:shd w:val="clear"/>
        </w:rPr>
        <w:t xml:space="preserve">                                </w:t>
      </w:r>
    </w:p>
    <w:p w14:paraId="3909160E">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签字：</w:t>
      </w:r>
      <w:r>
        <w:rPr>
          <w:rFonts w:hint="eastAsia" w:ascii="Times New Roman" w:hAnsi="Times New Roman"/>
          <w:color w:val="auto"/>
          <w:highlight w:val="none"/>
          <w:u w:val="single"/>
          <w:shd w:val="clear"/>
        </w:rPr>
        <w:t xml:space="preserve">                                </w:t>
      </w:r>
    </w:p>
    <w:p w14:paraId="2C9FF067">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电话：：</w:t>
      </w:r>
      <w:r>
        <w:rPr>
          <w:rFonts w:hint="eastAsia" w:ascii="Times New Roman" w:hAnsi="Times New Roman"/>
          <w:color w:val="auto"/>
          <w:highlight w:val="none"/>
          <w:u w:val="single"/>
          <w:shd w:val="clear"/>
        </w:rPr>
        <w:t xml:space="preserve">                               </w:t>
      </w:r>
    </w:p>
    <w:p w14:paraId="0ED666AE">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地址：</w:t>
      </w:r>
      <w:r>
        <w:rPr>
          <w:rFonts w:hint="eastAsia" w:ascii="Times New Roman" w:hAnsi="Times New Roman"/>
          <w:color w:val="auto"/>
          <w:highlight w:val="none"/>
          <w:u w:val="single"/>
          <w:shd w:val="clear"/>
        </w:rPr>
        <w:t xml:space="preserve">                                </w:t>
      </w:r>
    </w:p>
    <w:p w14:paraId="35675210">
      <w:pPr>
        <w:spacing w:line="360" w:lineRule="auto"/>
        <w:rPr>
          <w:rFonts w:ascii="Times New Roman" w:hAnsi="Times New Roman"/>
          <w:color w:val="auto"/>
          <w:highlight w:val="none"/>
          <w:u w:val="single"/>
          <w:shd w:val="cle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equalWidth="0" w:num="2">
            <w:col w:w="3940" w:space="425"/>
            <w:col w:w="3940"/>
          </w:cols>
          <w:docGrid w:type="lines" w:linePitch="326" w:charSpace="0"/>
        </w:sectPr>
      </w:pPr>
    </w:p>
    <w:p w14:paraId="41C6E6CF">
      <w:pPr>
        <w:spacing w:line="360" w:lineRule="auto"/>
        <w:ind w:left="359" w:leftChars="171" w:firstLine="630" w:firstLineChars="300"/>
        <w:jc w:val="right"/>
        <w:rPr>
          <w:rFonts w:ascii="Times New Roman" w:hAnsi="Times New Roman"/>
          <w:color w:val="auto"/>
          <w:sz w:val="24"/>
          <w:szCs w:val="24"/>
          <w:highlight w:val="none"/>
          <w:u w:val="single"/>
          <w:shd w:val="clear"/>
          <w14:ligatures w14:val="standardContextual"/>
        </w:rPr>
      </w:pP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0691779B">
      <w:pPr>
        <w:spacing w:line="360" w:lineRule="auto"/>
        <w:rPr>
          <w:rFonts w:ascii="Times New Roman" w:hAnsi="Times New Roman"/>
          <w:color w:val="auto"/>
          <w:sz w:val="24"/>
          <w:szCs w:val="24"/>
          <w:highlight w:val="none"/>
          <w:shd w:val="clear"/>
        </w:rPr>
      </w:pPr>
      <w:r>
        <w:rPr>
          <w:rFonts w:ascii="Times New Roman" w:hAnsi="Times New Roman" w:eastAsia="仿宋_GB2312"/>
          <w:b/>
          <w:color w:val="auto"/>
          <w:sz w:val="30"/>
          <w:szCs w:val="30"/>
          <w:highlight w:val="none"/>
          <w:shd w:val="clear"/>
        </w:rPr>
        <w:br w:type="page"/>
      </w:r>
    </w:p>
    <w:p w14:paraId="15A63813">
      <w:pPr>
        <w:pStyle w:val="33"/>
        <w:rPr>
          <w:color w:val="auto"/>
          <w:highlight w:val="none"/>
          <w:shd w:val="clear"/>
        </w:rPr>
      </w:pPr>
      <w:r>
        <w:rPr>
          <w:rFonts w:hint="eastAsia"/>
          <w:color w:val="auto"/>
          <w:highlight w:val="none"/>
          <w:shd w:val="clear"/>
        </w:rPr>
        <w:t>附件13</w:t>
      </w:r>
    </w:p>
    <w:p w14:paraId="24C1DE50">
      <w:pPr>
        <w:pStyle w:val="20"/>
        <w:rPr>
          <w:rFonts w:ascii="Times New Roman" w:hAnsi="Times New Roman"/>
          <w:color w:val="auto"/>
          <w:highlight w:val="none"/>
          <w:shd w:val="clear"/>
        </w:rPr>
      </w:pPr>
      <w:bookmarkStart w:id="2059" w:name="_Toc170805380"/>
      <w:bookmarkStart w:id="2060" w:name="_Toc170804192"/>
      <w:bookmarkStart w:id="2061" w:name="_Toc170805760"/>
      <w:bookmarkStart w:id="2062" w:name="_Toc16956"/>
      <w:bookmarkStart w:id="2063" w:name="_Toc32439"/>
      <w:r>
        <w:rPr>
          <w:rFonts w:ascii="Times New Roman" w:hAnsi="Times New Roman"/>
          <w:color w:val="auto"/>
          <w:highlight w:val="none"/>
          <w:shd w:val="clear"/>
        </w:rPr>
        <w:t>安全生产合同</w:t>
      </w:r>
      <w:bookmarkEnd w:id="2059"/>
      <w:bookmarkEnd w:id="2060"/>
      <w:bookmarkEnd w:id="2061"/>
      <w:bookmarkEnd w:id="2062"/>
      <w:bookmarkEnd w:id="2063"/>
    </w:p>
    <w:p w14:paraId="3C7A59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为在</w:t>
      </w:r>
      <w:r>
        <w:rPr>
          <w:rFonts w:hint="eastAsia" w:ascii="Times New Roman" w:hAnsi="Times New Roman"/>
          <w:color w:val="auto"/>
          <w:highlight w:val="none"/>
          <w:shd w:val="clear"/>
        </w:rPr>
        <w:t>【项目名称】</w:t>
      </w:r>
      <w:r>
        <w:rPr>
          <w:rFonts w:hint="eastAsia" w:ascii="Times New Roman" w:hAnsi="Times New Roman"/>
          <w:color w:val="auto"/>
          <w:highlight w:val="none"/>
          <w:shd w:val="clear"/>
        </w:rPr>
        <w:t>施工合同的实施过程中创造安全、高效的施工环境，切实搞好本项目的安全管理工作，本项目发包人</w:t>
      </w:r>
      <w:r>
        <w:rPr>
          <w:rFonts w:hint="eastAsia" w:ascii="Times New Roman" w:hAnsi="Times New Roman"/>
          <w:color w:val="auto"/>
          <w:highlight w:val="none"/>
          <w:shd w:val="clear"/>
        </w:rPr>
        <w:t>【招标人】</w:t>
      </w:r>
      <w:r>
        <w:rPr>
          <w:rFonts w:hint="eastAsia" w:ascii="Times New Roman" w:hAnsi="Times New Roman"/>
          <w:color w:val="auto"/>
          <w:highlight w:val="none"/>
          <w:shd w:val="clear"/>
        </w:rPr>
        <w:t>（发包人名称，以下简称“发包人”）与承包人</w:t>
      </w:r>
      <w:r>
        <w:rPr>
          <w:rFonts w:hint="eastAsia" w:ascii="Times New Roman" w:hAnsi="Times New Roman"/>
          <w:color w:val="auto"/>
          <w:highlight w:val="none"/>
          <w:shd w:val="clear"/>
        </w:rPr>
        <w:t>【中标人】</w:t>
      </w:r>
      <w:r>
        <w:rPr>
          <w:rFonts w:hint="eastAsia" w:ascii="Times New Roman" w:hAnsi="Times New Roman"/>
          <w:color w:val="auto"/>
          <w:highlight w:val="none"/>
          <w:shd w:val="clear"/>
        </w:rPr>
        <w:t>（承包人名称，以下简称“承包人”）特此签订安全生产合同：</w:t>
      </w:r>
    </w:p>
    <w:p w14:paraId="3CC3F8E4">
      <w:pPr>
        <w:pStyle w:val="22"/>
        <w:ind w:firstLine="420"/>
        <w:rPr>
          <w:rFonts w:ascii="Times New Roman" w:hAnsi="Times New Roman"/>
          <w:color w:val="auto"/>
          <w:highlight w:val="none"/>
          <w:shd w:val="clear"/>
        </w:rPr>
      </w:pPr>
      <w:r>
        <w:rPr>
          <w:rFonts w:ascii="Times New Roman" w:hAnsi="Times New Roman"/>
          <w:color w:val="auto"/>
          <w:highlight w:val="none"/>
          <w:shd w:val="clear"/>
        </w:rPr>
        <w:t>1.发包人职责</w:t>
      </w:r>
    </w:p>
    <w:p w14:paraId="4530191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（1）严格遵守国家有关安全生产的法律法规，认真执行工程承包合同中的有关安全要求。</w:t>
      </w:r>
    </w:p>
    <w:p w14:paraId="613EA40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（2）按照“安全第一、预防为主”和坚持“管生产必须管安全”的原则进行安全生产管理，做到生产与安全工作同时计划、布置、检查、总结和评比。</w:t>
      </w:r>
    </w:p>
    <w:p w14:paraId="3B26736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（3）重要的安全设施必须坚持与主体工程“三同时”的原则，即：同时设计、审批，同时施工，同时验收，投入使用。</w:t>
      </w:r>
    </w:p>
    <w:p w14:paraId="4D2559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（4）定期召开安全生产调度会，及时传达中央及地方有关安全生产的精神。</w:t>
      </w:r>
    </w:p>
    <w:p w14:paraId="2CDC21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（5）组织对承包人施工现场安全生产检查，监督承包人及时处理发现的各种安全隐患。</w:t>
      </w:r>
    </w:p>
    <w:p w14:paraId="140187CF">
      <w:pPr>
        <w:pStyle w:val="22"/>
        <w:ind w:firstLine="420"/>
        <w:rPr>
          <w:rFonts w:ascii="Times New Roman" w:hAnsi="Times New Roman"/>
          <w:color w:val="auto"/>
          <w:highlight w:val="none"/>
          <w:shd w:val="clear"/>
        </w:rPr>
      </w:pPr>
      <w:r>
        <w:rPr>
          <w:rFonts w:ascii="Times New Roman" w:hAnsi="Times New Roman"/>
          <w:color w:val="auto"/>
          <w:highlight w:val="none"/>
          <w:shd w:val="clear"/>
        </w:rPr>
        <w:t>2.承包人职责</w:t>
      </w:r>
    </w:p>
    <w:p w14:paraId="19C3BD8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054AE02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484FDA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D0485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（4）承包人在任何时候都应采取各种合理的预防措施，防止其员工发生任何违法、违禁、暴力或妨碍治安的行为。</w:t>
      </w:r>
    </w:p>
    <w:p w14:paraId="517CADA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71FB9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729277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（7）操作人员上岗，必须按规定穿戴防护用品。施工负责人和安全检查员应随时检查劳动防护用品的穿戴情况，不按规定穿戴防护用品的人员不得上岗。</w:t>
      </w:r>
    </w:p>
    <w:p w14:paraId="60DC39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（8）所有施工机具设备和高空作业的设备均应定期检查，并有安全员的签字记录，保证其经常处于完好状态；不合格的机具、设备和劳动保护用品严禁使用：</w:t>
      </w:r>
    </w:p>
    <w:p w14:paraId="7BA630C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（9）施工中采用新技术、新工艺、新设备、新材料时，必须制定相应的安全技术措施，施工现场必须具有相关的安全标志牌。</w:t>
      </w:r>
    </w:p>
    <w:p w14:paraId="31AB192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BF141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（11）安全生产费用按照《建设工程安全生产管理条例》的相关规定使用和管理。</w:t>
      </w:r>
    </w:p>
    <w:p w14:paraId="41629657">
      <w:pPr>
        <w:pStyle w:val="22"/>
        <w:ind w:firstLine="420"/>
        <w:rPr>
          <w:rFonts w:ascii="Times New Roman" w:hAnsi="Times New Roman"/>
          <w:color w:val="auto"/>
          <w:highlight w:val="none"/>
          <w:shd w:val="clear"/>
        </w:rPr>
      </w:pPr>
      <w:r>
        <w:rPr>
          <w:rFonts w:ascii="Times New Roman" w:hAnsi="Times New Roman"/>
          <w:color w:val="auto"/>
          <w:highlight w:val="none"/>
          <w:shd w:val="clear"/>
        </w:rPr>
        <w:t>3.违约责任</w:t>
      </w:r>
    </w:p>
    <w:p w14:paraId="7E2E55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如因发包人或承包人违约造成安全事故，将依法追究责任。</w:t>
      </w:r>
    </w:p>
    <w:p w14:paraId="527FF98E">
      <w:pPr>
        <w:pStyle w:val="22"/>
        <w:ind w:firstLine="420"/>
        <w:rPr>
          <w:rFonts w:ascii="Times New Roman" w:hAnsi="Times New Roman"/>
          <w:color w:val="auto"/>
          <w:highlight w:val="none"/>
          <w:shd w:val="clear"/>
        </w:rPr>
      </w:pPr>
      <w:r>
        <w:rPr>
          <w:rFonts w:ascii="Times New Roman" w:hAnsi="Times New Roman"/>
          <w:color w:val="auto"/>
          <w:highlight w:val="none"/>
          <w:shd w:val="clear"/>
        </w:rPr>
        <w:t>4.本合同由双方法定代表人或其授权的代理人签署并加盖单位章后生效，全部工程竣工验收后失效。</w:t>
      </w:r>
    </w:p>
    <w:p w14:paraId="12958F89">
      <w:pPr>
        <w:pStyle w:val="22"/>
        <w:ind w:firstLine="420"/>
        <w:rPr>
          <w:rFonts w:ascii="Times New Roman" w:hAnsi="Times New Roman"/>
          <w:color w:val="auto"/>
          <w:highlight w:val="none"/>
          <w:shd w:val="clear"/>
        </w:rPr>
      </w:pPr>
      <w:r>
        <w:rPr>
          <w:rFonts w:ascii="Times New Roman" w:hAnsi="Times New Roman"/>
          <w:color w:val="auto"/>
          <w:highlight w:val="none"/>
          <w:shd w:val="clear"/>
        </w:rPr>
        <w:t>5.本合同正本—式贰份，副本陆份，合同双方各执正本—份，副本叁份，当正本与副本的内容不一致时，以正本为准。</w:t>
      </w:r>
    </w:p>
    <w:p w14:paraId="0EB0312C">
      <w:pPr>
        <w:spacing w:line="360" w:lineRule="auto"/>
        <w:rPr>
          <w:rFonts w:ascii="Times New Roman" w:hAnsi="Times New Roman"/>
          <w:color w:val="auto"/>
          <w:sz w:val="24"/>
          <w:szCs w:val="24"/>
          <w:highlight w:val="none"/>
          <w:shd w:val="clear"/>
        </w:rPr>
      </w:pPr>
    </w:p>
    <w:p w14:paraId="185B1385">
      <w:pPr>
        <w:spacing w:line="360" w:lineRule="auto"/>
        <w:rPr>
          <w:rFonts w:ascii="Times New Roman" w:hAnsi="Times New Roman"/>
          <w:color w:val="auto"/>
          <w:sz w:val="24"/>
          <w:szCs w:val="24"/>
          <w:highlight w:val="none"/>
          <w:shd w:val="clear"/>
        </w:rPr>
      </w:pPr>
    </w:p>
    <w:p w14:paraId="0926B2B9">
      <w:pPr>
        <w:spacing w:line="360" w:lineRule="auto"/>
        <w:rPr>
          <w:rFonts w:ascii="Times New Roman" w:hAnsi="Times New Roman"/>
          <w:color w:val="auto"/>
          <w:highlight w:val="none"/>
          <w:shd w:val="cle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564C92BD">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发包人：</w:t>
      </w:r>
      <w:r>
        <w:rPr>
          <w:rFonts w:hint="eastAsia" w:ascii="Times New Roman" w:hAnsi="Times New Roman"/>
          <w:color w:val="auto"/>
          <w:highlight w:val="none"/>
          <w:u w:val="single"/>
          <w:shd w:val="clear"/>
        </w:rPr>
        <w:t>（盖单位章）</w:t>
      </w:r>
      <w:r>
        <w:rPr>
          <w:rFonts w:ascii="Times New Roman" w:hAnsi="Times New Roman"/>
          <w:color w:val="auto"/>
          <w:highlight w:val="none"/>
          <w:u w:val="single"/>
          <w:shd w:val="clear"/>
        </w:rPr>
        <w:t xml:space="preserve">                  </w:t>
      </w:r>
    </w:p>
    <w:p w14:paraId="52A63899">
      <w:pPr>
        <w:spacing w:line="360" w:lineRule="auto"/>
        <w:rPr>
          <w:rFonts w:ascii="Times New Roman" w:hAnsi="Times New Roman"/>
          <w:color w:val="auto"/>
          <w:highlight w:val="none"/>
          <w:shd w:val="clear"/>
        </w:rPr>
      </w:pPr>
      <w:r>
        <w:rPr>
          <w:rFonts w:hint="eastAsia" w:ascii="Times New Roman" w:hAnsi="Times New Roman"/>
          <w:color w:val="auto"/>
          <w:highlight w:val="none"/>
          <w:shd w:val="clear"/>
        </w:rPr>
        <w:t>法定代表人或其委托代理人：（签字）</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p>
    <w:p w14:paraId="4DD61A8D">
      <w:pPr>
        <w:spacing w:line="360" w:lineRule="auto"/>
        <w:rPr>
          <w:rFonts w:ascii="Times New Roman" w:hAnsi="Times New Roman"/>
          <w:color w:val="auto"/>
          <w:highlight w:val="none"/>
          <w:u w:val="single"/>
          <w:shd w:val="clear"/>
        </w:rPr>
      </w:pPr>
      <w:r>
        <w:rPr>
          <w:rFonts w:hint="eastAsia" w:ascii="Times New Roman" w:hAnsi="Times New Roman"/>
          <w:color w:val="auto"/>
          <w:highlight w:val="none"/>
          <w:shd w:val="clear"/>
        </w:rPr>
        <w:t>承包人：</w:t>
      </w:r>
      <w:r>
        <w:rPr>
          <w:rFonts w:hint="eastAsia" w:ascii="Times New Roman" w:hAnsi="Times New Roman"/>
          <w:color w:val="auto"/>
          <w:highlight w:val="none"/>
          <w:u w:val="single"/>
          <w:shd w:val="clear"/>
        </w:rPr>
        <w:t>（盖单位章）</w:t>
      </w:r>
      <w:r>
        <w:rPr>
          <w:rFonts w:ascii="Times New Roman" w:hAnsi="Times New Roman"/>
          <w:color w:val="auto"/>
          <w:highlight w:val="none"/>
          <w:u w:val="single"/>
          <w:shd w:val="clear"/>
        </w:rPr>
        <w:t xml:space="preserve">                  </w:t>
      </w:r>
    </w:p>
    <w:p w14:paraId="69B3FCCA">
      <w:pPr>
        <w:spacing w:line="360" w:lineRule="auto"/>
        <w:rPr>
          <w:rFonts w:ascii="Times New Roman" w:hAnsi="Times New Roman"/>
          <w:color w:val="auto"/>
          <w:highlight w:val="none"/>
          <w:shd w:val="cle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2"/>
          <w:docGrid w:type="lines" w:linePitch="326" w:charSpace="0"/>
        </w:sectPr>
      </w:pPr>
      <w:r>
        <w:rPr>
          <w:rFonts w:hint="eastAsia" w:ascii="Times New Roman" w:hAnsi="Times New Roman"/>
          <w:color w:val="auto"/>
          <w:highlight w:val="none"/>
          <w:shd w:val="clear"/>
        </w:rPr>
        <w:t>法定代表人或其委托代理人：（签字）</w:t>
      </w:r>
      <w:r>
        <w:rPr>
          <w:rFonts w:ascii="Times New Roman" w:hAnsi="Times New Roman"/>
          <w:color w:val="auto"/>
          <w:highlight w:val="none"/>
          <w:u w:val="single"/>
          <w:shd w:val="clear"/>
        </w:rPr>
        <w:t xml:space="preserve">   </w:t>
      </w:r>
    </w:p>
    <w:p w14:paraId="15D911C8">
      <w:pPr>
        <w:spacing w:line="360" w:lineRule="auto"/>
        <w:rPr>
          <w:rFonts w:ascii="Times New Roman" w:hAnsi="Times New Roman"/>
          <w:color w:val="auto"/>
          <w:highlight w:val="none"/>
          <w:shd w:val="clear"/>
        </w:rPr>
      </w:pPr>
    </w:p>
    <w:p w14:paraId="438BDB88">
      <w:pPr>
        <w:spacing w:line="360" w:lineRule="auto"/>
        <w:ind w:left="359" w:leftChars="171" w:firstLine="630" w:firstLineChars="300"/>
        <w:jc w:val="right"/>
        <w:rPr>
          <w:rFonts w:ascii="Times New Roman" w:hAnsi="Times New Roman"/>
          <w:color w:val="auto"/>
          <w:highlight w:val="none"/>
          <w:u w:val="single"/>
          <w:shd w:val="clear"/>
        </w:rPr>
      </w:pP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年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月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日</w:t>
      </w:r>
    </w:p>
    <w:p w14:paraId="6771BAE2">
      <w:pPr>
        <w:spacing w:line="360" w:lineRule="auto"/>
        <w:ind w:left="359" w:leftChars="171" w:firstLine="630" w:firstLineChars="300"/>
        <w:jc w:val="right"/>
        <w:rPr>
          <w:rFonts w:ascii="Times New Roman" w:hAnsi="Times New Roman"/>
          <w:color w:val="auto"/>
          <w:highlight w:val="none"/>
          <w:u w:val="single"/>
          <w:shd w:val="clear"/>
        </w:rPr>
      </w:pPr>
    </w:p>
    <w:p w14:paraId="111B5F13">
      <w:pPr>
        <w:spacing w:line="360" w:lineRule="auto"/>
        <w:ind w:left="359" w:leftChars="171" w:firstLine="720" w:firstLineChars="300"/>
        <w:jc w:val="right"/>
        <w:rPr>
          <w:rFonts w:ascii="Times New Roman" w:hAnsi="Times New Roman"/>
          <w:color w:val="auto"/>
          <w:sz w:val="24"/>
          <w:szCs w:val="24"/>
          <w:highlight w:val="none"/>
          <w:shd w:val="clear"/>
          <w14:ligatures w14:val="standardContextual"/>
        </w:rPr>
      </w:pPr>
    </w:p>
    <w:p w14:paraId="444ED4AF">
      <w:pPr>
        <w:rPr>
          <w:rFonts w:hint="eastAsia"/>
          <w:color w:val="auto"/>
          <w:highlight w:val="none"/>
          <w:shd w:val="clear"/>
        </w:rPr>
      </w:pPr>
      <w:r>
        <w:rPr>
          <w:rFonts w:hint="eastAsia"/>
          <w:color w:val="auto"/>
          <w:highlight w:val="none"/>
          <w:shd w:val="clear"/>
        </w:rPr>
        <w:br w:type="page"/>
      </w:r>
    </w:p>
    <w:p w14:paraId="621B0FC0">
      <w:pPr>
        <w:pStyle w:val="33"/>
        <w:rPr>
          <w:color w:val="auto"/>
          <w:highlight w:val="none"/>
          <w:shd w:val="clear"/>
        </w:rPr>
      </w:pPr>
      <w:r>
        <w:rPr>
          <w:rFonts w:hint="eastAsia"/>
          <w:color w:val="auto"/>
          <w:highlight w:val="none"/>
          <w:shd w:val="clear"/>
        </w:rPr>
        <w:t>附件14</w:t>
      </w:r>
    </w:p>
    <w:p w14:paraId="43382D43">
      <w:pPr>
        <w:pStyle w:val="20"/>
        <w:rPr>
          <w:rFonts w:ascii="Times New Roman" w:hAnsi="Times New Roman"/>
          <w:color w:val="auto"/>
          <w:highlight w:val="none"/>
          <w:shd w:val="clear"/>
        </w:rPr>
      </w:pPr>
      <w:bookmarkStart w:id="2064" w:name="_Toc20282"/>
      <w:bookmarkStart w:id="2065" w:name="_Toc170805762"/>
      <w:bookmarkStart w:id="2066" w:name="_Toc170805382"/>
      <w:bookmarkStart w:id="2067" w:name="_Toc19059"/>
      <w:bookmarkStart w:id="2068" w:name="_Toc170804194"/>
      <w:r>
        <w:rPr>
          <w:rFonts w:ascii="Times New Roman" w:hAnsi="Times New Roman"/>
          <w:color w:val="auto"/>
          <w:highlight w:val="none"/>
          <w:shd w:val="clear"/>
        </w:rPr>
        <w:t>项目经理质量终身责任制承诺</w:t>
      </w:r>
      <w:bookmarkEnd w:id="2064"/>
      <w:bookmarkEnd w:id="2065"/>
      <w:bookmarkEnd w:id="2066"/>
      <w:bookmarkEnd w:id="2067"/>
      <w:bookmarkEnd w:id="2068"/>
    </w:p>
    <w:p w14:paraId="5D2D4E7C">
      <w:pPr>
        <w:pStyle w:val="22"/>
        <w:ind w:firstLine="0" w:firstLineChars="0"/>
        <w:rPr>
          <w:rFonts w:ascii="Times New Roman" w:hAnsi="Times New Roman"/>
          <w:color w:val="auto"/>
          <w:highlight w:val="none"/>
          <w:shd w:val="clear"/>
        </w:rPr>
      </w:pPr>
      <w:r>
        <w:rPr>
          <w:rFonts w:hint="eastAsia" w:ascii="Times New Roman" w:hAnsi="Times New Roman"/>
          <w:color w:val="auto"/>
          <w:highlight w:val="none"/>
          <w:shd w:val="clear"/>
        </w:rPr>
        <w:t>致：</w:t>
      </w:r>
      <w:r>
        <w:rPr>
          <w:rFonts w:hint="eastAsia" w:ascii="Times New Roman" w:hAnsi="Times New Roman"/>
          <w:color w:val="auto"/>
          <w:highlight w:val="none"/>
          <w:shd w:val="clear"/>
        </w:rPr>
        <w:t>【招标人】</w:t>
      </w:r>
    </w:p>
    <w:p w14:paraId="2E28E18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本人作为拟委任的施工项目经理，承担相关质量终身责任，现郑重承诺如下：</w:t>
      </w:r>
    </w:p>
    <w:p w14:paraId="716018B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一、在取得施工许可证后进行施工。</w:t>
      </w:r>
    </w:p>
    <w:p w14:paraId="0EA1BC5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二、严格执行施工规范及标准。</w:t>
      </w:r>
    </w:p>
    <w:p w14:paraId="6DC3199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三、严格按规定配备施工项目部关键岗位人员，并确保所有人员到岗履职。</w:t>
      </w:r>
    </w:p>
    <w:p w14:paraId="70B89F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四、严格按照经施工图审查机构审查合格的工程设计文件及合同约定的质量标准精心组织施工。</w:t>
      </w:r>
    </w:p>
    <w:p w14:paraId="75D92F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五、施工中采用合格的建筑材料、建筑构配件和设备等，并严格按规定执行见证取样制度。</w:t>
      </w:r>
    </w:p>
    <w:p w14:paraId="27FE7D7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六、建立、健全质量检查、验收制度，严格工序管理，做好隐蔽工程质量的检查和记录。</w:t>
      </w:r>
    </w:p>
    <w:p w14:paraId="691EF4B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七、对施工中出现的质量问题，及时进行整改。严格依法依规履行义务。</w:t>
      </w:r>
    </w:p>
    <w:p w14:paraId="63A0330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八、履行相关工程质量检查、验收及事故处理等职责。</w:t>
      </w:r>
    </w:p>
    <w:p w14:paraId="13D2861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九、履行其他法律法规规定的职责。</w:t>
      </w:r>
    </w:p>
    <w:p w14:paraId="0E6FAF99">
      <w:pPr>
        <w:pStyle w:val="22"/>
        <w:ind w:firstLine="420"/>
        <w:rPr>
          <w:rFonts w:ascii="Times New Roman" w:hAnsi="Times New Roman"/>
          <w:color w:val="auto"/>
          <w:highlight w:val="none"/>
          <w:u w:val="single"/>
          <w:shd w:val="clear"/>
        </w:rPr>
      </w:pPr>
      <w:r>
        <w:rPr>
          <w:rFonts w:hint="eastAsia" w:ascii="Times New Roman" w:hAnsi="Times New Roman"/>
          <w:color w:val="auto"/>
          <w:highlight w:val="none"/>
          <w:shd w:val="clear"/>
        </w:rPr>
        <w:t>项目经理：</w:t>
      </w:r>
      <w:r>
        <w:rPr>
          <w:rFonts w:hint="eastAsia" w:ascii="Times New Roman" w:hAnsi="Times New Roman"/>
          <w:color w:val="auto"/>
          <w:highlight w:val="none"/>
          <w:u w:val="single"/>
          <w:shd w:val="clear"/>
        </w:rPr>
        <w:t>（签字）</w:t>
      </w:r>
    </w:p>
    <w:p w14:paraId="6DB048B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日期：_____年____月____日</w:t>
      </w:r>
    </w:p>
    <w:permEnd w:id="94"/>
    <w:p w14:paraId="2AF2D594">
      <w:pPr>
        <w:adjustRightInd w:val="0"/>
        <w:spacing w:line="400" w:lineRule="exact"/>
        <w:outlineLvl w:val="1"/>
        <w:rPr>
          <w:rFonts w:ascii="Times New Roman" w:hAnsi="Times New Roman"/>
          <w:b/>
          <w:color w:val="auto"/>
          <w:sz w:val="32"/>
          <w:highlight w:val="none"/>
          <w:shd w:val="cle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11B7A9A1">
      <w:pPr>
        <w:pStyle w:val="24"/>
        <w:rPr>
          <w:rFonts w:ascii="Times New Roman" w:hAnsi="Times New Roman"/>
          <w:color w:val="auto"/>
          <w:highlight w:val="none"/>
          <w:shd w:val="clear"/>
        </w:rPr>
      </w:pPr>
      <w:bookmarkStart w:id="2069" w:name="_Toc170805763"/>
      <w:bookmarkStart w:id="2070" w:name="_Toc130919123"/>
      <w:bookmarkStart w:id="2071" w:name="_Toc170804195"/>
      <w:r>
        <w:rPr>
          <w:rFonts w:hint="eastAsia" w:ascii="Times New Roman" w:hAnsi="Times New Roman"/>
          <w:color w:val="auto"/>
          <w:highlight w:val="none"/>
          <w:shd w:val="clear"/>
        </w:rPr>
        <w:t>第五章  工程量清单</w:t>
      </w:r>
      <w:bookmarkEnd w:id="2069"/>
      <w:bookmarkEnd w:id="2070"/>
      <w:bookmarkEnd w:id="2071"/>
    </w:p>
    <w:p w14:paraId="4DF32F99">
      <w:pPr>
        <w:pStyle w:val="33"/>
        <w:rPr>
          <w:color w:val="auto"/>
          <w:highlight w:val="none"/>
          <w:shd w:val="clear"/>
        </w:rPr>
      </w:pPr>
      <w:bookmarkStart w:id="2072" w:name="_Toc130919124"/>
      <w:bookmarkStart w:id="2073" w:name="_Toc22767"/>
      <w:permStart w:id="95" w:edGrp="everyone"/>
      <w:r>
        <w:rPr>
          <w:rFonts w:hint="eastAsia"/>
          <w:color w:val="auto"/>
          <w:highlight w:val="none"/>
          <w:shd w:val="clear"/>
        </w:rPr>
        <w:t>1.计价依据</w:t>
      </w:r>
      <w:bookmarkEnd w:id="2072"/>
      <w:bookmarkEnd w:id="2073"/>
    </w:p>
    <w:p w14:paraId="0575DD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1.1 计价依据的确定符合国家法律法规、现行有关标准与规范，工程所在地的省、市工程定额和工程造价的规定以及工程造价信息要求。</w:t>
      </w:r>
    </w:p>
    <w:p w14:paraId="15C1ED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1.2 安全文明施工费按下表执行：</w:t>
      </w:r>
    </w:p>
    <w:tbl>
      <w:tblPr>
        <w:tblStyle w:val="12"/>
        <w:tblW w:w="4881" w:type="pct"/>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4"/>
        <w:gridCol w:w="2157"/>
        <w:gridCol w:w="2065"/>
        <w:gridCol w:w="2183"/>
      </w:tblGrid>
      <w:tr w14:paraId="3A0D7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150" w:type="pct"/>
            <w:vMerge w:val="restart"/>
            <w:tcBorders>
              <w:top w:val="single" w:color="auto" w:sz="4" w:space="0"/>
              <w:left w:val="single" w:color="auto" w:sz="4" w:space="0"/>
              <w:bottom w:val="single" w:color="auto" w:sz="4" w:space="0"/>
              <w:right w:val="single" w:color="auto" w:sz="4" w:space="0"/>
            </w:tcBorders>
            <w:vAlign w:val="center"/>
          </w:tcPr>
          <w:p w14:paraId="4BC02714">
            <w:pPr>
              <w:pStyle w:val="28"/>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1296" w:type="pct"/>
            <w:vMerge w:val="restart"/>
            <w:tcBorders>
              <w:top w:val="single" w:color="auto" w:sz="4" w:space="0"/>
              <w:left w:val="single" w:color="auto" w:sz="4" w:space="0"/>
              <w:bottom w:val="single" w:color="auto" w:sz="4" w:space="0"/>
              <w:right w:val="single" w:color="auto" w:sz="4" w:space="0"/>
            </w:tcBorders>
            <w:vAlign w:val="center"/>
          </w:tcPr>
          <w:p w14:paraId="25A8083A">
            <w:pPr>
              <w:pStyle w:val="28"/>
              <w:rPr>
                <w:rFonts w:ascii="Times New Roman" w:hAnsi="Times New Roman"/>
                <w:color w:val="auto"/>
                <w:highlight w:val="none"/>
                <w:shd w:val="clear"/>
              </w:rPr>
            </w:pPr>
            <w:r>
              <w:rPr>
                <w:rFonts w:hint="eastAsia" w:ascii="Times New Roman" w:hAnsi="Times New Roman"/>
                <w:color w:val="auto"/>
                <w:highlight w:val="none"/>
                <w:shd w:val="clear"/>
              </w:rPr>
              <w:t>计费基础</w:t>
            </w:r>
          </w:p>
        </w:tc>
        <w:tc>
          <w:tcPr>
            <w:tcW w:w="2553" w:type="pct"/>
            <w:gridSpan w:val="2"/>
            <w:tcBorders>
              <w:top w:val="single" w:color="auto" w:sz="4" w:space="0"/>
              <w:left w:val="single" w:color="auto" w:sz="4" w:space="0"/>
              <w:bottom w:val="single" w:color="auto" w:sz="4" w:space="0"/>
              <w:right w:val="single" w:color="auto" w:sz="4" w:space="0"/>
            </w:tcBorders>
            <w:vAlign w:val="center"/>
          </w:tcPr>
          <w:p w14:paraId="3A506A5E">
            <w:pPr>
              <w:pStyle w:val="28"/>
              <w:rPr>
                <w:rFonts w:ascii="Times New Roman" w:hAnsi="Times New Roman"/>
                <w:color w:val="auto"/>
                <w:highlight w:val="none"/>
                <w:shd w:val="clear"/>
              </w:rPr>
            </w:pPr>
            <w:r>
              <w:rPr>
                <w:rFonts w:hint="eastAsia" w:ascii="Times New Roman" w:hAnsi="Times New Roman"/>
                <w:color w:val="auto"/>
                <w:highlight w:val="none"/>
                <w:shd w:val="clear"/>
              </w:rPr>
              <w:t>费率（%）</w:t>
            </w:r>
          </w:p>
        </w:tc>
      </w:tr>
      <w:tr w14:paraId="4ADD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0" w:type="pct"/>
            <w:vMerge w:val="continue"/>
            <w:tcBorders>
              <w:top w:val="single" w:color="auto" w:sz="4" w:space="0"/>
              <w:left w:val="single" w:color="auto" w:sz="4" w:space="0"/>
              <w:bottom w:val="single" w:color="auto" w:sz="4" w:space="0"/>
              <w:right w:val="single" w:color="auto" w:sz="4" w:space="0"/>
            </w:tcBorders>
            <w:vAlign w:val="center"/>
          </w:tcPr>
          <w:p w14:paraId="3150A348">
            <w:pPr>
              <w:pStyle w:val="28"/>
              <w:rPr>
                <w:rFonts w:ascii="Times New Roman" w:hAnsi="Times New Roman"/>
                <w:color w:val="auto"/>
                <w:highlight w:val="none"/>
                <w:shd w:val="clear"/>
              </w:rPr>
            </w:pPr>
          </w:p>
        </w:tc>
        <w:tc>
          <w:tcPr>
            <w:tcW w:w="1296" w:type="pct"/>
            <w:vMerge w:val="continue"/>
            <w:tcBorders>
              <w:top w:val="single" w:color="auto" w:sz="4" w:space="0"/>
              <w:left w:val="single" w:color="auto" w:sz="4" w:space="0"/>
              <w:bottom w:val="single" w:color="auto" w:sz="4" w:space="0"/>
              <w:right w:val="single" w:color="auto" w:sz="4" w:space="0"/>
            </w:tcBorders>
            <w:vAlign w:val="center"/>
          </w:tcPr>
          <w:p w14:paraId="7D94CB08">
            <w:pPr>
              <w:pStyle w:val="28"/>
              <w:rPr>
                <w:rFonts w:ascii="Times New Roman" w:hAnsi="Times New Roman"/>
                <w:color w:val="auto"/>
                <w:highlight w:val="none"/>
                <w:shd w:val="clear"/>
              </w:rPr>
            </w:pPr>
          </w:p>
        </w:tc>
        <w:tc>
          <w:tcPr>
            <w:tcW w:w="1241" w:type="pct"/>
            <w:vMerge w:val="restart"/>
            <w:tcBorders>
              <w:top w:val="single" w:color="auto" w:sz="4" w:space="0"/>
              <w:left w:val="single" w:color="auto" w:sz="4" w:space="0"/>
              <w:bottom w:val="single" w:color="000000" w:sz="4" w:space="0"/>
              <w:right w:val="single" w:color="auto" w:sz="4" w:space="0"/>
            </w:tcBorders>
            <w:vAlign w:val="center"/>
          </w:tcPr>
          <w:p w14:paraId="503DF5DB">
            <w:pPr>
              <w:pStyle w:val="28"/>
              <w:rPr>
                <w:rFonts w:ascii="Times New Roman" w:hAnsi="Times New Roman"/>
                <w:color w:val="auto"/>
                <w:highlight w:val="none"/>
                <w:shd w:val="clear"/>
              </w:rPr>
            </w:pPr>
            <w:r>
              <w:rPr>
                <w:rFonts w:hint="eastAsia" w:ascii="Times New Roman" w:hAnsi="Times New Roman"/>
                <w:color w:val="auto"/>
                <w:highlight w:val="none"/>
                <w:shd w:val="clear"/>
              </w:rPr>
              <w:t>建筑工程</w:t>
            </w:r>
          </w:p>
        </w:tc>
        <w:tc>
          <w:tcPr>
            <w:tcW w:w="1312" w:type="pct"/>
            <w:vMerge w:val="restart"/>
            <w:tcBorders>
              <w:top w:val="single" w:color="auto" w:sz="4" w:space="0"/>
              <w:left w:val="single" w:color="auto" w:sz="4" w:space="0"/>
              <w:right w:val="single" w:color="auto" w:sz="4" w:space="0"/>
            </w:tcBorders>
            <w:vAlign w:val="center"/>
          </w:tcPr>
          <w:p w14:paraId="740DA773">
            <w:pPr>
              <w:pStyle w:val="28"/>
              <w:rPr>
                <w:rFonts w:ascii="Times New Roman" w:hAnsi="Times New Roman"/>
                <w:color w:val="auto"/>
                <w:highlight w:val="none"/>
                <w:shd w:val="clear"/>
              </w:rPr>
            </w:pPr>
            <w:r>
              <w:rPr>
                <w:rFonts w:hint="eastAsia" w:ascii="Times New Roman" w:hAnsi="Times New Roman"/>
                <w:color w:val="auto"/>
                <w:highlight w:val="none"/>
                <w:shd w:val="clear"/>
              </w:rPr>
              <w:t>市政公用工程</w:t>
            </w:r>
          </w:p>
        </w:tc>
      </w:tr>
      <w:tr w14:paraId="3AE0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50" w:type="pct"/>
            <w:vMerge w:val="continue"/>
            <w:tcBorders>
              <w:top w:val="single" w:color="000000" w:sz="4" w:space="0"/>
              <w:left w:val="single" w:color="auto" w:sz="4" w:space="0"/>
              <w:bottom w:val="single" w:color="auto" w:sz="4" w:space="0"/>
              <w:right w:val="single" w:color="auto" w:sz="4" w:space="0"/>
            </w:tcBorders>
            <w:vAlign w:val="center"/>
          </w:tcPr>
          <w:p w14:paraId="3CCAEA2D">
            <w:pPr>
              <w:widowControl/>
              <w:snapToGrid w:val="0"/>
              <w:jc w:val="center"/>
              <w:rPr>
                <w:rFonts w:ascii="Times New Roman" w:hAnsi="Times New Roman"/>
                <w:color w:val="auto"/>
                <w:szCs w:val="24"/>
                <w:highlight w:val="none"/>
                <w:shd w:val="clear"/>
              </w:rPr>
            </w:pPr>
          </w:p>
        </w:tc>
        <w:tc>
          <w:tcPr>
            <w:tcW w:w="1296" w:type="pct"/>
            <w:vMerge w:val="continue"/>
            <w:tcBorders>
              <w:top w:val="single" w:color="000000" w:sz="4" w:space="0"/>
              <w:left w:val="single" w:color="auto" w:sz="4" w:space="0"/>
              <w:bottom w:val="single" w:color="auto" w:sz="4" w:space="0"/>
              <w:right w:val="single" w:color="auto" w:sz="4" w:space="0"/>
            </w:tcBorders>
            <w:vAlign w:val="center"/>
          </w:tcPr>
          <w:p w14:paraId="4F869C36">
            <w:pPr>
              <w:widowControl/>
              <w:snapToGrid w:val="0"/>
              <w:jc w:val="center"/>
              <w:rPr>
                <w:rFonts w:ascii="Times New Roman" w:hAnsi="Times New Roman"/>
                <w:color w:val="auto"/>
                <w:szCs w:val="24"/>
                <w:highlight w:val="none"/>
                <w:shd w:val="clear"/>
              </w:rPr>
            </w:pPr>
          </w:p>
        </w:tc>
        <w:tc>
          <w:tcPr>
            <w:tcW w:w="1241" w:type="pct"/>
            <w:vMerge w:val="continue"/>
            <w:tcBorders>
              <w:top w:val="single" w:color="000000" w:sz="4" w:space="0"/>
              <w:left w:val="single" w:color="auto" w:sz="4" w:space="0"/>
              <w:bottom w:val="single" w:color="auto" w:sz="4" w:space="0"/>
              <w:right w:val="single" w:color="auto" w:sz="4" w:space="0"/>
            </w:tcBorders>
            <w:vAlign w:val="center"/>
          </w:tcPr>
          <w:p w14:paraId="7A23919D">
            <w:pPr>
              <w:adjustRightInd w:val="0"/>
              <w:snapToGrid w:val="0"/>
              <w:jc w:val="center"/>
              <w:rPr>
                <w:rFonts w:ascii="Times New Roman" w:hAnsi="Times New Roman"/>
                <w:color w:val="auto"/>
                <w:szCs w:val="24"/>
                <w:highlight w:val="none"/>
                <w:shd w:val="clear"/>
              </w:rPr>
            </w:pPr>
          </w:p>
        </w:tc>
        <w:tc>
          <w:tcPr>
            <w:tcW w:w="1312" w:type="pct"/>
            <w:vMerge w:val="continue"/>
            <w:tcBorders>
              <w:left w:val="single" w:color="auto" w:sz="4" w:space="0"/>
              <w:bottom w:val="single" w:color="auto" w:sz="4" w:space="0"/>
              <w:right w:val="single" w:color="auto" w:sz="4" w:space="0"/>
            </w:tcBorders>
            <w:vAlign w:val="center"/>
          </w:tcPr>
          <w:p w14:paraId="4196379C">
            <w:pPr>
              <w:adjustRightInd w:val="0"/>
              <w:snapToGrid w:val="0"/>
              <w:jc w:val="center"/>
              <w:rPr>
                <w:rFonts w:ascii="Times New Roman" w:hAnsi="Times New Roman"/>
                <w:color w:val="auto"/>
                <w:szCs w:val="24"/>
                <w:highlight w:val="none"/>
                <w:shd w:val="clear"/>
              </w:rPr>
            </w:pPr>
          </w:p>
        </w:tc>
      </w:tr>
      <w:tr w14:paraId="0046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0" w:type="pct"/>
            <w:tcBorders>
              <w:top w:val="single" w:color="auto" w:sz="4" w:space="0"/>
              <w:left w:val="single" w:color="auto" w:sz="4" w:space="0"/>
              <w:bottom w:val="single" w:color="000000" w:sz="4" w:space="0"/>
              <w:right w:val="single" w:color="auto" w:sz="4" w:space="0"/>
            </w:tcBorders>
            <w:vAlign w:val="center"/>
          </w:tcPr>
          <w:p w14:paraId="463836D9">
            <w:pPr>
              <w:pStyle w:val="29"/>
              <w:rPr>
                <w:rFonts w:ascii="Times New Roman" w:hAnsi="Times New Roman"/>
                <w:color w:val="auto"/>
                <w:highlight w:val="none"/>
                <w:shd w:val="clear"/>
              </w:rPr>
            </w:pPr>
            <w:r>
              <w:rPr>
                <w:rFonts w:hint="eastAsia" w:ascii="Times New Roman" w:hAnsi="Times New Roman"/>
                <w:color w:val="auto"/>
                <w:highlight w:val="none"/>
                <w:shd w:val="clear"/>
              </w:rPr>
              <w:t>环境保护费</w:t>
            </w:r>
          </w:p>
        </w:tc>
        <w:tc>
          <w:tcPr>
            <w:tcW w:w="1296" w:type="pct"/>
            <w:vMerge w:val="restart"/>
            <w:tcBorders>
              <w:top w:val="single" w:color="auto" w:sz="4" w:space="0"/>
              <w:left w:val="single" w:color="auto" w:sz="4" w:space="0"/>
              <w:bottom w:val="single" w:color="auto" w:sz="4" w:space="0"/>
              <w:right w:val="single" w:color="auto" w:sz="4" w:space="0"/>
            </w:tcBorders>
            <w:vAlign w:val="center"/>
          </w:tcPr>
          <w:p w14:paraId="759D01EA">
            <w:pPr>
              <w:pStyle w:val="29"/>
              <w:rPr>
                <w:rFonts w:ascii="Times New Roman" w:hAnsi="Times New Roman"/>
                <w:color w:val="auto"/>
                <w:highlight w:val="none"/>
                <w:shd w:val="clear"/>
              </w:rPr>
            </w:pPr>
            <w:r>
              <w:rPr>
                <w:rFonts w:hint="eastAsia" w:ascii="Times New Roman" w:hAnsi="Times New Roman"/>
                <w:color w:val="auto"/>
                <w:highlight w:val="none"/>
                <w:shd w:val="clear"/>
              </w:rPr>
              <w:t>定额人工费+定额机械费</w:t>
            </w:r>
          </w:p>
        </w:tc>
        <w:tc>
          <w:tcPr>
            <w:tcW w:w="1241" w:type="pct"/>
            <w:tcBorders>
              <w:top w:val="single" w:color="auto" w:sz="4" w:space="0"/>
              <w:left w:val="single" w:color="auto" w:sz="4" w:space="0"/>
              <w:bottom w:val="single" w:color="auto" w:sz="4" w:space="0"/>
              <w:right w:val="single" w:color="auto" w:sz="4" w:space="0"/>
            </w:tcBorders>
            <w:vAlign w:val="center"/>
          </w:tcPr>
          <w:p w14:paraId="235F5B1B">
            <w:pPr>
              <w:pStyle w:val="29"/>
              <w:rPr>
                <w:rFonts w:ascii="Times New Roman" w:hAnsi="Times New Roman"/>
                <w:color w:val="auto"/>
                <w:highlight w:val="none"/>
                <w:shd w:val="clear"/>
              </w:rPr>
            </w:pPr>
            <w:r>
              <w:rPr>
                <w:rFonts w:hint="eastAsia" w:ascii="Times New Roman" w:hAnsi="Times New Roman"/>
                <w:color w:val="auto"/>
                <w:highlight w:val="none"/>
                <w:shd w:val="clear"/>
              </w:rPr>
              <w:t>3.28</w:t>
            </w:r>
          </w:p>
        </w:tc>
        <w:tc>
          <w:tcPr>
            <w:tcW w:w="1312" w:type="pct"/>
            <w:tcBorders>
              <w:top w:val="single" w:color="auto" w:sz="4" w:space="0"/>
              <w:left w:val="single" w:color="auto" w:sz="4" w:space="0"/>
              <w:bottom w:val="single" w:color="auto" w:sz="4" w:space="0"/>
              <w:right w:val="single" w:color="auto" w:sz="4" w:space="0"/>
            </w:tcBorders>
            <w:vAlign w:val="center"/>
          </w:tcPr>
          <w:p w14:paraId="1C36E045">
            <w:pPr>
              <w:pStyle w:val="29"/>
              <w:rPr>
                <w:rFonts w:ascii="Times New Roman" w:hAnsi="Times New Roman"/>
                <w:color w:val="auto"/>
                <w:highlight w:val="none"/>
                <w:shd w:val="clear"/>
              </w:rPr>
            </w:pPr>
            <w:r>
              <w:rPr>
                <w:rFonts w:hint="eastAsia" w:ascii="Times New Roman" w:hAnsi="Times New Roman"/>
                <w:color w:val="auto"/>
                <w:highlight w:val="none"/>
                <w:shd w:val="clear"/>
              </w:rPr>
              <w:t>3.57</w:t>
            </w:r>
          </w:p>
        </w:tc>
      </w:tr>
      <w:tr w14:paraId="64F9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0" w:type="pct"/>
            <w:tcBorders>
              <w:top w:val="single" w:color="auto" w:sz="4" w:space="0"/>
              <w:left w:val="single" w:color="auto" w:sz="4" w:space="0"/>
              <w:bottom w:val="single" w:color="auto" w:sz="4" w:space="0"/>
              <w:right w:val="single" w:color="auto" w:sz="4" w:space="0"/>
            </w:tcBorders>
            <w:vAlign w:val="center"/>
          </w:tcPr>
          <w:p w14:paraId="2AA2AEF3">
            <w:pPr>
              <w:pStyle w:val="29"/>
              <w:rPr>
                <w:rFonts w:ascii="Times New Roman" w:hAnsi="Times New Roman"/>
                <w:color w:val="auto"/>
                <w:highlight w:val="none"/>
                <w:shd w:val="clear"/>
              </w:rPr>
            </w:pPr>
            <w:r>
              <w:rPr>
                <w:rFonts w:hint="eastAsia" w:ascii="Times New Roman" w:hAnsi="Times New Roman"/>
                <w:color w:val="auto"/>
                <w:highlight w:val="none"/>
                <w:shd w:val="clear"/>
              </w:rPr>
              <w:t>文明施工费</w:t>
            </w:r>
          </w:p>
        </w:tc>
        <w:tc>
          <w:tcPr>
            <w:tcW w:w="1296" w:type="pct"/>
            <w:vMerge w:val="continue"/>
            <w:tcBorders>
              <w:top w:val="single" w:color="auto" w:sz="4" w:space="0"/>
              <w:left w:val="single" w:color="auto" w:sz="4" w:space="0"/>
              <w:bottom w:val="single" w:color="auto" w:sz="4" w:space="0"/>
              <w:right w:val="single" w:color="auto" w:sz="4" w:space="0"/>
            </w:tcBorders>
            <w:vAlign w:val="center"/>
          </w:tcPr>
          <w:p w14:paraId="3E1E7BB1">
            <w:pPr>
              <w:pStyle w:val="29"/>
              <w:rPr>
                <w:rFonts w:ascii="Times New Roman" w:hAnsi="Times New Roman"/>
                <w:color w:val="auto"/>
                <w:highlight w:val="none"/>
                <w:shd w:val="clear"/>
              </w:rPr>
            </w:pPr>
          </w:p>
        </w:tc>
        <w:tc>
          <w:tcPr>
            <w:tcW w:w="1241" w:type="pct"/>
            <w:tcBorders>
              <w:top w:val="single" w:color="auto" w:sz="4" w:space="0"/>
              <w:left w:val="single" w:color="auto" w:sz="4" w:space="0"/>
              <w:bottom w:val="single" w:color="auto" w:sz="4" w:space="0"/>
              <w:right w:val="single" w:color="auto" w:sz="4" w:space="0"/>
            </w:tcBorders>
            <w:vAlign w:val="center"/>
          </w:tcPr>
          <w:p w14:paraId="327C0E3E">
            <w:pPr>
              <w:pStyle w:val="29"/>
              <w:rPr>
                <w:rFonts w:ascii="Times New Roman" w:hAnsi="Times New Roman"/>
                <w:color w:val="auto"/>
                <w:highlight w:val="none"/>
                <w:shd w:val="clear"/>
              </w:rPr>
            </w:pPr>
            <w:r>
              <w:rPr>
                <w:rFonts w:hint="eastAsia" w:ascii="Times New Roman" w:hAnsi="Times New Roman"/>
                <w:color w:val="auto"/>
                <w:highlight w:val="none"/>
                <w:shd w:val="clear"/>
              </w:rPr>
              <w:t>5.12</w:t>
            </w:r>
          </w:p>
        </w:tc>
        <w:tc>
          <w:tcPr>
            <w:tcW w:w="1312" w:type="pct"/>
            <w:tcBorders>
              <w:top w:val="single" w:color="auto" w:sz="4" w:space="0"/>
              <w:left w:val="single" w:color="auto" w:sz="4" w:space="0"/>
              <w:bottom w:val="single" w:color="auto" w:sz="4" w:space="0"/>
              <w:right w:val="single" w:color="auto" w:sz="4" w:space="0"/>
            </w:tcBorders>
            <w:vAlign w:val="center"/>
          </w:tcPr>
          <w:p w14:paraId="5C3B2B4D">
            <w:pPr>
              <w:pStyle w:val="29"/>
              <w:rPr>
                <w:rFonts w:ascii="Times New Roman" w:hAnsi="Times New Roman"/>
                <w:color w:val="auto"/>
                <w:highlight w:val="none"/>
                <w:shd w:val="clear"/>
              </w:rPr>
            </w:pPr>
            <w:r>
              <w:rPr>
                <w:rFonts w:hint="eastAsia" w:ascii="Times New Roman" w:hAnsi="Times New Roman"/>
                <w:color w:val="auto"/>
                <w:highlight w:val="none"/>
                <w:shd w:val="clear"/>
              </w:rPr>
              <w:t>7.33</w:t>
            </w:r>
          </w:p>
        </w:tc>
      </w:tr>
      <w:tr w14:paraId="180D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0" w:type="pct"/>
            <w:tcBorders>
              <w:top w:val="single" w:color="auto" w:sz="4" w:space="0"/>
              <w:left w:val="single" w:color="auto" w:sz="4" w:space="0"/>
              <w:bottom w:val="single" w:color="auto" w:sz="4" w:space="0"/>
              <w:right w:val="single" w:color="auto" w:sz="4" w:space="0"/>
            </w:tcBorders>
            <w:vAlign w:val="center"/>
          </w:tcPr>
          <w:p w14:paraId="4185E4DF">
            <w:pPr>
              <w:pStyle w:val="29"/>
              <w:rPr>
                <w:rFonts w:ascii="Times New Roman" w:hAnsi="Times New Roman"/>
                <w:color w:val="auto"/>
                <w:highlight w:val="none"/>
                <w:shd w:val="clear"/>
              </w:rPr>
            </w:pPr>
            <w:r>
              <w:rPr>
                <w:rFonts w:hint="eastAsia" w:ascii="Times New Roman" w:hAnsi="Times New Roman"/>
                <w:color w:val="auto"/>
                <w:highlight w:val="none"/>
                <w:shd w:val="clear"/>
              </w:rPr>
              <w:t>安全施工费</w:t>
            </w:r>
          </w:p>
        </w:tc>
        <w:tc>
          <w:tcPr>
            <w:tcW w:w="1296" w:type="pct"/>
            <w:vMerge w:val="continue"/>
            <w:tcBorders>
              <w:top w:val="single" w:color="auto" w:sz="4" w:space="0"/>
              <w:left w:val="single" w:color="auto" w:sz="4" w:space="0"/>
              <w:bottom w:val="single" w:color="auto" w:sz="4" w:space="0"/>
              <w:right w:val="single" w:color="auto" w:sz="4" w:space="0"/>
            </w:tcBorders>
            <w:vAlign w:val="center"/>
          </w:tcPr>
          <w:p w14:paraId="48AA0EA9">
            <w:pPr>
              <w:pStyle w:val="29"/>
              <w:rPr>
                <w:rFonts w:ascii="Times New Roman" w:hAnsi="Times New Roman"/>
                <w:color w:val="auto"/>
                <w:highlight w:val="none"/>
                <w:shd w:val="clear"/>
              </w:rPr>
            </w:pPr>
          </w:p>
        </w:tc>
        <w:tc>
          <w:tcPr>
            <w:tcW w:w="1241" w:type="pct"/>
            <w:tcBorders>
              <w:top w:val="single" w:color="auto" w:sz="4" w:space="0"/>
              <w:left w:val="single" w:color="auto" w:sz="4" w:space="0"/>
              <w:bottom w:val="single" w:color="auto" w:sz="4" w:space="0"/>
              <w:right w:val="single" w:color="auto" w:sz="4" w:space="0"/>
            </w:tcBorders>
            <w:vAlign w:val="center"/>
          </w:tcPr>
          <w:p w14:paraId="3F014675">
            <w:pPr>
              <w:pStyle w:val="29"/>
              <w:rPr>
                <w:rFonts w:ascii="Times New Roman" w:hAnsi="Times New Roman"/>
                <w:color w:val="auto"/>
                <w:highlight w:val="none"/>
                <w:shd w:val="clear"/>
              </w:rPr>
            </w:pPr>
            <w:r>
              <w:rPr>
                <w:rFonts w:hint="eastAsia" w:ascii="Times New Roman" w:hAnsi="Times New Roman"/>
                <w:color w:val="auto"/>
                <w:highlight w:val="none"/>
                <w:shd w:val="clear"/>
              </w:rPr>
              <w:t>4.13</w:t>
            </w:r>
          </w:p>
        </w:tc>
        <w:tc>
          <w:tcPr>
            <w:tcW w:w="1312" w:type="pct"/>
            <w:tcBorders>
              <w:top w:val="single" w:color="auto" w:sz="4" w:space="0"/>
              <w:left w:val="single" w:color="auto" w:sz="4" w:space="0"/>
              <w:bottom w:val="single" w:color="auto" w:sz="4" w:space="0"/>
              <w:right w:val="single" w:color="auto" w:sz="4" w:space="0"/>
            </w:tcBorders>
            <w:vAlign w:val="center"/>
          </w:tcPr>
          <w:p w14:paraId="2EF8C0E9">
            <w:pPr>
              <w:pStyle w:val="29"/>
              <w:rPr>
                <w:rFonts w:ascii="Times New Roman" w:hAnsi="Times New Roman"/>
                <w:color w:val="auto"/>
                <w:highlight w:val="none"/>
                <w:shd w:val="clear"/>
              </w:rPr>
            </w:pPr>
            <w:r>
              <w:rPr>
                <w:rFonts w:hint="eastAsia" w:ascii="Times New Roman" w:hAnsi="Times New Roman"/>
                <w:color w:val="auto"/>
                <w:highlight w:val="none"/>
                <w:shd w:val="clear"/>
              </w:rPr>
              <w:t>5.28</w:t>
            </w:r>
          </w:p>
        </w:tc>
      </w:tr>
      <w:tr w14:paraId="3E6C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0" w:type="pct"/>
            <w:tcBorders>
              <w:top w:val="single" w:color="auto" w:sz="4" w:space="0"/>
              <w:left w:val="single" w:color="auto" w:sz="4" w:space="0"/>
              <w:bottom w:val="single" w:color="auto" w:sz="4" w:space="0"/>
              <w:right w:val="single" w:color="auto" w:sz="4" w:space="0"/>
            </w:tcBorders>
            <w:vAlign w:val="center"/>
          </w:tcPr>
          <w:p w14:paraId="55FFE47D">
            <w:pPr>
              <w:pStyle w:val="29"/>
              <w:rPr>
                <w:rFonts w:ascii="Times New Roman" w:hAnsi="Times New Roman"/>
                <w:color w:val="auto"/>
                <w:highlight w:val="none"/>
                <w:shd w:val="clear"/>
              </w:rPr>
            </w:pPr>
            <w:r>
              <w:rPr>
                <w:rFonts w:hint="eastAsia" w:ascii="Times New Roman" w:hAnsi="Times New Roman"/>
                <w:color w:val="auto"/>
                <w:highlight w:val="none"/>
                <w:shd w:val="clear"/>
              </w:rPr>
              <w:t>临时设施费</w:t>
            </w:r>
          </w:p>
        </w:tc>
        <w:tc>
          <w:tcPr>
            <w:tcW w:w="1296" w:type="pct"/>
            <w:vMerge w:val="continue"/>
            <w:tcBorders>
              <w:top w:val="single" w:color="auto" w:sz="4" w:space="0"/>
              <w:left w:val="single" w:color="auto" w:sz="4" w:space="0"/>
              <w:bottom w:val="single" w:color="auto" w:sz="4" w:space="0"/>
              <w:right w:val="single" w:color="auto" w:sz="4" w:space="0"/>
            </w:tcBorders>
            <w:vAlign w:val="center"/>
          </w:tcPr>
          <w:p w14:paraId="54ED838C">
            <w:pPr>
              <w:pStyle w:val="29"/>
              <w:rPr>
                <w:rFonts w:ascii="Times New Roman" w:hAnsi="Times New Roman"/>
                <w:color w:val="auto"/>
                <w:highlight w:val="none"/>
                <w:shd w:val="clear"/>
              </w:rPr>
            </w:pPr>
          </w:p>
        </w:tc>
        <w:tc>
          <w:tcPr>
            <w:tcW w:w="1241" w:type="pct"/>
            <w:tcBorders>
              <w:top w:val="single" w:color="auto" w:sz="4" w:space="0"/>
              <w:left w:val="single" w:color="auto" w:sz="4" w:space="0"/>
              <w:bottom w:val="single" w:color="auto" w:sz="4" w:space="0"/>
              <w:right w:val="single" w:color="auto" w:sz="4" w:space="0"/>
            </w:tcBorders>
            <w:vAlign w:val="center"/>
          </w:tcPr>
          <w:p w14:paraId="36DC8088">
            <w:pPr>
              <w:pStyle w:val="29"/>
              <w:rPr>
                <w:rFonts w:ascii="Times New Roman" w:hAnsi="Times New Roman"/>
                <w:color w:val="auto"/>
                <w:highlight w:val="none"/>
                <w:shd w:val="clear"/>
              </w:rPr>
            </w:pPr>
            <w:r>
              <w:rPr>
                <w:rFonts w:hint="eastAsia" w:ascii="Times New Roman" w:hAnsi="Times New Roman"/>
                <w:color w:val="auto"/>
                <w:highlight w:val="none"/>
                <w:shd w:val="clear"/>
              </w:rPr>
              <w:t>8.10</w:t>
            </w:r>
          </w:p>
        </w:tc>
        <w:tc>
          <w:tcPr>
            <w:tcW w:w="1312" w:type="pct"/>
            <w:tcBorders>
              <w:top w:val="single" w:color="auto" w:sz="4" w:space="0"/>
              <w:left w:val="single" w:color="auto" w:sz="4" w:space="0"/>
              <w:bottom w:val="single" w:color="auto" w:sz="4" w:space="0"/>
              <w:right w:val="single" w:color="auto" w:sz="4" w:space="0"/>
            </w:tcBorders>
            <w:vAlign w:val="center"/>
          </w:tcPr>
          <w:p w14:paraId="443B9FBF">
            <w:pPr>
              <w:pStyle w:val="29"/>
              <w:rPr>
                <w:rFonts w:ascii="Times New Roman" w:hAnsi="Times New Roman"/>
                <w:color w:val="auto"/>
                <w:highlight w:val="none"/>
                <w:shd w:val="clear"/>
              </w:rPr>
            </w:pPr>
            <w:r>
              <w:rPr>
                <w:rFonts w:hint="eastAsia" w:ascii="Times New Roman" w:hAnsi="Times New Roman"/>
                <w:color w:val="auto"/>
                <w:highlight w:val="none"/>
                <w:shd w:val="clear"/>
              </w:rPr>
              <w:t>9.99</w:t>
            </w:r>
          </w:p>
        </w:tc>
      </w:tr>
    </w:tbl>
    <w:p w14:paraId="5A074677">
      <w:pPr>
        <w:pStyle w:val="33"/>
        <w:rPr>
          <w:color w:val="auto"/>
          <w:highlight w:val="none"/>
          <w:shd w:val="clear"/>
        </w:rPr>
      </w:pPr>
      <w:bookmarkStart w:id="2074" w:name="_Toc130919125"/>
      <w:bookmarkStart w:id="2075" w:name="_Toc1265"/>
      <w:r>
        <w:rPr>
          <w:rFonts w:hint="eastAsia"/>
          <w:color w:val="auto"/>
          <w:highlight w:val="none"/>
          <w:shd w:val="clear"/>
        </w:rPr>
        <w:t>2.工程造价确定</w:t>
      </w:r>
      <w:bookmarkEnd w:id="2074"/>
      <w:bookmarkEnd w:id="2075"/>
    </w:p>
    <w:p w14:paraId="6427216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2.1 本项目采用工程量清单计价。</w:t>
      </w:r>
    </w:p>
    <w:p w14:paraId="4C39C5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2.2 除第二章“投标人须知</w:t>
      </w:r>
      <w:r>
        <w:rPr>
          <w:rFonts w:ascii="Times New Roman" w:hAnsi="Times New Roman"/>
          <w:color w:val="auto"/>
          <w:highlight w:val="none"/>
          <w:shd w:val="clear"/>
        </w:rPr>
        <w:t>”</w:t>
      </w:r>
      <w:r>
        <w:rPr>
          <w:rFonts w:hint="eastAsia" w:ascii="Times New Roman" w:hAnsi="Times New Roman"/>
          <w:color w:val="auto"/>
          <w:highlight w:val="none"/>
          <w:shd w:val="clear"/>
        </w:rPr>
        <w:t>前附表另有约定外，本项目计税采用增值税一般计税方法。</w:t>
      </w:r>
    </w:p>
    <w:p w14:paraId="5F62A7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2.3 建设工程造价由分部分项工程费、措施项目费、不可竞争费、其他项目费和税金构成。</w:t>
      </w:r>
    </w:p>
    <w:p w14:paraId="66C708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7CA613CB">
      <w:pPr>
        <w:pStyle w:val="33"/>
        <w:rPr>
          <w:color w:val="auto"/>
          <w:highlight w:val="none"/>
          <w:shd w:val="clear"/>
        </w:rPr>
      </w:pPr>
      <w:bookmarkStart w:id="2076" w:name="_Toc16638"/>
      <w:bookmarkStart w:id="2077" w:name="_Toc130919126"/>
      <w:r>
        <w:rPr>
          <w:rFonts w:hint="eastAsia"/>
          <w:color w:val="auto"/>
          <w:highlight w:val="none"/>
          <w:shd w:val="clear"/>
        </w:rPr>
        <w:t>3.招标工程量清单编制要求</w:t>
      </w:r>
      <w:bookmarkEnd w:id="2076"/>
      <w:bookmarkEnd w:id="2077"/>
    </w:p>
    <w:p w14:paraId="0A523F3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3.1 招标工程量清单编制依据如下：</w:t>
      </w:r>
    </w:p>
    <w:p w14:paraId="105107F7">
      <w:pPr>
        <w:pStyle w:val="22"/>
        <w:ind w:firstLine="420"/>
        <w:rPr>
          <w:rFonts w:ascii="Times New Roman" w:hAnsi="Times New Roman"/>
          <w:color w:val="auto"/>
          <w:highlight w:val="none"/>
          <w:shd w:val="clear"/>
        </w:rPr>
      </w:pPr>
      <w:r>
        <w:rPr>
          <w:rFonts w:ascii="Times New Roman" w:hAnsi="Times New Roman"/>
          <w:color w:val="auto"/>
          <w:highlight w:val="none"/>
          <w:shd w:val="clear"/>
        </w:rPr>
        <w:t>（1）2018版安徽省建设工程计价依据及相关配套定额；</w:t>
      </w:r>
    </w:p>
    <w:p w14:paraId="0FAB4B6D">
      <w:pPr>
        <w:pStyle w:val="22"/>
        <w:ind w:firstLine="420"/>
        <w:rPr>
          <w:rFonts w:ascii="Times New Roman" w:hAnsi="Times New Roman"/>
          <w:color w:val="auto"/>
          <w:highlight w:val="none"/>
          <w:shd w:val="clear"/>
        </w:rPr>
      </w:pPr>
      <w:r>
        <w:rPr>
          <w:rFonts w:ascii="Times New Roman" w:hAnsi="Times New Roman"/>
          <w:color w:val="auto"/>
          <w:highlight w:val="none"/>
          <w:shd w:val="clear"/>
        </w:rPr>
        <w:t>（2）关于发布《安徽省建设工程计价依据动态调整（第1期）》的公告（安徽省住房和城乡建设厅公告第51号）（以最新动态调整公告为准）；</w:t>
      </w:r>
    </w:p>
    <w:p w14:paraId="39794D05">
      <w:pPr>
        <w:pStyle w:val="22"/>
        <w:ind w:firstLine="420"/>
        <w:rPr>
          <w:rFonts w:ascii="Times New Roman" w:hAnsi="Times New Roman"/>
          <w:color w:val="auto"/>
          <w:highlight w:val="none"/>
          <w:shd w:val="clear"/>
        </w:rPr>
      </w:pPr>
      <w:r>
        <w:rPr>
          <w:rFonts w:ascii="Times New Roman" w:hAnsi="Times New Roman"/>
          <w:color w:val="auto"/>
          <w:highlight w:val="none"/>
          <w:shd w:val="clear"/>
        </w:rPr>
        <w:t>（3）《关于调整我省现行建设工程计价依据增值税税率的通知》（造价[2019]7号）；</w:t>
      </w:r>
    </w:p>
    <w:p w14:paraId="7D8C8A09">
      <w:pPr>
        <w:pStyle w:val="22"/>
        <w:ind w:firstLine="420"/>
        <w:rPr>
          <w:rFonts w:ascii="Times New Roman" w:hAnsi="Times New Roman"/>
          <w:color w:val="auto"/>
          <w:highlight w:val="none"/>
          <w:shd w:val="clear"/>
        </w:rPr>
      </w:pPr>
      <w:r>
        <w:rPr>
          <w:rFonts w:ascii="Times New Roman" w:hAnsi="Times New Roman"/>
          <w:color w:val="auto"/>
          <w:highlight w:val="none"/>
          <w:shd w:val="clear"/>
        </w:rPr>
        <w:t>（4）招标项目设计文件及相关资料；</w:t>
      </w:r>
    </w:p>
    <w:p w14:paraId="13987794">
      <w:pPr>
        <w:pStyle w:val="22"/>
        <w:ind w:firstLine="420"/>
        <w:rPr>
          <w:rFonts w:ascii="Times New Roman" w:hAnsi="Times New Roman"/>
          <w:color w:val="auto"/>
          <w:highlight w:val="none"/>
          <w:shd w:val="clear"/>
        </w:rPr>
      </w:pPr>
      <w:r>
        <w:rPr>
          <w:rFonts w:ascii="Times New Roman" w:hAnsi="Times New Roman"/>
          <w:color w:val="auto"/>
          <w:highlight w:val="none"/>
          <w:shd w:val="clear"/>
        </w:rPr>
        <w:t>（5）与招标项目有关的标准、规范、技术资料；</w:t>
      </w:r>
    </w:p>
    <w:p w14:paraId="5B30296D">
      <w:pPr>
        <w:pStyle w:val="22"/>
        <w:ind w:firstLine="420"/>
        <w:rPr>
          <w:rFonts w:ascii="Times New Roman" w:hAnsi="Times New Roman"/>
          <w:color w:val="auto"/>
          <w:highlight w:val="none"/>
          <w:shd w:val="clear"/>
        </w:rPr>
      </w:pPr>
      <w:r>
        <w:rPr>
          <w:rFonts w:ascii="Times New Roman" w:hAnsi="Times New Roman"/>
          <w:color w:val="auto"/>
          <w:highlight w:val="none"/>
          <w:shd w:val="clear"/>
        </w:rPr>
        <w:t>（6）招标文件及澄清修改；</w:t>
      </w:r>
    </w:p>
    <w:p w14:paraId="61B2316F">
      <w:pPr>
        <w:pStyle w:val="22"/>
        <w:ind w:firstLine="420"/>
        <w:rPr>
          <w:rFonts w:ascii="Times New Roman" w:hAnsi="Times New Roman"/>
          <w:color w:val="auto"/>
          <w:highlight w:val="none"/>
          <w:shd w:val="clear"/>
        </w:rPr>
      </w:pPr>
      <w:r>
        <w:rPr>
          <w:rFonts w:ascii="Times New Roman" w:hAnsi="Times New Roman"/>
          <w:color w:val="auto"/>
          <w:highlight w:val="none"/>
          <w:shd w:val="clear"/>
        </w:rPr>
        <w:t>（7）施工现场情况、地勘水文资料、工程特点及常规施工方案；</w:t>
      </w:r>
    </w:p>
    <w:p w14:paraId="0C1F4C50">
      <w:pPr>
        <w:pStyle w:val="22"/>
        <w:ind w:firstLine="420"/>
        <w:rPr>
          <w:rFonts w:ascii="Times New Roman" w:hAnsi="Times New Roman"/>
          <w:color w:val="auto"/>
          <w:highlight w:val="none"/>
          <w:shd w:val="clear"/>
        </w:rPr>
      </w:pPr>
      <w:r>
        <w:rPr>
          <w:rFonts w:ascii="Times New Roman" w:hAnsi="Times New Roman"/>
          <w:color w:val="auto"/>
          <w:highlight w:val="none"/>
          <w:shd w:val="clear"/>
        </w:rPr>
        <w:t>（8）招标人对招标项目其他相关要求文件。</w:t>
      </w:r>
    </w:p>
    <w:p w14:paraId="27BF5C8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3.2 招标工程量清单作为招标文件的组成部分，是编制最高投标限价、投标报价、计算工程量、调整合同价款、办理工程竣工结算以及工程索赔等的依据。</w:t>
      </w:r>
    </w:p>
    <w:p w14:paraId="734C604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3.3 分部分项工程量清单项目特征描述是结合本招标项目的实际情况予以描述。措施项目清单应结合招标项目的实际情况和常规的施工方案进行列项，并依据省建设工程费用定额的规定进行编制。</w:t>
      </w:r>
    </w:p>
    <w:p w14:paraId="5415A1F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3.4 招标工程量清单编制范围应与招标文件中明确的招标项目招标范围一致。工程量清单的组成内容应当完整、项目特征描述应准确全面，与施工图纸保持一致。</w:t>
      </w:r>
    </w:p>
    <w:p w14:paraId="5CF245A2">
      <w:pPr>
        <w:pStyle w:val="33"/>
        <w:rPr>
          <w:color w:val="auto"/>
          <w:highlight w:val="none"/>
          <w:shd w:val="clear"/>
        </w:rPr>
      </w:pPr>
      <w:bookmarkStart w:id="2078" w:name="_Toc130919127"/>
      <w:bookmarkStart w:id="2079" w:name="_Toc14024"/>
      <w:r>
        <w:rPr>
          <w:rFonts w:hint="eastAsia"/>
          <w:color w:val="auto"/>
          <w:highlight w:val="none"/>
          <w:shd w:val="clear"/>
        </w:rPr>
        <w:t>4.最高投标限价编制要求</w:t>
      </w:r>
      <w:bookmarkEnd w:id="2078"/>
      <w:bookmarkEnd w:id="2079"/>
    </w:p>
    <w:p w14:paraId="556642B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4.1 最高投标限价编制依据如下：</w:t>
      </w:r>
    </w:p>
    <w:p w14:paraId="4F19A79D">
      <w:pPr>
        <w:pStyle w:val="22"/>
        <w:ind w:firstLine="420"/>
        <w:rPr>
          <w:rFonts w:ascii="Times New Roman" w:hAnsi="Times New Roman"/>
          <w:color w:val="auto"/>
          <w:highlight w:val="none"/>
          <w:shd w:val="clear"/>
        </w:rPr>
      </w:pPr>
      <w:r>
        <w:rPr>
          <w:rFonts w:ascii="Times New Roman" w:hAnsi="Times New Roman"/>
          <w:color w:val="auto"/>
          <w:highlight w:val="none"/>
          <w:shd w:val="clear"/>
        </w:rPr>
        <w:t>（1）2018版安徽省建设工程计价依据及相关配套定额；</w:t>
      </w:r>
    </w:p>
    <w:p w14:paraId="26402307">
      <w:pPr>
        <w:pStyle w:val="22"/>
        <w:ind w:firstLine="420"/>
        <w:rPr>
          <w:rFonts w:ascii="Times New Roman" w:hAnsi="Times New Roman"/>
          <w:color w:val="auto"/>
          <w:highlight w:val="none"/>
          <w:shd w:val="clear"/>
        </w:rPr>
      </w:pPr>
      <w:r>
        <w:rPr>
          <w:rFonts w:ascii="Times New Roman" w:hAnsi="Times New Roman"/>
          <w:color w:val="auto"/>
          <w:highlight w:val="none"/>
          <w:shd w:val="clear"/>
        </w:rPr>
        <w:t>（2）关于发布《安徽省建设工程计价依据动态调整（第1期）》的公告（安徽省住房和城乡建设厅公告第51号）（以最新动态调整公告为准）；</w:t>
      </w:r>
    </w:p>
    <w:p w14:paraId="058C9A17">
      <w:pPr>
        <w:pStyle w:val="22"/>
        <w:ind w:firstLine="420"/>
        <w:rPr>
          <w:rFonts w:ascii="Times New Roman" w:hAnsi="Times New Roman"/>
          <w:color w:val="auto"/>
          <w:highlight w:val="none"/>
          <w:shd w:val="clear"/>
        </w:rPr>
      </w:pPr>
      <w:r>
        <w:rPr>
          <w:rFonts w:ascii="Times New Roman" w:hAnsi="Times New Roman"/>
          <w:color w:val="auto"/>
          <w:highlight w:val="none"/>
          <w:shd w:val="clear"/>
        </w:rPr>
        <w:t>（3）《关于调整我省现行建设工程计价依据增值税税率的通知》（造价[2019]7号）；</w:t>
      </w:r>
    </w:p>
    <w:p w14:paraId="7E000FF6">
      <w:pPr>
        <w:pStyle w:val="22"/>
        <w:ind w:firstLine="420"/>
        <w:rPr>
          <w:rFonts w:ascii="Times New Roman" w:hAnsi="Times New Roman"/>
          <w:color w:val="auto"/>
          <w:highlight w:val="none"/>
          <w:shd w:val="clear"/>
        </w:rPr>
      </w:pPr>
      <w:r>
        <w:rPr>
          <w:rFonts w:ascii="Times New Roman" w:hAnsi="Times New Roman"/>
          <w:color w:val="auto"/>
          <w:highlight w:val="none"/>
          <w:shd w:val="clear"/>
        </w:rPr>
        <w:t>（4）关于规范我省建设工程人工价格信息发布工作的通知(建标〔2021〕46号)；</w:t>
      </w:r>
    </w:p>
    <w:p w14:paraId="637145A1">
      <w:pPr>
        <w:pStyle w:val="22"/>
        <w:ind w:firstLine="420"/>
        <w:rPr>
          <w:rFonts w:ascii="Times New Roman" w:hAnsi="Times New Roman"/>
          <w:color w:val="auto"/>
          <w:highlight w:val="none"/>
          <w:shd w:val="clear"/>
        </w:rPr>
      </w:pPr>
      <w:r>
        <w:rPr>
          <w:rFonts w:ascii="Times New Roman" w:hAnsi="Times New Roman"/>
          <w:color w:val="auto"/>
          <w:highlight w:val="none"/>
          <w:shd w:val="clear"/>
        </w:rPr>
        <w:t>（5）招标项目设计文件及相关资料；</w:t>
      </w:r>
    </w:p>
    <w:p w14:paraId="0B8915AC">
      <w:pPr>
        <w:pStyle w:val="22"/>
        <w:ind w:firstLine="420"/>
        <w:rPr>
          <w:rFonts w:ascii="Times New Roman" w:hAnsi="Times New Roman"/>
          <w:color w:val="auto"/>
          <w:highlight w:val="none"/>
          <w:shd w:val="clear"/>
        </w:rPr>
      </w:pPr>
      <w:r>
        <w:rPr>
          <w:rFonts w:ascii="Times New Roman" w:hAnsi="Times New Roman"/>
          <w:color w:val="auto"/>
          <w:highlight w:val="none"/>
          <w:shd w:val="clear"/>
        </w:rPr>
        <w:t>（6）与招标项目有关的标准、规范、技术资料；</w:t>
      </w:r>
    </w:p>
    <w:p w14:paraId="25111558">
      <w:pPr>
        <w:pStyle w:val="22"/>
        <w:ind w:firstLine="420"/>
        <w:rPr>
          <w:rFonts w:ascii="Times New Roman" w:hAnsi="Times New Roman"/>
          <w:color w:val="auto"/>
          <w:highlight w:val="none"/>
          <w:shd w:val="clear"/>
        </w:rPr>
      </w:pPr>
      <w:r>
        <w:rPr>
          <w:rFonts w:ascii="Times New Roman" w:hAnsi="Times New Roman"/>
          <w:color w:val="auto"/>
          <w:highlight w:val="none"/>
          <w:shd w:val="clear"/>
        </w:rPr>
        <w:t>（7）招标文件及澄清修改；</w:t>
      </w:r>
    </w:p>
    <w:p w14:paraId="1B6C8ABE">
      <w:pPr>
        <w:pStyle w:val="22"/>
        <w:ind w:firstLine="420"/>
        <w:rPr>
          <w:rFonts w:ascii="Times New Roman" w:hAnsi="Times New Roman"/>
          <w:color w:val="auto"/>
          <w:highlight w:val="none"/>
          <w:shd w:val="clear"/>
        </w:rPr>
      </w:pPr>
      <w:r>
        <w:rPr>
          <w:rFonts w:ascii="Times New Roman" w:hAnsi="Times New Roman"/>
          <w:color w:val="auto"/>
          <w:highlight w:val="none"/>
          <w:shd w:val="clear"/>
        </w:rPr>
        <w:t>（8）施工现场情况、工程特点及常规施工方案；</w:t>
      </w:r>
    </w:p>
    <w:p w14:paraId="2E135039">
      <w:pPr>
        <w:pStyle w:val="22"/>
        <w:ind w:firstLine="420"/>
        <w:rPr>
          <w:rFonts w:ascii="Times New Roman" w:hAnsi="Times New Roman"/>
          <w:color w:val="auto"/>
          <w:highlight w:val="none"/>
          <w:shd w:val="clear"/>
        </w:rPr>
      </w:pPr>
      <w:r>
        <w:rPr>
          <w:rFonts w:ascii="Times New Roman" w:hAnsi="Times New Roman"/>
          <w:color w:val="auto"/>
          <w:highlight w:val="none"/>
          <w:shd w:val="clear"/>
        </w:rPr>
        <w:t>（9）工程造价管理机构发布的工程造价信息；</w:t>
      </w:r>
    </w:p>
    <w:p w14:paraId="35F97333">
      <w:pPr>
        <w:pStyle w:val="22"/>
        <w:ind w:firstLine="420"/>
        <w:rPr>
          <w:rFonts w:ascii="Times New Roman" w:hAnsi="Times New Roman"/>
          <w:color w:val="auto"/>
          <w:highlight w:val="none"/>
          <w:shd w:val="clear"/>
        </w:rPr>
      </w:pPr>
      <w:r>
        <w:rPr>
          <w:rFonts w:ascii="Times New Roman" w:hAnsi="Times New Roman"/>
          <w:color w:val="auto"/>
          <w:highlight w:val="none"/>
          <w:shd w:val="clear"/>
        </w:rPr>
        <w:t>（10）施工期间的风险因素；</w:t>
      </w:r>
    </w:p>
    <w:p w14:paraId="3DC532DC">
      <w:pPr>
        <w:pStyle w:val="22"/>
        <w:ind w:firstLine="420"/>
        <w:rPr>
          <w:rFonts w:ascii="Times New Roman" w:hAnsi="Times New Roman"/>
          <w:color w:val="auto"/>
          <w:highlight w:val="none"/>
          <w:shd w:val="clear"/>
        </w:rPr>
      </w:pPr>
      <w:r>
        <w:rPr>
          <w:rFonts w:ascii="Times New Roman" w:hAnsi="Times New Roman"/>
          <w:color w:val="auto"/>
          <w:highlight w:val="none"/>
          <w:shd w:val="clear"/>
        </w:rPr>
        <w:t>（11）其他相关材料。</w:t>
      </w:r>
    </w:p>
    <w:p w14:paraId="513CF8C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4.2 最高投标限价为本次招标</w:t>
      </w:r>
      <w:r>
        <w:rPr>
          <w:rFonts w:ascii="Times New Roman" w:hAnsi="Times New Roman"/>
          <w:color w:val="auto"/>
          <w:highlight w:val="none"/>
          <w:shd w:val="clear"/>
        </w:rPr>
        <w:t>项目</w:t>
      </w:r>
      <w:r>
        <w:rPr>
          <w:rFonts w:ascii="Times New Roman" w:hAnsi="Times New Roman"/>
          <w:color w:val="auto"/>
          <w:spacing w:val="9"/>
          <w:sz w:val="20"/>
          <w:szCs w:val="20"/>
          <w:highlight w:val="none"/>
          <w:shd w:val="clear"/>
        </w:rPr>
        <w:t>限定投标人投标报价的最高价格</w:t>
      </w:r>
      <w:r>
        <w:rPr>
          <w:rFonts w:hint="eastAsia" w:ascii="Times New Roman" w:hAnsi="Times New Roman"/>
          <w:color w:val="auto"/>
          <w:highlight w:val="none"/>
          <w:shd w:val="clear"/>
        </w:rPr>
        <w:t>，应当在工程所在地建设主管部门备案。最高投标限价不做上调或下浮。如最高投标限价超过批准的概算，招标人应将其报原概算审批部门审核。</w:t>
      </w:r>
    </w:p>
    <w:p w14:paraId="2B203EB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4.3 最高投标限价应采用综合单价计价，正确、全面地使用国家、省市标准、计价定额以及相关文件，成果文件质量应符合相关标准及规程的规定。</w:t>
      </w:r>
    </w:p>
    <w:p w14:paraId="0F11A45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4.4 分部分项工程费按本招标文件的分部分项工程量清单的项目特征描述及有关要求，结合第4.1款编制依据确定。</w:t>
      </w:r>
    </w:p>
    <w:p w14:paraId="32DAF64D">
      <w:pPr>
        <w:pStyle w:val="22"/>
        <w:ind w:firstLine="420"/>
        <w:rPr>
          <w:rFonts w:ascii="Times New Roman" w:hAnsi="Times New Roman"/>
          <w:color w:val="auto"/>
          <w:highlight w:val="none"/>
          <w:shd w:val="clear"/>
        </w:rPr>
      </w:pPr>
      <w:r>
        <w:rPr>
          <w:rFonts w:ascii="Times New Roman" w:hAnsi="Times New Roman"/>
          <w:color w:val="auto"/>
          <w:highlight w:val="none"/>
          <w:shd w:val="clear"/>
        </w:rPr>
        <w:t>（1）综合单价中人工和施工机械台班单价按省级和工程所在地的市级工程造价管理机构公布的单价计算；</w:t>
      </w:r>
    </w:p>
    <w:p w14:paraId="1527A724">
      <w:pPr>
        <w:pStyle w:val="22"/>
        <w:ind w:firstLine="420"/>
        <w:rPr>
          <w:rFonts w:ascii="Times New Roman" w:hAnsi="Times New Roman"/>
          <w:color w:val="auto"/>
          <w:highlight w:val="none"/>
          <w:shd w:val="clear"/>
        </w:rPr>
      </w:pPr>
      <w:r>
        <w:rPr>
          <w:rFonts w:ascii="Times New Roman" w:hAnsi="Times New Roman"/>
          <w:color w:val="auto"/>
          <w:highlight w:val="none"/>
          <w:shd w:val="clear"/>
        </w:rPr>
        <w:t>（2）综合单价中材料、工程设备单价按省级和工程所在地的市级工程造价管理机构公布的单价以及本招标文件规定的暂估价、市场调查价格计算；</w:t>
      </w:r>
    </w:p>
    <w:p w14:paraId="2D43C847">
      <w:pPr>
        <w:pStyle w:val="22"/>
        <w:ind w:firstLine="420"/>
        <w:rPr>
          <w:rFonts w:ascii="Times New Roman" w:hAnsi="Times New Roman"/>
          <w:color w:val="auto"/>
          <w:highlight w:val="none"/>
          <w:shd w:val="clear"/>
        </w:rPr>
      </w:pPr>
      <w:r>
        <w:rPr>
          <w:rFonts w:ascii="Times New Roman" w:hAnsi="Times New Roman"/>
          <w:color w:val="auto"/>
          <w:highlight w:val="none"/>
          <w:shd w:val="clear"/>
        </w:rPr>
        <w:t>（3）综合单价中人工、材料和施工机械台班消耗量均按2018版安徽省建设工程计价依据（含修编版）及其部分修编内容、安徽省装配式建筑工程计价定额、安徽省房屋修缮工程计价定额、安徽省市政设施养护维修工程计价定额中定额消耗量计算；</w:t>
      </w:r>
    </w:p>
    <w:p w14:paraId="1C67081D">
      <w:pPr>
        <w:pStyle w:val="22"/>
        <w:ind w:firstLine="420"/>
        <w:rPr>
          <w:rFonts w:ascii="Times New Roman" w:hAnsi="Times New Roman"/>
          <w:color w:val="auto"/>
          <w:highlight w:val="none"/>
          <w:shd w:val="clear"/>
        </w:rPr>
      </w:pPr>
      <w:r>
        <w:rPr>
          <w:rFonts w:ascii="Times New Roman" w:hAnsi="Times New Roman"/>
          <w:color w:val="auto"/>
          <w:highlight w:val="none"/>
          <w:shd w:val="clear"/>
        </w:rPr>
        <w:t>（5）综合单价中综合费费率按2018版安徽省建设工程计价依据及相关配套定额、关于发布《安徽省建设工程计价依据动态调整（第1期）》的公告（安徽省住房和城乡建设厅公告第51号）（以最新动态调整公告为准）计算；</w:t>
      </w:r>
    </w:p>
    <w:p w14:paraId="37AEFC7B">
      <w:pPr>
        <w:pStyle w:val="22"/>
        <w:ind w:firstLine="420"/>
        <w:rPr>
          <w:rFonts w:ascii="Times New Roman" w:hAnsi="Times New Roman"/>
          <w:color w:val="auto"/>
          <w:highlight w:val="none"/>
          <w:shd w:val="clear"/>
        </w:rPr>
      </w:pPr>
      <w:r>
        <w:rPr>
          <w:rFonts w:ascii="Times New Roman" w:hAnsi="Times New Roman"/>
          <w:color w:val="auto"/>
          <w:highlight w:val="none"/>
          <w:shd w:val="clear"/>
        </w:rPr>
        <w:t>（6）综合单价中应包括招标文件约定的应由投标人承担的风险范围及其费用，风险按本招标文件第4.1款约定计算。</w:t>
      </w:r>
    </w:p>
    <w:p w14:paraId="4F18BA2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4.5 计入分部分项工程量清单中技术措施项目清单，根据招标文件和常规施工方案确定。根据工程特点和施工条件，本着经济实用、先进高效的原则,确定施工机械设备的选型。综合单价依据招标项目具体情况进行合理确定，复杂项目按专家论证后的方案确定。</w:t>
      </w:r>
    </w:p>
    <w:p w14:paraId="02AA17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4.6 不可竞争费（含安全文明施工费、环境保护税）按本招标文件中的不可竞争项目清单编制确定。</w:t>
      </w:r>
    </w:p>
    <w:p w14:paraId="5262BE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4.7 其他项目费用应按照下列规定计价：</w:t>
      </w:r>
    </w:p>
    <w:p w14:paraId="3135CAD9">
      <w:pPr>
        <w:pStyle w:val="22"/>
        <w:ind w:firstLine="420"/>
        <w:rPr>
          <w:rFonts w:ascii="Times New Roman" w:hAnsi="Times New Roman"/>
          <w:color w:val="auto"/>
          <w:highlight w:val="none"/>
          <w:shd w:val="clear"/>
        </w:rPr>
      </w:pPr>
      <w:r>
        <w:rPr>
          <w:rFonts w:ascii="Times New Roman" w:hAnsi="Times New Roman"/>
          <w:color w:val="auto"/>
          <w:highlight w:val="none"/>
          <w:shd w:val="clear"/>
        </w:rPr>
        <w:t>（1）暂列金额、暂估价的累计金额分别不得</w:t>
      </w:r>
      <w:r>
        <w:rPr>
          <w:rFonts w:ascii="Times New Roman" w:hAnsi="Times New Roman"/>
          <w:color w:val="auto"/>
          <w:spacing w:val="5"/>
          <w:highlight w:val="none"/>
          <w:shd w:val="clear"/>
        </w:rPr>
        <w:t>超过最高投标限价的10%</w:t>
      </w:r>
      <w:r>
        <w:rPr>
          <w:rFonts w:ascii="Times New Roman" w:hAnsi="Times New Roman"/>
          <w:color w:val="auto"/>
          <w:highlight w:val="none"/>
          <w:shd w:val="clear"/>
        </w:rPr>
        <w:t>；</w:t>
      </w:r>
    </w:p>
    <w:p w14:paraId="77B3AF36">
      <w:pPr>
        <w:pStyle w:val="22"/>
        <w:ind w:firstLine="420"/>
        <w:rPr>
          <w:rFonts w:ascii="Times New Roman" w:hAnsi="Times New Roman"/>
          <w:color w:val="auto"/>
          <w:highlight w:val="none"/>
          <w:shd w:val="clear"/>
        </w:rPr>
      </w:pPr>
      <w:r>
        <w:rPr>
          <w:rFonts w:ascii="Times New Roman" w:hAnsi="Times New Roman"/>
          <w:color w:val="auto"/>
          <w:highlight w:val="none"/>
          <w:shd w:val="clear"/>
        </w:rPr>
        <w:t>（2）计日工的暂定数量应按拟招标项目情况进行估算，结合第4.1款编制依据的要求确定综合单价并计算费用；</w:t>
      </w:r>
    </w:p>
    <w:p w14:paraId="4355964A">
      <w:pPr>
        <w:pStyle w:val="22"/>
        <w:ind w:firstLine="420"/>
        <w:rPr>
          <w:rFonts w:ascii="Times New Roman" w:hAnsi="Times New Roman"/>
          <w:color w:val="auto"/>
          <w:highlight w:val="none"/>
          <w:shd w:val="clear"/>
        </w:rPr>
      </w:pPr>
      <w:r>
        <w:rPr>
          <w:rFonts w:ascii="Times New Roman" w:hAnsi="Times New Roman"/>
          <w:color w:val="auto"/>
          <w:highlight w:val="none"/>
          <w:shd w:val="clear"/>
        </w:rPr>
        <w:t>（3）总承包服务费应根据招标项目情况和要求列出服务项目及其内容，并根据省 建设工程费用定额的规定进行估算。</w:t>
      </w:r>
    </w:p>
    <w:p w14:paraId="45736F7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4.8 税金（增值税）按税金项目清单，结合第4.1款编制依据的要求编制，不得降低标准。</w:t>
      </w:r>
    </w:p>
    <w:p w14:paraId="78883F95">
      <w:pPr>
        <w:pStyle w:val="33"/>
        <w:rPr>
          <w:color w:val="auto"/>
          <w:highlight w:val="none"/>
          <w:shd w:val="clear"/>
        </w:rPr>
      </w:pPr>
      <w:bookmarkStart w:id="2080" w:name="_Toc130919128"/>
      <w:bookmarkStart w:id="2081" w:name="_Toc22790"/>
      <w:r>
        <w:rPr>
          <w:rFonts w:hint="eastAsia"/>
          <w:color w:val="auto"/>
          <w:highlight w:val="none"/>
          <w:shd w:val="clear"/>
        </w:rPr>
        <w:t>5.投标报价参考编制要求</w:t>
      </w:r>
      <w:bookmarkEnd w:id="2080"/>
      <w:bookmarkEnd w:id="2081"/>
    </w:p>
    <w:p w14:paraId="1DFC340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5.1 投标报价编制参考依据如下：</w:t>
      </w:r>
    </w:p>
    <w:p w14:paraId="6F650F50">
      <w:pPr>
        <w:pStyle w:val="22"/>
        <w:ind w:firstLine="420"/>
        <w:rPr>
          <w:rFonts w:ascii="Times New Roman" w:hAnsi="Times New Roman"/>
          <w:color w:val="auto"/>
          <w:highlight w:val="none"/>
          <w:shd w:val="clear"/>
        </w:rPr>
      </w:pPr>
      <w:r>
        <w:rPr>
          <w:rFonts w:ascii="Times New Roman" w:hAnsi="Times New Roman"/>
          <w:color w:val="auto"/>
          <w:highlight w:val="none"/>
          <w:shd w:val="clear"/>
        </w:rPr>
        <w:t>（1）2018版安徽省建设工程计价依据及相关配套定额；</w:t>
      </w:r>
    </w:p>
    <w:p w14:paraId="13096C4C">
      <w:pPr>
        <w:pStyle w:val="22"/>
        <w:ind w:firstLine="420"/>
        <w:rPr>
          <w:rFonts w:ascii="Times New Roman" w:hAnsi="Times New Roman"/>
          <w:color w:val="auto"/>
          <w:highlight w:val="none"/>
          <w:shd w:val="clear"/>
        </w:rPr>
      </w:pPr>
      <w:r>
        <w:rPr>
          <w:rFonts w:ascii="Times New Roman" w:hAnsi="Times New Roman"/>
          <w:color w:val="auto"/>
          <w:highlight w:val="none"/>
          <w:shd w:val="clear"/>
        </w:rPr>
        <w:t>（2）关于发布《安徽省建设工程计价依据动态调整（第1期）》的公告（安徽省住房和城乡建设厅公告第51号）（以最新动态调整公告为准）；</w:t>
      </w:r>
    </w:p>
    <w:p w14:paraId="6B8C5960">
      <w:pPr>
        <w:pStyle w:val="22"/>
        <w:ind w:firstLine="420"/>
        <w:rPr>
          <w:rFonts w:ascii="Times New Roman" w:hAnsi="Times New Roman"/>
          <w:color w:val="auto"/>
          <w:highlight w:val="none"/>
          <w:shd w:val="clear"/>
        </w:rPr>
      </w:pPr>
      <w:r>
        <w:rPr>
          <w:rFonts w:ascii="Times New Roman" w:hAnsi="Times New Roman"/>
          <w:color w:val="auto"/>
          <w:highlight w:val="none"/>
          <w:shd w:val="clear"/>
        </w:rPr>
        <w:t>（3）《关于调整我省现行建设工程计价依据增值税税率的通知》（造价[2019]7号）；</w:t>
      </w:r>
    </w:p>
    <w:p w14:paraId="024DB9CE">
      <w:pPr>
        <w:pStyle w:val="22"/>
        <w:ind w:firstLine="420"/>
        <w:rPr>
          <w:rFonts w:ascii="Times New Roman" w:hAnsi="Times New Roman"/>
          <w:color w:val="auto"/>
          <w:highlight w:val="none"/>
          <w:shd w:val="clear"/>
        </w:rPr>
      </w:pPr>
      <w:r>
        <w:rPr>
          <w:rFonts w:ascii="Times New Roman" w:hAnsi="Times New Roman"/>
          <w:color w:val="auto"/>
          <w:highlight w:val="none"/>
          <w:shd w:val="clear"/>
        </w:rPr>
        <w:t>（4）关于规范我省建设工程人工价格信息发布工作的通知(建标〔2021〕46号)；</w:t>
      </w:r>
    </w:p>
    <w:p w14:paraId="7ADDC61C">
      <w:pPr>
        <w:pStyle w:val="22"/>
        <w:ind w:firstLine="420"/>
        <w:rPr>
          <w:rFonts w:ascii="Times New Roman" w:hAnsi="Times New Roman"/>
          <w:color w:val="auto"/>
          <w:highlight w:val="none"/>
          <w:shd w:val="clear"/>
        </w:rPr>
      </w:pPr>
      <w:r>
        <w:rPr>
          <w:rFonts w:ascii="Times New Roman" w:hAnsi="Times New Roman"/>
          <w:color w:val="auto"/>
          <w:highlight w:val="none"/>
          <w:shd w:val="clear"/>
        </w:rPr>
        <w:t>（5）招标项目设计文件及相关资料；</w:t>
      </w:r>
    </w:p>
    <w:p w14:paraId="29061BCF">
      <w:pPr>
        <w:pStyle w:val="22"/>
        <w:ind w:firstLine="420"/>
        <w:rPr>
          <w:rFonts w:ascii="Times New Roman" w:hAnsi="Times New Roman"/>
          <w:color w:val="auto"/>
          <w:highlight w:val="none"/>
          <w:shd w:val="clear"/>
        </w:rPr>
      </w:pPr>
      <w:r>
        <w:rPr>
          <w:rFonts w:ascii="Times New Roman" w:hAnsi="Times New Roman"/>
          <w:color w:val="auto"/>
          <w:highlight w:val="none"/>
          <w:shd w:val="clear"/>
        </w:rPr>
        <w:t>（6）与招标项目有关的标准、规范、技术资料；</w:t>
      </w:r>
    </w:p>
    <w:p w14:paraId="6A659383">
      <w:pPr>
        <w:pStyle w:val="22"/>
        <w:ind w:firstLine="420"/>
        <w:rPr>
          <w:rFonts w:ascii="Times New Roman" w:hAnsi="Times New Roman"/>
          <w:color w:val="auto"/>
          <w:highlight w:val="none"/>
          <w:shd w:val="clear"/>
        </w:rPr>
      </w:pPr>
      <w:r>
        <w:rPr>
          <w:rFonts w:ascii="Times New Roman" w:hAnsi="Times New Roman"/>
          <w:color w:val="auto"/>
          <w:highlight w:val="none"/>
          <w:shd w:val="clear"/>
        </w:rPr>
        <w:t>（7）招标文件及招标工程量清单及其补充通知答疑纪要；</w:t>
      </w:r>
    </w:p>
    <w:p w14:paraId="55D8F516">
      <w:pPr>
        <w:pStyle w:val="22"/>
        <w:ind w:firstLine="420"/>
        <w:rPr>
          <w:rFonts w:ascii="Times New Roman" w:hAnsi="Times New Roman"/>
          <w:color w:val="auto"/>
          <w:highlight w:val="none"/>
          <w:shd w:val="clear"/>
        </w:rPr>
      </w:pPr>
      <w:r>
        <w:rPr>
          <w:rFonts w:ascii="Times New Roman" w:hAnsi="Times New Roman"/>
          <w:color w:val="auto"/>
          <w:highlight w:val="none"/>
          <w:shd w:val="clear"/>
        </w:rPr>
        <w:t>（8）施工现场情况、工程特点及常规施工方案；</w:t>
      </w:r>
    </w:p>
    <w:p w14:paraId="7F3F276D">
      <w:pPr>
        <w:pStyle w:val="22"/>
        <w:ind w:firstLine="420"/>
        <w:rPr>
          <w:rFonts w:ascii="Times New Roman" w:hAnsi="Times New Roman"/>
          <w:color w:val="auto"/>
          <w:highlight w:val="none"/>
          <w:shd w:val="clear"/>
        </w:rPr>
      </w:pPr>
      <w:r>
        <w:rPr>
          <w:rFonts w:ascii="Times New Roman" w:hAnsi="Times New Roman"/>
          <w:color w:val="auto"/>
          <w:highlight w:val="none"/>
          <w:shd w:val="clear"/>
        </w:rPr>
        <w:t>（9）工程造价管理机构发布的工程造价信息；</w:t>
      </w:r>
    </w:p>
    <w:p w14:paraId="34D88A04">
      <w:pPr>
        <w:pStyle w:val="22"/>
        <w:ind w:firstLine="420"/>
        <w:rPr>
          <w:rFonts w:ascii="Times New Roman" w:hAnsi="Times New Roman"/>
          <w:color w:val="auto"/>
          <w:highlight w:val="none"/>
          <w:shd w:val="clear"/>
        </w:rPr>
      </w:pPr>
      <w:r>
        <w:rPr>
          <w:rFonts w:ascii="Times New Roman" w:hAnsi="Times New Roman"/>
          <w:color w:val="auto"/>
          <w:highlight w:val="none"/>
          <w:shd w:val="clear"/>
        </w:rPr>
        <w:t>（10）施工期间的风险因素；</w:t>
      </w:r>
    </w:p>
    <w:p w14:paraId="72339A62">
      <w:pPr>
        <w:pStyle w:val="22"/>
        <w:ind w:firstLine="420"/>
        <w:rPr>
          <w:rFonts w:ascii="Times New Roman" w:hAnsi="Times New Roman"/>
          <w:color w:val="auto"/>
          <w:highlight w:val="none"/>
          <w:shd w:val="clear"/>
        </w:rPr>
      </w:pPr>
      <w:r>
        <w:rPr>
          <w:rFonts w:ascii="Times New Roman" w:hAnsi="Times New Roman"/>
          <w:color w:val="auto"/>
          <w:highlight w:val="none"/>
          <w:shd w:val="clear"/>
        </w:rPr>
        <w:t>（11）其他相关材料。</w:t>
      </w:r>
    </w:p>
    <w:p w14:paraId="40B6A7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5.2 投标人应仔细阅读招标文件，了解投标合同段的全部工程内容。投标人的投标报价应是招标文件所确定的招标范围内全部工程内容的价格体现，但其投标报价不得低于投标人个别成本价。</w:t>
      </w:r>
    </w:p>
    <w:p w14:paraId="3A36447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5.3 投标人应按招标人提供的招标工程量清单填报综合单价和合价，未填报的综合单价和合价，视为此项费用已合在工程量清单的其他综合单价和合价中。</w:t>
      </w:r>
    </w:p>
    <w:p w14:paraId="4EEDCB9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13A866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5.5 措施项目费依据第5.1款编制依据确定。</w:t>
      </w:r>
    </w:p>
    <w:p w14:paraId="3E7CA57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5.6 不可竞争费（含安全文明施工费、环境保护税）根据工程量清单不可竞争项目，结合第5.1款编制依据确定，安全文明施工费费率不得调整。</w:t>
      </w:r>
    </w:p>
    <w:p w14:paraId="4EE545C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5.7 其他项目费用应按照下列规定计价：</w:t>
      </w:r>
    </w:p>
    <w:p w14:paraId="4CB4062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（1）暂列金额按招标工程量清单中列出的金额填写，不得更改；</w:t>
      </w:r>
    </w:p>
    <w:p w14:paraId="315C7B2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（2）专业工程暂估价按招标工程量清单中列出的金额填写，不得更改；</w:t>
      </w:r>
    </w:p>
    <w:p w14:paraId="43ED6C7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（3）计日工按招标人列出项目和数量，结合第5.1款编制依据的要求确定综合单价并计算费用；</w:t>
      </w:r>
    </w:p>
    <w:p w14:paraId="066727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（4）总承包服务费根据招标文件列出的内容和要求计算。</w:t>
      </w:r>
    </w:p>
    <w:p w14:paraId="3E677AB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5.8 税金（增值税）按税金项目清单，结合第5.1款编制依据的要求编制，不得调整。</w:t>
      </w:r>
    </w:p>
    <w:p w14:paraId="22DB9FA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5.9 投标报价编制注意事项</w:t>
      </w:r>
    </w:p>
    <w:p w14:paraId="5E8906C9">
      <w:pPr>
        <w:pStyle w:val="36"/>
        <w:keepNext w:val="0"/>
        <w:ind w:firstLine="420" w:firstLineChars="200"/>
        <w:rPr>
          <w:rFonts w:hint="default" w:ascii="Times New Roman" w:hAnsi="Times New Roman"/>
          <w:color w:val="auto"/>
          <w:highlight w:val="none"/>
          <w:shd w:val="clear"/>
        </w:rPr>
      </w:pPr>
      <w:r>
        <w:rPr>
          <w:rFonts w:ascii="Times New Roman" w:hAnsi="Times New Roman"/>
          <w:color w:val="auto"/>
          <w:highlight w:val="none"/>
          <w:shd w:val="clear"/>
        </w:rPr>
        <w:t>（1）除合同约定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9D6388B">
      <w:pPr>
        <w:pStyle w:val="22"/>
        <w:ind w:firstLine="420"/>
        <w:rPr>
          <w:rFonts w:ascii="Times New Roman" w:hAnsi="Times New Roman"/>
          <w:color w:val="auto"/>
          <w:highlight w:val="none"/>
          <w:shd w:val="clear"/>
        </w:rPr>
      </w:pPr>
      <w:r>
        <w:rPr>
          <w:rFonts w:ascii="Times New Roman" w:hAnsi="Times New Roman"/>
          <w:color w:val="auto"/>
          <w:highlight w:val="none"/>
          <w:shd w:val="clear"/>
        </w:rPr>
        <w:t>（2）结算时实行暂估价的材料和设备的价差仅计取税金（增值税），不再计取其他费用；</w:t>
      </w:r>
    </w:p>
    <w:p w14:paraId="3A43F913">
      <w:pPr>
        <w:pStyle w:val="33"/>
        <w:rPr>
          <w:color w:val="auto"/>
          <w:highlight w:val="none"/>
          <w:shd w:val="clear"/>
        </w:rPr>
      </w:pPr>
      <w:bookmarkStart w:id="2082" w:name="_Toc9004"/>
      <w:bookmarkStart w:id="2083" w:name="_Toc130919129"/>
      <w:r>
        <w:rPr>
          <w:rFonts w:hint="eastAsia"/>
          <w:color w:val="auto"/>
          <w:highlight w:val="none"/>
          <w:shd w:val="clear"/>
        </w:rPr>
        <w:t>6.工程量清单</w:t>
      </w:r>
      <w:bookmarkEnd w:id="2082"/>
      <w:bookmarkEnd w:id="2083"/>
    </w:p>
    <w:p w14:paraId="5CB719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另册。</w:t>
      </w:r>
    </w:p>
    <w:p w14:paraId="7765CDBF">
      <w:pPr>
        <w:spacing w:line="360" w:lineRule="auto"/>
        <w:jc w:val="left"/>
        <w:rPr>
          <w:rFonts w:ascii="Times New Roman" w:hAnsi="Times New Roman"/>
          <w:color w:val="auto"/>
          <w:highlight w:val="none"/>
          <w:shd w:val="clear"/>
        </w:rPr>
      </w:pPr>
    </w:p>
    <w:permEnd w:id="95"/>
    <w:p w14:paraId="2086A48B">
      <w:pPr>
        <w:adjustRightInd w:val="0"/>
        <w:spacing w:line="400" w:lineRule="exact"/>
        <w:jc w:val="center"/>
        <w:outlineLvl w:val="1"/>
        <w:rPr>
          <w:rFonts w:ascii="Times New Roman" w:hAnsi="Times New Roman"/>
          <w:b/>
          <w:color w:val="auto"/>
          <w:sz w:val="32"/>
          <w:highlight w:val="none"/>
          <w:shd w:val="cle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00F52CAD">
      <w:pPr>
        <w:pStyle w:val="24"/>
        <w:rPr>
          <w:rFonts w:ascii="Times New Roman" w:hAnsi="Times New Roman"/>
          <w:color w:val="auto"/>
          <w:highlight w:val="none"/>
          <w:shd w:val="clear"/>
        </w:rPr>
      </w:pPr>
      <w:bookmarkStart w:id="2084" w:name="_Toc170805769"/>
      <w:r>
        <w:rPr>
          <w:rFonts w:hint="eastAsia" w:ascii="Times New Roman" w:hAnsi="Times New Roman"/>
          <w:color w:val="auto"/>
          <w:highlight w:val="none"/>
          <w:shd w:val="clear"/>
        </w:rPr>
        <w:t xml:space="preserve">第六章  </w:t>
      </w:r>
      <w:bookmarkStart w:id="2085" w:name="_Toc10656"/>
      <w:r>
        <w:rPr>
          <w:rFonts w:hint="eastAsia" w:ascii="Times New Roman" w:hAnsi="Times New Roman"/>
          <w:color w:val="auto"/>
          <w:highlight w:val="none"/>
          <w:shd w:val="clear"/>
        </w:rPr>
        <w:t>图  纸</w:t>
      </w:r>
      <w:bookmarkEnd w:id="2084"/>
      <w:bookmarkEnd w:id="2085"/>
    </w:p>
    <w:p w14:paraId="43785D2D">
      <w:pPr>
        <w:rPr>
          <w:rFonts w:ascii="Times New Roman" w:hAnsi="Times New Roman"/>
          <w:color w:val="auto"/>
          <w:szCs w:val="24"/>
          <w:highlight w:val="none"/>
          <w:shd w:val="clear"/>
        </w:rPr>
      </w:pPr>
      <w:permStart w:id="96" w:edGrp="everyone"/>
      <w:bookmarkStart w:id="2086" w:name="_Hlk164168623"/>
    </w:p>
    <w:p w14:paraId="7B9B593E">
      <w:pPr>
        <w:pStyle w:val="22"/>
        <w:ind w:firstLine="420"/>
        <w:rPr>
          <w:rFonts w:ascii="Times New Roman" w:hAnsi="Times New Roman"/>
          <w:color w:val="auto"/>
          <w:highlight w:val="none"/>
          <w:shd w:val="clear"/>
        </w:rPr>
      </w:pPr>
      <w:bookmarkStart w:id="2087" w:name="_Toc170804203"/>
      <w:bookmarkStart w:id="2088" w:name="_Toc23955"/>
      <w:bookmarkStart w:id="2089" w:name="_Toc170805391"/>
      <w:bookmarkStart w:id="2090" w:name="_Toc170805771"/>
      <w:r>
        <w:rPr>
          <w:rFonts w:hint="eastAsia" w:ascii="Times New Roman" w:hAnsi="Times New Roman"/>
          <w:color w:val="auto"/>
          <w:highlight w:val="none"/>
          <w:shd w:val="clear"/>
          <w:lang w:val="zh-CN"/>
        </w:rPr>
        <w:t>图纸（另册）</w:t>
      </w:r>
      <w:bookmarkEnd w:id="2086"/>
      <w:bookmarkEnd w:id="2087"/>
      <w:bookmarkEnd w:id="2088"/>
      <w:bookmarkEnd w:id="2089"/>
      <w:bookmarkEnd w:id="2090"/>
    </w:p>
    <w:p w14:paraId="11BB8DD2">
      <w:pPr>
        <w:pStyle w:val="24"/>
        <w:rPr>
          <w:rFonts w:ascii="Times New Roman" w:hAnsi="Times New Roman"/>
          <w:color w:val="auto"/>
          <w:highlight w:val="none"/>
          <w:shd w:val="clear"/>
        </w:rPr>
      </w:pPr>
      <w:r>
        <w:rPr>
          <w:rFonts w:hint="eastAsia" w:ascii="Times New Roman" w:hAnsi="Times New Roman" w:cs="宋体"/>
          <w:color w:val="auto"/>
          <w:highlight w:val="none"/>
          <w:shd w:val="clear"/>
        </w:rPr>
        <w:br w:type="page"/>
      </w:r>
      <w:permEnd w:id="96"/>
      <w:bookmarkStart w:id="2091" w:name="_Toc4608"/>
      <w:bookmarkStart w:id="2092" w:name="_Toc170805772"/>
      <w:r>
        <w:rPr>
          <w:rFonts w:hint="eastAsia" w:ascii="Times New Roman" w:hAnsi="Times New Roman"/>
          <w:color w:val="auto"/>
          <w:highlight w:val="none"/>
          <w:shd w:val="clear"/>
        </w:rPr>
        <w:t>第七章  技术标准和要求</w:t>
      </w:r>
      <w:bookmarkEnd w:id="2091"/>
      <w:bookmarkEnd w:id="2092"/>
    </w:p>
    <w:p w14:paraId="633C7326">
      <w:pPr>
        <w:pStyle w:val="33"/>
        <w:rPr>
          <w:color w:val="auto"/>
          <w:highlight w:val="none"/>
          <w:shd w:val="clear"/>
        </w:rPr>
      </w:pPr>
      <w:permStart w:id="97" w:edGrp="everyone"/>
      <w:bookmarkStart w:id="2093" w:name="_Toc32647"/>
      <w:bookmarkStart w:id="2094" w:name="_Toc170805773"/>
      <w:bookmarkStart w:id="2095" w:name="_Toc170805393"/>
      <w:bookmarkStart w:id="2096" w:name="_Toc170804205"/>
      <w:r>
        <w:rPr>
          <w:rFonts w:hint="eastAsia"/>
          <w:color w:val="auto"/>
          <w:highlight w:val="none"/>
          <w:shd w:val="clear"/>
        </w:rPr>
        <w:t>1.一般要求</w:t>
      </w:r>
      <w:bookmarkEnd w:id="2093"/>
      <w:bookmarkEnd w:id="2094"/>
      <w:bookmarkEnd w:id="2095"/>
      <w:bookmarkEnd w:id="2096"/>
    </w:p>
    <w:p w14:paraId="211A6C0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见施工图纸。</w:t>
      </w:r>
    </w:p>
    <w:p w14:paraId="0DAFC9C6">
      <w:pPr>
        <w:pStyle w:val="33"/>
        <w:rPr>
          <w:color w:val="auto"/>
          <w:highlight w:val="none"/>
          <w:shd w:val="clear"/>
        </w:rPr>
      </w:pPr>
      <w:bookmarkStart w:id="2097" w:name="_Toc170805394"/>
      <w:bookmarkStart w:id="2098" w:name="_Toc170804206"/>
      <w:bookmarkStart w:id="2099" w:name="_Toc170805774"/>
      <w:bookmarkStart w:id="2100" w:name="_Toc26107"/>
      <w:r>
        <w:rPr>
          <w:rFonts w:hint="eastAsia"/>
          <w:color w:val="auto"/>
          <w:highlight w:val="none"/>
          <w:shd w:val="clear"/>
        </w:rPr>
        <w:t>2.特殊技术标准和要求</w:t>
      </w:r>
      <w:bookmarkEnd w:id="2097"/>
      <w:bookmarkEnd w:id="2098"/>
      <w:bookmarkEnd w:id="2099"/>
      <w:bookmarkEnd w:id="2100"/>
    </w:p>
    <w:p w14:paraId="5A8D8C64">
      <w:pPr>
        <w:pStyle w:val="33"/>
        <w:ind w:firstLine="480" w:firstLineChars="200"/>
        <w:rPr>
          <w:rFonts w:hint="eastAsia"/>
          <w:color w:val="auto"/>
          <w:highlight w:val="none"/>
          <w:shd w:val="clear"/>
          <w:lang w:val="en-US" w:eastAsia="zh-CN"/>
        </w:rPr>
      </w:pPr>
      <w:bookmarkStart w:id="2101" w:name="_Toc30517"/>
      <w:bookmarkStart w:id="2102" w:name="_Toc170805395"/>
      <w:bookmarkStart w:id="2103" w:name="_Toc170804207"/>
      <w:bookmarkStart w:id="2104" w:name="_Toc170805775"/>
      <w:r>
        <w:rPr>
          <w:rFonts w:hint="eastAsia"/>
          <w:color w:val="auto"/>
          <w:highlight w:val="none"/>
          <w:shd w:val="clear"/>
          <w:lang w:val="en-US" w:eastAsia="zh-CN"/>
        </w:rPr>
        <w:t>无</w:t>
      </w:r>
    </w:p>
    <w:p w14:paraId="444EF590">
      <w:pPr>
        <w:pStyle w:val="33"/>
        <w:rPr>
          <w:color w:val="auto"/>
          <w:highlight w:val="none"/>
          <w:shd w:val="clear"/>
        </w:rPr>
      </w:pPr>
      <w:r>
        <w:rPr>
          <w:rFonts w:hint="eastAsia"/>
          <w:color w:val="auto"/>
          <w:highlight w:val="none"/>
          <w:shd w:val="clear"/>
        </w:rPr>
        <w:t>3.适用的国家、行业以及地方标准、规范和规程</w:t>
      </w:r>
      <w:bookmarkEnd w:id="2101"/>
      <w:bookmarkEnd w:id="2102"/>
      <w:bookmarkEnd w:id="2103"/>
      <w:bookmarkEnd w:id="2104"/>
    </w:p>
    <w:p w14:paraId="242F5C7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本招标项目施工、验收须达到设计文件的要求和国家及有关部委、安徽省、项目所在市现行的工程建设标准、规范、规定的要求（文件标准之间相互冲突的，以标准较高者为准）；</w:t>
      </w:r>
    </w:p>
    <w:p w14:paraId="3AF16C68">
      <w:pPr>
        <w:pStyle w:val="33"/>
        <w:rPr>
          <w:color w:val="auto"/>
          <w:highlight w:val="none"/>
          <w:shd w:val="clear"/>
        </w:rPr>
      </w:pPr>
      <w:bookmarkStart w:id="2105" w:name="_Toc170805778"/>
      <w:bookmarkStart w:id="2106" w:name="_Toc170804210"/>
      <w:bookmarkStart w:id="2107" w:name="_Toc170805398"/>
      <w:r>
        <w:rPr>
          <w:rFonts w:hint="eastAsia"/>
          <w:color w:val="auto"/>
          <w:highlight w:val="none"/>
          <w:shd w:val="clear"/>
          <w:lang w:val="en-US" w:eastAsia="zh-CN"/>
        </w:rPr>
        <w:t>4</w:t>
      </w:r>
      <w:r>
        <w:rPr>
          <w:rFonts w:hint="eastAsia"/>
          <w:color w:val="auto"/>
          <w:highlight w:val="none"/>
          <w:shd w:val="clear"/>
        </w:rPr>
        <w:t>.材料与设备要求</w:t>
      </w:r>
      <w:bookmarkEnd w:id="2105"/>
      <w:bookmarkEnd w:id="2106"/>
      <w:bookmarkEnd w:id="2107"/>
    </w:p>
    <w:p w14:paraId="5AD8ACAB">
      <w:pPr>
        <w:pStyle w:val="22"/>
        <w:ind w:firstLine="420"/>
        <w:rPr>
          <w:rFonts w:hint="eastAsia" w:ascii="Times New Roman" w:hAnsi="Times New Roman" w:eastAsia="宋体"/>
          <w:color w:val="auto"/>
          <w:highlight w:val="none"/>
          <w:shd w:val="clear"/>
          <w:lang w:eastAsia="zh-CN"/>
        </w:rPr>
      </w:pPr>
      <w:r>
        <w:rPr>
          <w:rFonts w:hint="eastAsia" w:ascii="Times New Roman" w:hAnsi="Times New Roman"/>
          <w:color w:val="auto"/>
          <w:highlight w:val="none"/>
          <w:shd w:val="clear"/>
        </w:rPr>
        <w:t>材料</w:t>
      </w:r>
      <w:r>
        <w:rPr>
          <w:rFonts w:hint="eastAsia" w:ascii="Times New Roman" w:hAnsi="Times New Roman"/>
          <w:color w:val="auto"/>
          <w:highlight w:val="none"/>
          <w:shd w:val="clear"/>
          <w:lang w:val="en-US" w:eastAsia="zh-CN"/>
        </w:rPr>
        <w:t>与设备</w:t>
      </w:r>
      <w:r>
        <w:rPr>
          <w:rFonts w:hint="eastAsia" w:ascii="Times New Roman" w:hAnsi="Times New Roman"/>
          <w:color w:val="auto"/>
          <w:highlight w:val="none"/>
          <w:shd w:val="clear"/>
        </w:rPr>
        <w:t>由中标人自行采购</w:t>
      </w:r>
      <w:r>
        <w:rPr>
          <w:rFonts w:hint="eastAsia" w:ascii="Times New Roman" w:hAnsi="Times New Roman"/>
          <w:color w:val="auto"/>
          <w:highlight w:val="none"/>
          <w:shd w:val="clear"/>
          <w:lang w:eastAsia="zh-CN"/>
        </w:rPr>
        <w:t>。</w:t>
      </w:r>
    </w:p>
    <w:permEnd w:id="97"/>
    <w:p w14:paraId="7F1520AB">
      <w:pPr>
        <w:keepNext/>
        <w:keepLines/>
        <w:spacing w:line="360" w:lineRule="auto"/>
        <w:jc w:val="center"/>
        <w:outlineLvl w:val="0"/>
        <w:rPr>
          <w:rStyle w:val="38"/>
          <w:rFonts w:ascii="Times New Roman" w:hAnsi="Times New Roman"/>
          <w:bCs w:val="0"/>
          <w:color w:val="auto"/>
          <w:highlight w:val="none"/>
          <w:shd w:val="clear"/>
        </w:rPr>
      </w:pPr>
      <w:r>
        <w:rPr>
          <w:rFonts w:hint="eastAsia" w:ascii="Times New Roman" w:hAnsi="Times New Roman"/>
          <w:b/>
          <w:color w:val="auto"/>
          <w:kern w:val="44"/>
          <w:sz w:val="32"/>
          <w:szCs w:val="44"/>
          <w:highlight w:val="none"/>
          <w:shd w:val="clear"/>
          <w:lang w:val="zh-CN"/>
        </w:rPr>
        <w:br w:type="page"/>
      </w:r>
      <w:bookmarkStart w:id="2108" w:name="_Toc5598"/>
      <w:bookmarkStart w:id="2109" w:name="_Toc170805780"/>
      <w:r>
        <w:rPr>
          <w:rStyle w:val="38"/>
          <w:rFonts w:hint="eastAsia" w:ascii="Times New Roman" w:hAnsi="Times New Roman"/>
          <w:bCs w:val="0"/>
          <w:color w:val="auto"/>
          <w:highlight w:val="none"/>
          <w:shd w:val="clear"/>
        </w:rPr>
        <w:t>第八章  投标文件格式</w:t>
      </w:r>
      <w:bookmarkEnd w:id="2108"/>
      <w:bookmarkEnd w:id="2109"/>
    </w:p>
    <w:p w14:paraId="68932F63">
      <w:pPr>
        <w:jc w:val="center"/>
        <w:rPr>
          <w:rFonts w:ascii="Times New Roman" w:hAnsi="Times New Roman"/>
          <w:color w:val="auto"/>
          <w:sz w:val="32"/>
          <w:szCs w:val="32"/>
          <w:highlight w:val="none"/>
          <w:shd w:val="clear"/>
        </w:rPr>
      </w:pPr>
      <w:r>
        <w:rPr>
          <w:rFonts w:hint="eastAsia" w:ascii="Times New Roman" w:hAnsi="Times New Roman"/>
          <w:color w:val="auto"/>
          <w:sz w:val="32"/>
          <w:szCs w:val="32"/>
          <w:highlight w:val="none"/>
          <w:shd w:val="clear"/>
        </w:rPr>
        <w:br w:type="page"/>
      </w:r>
    </w:p>
    <w:p w14:paraId="718DDF20">
      <w:pPr>
        <w:jc w:val="left"/>
        <w:rPr>
          <w:rFonts w:ascii="Times New Roman" w:hAnsi="Times New Roman"/>
          <w:color w:val="auto"/>
          <w:sz w:val="32"/>
          <w:szCs w:val="32"/>
          <w:highlight w:val="none"/>
          <w:shd w:val="clear"/>
        </w:rPr>
      </w:pPr>
      <w:permStart w:id="98" w:edGrp="everyone"/>
    </w:p>
    <w:p w14:paraId="6AB5B99F">
      <w:pPr>
        <w:jc w:val="left"/>
        <w:rPr>
          <w:rFonts w:ascii="Times New Roman" w:hAnsi="Times New Roman"/>
          <w:color w:val="auto"/>
          <w:sz w:val="32"/>
          <w:szCs w:val="32"/>
          <w:highlight w:val="none"/>
          <w:shd w:val="clear"/>
        </w:rPr>
      </w:pPr>
    </w:p>
    <w:p w14:paraId="589EF149">
      <w:pPr>
        <w:jc w:val="left"/>
        <w:rPr>
          <w:rFonts w:ascii="Times New Roman" w:hAnsi="Times New Roman"/>
          <w:color w:val="auto"/>
          <w:sz w:val="32"/>
          <w:szCs w:val="32"/>
          <w:highlight w:val="none"/>
          <w:shd w:val="clear"/>
        </w:rPr>
      </w:pPr>
    </w:p>
    <w:p w14:paraId="649B6644">
      <w:pPr>
        <w:pStyle w:val="20"/>
        <w:rPr>
          <w:rFonts w:ascii="Times New Roman" w:hAnsi="Times New Roman" w:cs="宋体"/>
          <w:color w:val="auto"/>
          <w:highlight w:val="none"/>
          <w:shd w:val="clear"/>
        </w:rPr>
      </w:pPr>
      <w:bookmarkStart w:id="2110" w:name="_Toc32657"/>
      <w:bookmarkStart w:id="2111" w:name="_Toc128950264"/>
      <w:bookmarkStart w:id="2112" w:name="_Toc16066"/>
      <w:bookmarkStart w:id="2113" w:name="_Toc14595"/>
      <w:bookmarkStart w:id="2114" w:name="_Toc23204"/>
      <w:bookmarkStart w:id="2115" w:name="_Toc12230"/>
      <w:bookmarkStart w:id="2116" w:name="_Toc12149"/>
      <w:bookmarkStart w:id="2117" w:name="_Toc27118"/>
      <w:r>
        <w:rPr>
          <w:rFonts w:hint="eastAsia" w:ascii="Times New Roman" w:hAnsi="Times New Roman"/>
          <w:color w:val="auto"/>
          <w:highlight w:val="none"/>
          <w:shd w:val="clear"/>
        </w:rPr>
        <w:t>（招标项目名称）    标段招标</w:t>
      </w:r>
      <w:bookmarkEnd w:id="2110"/>
      <w:bookmarkEnd w:id="2111"/>
      <w:bookmarkEnd w:id="2112"/>
      <w:bookmarkEnd w:id="2113"/>
      <w:bookmarkEnd w:id="2114"/>
      <w:bookmarkEnd w:id="2115"/>
      <w:bookmarkEnd w:id="2116"/>
      <w:bookmarkEnd w:id="2117"/>
    </w:p>
    <w:p w14:paraId="38AF3C5C">
      <w:pPr>
        <w:jc w:val="left"/>
        <w:rPr>
          <w:rFonts w:ascii="Times New Roman" w:hAnsi="Times New Roman"/>
          <w:color w:val="auto"/>
          <w:sz w:val="28"/>
          <w:szCs w:val="28"/>
          <w:highlight w:val="none"/>
          <w:shd w:val="clear"/>
        </w:rPr>
      </w:pPr>
    </w:p>
    <w:p w14:paraId="35AB605A">
      <w:pPr>
        <w:jc w:val="left"/>
        <w:rPr>
          <w:rFonts w:ascii="Times New Roman" w:hAnsi="Times New Roman"/>
          <w:color w:val="auto"/>
          <w:sz w:val="28"/>
          <w:szCs w:val="28"/>
          <w:highlight w:val="none"/>
          <w:shd w:val="clear"/>
        </w:rPr>
      </w:pPr>
    </w:p>
    <w:p w14:paraId="0A9C28C0">
      <w:pPr>
        <w:keepNext/>
        <w:keepLines/>
        <w:jc w:val="center"/>
        <w:outlineLvl w:val="1"/>
        <w:rPr>
          <w:rStyle w:val="39"/>
          <w:rFonts w:ascii="Times New Roman" w:hAnsi="Times New Roman"/>
          <w:color w:val="auto"/>
          <w:highlight w:val="none"/>
          <w:shd w:val="clear"/>
          <w:lang w:val="zh-CN"/>
        </w:rPr>
      </w:pPr>
      <w:bookmarkStart w:id="2118" w:name="_Toc170805781"/>
      <w:bookmarkStart w:id="2119" w:name="_Toc170804213"/>
      <w:bookmarkStart w:id="2120" w:name="_Toc170805401"/>
      <w:bookmarkStart w:id="2121" w:name="_Toc19986"/>
      <w:r>
        <w:rPr>
          <w:rStyle w:val="39"/>
          <w:rFonts w:ascii="Times New Roman" w:hAnsi="Times New Roman"/>
          <w:color w:val="auto"/>
          <w:highlight w:val="none"/>
          <w:shd w:val="clear"/>
          <w:lang w:val="zh-CN"/>
        </w:rPr>
        <w:t>投标文件</w:t>
      </w:r>
    </w:p>
    <w:p w14:paraId="23D40F3D">
      <w:pPr>
        <w:pStyle w:val="40"/>
        <w:outlineLvl w:val="1"/>
        <w:rPr>
          <w:rStyle w:val="38"/>
          <w:rFonts w:hint="default" w:ascii="Times New Roman" w:hAnsi="Times New Roman"/>
          <w:bCs/>
          <w:color w:val="auto"/>
          <w:highlight w:val="none"/>
          <w:shd w:val="clear"/>
        </w:rPr>
      </w:pPr>
      <w:r>
        <w:rPr>
          <w:rStyle w:val="38"/>
          <w:rFonts w:ascii="Times New Roman" w:hAnsi="Times New Roman"/>
          <w:bCs/>
          <w:color w:val="auto"/>
          <w:highlight w:val="none"/>
          <w:shd w:val="clear"/>
        </w:rPr>
        <w:t>（商务文件）</w:t>
      </w:r>
      <w:bookmarkEnd w:id="2118"/>
      <w:bookmarkEnd w:id="2119"/>
      <w:bookmarkEnd w:id="2120"/>
      <w:bookmarkEnd w:id="2121"/>
    </w:p>
    <w:p w14:paraId="19596790">
      <w:pPr>
        <w:jc w:val="center"/>
        <w:rPr>
          <w:rFonts w:ascii="Times New Roman" w:hAnsi="Times New Roman"/>
          <w:color w:val="auto"/>
          <w:sz w:val="32"/>
          <w:szCs w:val="32"/>
          <w:highlight w:val="none"/>
          <w:shd w:val="clear"/>
        </w:rPr>
      </w:pPr>
    </w:p>
    <w:p w14:paraId="15E6AEF8">
      <w:pPr>
        <w:jc w:val="center"/>
        <w:rPr>
          <w:rFonts w:ascii="Times New Roman" w:hAnsi="Times New Roman"/>
          <w:color w:val="auto"/>
          <w:sz w:val="32"/>
          <w:szCs w:val="32"/>
          <w:highlight w:val="none"/>
          <w:shd w:val="clear"/>
        </w:rPr>
      </w:pPr>
    </w:p>
    <w:p w14:paraId="4DD327A6">
      <w:pPr>
        <w:jc w:val="center"/>
        <w:rPr>
          <w:rFonts w:ascii="Times New Roman" w:hAnsi="Times New Roman"/>
          <w:color w:val="auto"/>
          <w:sz w:val="32"/>
          <w:szCs w:val="32"/>
          <w:highlight w:val="none"/>
          <w:shd w:val="clear"/>
        </w:rPr>
      </w:pPr>
    </w:p>
    <w:p w14:paraId="38A4F70D">
      <w:pPr>
        <w:jc w:val="center"/>
        <w:rPr>
          <w:rFonts w:ascii="Times New Roman" w:hAnsi="Times New Roman"/>
          <w:color w:val="auto"/>
          <w:sz w:val="32"/>
          <w:szCs w:val="32"/>
          <w:highlight w:val="none"/>
          <w:shd w:val="clear"/>
        </w:rPr>
      </w:pPr>
    </w:p>
    <w:p w14:paraId="2BA68F35">
      <w:pPr>
        <w:jc w:val="center"/>
        <w:rPr>
          <w:rFonts w:ascii="Times New Roman" w:hAnsi="Times New Roman"/>
          <w:color w:val="auto"/>
          <w:sz w:val="32"/>
          <w:szCs w:val="32"/>
          <w:highlight w:val="none"/>
          <w:shd w:val="clear"/>
        </w:rPr>
      </w:pPr>
    </w:p>
    <w:p w14:paraId="2FD0A3CB">
      <w:pPr>
        <w:jc w:val="center"/>
        <w:rPr>
          <w:rFonts w:ascii="Times New Roman" w:hAnsi="Times New Roman"/>
          <w:color w:val="auto"/>
          <w:sz w:val="32"/>
          <w:szCs w:val="32"/>
          <w:highlight w:val="none"/>
          <w:shd w:val="clear"/>
        </w:rPr>
      </w:pPr>
    </w:p>
    <w:p w14:paraId="72287DC8">
      <w:pPr>
        <w:jc w:val="center"/>
        <w:rPr>
          <w:rFonts w:ascii="Times New Roman" w:hAnsi="Times New Roman"/>
          <w:color w:val="auto"/>
          <w:sz w:val="32"/>
          <w:szCs w:val="32"/>
          <w:highlight w:val="none"/>
          <w:shd w:val="clear"/>
        </w:rPr>
      </w:pPr>
    </w:p>
    <w:p w14:paraId="166E5619">
      <w:pPr>
        <w:jc w:val="center"/>
        <w:rPr>
          <w:rFonts w:ascii="Times New Roman" w:hAnsi="Times New Roman"/>
          <w:color w:val="auto"/>
          <w:sz w:val="32"/>
          <w:szCs w:val="32"/>
          <w:highlight w:val="none"/>
          <w:shd w:val="clear"/>
        </w:rPr>
      </w:pPr>
    </w:p>
    <w:p w14:paraId="21E9BB0D">
      <w:pPr>
        <w:jc w:val="center"/>
        <w:rPr>
          <w:rFonts w:ascii="Times New Roman" w:hAnsi="Times New Roman"/>
          <w:color w:val="auto"/>
          <w:sz w:val="32"/>
          <w:szCs w:val="32"/>
          <w:highlight w:val="none"/>
          <w:shd w:val="clear"/>
        </w:rPr>
      </w:pPr>
    </w:p>
    <w:p w14:paraId="1EB99D85">
      <w:pPr>
        <w:jc w:val="center"/>
        <w:rPr>
          <w:rFonts w:ascii="Times New Roman" w:hAnsi="Times New Roman"/>
          <w:color w:val="auto"/>
          <w:sz w:val="32"/>
          <w:szCs w:val="32"/>
          <w:highlight w:val="none"/>
          <w:shd w:val="clear"/>
        </w:rPr>
      </w:pPr>
    </w:p>
    <w:p w14:paraId="51DCA8D8">
      <w:pPr>
        <w:jc w:val="center"/>
        <w:rPr>
          <w:rFonts w:ascii="Times New Roman" w:hAnsi="Times New Roman"/>
          <w:color w:val="auto"/>
          <w:sz w:val="32"/>
          <w:szCs w:val="32"/>
          <w:highlight w:val="none"/>
          <w:shd w:val="clear"/>
        </w:rPr>
      </w:pPr>
    </w:p>
    <w:p w14:paraId="194642C8">
      <w:pPr>
        <w:jc w:val="center"/>
        <w:rPr>
          <w:rFonts w:ascii="Times New Roman" w:hAnsi="Times New Roman"/>
          <w:color w:val="auto"/>
          <w:sz w:val="32"/>
          <w:szCs w:val="32"/>
          <w:highlight w:val="none"/>
          <w:shd w:val="clear"/>
        </w:rPr>
      </w:pPr>
    </w:p>
    <w:p w14:paraId="377CC41B">
      <w:pPr>
        <w:jc w:val="center"/>
        <w:rPr>
          <w:rFonts w:ascii="Times New Roman" w:hAnsi="Times New Roman"/>
          <w:color w:val="auto"/>
          <w:sz w:val="32"/>
          <w:szCs w:val="32"/>
          <w:highlight w:val="none"/>
          <w:shd w:val="clear"/>
        </w:rPr>
      </w:pPr>
    </w:p>
    <w:p w14:paraId="487C044B">
      <w:pPr>
        <w:jc w:val="center"/>
        <w:rPr>
          <w:rFonts w:ascii="Times New Roman" w:hAnsi="Times New Roman"/>
          <w:color w:val="auto"/>
          <w:sz w:val="32"/>
          <w:szCs w:val="32"/>
          <w:highlight w:val="none"/>
          <w:shd w:val="clear"/>
        </w:rPr>
      </w:pPr>
    </w:p>
    <w:p w14:paraId="58BD8BD5">
      <w:pPr>
        <w:jc w:val="center"/>
        <w:rPr>
          <w:rFonts w:ascii="Times New Roman" w:hAnsi="Times New Roman"/>
          <w:color w:val="auto"/>
          <w:sz w:val="32"/>
          <w:szCs w:val="32"/>
          <w:highlight w:val="none"/>
          <w:shd w:val="clear"/>
        </w:rPr>
      </w:pPr>
    </w:p>
    <w:p w14:paraId="7AAA5B5E">
      <w:pPr>
        <w:jc w:val="center"/>
        <w:rPr>
          <w:rFonts w:ascii="Times New Roman" w:hAnsi="Times New Roman"/>
          <w:color w:val="auto"/>
          <w:sz w:val="32"/>
          <w:szCs w:val="32"/>
          <w:highlight w:val="none"/>
          <w:shd w:val="clear"/>
        </w:rPr>
      </w:pPr>
    </w:p>
    <w:p w14:paraId="7480220D">
      <w:pPr>
        <w:jc w:val="center"/>
        <w:rPr>
          <w:rFonts w:ascii="Times New Roman" w:hAnsi="Times New Roman"/>
          <w:color w:val="auto"/>
          <w:sz w:val="32"/>
          <w:szCs w:val="32"/>
          <w:highlight w:val="none"/>
          <w:shd w:val="clear"/>
        </w:rPr>
      </w:pPr>
    </w:p>
    <w:p w14:paraId="72A74521">
      <w:pPr>
        <w:jc w:val="center"/>
        <w:rPr>
          <w:rFonts w:ascii="Times New Roman" w:hAnsi="Times New Roman"/>
          <w:color w:val="auto"/>
          <w:sz w:val="32"/>
          <w:szCs w:val="32"/>
          <w:highlight w:val="none"/>
          <w:shd w:val="clear"/>
        </w:rPr>
      </w:pPr>
    </w:p>
    <w:p w14:paraId="1613FF4C">
      <w:pPr>
        <w:jc w:val="center"/>
        <w:rPr>
          <w:rFonts w:ascii="Times New Roman" w:hAnsi="Times New Roman"/>
          <w:color w:val="auto"/>
          <w:sz w:val="32"/>
          <w:szCs w:val="32"/>
          <w:highlight w:val="none"/>
          <w:shd w:val="clear"/>
        </w:rPr>
      </w:pPr>
    </w:p>
    <w:p w14:paraId="1835C746">
      <w:pPr>
        <w:spacing w:line="360" w:lineRule="auto"/>
        <w:jc w:val="center"/>
        <w:rPr>
          <w:rFonts w:ascii="Times New Roman" w:hAnsi="Times New Roman"/>
          <w:color w:val="auto"/>
          <w:sz w:val="32"/>
          <w:szCs w:val="32"/>
          <w:highlight w:val="none"/>
          <w:shd w:val="clear"/>
        </w:rPr>
      </w:pPr>
    </w:p>
    <w:p w14:paraId="622A98E7">
      <w:pPr>
        <w:pStyle w:val="21"/>
        <w:rPr>
          <w:rFonts w:ascii="Times New Roman" w:hAnsi="Times New Roman"/>
          <w:color w:val="auto"/>
          <w:highlight w:val="none"/>
          <w:shd w:val="clear"/>
        </w:rPr>
      </w:pPr>
      <w:r>
        <w:rPr>
          <w:rFonts w:ascii="Times New Roman" w:hAnsi="Times New Roman"/>
          <w:color w:val="auto"/>
          <w:highlight w:val="none"/>
          <w:shd w:val="clear"/>
        </w:rPr>
        <w:t xml:space="preserve">投标人： </w:t>
      </w:r>
      <w:r>
        <w:rPr>
          <w:rFonts w:ascii="Times New Roman" w:hAnsi="Times New Roman"/>
          <w:color w:val="auto"/>
          <w:highlight w:val="none"/>
          <w:u w:val="single"/>
          <w:shd w:val="clear"/>
        </w:rPr>
        <w:t xml:space="preserve">                              </w:t>
      </w:r>
      <w:r>
        <w:rPr>
          <w:rFonts w:ascii="Times New Roman" w:hAnsi="Times New Roman"/>
          <w:color w:val="auto"/>
          <w:highlight w:val="none"/>
          <w:shd w:val="clear"/>
        </w:rPr>
        <w:t>（盖单位章）</w:t>
      </w:r>
    </w:p>
    <w:p w14:paraId="1738B2E8">
      <w:pPr>
        <w:pStyle w:val="21"/>
        <w:rPr>
          <w:rFonts w:ascii="Times New Roman" w:hAnsi="Times New Roman"/>
          <w:color w:val="auto"/>
          <w:highlight w:val="none"/>
          <w:shd w:val="clear"/>
        </w:rPr>
      </w:pPr>
      <w:r>
        <w:rPr>
          <w:rFonts w:ascii="Times New Roman" w:hAnsi="Times New Roman"/>
          <w:color w:val="auto"/>
          <w:highlight w:val="none"/>
          <w:u w:val="single"/>
          <w:shd w:val="clear"/>
        </w:rPr>
        <w:t xml:space="preserve">         年         月         </w:t>
      </w:r>
      <w:r>
        <w:rPr>
          <w:rFonts w:ascii="Times New Roman" w:hAnsi="Times New Roman"/>
          <w:color w:val="auto"/>
          <w:highlight w:val="none"/>
          <w:shd w:val="clear"/>
        </w:rPr>
        <w:t>日</w:t>
      </w:r>
    </w:p>
    <w:p w14:paraId="121752AF">
      <w:pPr>
        <w:jc w:val="center"/>
        <w:rPr>
          <w:rFonts w:ascii="Times New Roman" w:hAnsi="Times New Roman" w:eastAsia="黑体"/>
          <w:snapToGrid w:val="0"/>
          <w:color w:val="auto"/>
          <w:kern w:val="0"/>
          <w:sz w:val="28"/>
          <w:szCs w:val="28"/>
          <w:highlight w:val="none"/>
          <w:shd w:val="clear"/>
        </w:rPr>
        <w:sectPr>
          <w:footerReference r:id="rId11" w:type="default"/>
          <w:headerReference r:id="rId10" w:type="even"/>
          <w:footerReference r:id="rId12" w:type="even"/>
          <w:footnotePr>
            <w:numFmt w:val="decimalEnclosedCircleChinese"/>
            <w:numRestart w:val="eachPage"/>
          </w:footnotePr>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pPr>
    </w:p>
    <w:p w14:paraId="6E642599">
      <w:pPr>
        <w:pStyle w:val="20"/>
        <w:rPr>
          <w:rFonts w:ascii="Times New Roman" w:hAnsi="Times New Roman"/>
          <w:color w:val="auto"/>
          <w:highlight w:val="none"/>
          <w:shd w:val="clear"/>
        </w:rPr>
      </w:pPr>
      <w:r>
        <w:rPr>
          <w:rFonts w:ascii="Times New Roman" w:hAnsi="Times New Roman"/>
          <w:color w:val="auto"/>
          <w:highlight w:val="none"/>
          <w:shd w:val="clear"/>
        </w:rPr>
        <w:t>目  录</w:t>
      </w:r>
    </w:p>
    <w:p w14:paraId="130362FC">
      <w:pPr>
        <w:pStyle w:val="37"/>
        <w:rPr>
          <w:rFonts w:hint="default" w:ascii="Times New Roman" w:hAnsi="Times New Roman"/>
          <w:color w:val="auto"/>
          <w:highlight w:val="none"/>
          <w:shd w:val="clear"/>
        </w:rPr>
      </w:pPr>
      <w:r>
        <w:rPr>
          <w:rFonts w:ascii="Times New Roman" w:hAnsi="Times New Roman"/>
          <w:color w:val="auto"/>
          <w:highlight w:val="none"/>
          <w:shd w:val="clear"/>
        </w:rPr>
        <w:t>一、投标函（不含报价）</w:t>
      </w:r>
    </w:p>
    <w:p w14:paraId="03F90F87">
      <w:pPr>
        <w:pStyle w:val="37"/>
        <w:rPr>
          <w:rFonts w:hint="default" w:ascii="Times New Roman" w:hAnsi="Times New Roman"/>
          <w:color w:val="auto"/>
          <w:highlight w:val="none"/>
          <w:shd w:val="clear"/>
        </w:rPr>
      </w:pPr>
      <w:r>
        <w:rPr>
          <w:rFonts w:ascii="Times New Roman" w:hAnsi="Times New Roman"/>
          <w:color w:val="auto"/>
          <w:highlight w:val="none"/>
          <w:shd w:val="clear"/>
        </w:rPr>
        <w:t>二、授权委托书</w:t>
      </w:r>
    </w:p>
    <w:p w14:paraId="04D56771">
      <w:pPr>
        <w:pStyle w:val="37"/>
        <w:rPr>
          <w:rFonts w:hint="default" w:ascii="Times New Roman" w:hAnsi="Times New Roman"/>
          <w:color w:val="auto"/>
          <w:highlight w:val="none"/>
          <w:shd w:val="clear"/>
        </w:rPr>
      </w:pPr>
      <w:r>
        <w:rPr>
          <w:rFonts w:ascii="Times New Roman" w:hAnsi="Times New Roman"/>
          <w:color w:val="auto"/>
          <w:highlight w:val="none"/>
          <w:shd w:val="clear"/>
        </w:rPr>
        <w:t>三、联合体协议书</w:t>
      </w:r>
    </w:p>
    <w:p w14:paraId="09EE12C6">
      <w:pPr>
        <w:pStyle w:val="37"/>
        <w:rPr>
          <w:rFonts w:hint="default" w:ascii="Times New Roman" w:hAnsi="Times New Roman"/>
          <w:color w:val="auto"/>
          <w:highlight w:val="none"/>
          <w:shd w:val="clear"/>
        </w:rPr>
      </w:pPr>
      <w:r>
        <w:rPr>
          <w:rFonts w:ascii="Times New Roman" w:hAnsi="Times New Roman"/>
          <w:color w:val="auto"/>
          <w:highlight w:val="none"/>
          <w:shd w:val="clear"/>
        </w:rPr>
        <w:t>四、投标保证金</w:t>
      </w:r>
    </w:p>
    <w:p w14:paraId="0D52FCAA">
      <w:pPr>
        <w:pStyle w:val="37"/>
        <w:rPr>
          <w:rFonts w:hint="default" w:ascii="Times New Roman" w:hAnsi="Times New Roman"/>
          <w:color w:val="auto"/>
          <w:highlight w:val="none"/>
          <w:shd w:val="clear"/>
        </w:rPr>
      </w:pPr>
      <w:r>
        <w:rPr>
          <w:rFonts w:ascii="Times New Roman" w:hAnsi="Times New Roman"/>
          <w:color w:val="auto"/>
          <w:highlight w:val="none"/>
          <w:shd w:val="clear"/>
        </w:rPr>
        <w:t>五、项目管理机构</w:t>
      </w:r>
    </w:p>
    <w:p w14:paraId="43B3CB37">
      <w:pPr>
        <w:pStyle w:val="37"/>
        <w:rPr>
          <w:rFonts w:hint="default" w:ascii="Times New Roman" w:hAnsi="Times New Roman"/>
          <w:color w:val="auto"/>
          <w:highlight w:val="none"/>
          <w:shd w:val="clear"/>
        </w:rPr>
      </w:pPr>
      <w:r>
        <w:rPr>
          <w:rFonts w:ascii="Times New Roman" w:hAnsi="Times New Roman"/>
          <w:color w:val="auto"/>
          <w:highlight w:val="none"/>
          <w:shd w:val="clear"/>
        </w:rPr>
        <w:t>六、拟分包项目情况表</w:t>
      </w:r>
    </w:p>
    <w:p w14:paraId="6387E56E">
      <w:pPr>
        <w:pStyle w:val="37"/>
        <w:rPr>
          <w:rFonts w:hint="default" w:ascii="Times New Roman" w:hAnsi="Times New Roman"/>
          <w:color w:val="auto"/>
          <w:highlight w:val="none"/>
          <w:shd w:val="clear"/>
        </w:rPr>
      </w:pPr>
      <w:r>
        <w:rPr>
          <w:rFonts w:ascii="Times New Roman" w:hAnsi="Times New Roman"/>
          <w:color w:val="auto"/>
          <w:highlight w:val="none"/>
          <w:shd w:val="clear"/>
        </w:rPr>
        <w:t>七、资格审查资料</w:t>
      </w:r>
    </w:p>
    <w:p w14:paraId="6F798EBD">
      <w:pPr>
        <w:pStyle w:val="37"/>
        <w:rPr>
          <w:rFonts w:hint="default" w:ascii="Times New Roman" w:hAnsi="Times New Roman"/>
          <w:color w:val="auto"/>
          <w:highlight w:val="none"/>
          <w:shd w:val="clear"/>
        </w:rPr>
      </w:pPr>
      <w:r>
        <w:rPr>
          <w:rFonts w:ascii="Times New Roman" w:hAnsi="Times New Roman"/>
          <w:color w:val="auto"/>
          <w:highlight w:val="none"/>
          <w:shd w:val="clear"/>
        </w:rPr>
        <w:t>八、商务文件详细评审资料</w:t>
      </w:r>
    </w:p>
    <w:p w14:paraId="2565EA70">
      <w:pPr>
        <w:pStyle w:val="37"/>
        <w:rPr>
          <w:rFonts w:hint="default" w:ascii="Times New Roman" w:hAnsi="Times New Roman"/>
          <w:color w:val="auto"/>
          <w:highlight w:val="none"/>
          <w:shd w:val="clear"/>
        </w:rPr>
      </w:pPr>
      <w:r>
        <w:rPr>
          <w:rFonts w:ascii="Times New Roman" w:hAnsi="Times New Roman"/>
          <w:color w:val="auto"/>
          <w:highlight w:val="none"/>
          <w:shd w:val="clear"/>
        </w:rPr>
        <w:t>九、其他资料</w:t>
      </w:r>
    </w:p>
    <w:p w14:paraId="51DF953E">
      <w:pPr>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br w:type="page"/>
      </w:r>
      <w:bookmarkStart w:id="2122" w:name="_Toc170805402"/>
      <w:bookmarkStart w:id="2123" w:name="_Toc170804214"/>
      <w:bookmarkStart w:id="2124" w:name="_Toc170805782"/>
      <w:bookmarkStart w:id="2125" w:name="_Toc421917001"/>
      <w:bookmarkStart w:id="2126" w:name="_Toc390411621"/>
      <w:bookmarkStart w:id="2127" w:name="_Toc460227108"/>
      <w:bookmarkStart w:id="2128" w:name="_Toc460660223"/>
      <w:bookmarkStart w:id="2129" w:name="_Toc224103496"/>
    </w:p>
    <w:p w14:paraId="096D3B1A">
      <w:pPr>
        <w:rPr>
          <w:rFonts w:ascii="Times New Roman" w:hAnsi="Times New Roman"/>
          <w:color w:val="auto"/>
          <w:highlight w:val="none"/>
          <w:shd w:val="clear"/>
          <w:lang w:val="zh-CN"/>
        </w:rPr>
      </w:pPr>
    </w:p>
    <w:p w14:paraId="3E81042D">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一、投标函</w:t>
      </w:r>
      <w:bookmarkEnd w:id="2122"/>
      <w:bookmarkEnd w:id="2123"/>
      <w:bookmarkEnd w:id="2124"/>
      <w:r>
        <w:rPr>
          <w:rFonts w:ascii="Times New Roman" w:hAnsi="Times New Roman"/>
          <w:color w:val="auto"/>
          <w:highlight w:val="none"/>
          <w:shd w:val="clear"/>
        </w:rPr>
        <w:t>（不含报价）</w:t>
      </w:r>
    </w:p>
    <w:p w14:paraId="768A00DF">
      <w:pPr>
        <w:rPr>
          <w:rFonts w:ascii="Times New Roman" w:hAnsi="Times New Roman"/>
          <w:color w:val="auto"/>
          <w:highlight w:val="none"/>
          <w:shd w:val="clear"/>
          <w:lang w:val="zh-CN"/>
        </w:rPr>
      </w:pPr>
    </w:p>
    <w:p w14:paraId="275052A4">
      <w:pPr>
        <w:pStyle w:val="22"/>
        <w:ind w:firstLine="0" w:firstLineChars="0"/>
        <w:rPr>
          <w:rFonts w:ascii="Times New Roman" w:hAnsi="Times New Roman"/>
          <w:color w:val="auto"/>
          <w:highlight w:val="none"/>
          <w:shd w:val="clear"/>
        </w:rPr>
      </w:pPr>
      <w:r>
        <w:rPr>
          <w:rFonts w:hint="eastAsia" w:ascii="Times New Roman" w:hAnsi="Times New Roman"/>
          <w:color w:val="auto"/>
          <w:highlight w:val="none"/>
          <w:u w:val="single"/>
          <w:shd w:val="clear"/>
        </w:rPr>
        <w:t>致：（招标人</w:t>
      </w:r>
      <w:bookmarkStart w:id="2130" w:name="_Hlk176852080"/>
      <w:r>
        <w:rPr>
          <w:rFonts w:hint="eastAsia" w:ascii="Times New Roman" w:hAnsi="Times New Roman"/>
          <w:color w:val="auto"/>
          <w:highlight w:val="none"/>
          <w:u w:val="single"/>
          <w:shd w:val="clear"/>
        </w:rPr>
        <w:t>名称</w:t>
      </w:r>
      <w:bookmarkEnd w:id="2130"/>
      <w:r>
        <w:rPr>
          <w:rFonts w:hint="eastAsia" w:ascii="Times New Roman" w:hAnsi="Times New Roman"/>
          <w:color w:val="auto"/>
          <w:highlight w:val="none"/>
          <w:u w:val="single"/>
          <w:shd w:val="clear"/>
        </w:rPr>
        <w:t>）</w:t>
      </w:r>
    </w:p>
    <w:p w14:paraId="4F7F192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1.我方已仔细研究</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（招标项目名称）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标段招标文件的全部内容，在考察工程现场后，愿以报价文件投标函中的投标总报价，按合同约定实施和完成承包工程，修补工程中的任何缺陷。</w:t>
      </w:r>
    </w:p>
    <w:p w14:paraId="59F489C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2.我方承诺在招标文件规定的投标有效期内不撤销投标文件。</w:t>
      </w:r>
    </w:p>
    <w:p w14:paraId="1556F31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3.工程质量要求：</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；工期：</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日历天。</w:t>
      </w:r>
    </w:p>
    <w:p w14:paraId="43B756C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w:t>
      </w:r>
      <w:bookmarkStart w:id="2131" w:name="_Hlk176854899"/>
      <w:r>
        <w:rPr>
          <w:rFonts w:hint="eastAsia" w:ascii="Times New Roman" w:hAnsi="Times New Roman"/>
          <w:color w:val="auto"/>
          <w:highlight w:val="none"/>
          <w:shd w:val="clear"/>
        </w:rPr>
        <w:t>我方响应招标文件规定的投标有效期，并承诺在投标有效期内不撤销投标文件。</w:t>
      </w:r>
      <w:bookmarkEnd w:id="2131"/>
    </w:p>
    <w:p w14:paraId="6B88B8F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5.如我方中标，我方承诺：</w:t>
      </w:r>
    </w:p>
    <w:p w14:paraId="772D40D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（1）在收到中标通知书后，在中标通知书规定的期限内与你方签订合同；</w:t>
      </w:r>
    </w:p>
    <w:p w14:paraId="1E1E237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（2）在签订合同时不向你方提出附加条件；</w:t>
      </w:r>
    </w:p>
    <w:p w14:paraId="0542991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（3）按照招标文件要求提交履约保证金；</w:t>
      </w:r>
    </w:p>
    <w:p w14:paraId="66F6F40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（4）在合同约定的期限内完成合同规定的全部义务；</w:t>
      </w:r>
    </w:p>
    <w:p w14:paraId="2AFD462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经理及项目管理机构主要人员均为我单位在职人员（不含外聘人员、返聘人员、临时聘用人员），</w:t>
      </w:r>
      <w:r>
        <w:rPr>
          <w:rFonts w:hint="eastAsia" w:ascii="Times New Roman" w:hAnsi="Times New Roman" w:cs="仿宋"/>
          <w:color w:val="auto"/>
          <w:kern w:val="0"/>
          <w:highlight w:val="none"/>
          <w:shd w:val="clear"/>
        </w:rPr>
        <w:t>项目经理及技术负责人缴纳社保的时间符合招标文件要求，社保缴纳单位为我方或我方不具备独立法人的分支机构，且至少含养老保险</w:t>
      </w:r>
      <w:r>
        <w:rPr>
          <w:rFonts w:hint="eastAsia" w:ascii="Times New Roman" w:hAnsi="Times New Roman"/>
          <w:color w:val="auto"/>
          <w:highlight w:val="none"/>
          <w:shd w:val="clear"/>
        </w:rPr>
        <w:t>。如我方拟派驻的人员和设备不满足合同附件要求，你方有权取消我方中标资格；</w:t>
      </w:r>
    </w:p>
    <w:p w14:paraId="51791F2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w:t>
      </w:r>
      <w:bookmarkStart w:id="2132" w:name="_Hlk176854432"/>
      <w:r>
        <w:rPr>
          <w:rFonts w:hint="eastAsia" w:ascii="Times New Roman" w:hAnsi="Times New Roman"/>
          <w:color w:val="auto"/>
          <w:highlight w:val="none"/>
          <w:shd w:val="clear"/>
        </w:rPr>
        <w:t>.</w:t>
      </w:r>
      <w:bookmarkStart w:id="2133" w:name="_Hlk176852865"/>
      <w:bookmarkStart w:id="2134" w:name="_Hlk176852419"/>
      <w:r>
        <w:rPr>
          <w:rFonts w:hint="eastAsia" w:ascii="Times New Roman" w:hAnsi="Times New Roman"/>
          <w:color w:val="auto"/>
          <w:highlight w:val="none"/>
          <w:shd w:val="clear"/>
        </w:rPr>
        <w:t>我方在此声明，所递交的投标文件及有关资料内容完整、真实和准确，符合资格审查条件（信誉最低要求），且不存在第二章“投标人须知”第1.4.3项、第1.4.4项规定的任何一种情形。</w:t>
      </w:r>
      <w:bookmarkEnd w:id="2133"/>
    </w:p>
    <w:bookmarkEnd w:id="2132"/>
    <w:bookmarkEnd w:id="2134"/>
    <w:p w14:paraId="2EAE1F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7.除非另外达成协议并生效，你方的中标通知书和本投标文件以及招标文件、招标文件澄清、修改、补充文件将成为约束双方的合同文件的组成部分。</w:t>
      </w:r>
    </w:p>
    <w:p w14:paraId="69079BA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8.我单位在此声明，现有注册建造师专业、数量满足《建筑业企业资质标准》及有关文件中对应资质等级标准要求。</w:t>
      </w:r>
    </w:p>
    <w:p w14:paraId="63EAF96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9.</w:t>
      </w:r>
      <w:r>
        <w:rPr>
          <w:rFonts w:hint="eastAsia" w:ascii="Times New Roman" w:hAnsi="Times New Roman"/>
          <w:color w:val="auto"/>
          <w:highlight w:val="none"/>
          <w:u w:val="single"/>
          <w:shd w:val="clear"/>
        </w:rPr>
        <w:t xml:space="preserve">    （其他补充说明）。</w:t>
      </w:r>
    </w:p>
    <w:p w14:paraId="486EFD46">
      <w:pPr>
        <w:pStyle w:val="22"/>
        <w:ind w:firstLine="420"/>
        <w:rPr>
          <w:rFonts w:ascii="Times New Roman" w:hAnsi="Times New Roman"/>
          <w:color w:val="auto"/>
          <w:highlight w:val="none"/>
          <w:shd w:val="clear"/>
        </w:rPr>
      </w:pPr>
    </w:p>
    <w:p w14:paraId="64F72E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 标 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（盖单位章）</w:t>
      </w:r>
    </w:p>
    <w:p w14:paraId="79CE86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（签字或盖章）</w:t>
      </w:r>
    </w:p>
    <w:p w14:paraId="0313FD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单位地址：</w:t>
      </w:r>
      <w:r>
        <w:rPr>
          <w:rFonts w:hint="eastAsia" w:ascii="Times New Roman" w:hAnsi="Times New Roman"/>
          <w:color w:val="auto"/>
          <w:highlight w:val="none"/>
          <w:u w:val="single"/>
          <w:shd w:val="clear"/>
        </w:rPr>
        <w:t xml:space="preserve">                                        </w:t>
      </w:r>
    </w:p>
    <w:p w14:paraId="30EDB5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电话：</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传真：</w:t>
      </w:r>
      <w:r>
        <w:rPr>
          <w:rFonts w:hint="eastAsia" w:ascii="Times New Roman" w:hAnsi="Times New Roman"/>
          <w:color w:val="auto"/>
          <w:highlight w:val="none"/>
          <w:u w:val="single"/>
          <w:shd w:val="clear"/>
        </w:rPr>
        <w:t xml:space="preserve">         </w:t>
      </w:r>
    </w:p>
    <w:p w14:paraId="2A6B3C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日期：</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6EF4FF7B">
      <w:pPr>
        <w:adjustRightInd w:val="0"/>
        <w:snapToGrid w:val="0"/>
        <w:spacing w:line="420" w:lineRule="auto"/>
        <w:rPr>
          <w:rFonts w:ascii="Times New Roman" w:hAnsi="Times New Roman"/>
          <w:color w:val="auto"/>
          <w:sz w:val="28"/>
          <w:szCs w:val="28"/>
          <w:highlight w:val="none"/>
          <w:shd w:val="clear"/>
        </w:rPr>
      </w:pPr>
    </w:p>
    <w:p w14:paraId="6305E524">
      <w:pPr>
        <w:adjustRightInd w:val="0"/>
        <w:snapToGrid w:val="0"/>
        <w:spacing w:line="420" w:lineRule="auto"/>
        <w:rPr>
          <w:rFonts w:ascii="Times New Roman" w:hAnsi="Times New Roman"/>
          <w:color w:val="auto"/>
          <w:sz w:val="28"/>
          <w:szCs w:val="28"/>
          <w:highlight w:val="none"/>
          <w:shd w:val="clear"/>
        </w:rPr>
      </w:pPr>
    </w:p>
    <w:p w14:paraId="15A22DBF">
      <w:pPr>
        <w:adjustRightInd w:val="0"/>
        <w:snapToGrid w:val="0"/>
        <w:spacing w:line="420" w:lineRule="auto"/>
        <w:rPr>
          <w:rFonts w:ascii="Times New Roman" w:hAnsi="Times New Roman"/>
          <w:color w:val="auto"/>
          <w:sz w:val="28"/>
          <w:szCs w:val="28"/>
          <w:highlight w:val="none"/>
          <w:shd w:val="clear"/>
        </w:rPr>
      </w:pPr>
    </w:p>
    <w:p w14:paraId="47FA03A6">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二、授权委托书</w:t>
      </w:r>
      <w:bookmarkEnd w:id="2125"/>
      <w:bookmarkEnd w:id="2126"/>
      <w:bookmarkEnd w:id="2127"/>
      <w:bookmarkEnd w:id="2128"/>
    </w:p>
    <w:p w14:paraId="5D6ADBC8">
      <w:pPr>
        <w:pStyle w:val="20"/>
        <w:rPr>
          <w:rFonts w:ascii="Times New Roman" w:hAnsi="Times New Roman"/>
          <w:color w:val="auto"/>
          <w:highlight w:val="none"/>
          <w:shd w:val="clear"/>
          <w:lang w:val="zh-CN"/>
        </w:rPr>
      </w:pPr>
    </w:p>
    <w:bookmarkEnd w:id="2129"/>
    <w:p w14:paraId="677E77BF">
      <w:pPr>
        <w:pStyle w:val="20"/>
        <w:rPr>
          <w:rFonts w:ascii="Times New Roman" w:hAnsi="Times New Roman"/>
          <w:color w:val="auto"/>
          <w:highlight w:val="none"/>
          <w:shd w:val="clear"/>
          <w:lang w:val="zh-CN"/>
        </w:rPr>
      </w:pPr>
      <w:bookmarkStart w:id="2135" w:name="_Toc535241130"/>
      <w:bookmarkStart w:id="2136" w:name="_Toc535241084"/>
      <w:bookmarkStart w:id="2137" w:name="_Toc535241227"/>
      <w:bookmarkStart w:id="2138" w:name="_Toc224103498"/>
      <w:bookmarkStart w:id="2139" w:name="_Toc224103497"/>
      <w:r>
        <w:rPr>
          <w:rFonts w:ascii="Times New Roman" w:hAnsi="Times New Roman"/>
          <w:color w:val="auto"/>
          <w:highlight w:val="none"/>
          <w:shd w:val="clear"/>
          <w:lang w:val="zh-CN"/>
        </w:rPr>
        <w:t>授权委托书</w:t>
      </w:r>
      <w:bookmarkEnd w:id="2135"/>
      <w:bookmarkEnd w:id="2136"/>
      <w:bookmarkEnd w:id="2137"/>
    </w:p>
    <w:p w14:paraId="79C4D065">
      <w:pPr>
        <w:adjustRightInd w:val="0"/>
        <w:snapToGrid w:val="0"/>
        <w:spacing w:line="425" w:lineRule="auto"/>
        <w:rPr>
          <w:rFonts w:ascii="Times New Roman" w:hAnsi="Times New Roman"/>
          <w:color w:val="auto"/>
          <w:szCs w:val="24"/>
          <w:highlight w:val="none"/>
          <w:shd w:val="clear"/>
        </w:rPr>
      </w:pPr>
    </w:p>
    <w:p w14:paraId="0E7BB61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本人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（姓名）系</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（投标人名称）的法定代表人，现委托</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（姓名）为我方代理人。代理人根据授权，以我方名义签署、澄清、说明、补正、递交、撤回、修改</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（招标项目名称）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标段施工投标文件、签订合同和处理有关事宜，其法律后果由我方承担。</w:t>
      </w:r>
    </w:p>
    <w:p w14:paraId="3B0667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委托期限：</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w:t>
      </w:r>
    </w:p>
    <w:p w14:paraId="7FBB9CB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代理人无转委托权。</w:t>
      </w:r>
    </w:p>
    <w:p w14:paraId="5B77EE92">
      <w:pPr>
        <w:pStyle w:val="22"/>
        <w:ind w:firstLine="420"/>
        <w:rPr>
          <w:rFonts w:ascii="Times New Roman" w:hAnsi="Times New Roman"/>
          <w:b/>
          <w:color w:val="auto"/>
          <w:highlight w:val="none"/>
          <w:shd w:val="clear"/>
        </w:rPr>
      </w:pPr>
      <w:r>
        <w:rPr>
          <w:rFonts w:hint="eastAsia" w:ascii="Times New Roman" w:hAnsi="Times New Roman"/>
          <w:color w:val="auto"/>
          <w:highlight w:val="none"/>
          <w:shd w:val="clear"/>
        </w:rPr>
        <w:t>附：法定代表人身份证明和</w:t>
      </w:r>
      <w:r>
        <w:rPr>
          <w:rFonts w:hint="eastAsia" w:ascii="Times New Roman" w:hAnsi="Times New Roman"/>
          <w:b/>
          <w:color w:val="auto"/>
          <w:highlight w:val="none"/>
          <w:shd w:val="clear"/>
        </w:rPr>
        <w:t>代理人身份证扫描件</w:t>
      </w:r>
    </w:p>
    <w:p w14:paraId="23084C0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  标  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（盖单位章）</w:t>
      </w:r>
    </w:p>
    <w:p w14:paraId="10588A9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（签字或盖章）</w:t>
      </w:r>
    </w:p>
    <w:p w14:paraId="2FC9C6F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代理人身份证号码：</w:t>
      </w:r>
      <w:r>
        <w:rPr>
          <w:rFonts w:hint="eastAsia" w:ascii="Times New Roman" w:hAnsi="Times New Roman"/>
          <w:color w:val="auto"/>
          <w:highlight w:val="none"/>
          <w:u w:val="single"/>
          <w:shd w:val="clear"/>
        </w:rPr>
        <w:t xml:space="preserve">                              </w:t>
      </w:r>
    </w:p>
    <w:p w14:paraId="6AE26165">
      <w:pPr>
        <w:pStyle w:val="22"/>
        <w:ind w:firstLine="420"/>
        <w:rPr>
          <w:rFonts w:ascii="Times New Roman" w:hAnsi="Times New Roman"/>
          <w:color w:val="auto"/>
          <w:highlight w:val="none"/>
          <w:shd w:val="clear"/>
        </w:rPr>
      </w:pP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4"/>
        <w:gridCol w:w="4475"/>
      </w:tblGrid>
      <w:tr w14:paraId="7B96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1" w:hRule="atLeast"/>
        </w:trPr>
        <w:tc>
          <w:tcPr>
            <w:tcW w:w="4474" w:type="dxa"/>
            <w:vAlign w:val="center"/>
          </w:tcPr>
          <w:p w14:paraId="09BF48F8">
            <w:pPr>
              <w:autoSpaceDE w:val="0"/>
              <w:autoSpaceDN w:val="0"/>
              <w:adjustRightInd w:val="0"/>
              <w:snapToGrid w:val="0"/>
              <w:spacing w:line="425" w:lineRule="auto"/>
              <w:jc w:val="center"/>
              <w:rPr>
                <w:rFonts w:ascii="Times New Roman" w:hAnsi="Times New Roman"/>
                <w:color w:val="auto"/>
                <w:kern w:val="0"/>
                <w:sz w:val="20"/>
                <w:szCs w:val="20"/>
                <w:highlight w:val="none"/>
                <w:shd w:val="clear"/>
              </w:rPr>
            </w:pPr>
            <w:r>
              <w:rPr>
                <w:rFonts w:hint="eastAsia" w:ascii="Times New Roman" w:hAnsi="Times New Roman"/>
                <w:color w:val="auto"/>
                <w:highlight w:val="none"/>
                <w:shd w:val="clear"/>
              </w:rPr>
              <w:t>法定代表人身份证扫描件正面</w:t>
            </w:r>
          </w:p>
        </w:tc>
        <w:tc>
          <w:tcPr>
            <w:tcW w:w="4475" w:type="dxa"/>
            <w:vAlign w:val="center"/>
          </w:tcPr>
          <w:p w14:paraId="0A5F0D84">
            <w:pPr>
              <w:autoSpaceDE w:val="0"/>
              <w:autoSpaceDN w:val="0"/>
              <w:adjustRightInd w:val="0"/>
              <w:snapToGrid w:val="0"/>
              <w:spacing w:line="425" w:lineRule="auto"/>
              <w:jc w:val="center"/>
              <w:rPr>
                <w:rFonts w:ascii="Times New Roman" w:hAnsi="Times New Roman"/>
                <w:color w:val="auto"/>
                <w:kern w:val="0"/>
                <w:sz w:val="20"/>
                <w:szCs w:val="20"/>
                <w:highlight w:val="none"/>
                <w:shd w:val="clear"/>
              </w:rPr>
            </w:pPr>
            <w:r>
              <w:rPr>
                <w:rFonts w:hint="eastAsia" w:ascii="Times New Roman" w:hAnsi="Times New Roman"/>
                <w:color w:val="auto"/>
                <w:highlight w:val="none"/>
                <w:shd w:val="clear"/>
              </w:rPr>
              <w:t>法定代表人身份证扫描件反面</w:t>
            </w:r>
          </w:p>
        </w:tc>
      </w:tr>
      <w:tr w14:paraId="3D01A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4474" w:type="dxa"/>
            <w:vAlign w:val="center"/>
          </w:tcPr>
          <w:p w14:paraId="4CA28EEB">
            <w:pPr>
              <w:autoSpaceDE w:val="0"/>
              <w:autoSpaceDN w:val="0"/>
              <w:adjustRightInd w:val="0"/>
              <w:snapToGrid w:val="0"/>
              <w:spacing w:line="425" w:lineRule="auto"/>
              <w:jc w:val="center"/>
              <w:rPr>
                <w:rFonts w:ascii="Times New Roman" w:hAnsi="Times New Roman"/>
                <w:color w:val="auto"/>
                <w:kern w:val="0"/>
                <w:sz w:val="20"/>
                <w:szCs w:val="20"/>
                <w:highlight w:val="none"/>
                <w:shd w:val="clear"/>
              </w:rPr>
            </w:pPr>
            <w:r>
              <w:rPr>
                <w:rFonts w:hint="eastAsia" w:ascii="Times New Roman" w:hAnsi="Times New Roman"/>
                <w:color w:val="auto"/>
                <w:highlight w:val="none"/>
                <w:shd w:val="clear"/>
              </w:rPr>
              <w:t>代理人身份证扫描件正面</w:t>
            </w:r>
          </w:p>
        </w:tc>
        <w:tc>
          <w:tcPr>
            <w:tcW w:w="4475" w:type="dxa"/>
            <w:vAlign w:val="center"/>
          </w:tcPr>
          <w:p w14:paraId="13519D06">
            <w:pPr>
              <w:autoSpaceDE w:val="0"/>
              <w:autoSpaceDN w:val="0"/>
              <w:adjustRightInd w:val="0"/>
              <w:snapToGrid w:val="0"/>
              <w:spacing w:line="425" w:lineRule="auto"/>
              <w:jc w:val="center"/>
              <w:rPr>
                <w:rFonts w:ascii="Times New Roman" w:hAnsi="Times New Roman"/>
                <w:color w:val="auto"/>
                <w:kern w:val="0"/>
                <w:sz w:val="20"/>
                <w:szCs w:val="20"/>
                <w:highlight w:val="none"/>
                <w:shd w:val="clear"/>
              </w:rPr>
            </w:pPr>
            <w:r>
              <w:rPr>
                <w:rFonts w:hint="eastAsia" w:ascii="Times New Roman" w:hAnsi="Times New Roman"/>
                <w:color w:val="auto"/>
                <w:highlight w:val="none"/>
                <w:shd w:val="clear"/>
              </w:rPr>
              <w:t>代理人身份证扫描件反面</w:t>
            </w:r>
          </w:p>
        </w:tc>
      </w:tr>
    </w:tbl>
    <w:p w14:paraId="0345732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w:t>
      </w:r>
    </w:p>
    <w:p w14:paraId="1A5F1415">
      <w:pPr>
        <w:pStyle w:val="22"/>
        <w:ind w:firstLine="422"/>
        <w:rPr>
          <w:rFonts w:ascii="Times New Roman" w:hAnsi="Times New Roman"/>
          <w:b/>
          <w:bCs/>
          <w:color w:val="auto"/>
          <w:highlight w:val="none"/>
          <w:shd w:val="clear"/>
        </w:rPr>
      </w:pPr>
      <w:r>
        <w:rPr>
          <w:rFonts w:hint="eastAsia" w:ascii="Times New Roman" w:hAnsi="Times New Roman"/>
          <w:b/>
          <w:color w:val="auto"/>
          <w:highlight w:val="none"/>
          <w:shd w:val="clear"/>
        </w:rPr>
        <w:t>1</w:t>
      </w:r>
      <w:r>
        <w:rPr>
          <w:rFonts w:ascii="Times New Roman" w:hAnsi="Times New Roman"/>
          <w:b/>
          <w:color w:val="auto"/>
          <w:highlight w:val="none"/>
          <w:shd w:val="clear"/>
        </w:rPr>
        <w:t>.</w:t>
      </w:r>
      <w:bookmarkEnd w:id="2138"/>
      <w:bookmarkEnd w:id="2139"/>
      <w:bookmarkStart w:id="2140" w:name="_Toc460227109"/>
      <w:bookmarkStart w:id="2141" w:name="_Toc460660224"/>
      <w:bookmarkStart w:id="2142" w:name="_Toc421917002"/>
      <w:bookmarkStart w:id="2143" w:name="_Toc390411622"/>
      <w:bookmarkStart w:id="2144" w:name="_Toc224103499"/>
      <w:r>
        <w:rPr>
          <w:rFonts w:hint="eastAsia" w:ascii="Times New Roman" w:hAnsi="Times New Roman"/>
          <w:b/>
          <w:color w:val="auto"/>
          <w:highlight w:val="none"/>
          <w:shd w:val="clear"/>
        </w:rPr>
        <w:t>本项目的项目负责人（即项目经理）与委托代理人必须为同一人。</w:t>
      </w:r>
    </w:p>
    <w:p w14:paraId="4C92219A">
      <w:pPr>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br w:type="page"/>
      </w:r>
      <w:bookmarkStart w:id="2145" w:name="_Toc535241228"/>
      <w:bookmarkStart w:id="2146" w:name="_Toc535241085"/>
      <w:bookmarkStart w:id="2147" w:name="_Toc535241131"/>
      <w:bookmarkStart w:id="2148" w:name="_Toc170805403"/>
      <w:bookmarkStart w:id="2149" w:name="_Toc170805783"/>
      <w:bookmarkStart w:id="2150" w:name="_Toc170804215"/>
    </w:p>
    <w:p w14:paraId="1D1FF5BA">
      <w:pPr>
        <w:pStyle w:val="20"/>
        <w:rPr>
          <w:rFonts w:ascii="Times New Roman" w:hAnsi="Times New Roman"/>
          <w:color w:val="auto"/>
          <w:highlight w:val="none"/>
          <w:shd w:val="clear"/>
          <w:lang w:val="zh-CN"/>
        </w:rPr>
      </w:pPr>
    </w:p>
    <w:p w14:paraId="6E229FCF">
      <w:pPr>
        <w:pStyle w:val="20"/>
        <w:outlineLvl w:val="2"/>
        <w:rPr>
          <w:rFonts w:ascii="Times New Roman" w:hAnsi="Times New Roman"/>
          <w:color w:val="auto"/>
          <w:highlight w:val="none"/>
          <w:shd w:val="clear"/>
          <w:lang w:val="zh-CN"/>
        </w:rPr>
      </w:pPr>
      <w:r>
        <w:rPr>
          <w:rFonts w:hint="eastAsia" w:ascii="Times New Roman" w:hAnsi="Times New Roman"/>
          <w:color w:val="auto"/>
          <w:highlight w:val="none"/>
          <w:shd w:val="clear"/>
        </w:rPr>
        <w:t>三</w:t>
      </w:r>
      <w:r>
        <w:rPr>
          <w:rFonts w:ascii="Times New Roman" w:hAnsi="Times New Roman"/>
          <w:color w:val="auto"/>
          <w:highlight w:val="none"/>
          <w:shd w:val="clear"/>
          <w:lang w:val="zh-CN"/>
        </w:rPr>
        <w:t>、联合体协议书</w:t>
      </w:r>
      <w:bookmarkEnd w:id="2140"/>
      <w:bookmarkEnd w:id="2141"/>
      <w:bookmarkEnd w:id="2142"/>
      <w:bookmarkEnd w:id="2143"/>
      <w:bookmarkEnd w:id="2144"/>
      <w:bookmarkEnd w:id="2145"/>
      <w:bookmarkEnd w:id="2146"/>
      <w:bookmarkEnd w:id="2147"/>
      <w:r>
        <w:rPr>
          <w:rFonts w:ascii="Times New Roman" w:hAnsi="Times New Roman"/>
          <w:color w:val="auto"/>
          <w:highlight w:val="none"/>
          <w:shd w:val="clear"/>
          <w:lang w:val="zh-CN"/>
        </w:rPr>
        <w:t>（如有）</w:t>
      </w:r>
      <w:bookmarkEnd w:id="2148"/>
      <w:bookmarkEnd w:id="2149"/>
      <w:bookmarkEnd w:id="2150"/>
    </w:p>
    <w:p w14:paraId="4159ADBA">
      <w:pPr>
        <w:pStyle w:val="22"/>
        <w:ind w:firstLine="420"/>
        <w:rPr>
          <w:rFonts w:ascii="Times New Roman" w:hAnsi="Times New Roman"/>
          <w:color w:val="auto"/>
          <w:highlight w:val="none"/>
          <w:shd w:val="clear"/>
        </w:rPr>
      </w:pPr>
      <w:bookmarkStart w:id="2151" w:name="_Toc460227110"/>
      <w:bookmarkStart w:id="2152" w:name="_Toc460660225"/>
      <w:r>
        <w:rPr>
          <w:rFonts w:hint="eastAsia" w:ascii="Times New Roman" w:hAnsi="Times New Roman"/>
          <w:color w:val="auto"/>
          <w:highlight w:val="none"/>
          <w:shd w:val="clear"/>
        </w:rPr>
        <w:t>牵头人（成员一）名称：</w:t>
      </w:r>
      <w:r>
        <w:rPr>
          <w:rFonts w:hint="eastAsia" w:ascii="Times New Roman" w:hAnsi="Times New Roman"/>
          <w:color w:val="auto"/>
          <w:highlight w:val="none"/>
          <w:u w:val="single"/>
          <w:shd w:val="clear"/>
        </w:rPr>
        <w:t xml:space="preserve">                                        </w:t>
      </w:r>
    </w:p>
    <w:p w14:paraId="286A973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p>
    <w:p w14:paraId="1C378F8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法定住所：</w:t>
      </w:r>
      <w:r>
        <w:rPr>
          <w:rFonts w:hint="eastAsia" w:ascii="Times New Roman" w:hAnsi="Times New Roman"/>
          <w:color w:val="auto"/>
          <w:highlight w:val="none"/>
          <w:u w:val="single"/>
          <w:shd w:val="clear"/>
        </w:rPr>
        <w:t xml:space="preserve">                                                    </w:t>
      </w:r>
    </w:p>
    <w:p w14:paraId="1A8A7F5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成员二名称：</w:t>
      </w:r>
      <w:r>
        <w:rPr>
          <w:rFonts w:hint="eastAsia" w:ascii="Times New Roman" w:hAnsi="Times New Roman"/>
          <w:color w:val="auto"/>
          <w:highlight w:val="none"/>
          <w:u w:val="single"/>
          <w:shd w:val="clear"/>
        </w:rPr>
        <w:t xml:space="preserve">                                                  </w:t>
      </w:r>
    </w:p>
    <w:p w14:paraId="4E432CA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p>
    <w:p w14:paraId="0213ED0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法定住所：</w:t>
      </w:r>
      <w:r>
        <w:rPr>
          <w:rFonts w:hint="eastAsia" w:ascii="Times New Roman" w:hAnsi="Times New Roman"/>
          <w:color w:val="auto"/>
          <w:highlight w:val="none"/>
          <w:u w:val="single"/>
          <w:shd w:val="clear"/>
        </w:rPr>
        <w:t xml:space="preserve">                                                    </w:t>
      </w:r>
    </w:p>
    <w:p w14:paraId="5179563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w:t>
      </w:r>
    </w:p>
    <w:p w14:paraId="36EDAE6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鉴于上述各成员单位经过友好协商，自愿组成</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（联合体名称）联合体，共同参加</w:t>
      </w:r>
    </w:p>
    <w:p w14:paraId="5747E91A">
      <w:pPr>
        <w:pStyle w:val="22"/>
        <w:ind w:firstLine="420"/>
        <w:rPr>
          <w:rFonts w:ascii="Times New Roman" w:hAnsi="Times New Roman"/>
          <w:color w:val="auto"/>
          <w:highlight w:val="none"/>
          <w:shd w:val="clear"/>
        </w:rPr>
      </w:pP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（招标人名称）（以下简称招标人）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（招标项目名称）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标段（以下简称本工程）的施工投标并争取赢得本工程施工承包合同（以下简称合同）。现就联合体投标事宜订立如下协议：</w:t>
      </w:r>
    </w:p>
    <w:p w14:paraId="7CC65BD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（某成员单位名称）为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（联合体名称）牵头人。</w:t>
      </w:r>
    </w:p>
    <w:p w14:paraId="60BD44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80571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3E4B1F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4.联合体各成员单位内部的职责分工如下：</w:t>
      </w:r>
    </w:p>
    <w:p w14:paraId="578CE67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牵头人（成员一）名称：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，具有</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资格，承担</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专业工程；</w:t>
      </w:r>
    </w:p>
    <w:p w14:paraId="5373305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成员二名称：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，具有</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资格，承担</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专业工程；</w:t>
      </w:r>
    </w:p>
    <w:p w14:paraId="0513294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w:t>
      </w:r>
    </w:p>
    <w:p w14:paraId="4B23DCF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5.投标工作和联合体在中标后工程实施过程中的有关费用按各自承担的工作量分摊。</w:t>
      </w:r>
    </w:p>
    <w:p w14:paraId="39E1BF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6.联合体中标后，本联合体协议是合同的附件，对联合体各成员单位有合同约束力。</w:t>
      </w:r>
    </w:p>
    <w:p w14:paraId="24760F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7.本协议书自签署之日起生效，联合体未中标或者合同履行完毕后自动失效。</w:t>
      </w:r>
    </w:p>
    <w:p w14:paraId="603E53E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8.本协议书一式</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份，联合体成员和招标人各执一份。</w:t>
      </w:r>
    </w:p>
    <w:p w14:paraId="5224D48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牵头人（成员一）名称：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（盖单位章）</w:t>
      </w:r>
    </w:p>
    <w:p w14:paraId="69FA073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（签字或盖章）</w:t>
      </w:r>
    </w:p>
    <w:p w14:paraId="37F3064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成员二名称：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（盖单位章）</w:t>
      </w:r>
    </w:p>
    <w:p w14:paraId="01455220">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（签字或盖章）</w:t>
      </w:r>
    </w:p>
    <w:p w14:paraId="5B6C58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w:t>
      </w:r>
    </w:p>
    <w:p w14:paraId="667F021F">
      <w:pPr>
        <w:pStyle w:val="22"/>
        <w:ind w:firstLine="420"/>
        <w:rPr>
          <w:rFonts w:ascii="Times New Roman" w:hAnsi="Times New Roman"/>
          <w:color w:val="auto"/>
          <w:highlight w:val="none"/>
          <w:shd w:val="clear"/>
        </w:rPr>
      </w:pP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318153C7">
      <w:pPr>
        <w:jc w:val="center"/>
        <w:rPr>
          <w:rFonts w:ascii="Times New Roman" w:hAnsi="Times New Roman"/>
          <w:color w:val="auto"/>
          <w:highlight w:val="none"/>
          <w:shd w:val="clear"/>
        </w:rPr>
      </w:pPr>
    </w:p>
    <w:p w14:paraId="464AE083">
      <w:pPr>
        <w:pStyle w:val="20"/>
        <w:outlineLvl w:val="2"/>
        <w:rPr>
          <w:rFonts w:ascii="Times New Roman" w:hAnsi="Times New Roman"/>
          <w:color w:val="auto"/>
          <w:highlight w:val="none"/>
          <w:shd w:val="clear"/>
          <w:lang w:val="zh-CN"/>
        </w:rPr>
      </w:pPr>
      <w:bookmarkStart w:id="2153" w:name="_Toc170805404"/>
      <w:bookmarkStart w:id="2154" w:name="_Toc170804216"/>
      <w:bookmarkStart w:id="2155" w:name="_Toc170805784"/>
      <w:bookmarkStart w:id="2156" w:name="_Toc460227114"/>
      <w:bookmarkStart w:id="2157" w:name="_Toc460660229"/>
      <w:bookmarkStart w:id="2158" w:name="_Toc535241229"/>
      <w:bookmarkStart w:id="2159" w:name="_Toc535241132"/>
      <w:bookmarkStart w:id="2160" w:name="_Toc535241086"/>
    </w:p>
    <w:p w14:paraId="3D750828">
      <w:pPr>
        <w:pStyle w:val="20"/>
        <w:outlineLvl w:val="2"/>
        <w:rPr>
          <w:rFonts w:ascii="Times New Roman" w:hAnsi="Times New Roman"/>
          <w:color w:val="auto"/>
          <w:highlight w:val="none"/>
          <w:shd w:val="clear"/>
          <w:lang w:val="zh-CN"/>
        </w:rPr>
      </w:pPr>
    </w:p>
    <w:p w14:paraId="236511B1">
      <w:pPr>
        <w:pStyle w:val="20"/>
        <w:outlineLvl w:val="2"/>
        <w:rPr>
          <w:rFonts w:ascii="Times New Roman" w:hAnsi="Times New Roman"/>
          <w:color w:val="auto"/>
          <w:highlight w:val="none"/>
          <w:shd w:val="clear"/>
          <w:lang w:val="zh-CN"/>
        </w:rPr>
      </w:pPr>
    </w:p>
    <w:p w14:paraId="7FFADD57">
      <w:pPr>
        <w:pStyle w:val="20"/>
        <w:outlineLvl w:val="2"/>
        <w:rPr>
          <w:rFonts w:ascii="Times New Roman" w:hAnsi="Times New Roman"/>
          <w:color w:val="auto"/>
          <w:highlight w:val="none"/>
          <w:shd w:val="clear"/>
          <w:lang w:val="zh-CN"/>
        </w:rPr>
      </w:pPr>
    </w:p>
    <w:p w14:paraId="4977BE14">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四、投标保证金</w:t>
      </w:r>
      <w:bookmarkEnd w:id="2153"/>
      <w:bookmarkEnd w:id="2154"/>
      <w:bookmarkEnd w:id="2155"/>
      <w:bookmarkEnd w:id="2156"/>
      <w:bookmarkEnd w:id="2157"/>
    </w:p>
    <w:p w14:paraId="11C3D55E">
      <w:pPr>
        <w:rPr>
          <w:rFonts w:ascii="Times New Roman" w:hAnsi="Times New Roman"/>
          <w:color w:val="auto"/>
          <w:szCs w:val="24"/>
          <w:highlight w:val="none"/>
          <w:shd w:val="clear"/>
        </w:rPr>
      </w:pPr>
    </w:p>
    <w:p w14:paraId="20DD314C">
      <w:pPr>
        <w:pStyle w:val="22"/>
        <w:ind w:firstLine="422"/>
        <w:rPr>
          <w:rFonts w:ascii="Times New Roman" w:hAnsi="Times New Roman"/>
          <w:b/>
          <w:bCs/>
          <w:color w:val="auto"/>
          <w:szCs w:val="24"/>
          <w:highlight w:val="none"/>
          <w:shd w:val="clear"/>
        </w:rPr>
      </w:pPr>
      <w:bookmarkStart w:id="2161" w:name="_Hlk176249810"/>
      <w:bookmarkStart w:id="2162" w:name="_Toc535241232"/>
      <w:bookmarkStart w:id="2163" w:name="_Toc535241135"/>
      <w:bookmarkStart w:id="2164" w:name="_Toc535241089"/>
      <w:r>
        <w:rPr>
          <w:rFonts w:hint="eastAsia" w:ascii="Times New Roman" w:hAnsi="Times New Roman"/>
          <w:b/>
          <w:color w:val="auto"/>
          <w:highlight w:val="none"/>
          <w:shd w:val="clear"/>
        </w:rPr>
        <w:t>（一）如采用银行保函或担保机构担保或保证保险，银行保函或担保机构担保或保证保险扫描件提供在投标文件中，格式如下。</w:t>
      </w:r>
    </w:p>
    <w:p w14:paraId="60B8E249">
      <w:pPr>
        <w:pStyle w:val="21"/>
        <w:rPr>
          <w:rFonts w:ascii="Times New Roman" w:hAnsi="Times New Roman"/>
          <w:color w:val="auto"/>
          <w:highlight w:val="none"/>
          <w:shd w:val="clear"/>
        </w:rPr>
      </w:pPr>
      <w:r>
        <w:rPr>
          <w:rFonts w:hint="eastAsia" w:ascii="Times New Roman" w:hAnsi="Times New Roman"/>
          <w:color w:val="auto"/>
          <w:highlight w:val="none"/>
          <w:shd w:val="clear"/>
        </w:rPr>
        <w:t>投标保函示范文本</w:t>
      </w:r>
    </w:p>
    <w:p w14:paraId="2FCDF4C5">
      <w:pPr>
        <w:tabs>
          <w:tab w:val="left" w:pos="8422"/>
          <w:tab w:val="left" w:pos="9622"/>
        </w:tabs>
        <w:spacing w:line="360" w:lineRule="auto"/>
        <w:ind w:right="105" w:rightChars="50" w:firstLine="420" w:firstLineChars="200"/>
        <w:jc w:val="right"/>
        <w:rPr>
          <w:rFonts w:ascii="Times New Roman" w:hAnsi="Times New Roman"/>
          <w:color w:val="auto"/>
          <w:szCs w:val="20"/>
          <w:highlight w:val="none"/>
          <w:shd w:val="clear"/>
        </w:rPr>
      </w:pPr>
      <w:r>
        <w:rPr>
          <w:rFonts w:hint="eastAsia" w:ascii="Times New Roman" w:hAnsi="Times New Roman"/>
          <w:color w:val="auto"/>
          <w:szCs w:val="20"/>
          <w:highlight w:val="none"/>
          <w:shd w:val="clear"/>
        </w:rPr>
        <w:t xml:space="preserve">编号：           </w:t>
      </w:r>
    </w:p>
    <w:p w14:paraId="0B33F2C6">
      <w:pPr>
        <w:tabs>
          <w:tab w:val="left" w:pos="8422"/>
          <w:tab w:val="left" w:pos="9622"/>
        </w:tabs>
        <w:spacing w:line="360" w:lineRule="auto"/>
        <w:ind w:right="105" w:rightChars="50" w:firstLine="420" w:firstLineChars="200"/>
        <w:jc w:val="left"/>
        <w:rPr>
          <w:rFonts w:ascii="Times New Roman" w:hAnsi="Times New Roman"/>
          <w:color w:val="auto"/>
          <w:szCs w:val="20"/>
          <w:highlight w:val="none"/>
          <w:shd w:val="clear"/>
        </w:rPr>
      </w:pPr>
    </w:p>
    <w:p w14:paraId="62F55B2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致</w:t>
      </w:r>
      <w:r>
        <w:rPr>
          <w:rFonts w:hint="eastAsia" w:ascii="Times New Roman" w:hAnsi="Times New Roman"/>
          <w:color w:val="auto"/>
          <w:highlight w:val="none"/>
          <w:u w:val="single"/>
          <w:shd w:val="clear"/>
        </w:rPr>
        <w:t>：受益人（招标人）名称</w:t>
      </w:r>
    </w:p>
    <w:p w14:paraId="79B72DC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开立人获得通知，</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（投标人）于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年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月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日参加编号为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（标段编号）的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（标段名称）投标。</w:t>
      </w:r>
    </w:p>
    <w:p w14:paraId="0364FF9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元（¥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p>
    <w:p w14:paraId="54AF2AD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二、开立人在投标人发生以下情形时承担保证担保责任： </w:t>
      </w:r>
    </w:p>
    <w:p w14:paraId="5F0B36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（1）投标人在投标有效期内撤销投标文件；</w:t>
      </w:r>
    </w:p>
    <w:p w14:paraId="4C420EE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（2）投标人在中标后无正当理由不与招标人订立合同；</w:t>
      </w:r>
    </w:p>
    <w:p w14:paraId="1D42386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（3）投标人在签订合同时向招标人提出附加条件；</w:t>
      </w:r>
    </w:p>
    <w:p w14:paraId="107B107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（4）投标人不按照招标文件要求提交履约保证金；</w:t>
      </w:r>
    </w:p>
    <w:p w14:paraId="5C32F2B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（5）发生招标文件明确规定可以不予退还投标保证金的情形。</w:t>
      </w:r>
    </w:p>
    <w:p w14:paraId="2996B97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三、本保函为不可撤销、不可转让的见索即付独立保函。本保函有效期自开立之日起至投标有效期届满之日后的30日。</w:t>
      </w:r>
    </w:p>
    <w:p w14:paraId="1654DECC">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四、开立人承诺，在收到受益人发来的书面付款通知后的七日内无条件支付，前述书面付款通知即为付款要求之单据，且应满足以下要求：</w:t>
      </w:r>
    </w:p>
    <w:p w14:paraId="50F3FB2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（1）付款通知到达的日期在本保函的有效期内；</w:t>
      </w:r>
    </w:p>
    <w:p w14:paraId="3AF7904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（2）载明要求支付的金额；</w:t>
      </w:r>
    </w:p>
    <w:p w14:paraId="46664CE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（3）载明申请人违反招投标文件规定的义务内容和具体条款；</w:t>
      </w:r>
    </w:p>
    <w:p w14:paraId="5DA12FB4">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（4）声明不存在招标文件规定或我国法律规定免除申请人或我方支付责任的情形；</w:t>
      </w:r>
    </w:p>
    <w:p w14:paraId="0BAFFAE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（5）书面付款通知应在本保函有效期内到达的地址是：           。</w:t>
      </w:r>
    </w:p>
    <w:p w14:paraId="7939936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受益人发出的书面付款通知应由其法定代表人（负责人）或授权代理人签字并加盖公章。</w:t>
      </w:r>
    </w:p>
    <w:p w14:paraId="30D90A0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五、本保函项下的权利不得转让，不得设定担保。受益人未经开立人书面同意转让本保函或其项下任何权利，对开立人不发生法律效力。 </w:t>
      </w:r>
    </w:p>
    <w:p w14:paraId="11624AC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六、本保函项下的基础交易不成立、不生效、无效、被撤销、被解除，不影响本保函的独立有效。</w:t>
      </w:r>
    </w:p>
    <w:p w14:paraId="02DC139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七、本保函项下的义务和责任均在保函有效期到期后自动消灭。 </w:t>
      </w:r>
    </w:p>
    <w:p w14:paraId="4FE7F9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八、本保函适用的法律为中华人民共和国法律，因本保函产生的纠纷案件，由受益人所在地人民法院管辖。 </w:t>
      </w:r>
    </w:p>
    <w:p w14:paraId="1162EE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 xml:space="preserve">九、本保函自我方法定代表人或授权代表签字并加盖公章之日起生效。 </w:t>
      </w:r>
    </w:p>
    <w:p w14:paraId="1B71A266">
      <w:pPr>
        <w:tabs>
          <w:tab w:val="left" w:pos="8422"/>
          <w:tab w:val="left" w:pos="9622"/>
        </w:tabs>
        <w:spacing w:line="360" w:lineRule="auto"/>
        <w:ind w:right="105" w:rightChars="50" w:firstLine="420" w:firstLineChars="200"/>
        <w:jc w:val="left"/>
        <w:rPr>
          <w:rFonts w:ascii="Times New Roman" w:hAnsi="Times New Roman"/>
          <w:color w:val="auto"/>
          <w:szCs w:val="20"/>
          <w:highlight w:val="none"/>
          <w:shd w:val="clear"/>
        </w:rPr>
      </w:pPr>
    </w:p>
    <w:p w14:paraId="716FD2E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开立人：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（盖单位章） </w:t>
      </w:r>
    </w:p>
    <w:p w14:paraId="69FBF74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法定代表人（或授权代表）：</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签字或盖章） </w:t>
      </w:r>
    </w:p>
    <w:p w14:paraId="024A8B0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地    址：</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p>
    <w:p w14:paraId="7166ADA4">
      <w:pPr>
        <w:pStyle w:val="22"/>
        <w:ind w:firstLine="420"/>
        <w:rPr>
          <w:rFonts w:ascii="Times New Roman" w:hAnsi="Times New Roman"/>
          <w:color w:val="auto"/>
          <w:highlight w:val="none"/>
          <w:u w:val="singl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p>
    <w:p w14:paraId="2F579DC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电    话：</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p>
    <w:p w14:paraId="4F4D9C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传    真：</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p>
    <w:p w14:paraId="6F8561A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开立时间：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年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月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6AFFA7CB">
      <w:pPr>
        <w:tabs>
          <w:tab w:val="left" w:pos="8422"/>
          <w:tab w:val="left" w:pos="9622"/>
        </w:tabs>
        <w:spacing w:line="360" w:lineRule="auto"/>
        <w:ind w:right="105" w:rightChars="50" w:firstLine="422" w:firstLineChars="200"/>
        <w:jc w:val="left"/>
        <w:rPr>
          <w:rFonts w:ascii="Times New Roman" w:hAnsi="Times New Roman"/>
          <w:b/>
          <w:color w:val="auto"/>
          <w:szCs w:val="20"/>
          <w:highlight w:val="none"/>
          <w:shd w:val="clear"/>
        </w:rPr>
      </w:pPr>
    </w:p>
    <w:p w14:paraId="6CD50111">
      <w:pPr>
        <w:tabs>
          <w:tab w:val="left" w:pos="8422"/>
          <w:tab w:val="left" w:pos="9622"/>
        </w:tabs>
        <w:spacing w:line="320" w:lineRule="exact"/>
        <w:ind w:right="105" w:rightChars="50"/>
        <w:jc w:val="left"/>
        <w:rPr>
          <w:rFonts w:ascii="Times New Roman" w:hAnsi="Times New Roman"/>
          <w:color w:val="auto"/>
          <w:szCs w:val="20"/>
          <w:highlight w:val="none"/>
          <w:shd w:val="clear"/>
        </w:rPr>
      </w:pPr>
    </w:p>
    <w:p w14:paraId="4296DFCA">
      <w:pPr>
        <w:tabs>
          <w:tab w:val="left" w:pos="8422"/>
          <w:tab w:val="left" w:pos="9622"/>
        </w:tabs>
        <w:spacing w:line="320" w:lineRule="exact"/>
        <w:ind w:left="105" w:leftChars="50" w:right="105" w:rightChars="50" w:firstLine="2108" w:firstLineChars="1004"/>
        <w:jc w:val="right"/>
        <w:rPr>
          <w:rFonts w:ascii="Times New Roman" w:hAnsi="Times New Roman"/>
          <w:snapToGrid w:val="0"/>
          <w:color w:val="auto"/>
          <w:kern w:val="0"/>
          <w:szCs w:val="24"/>
          <w:highlight w:val="none"/>
          <w:shd w:val="clear"/>
        </w:rPr>
      </w:pPr>
    </w:p>
    <w:p w14:paraId="3114108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w:t>
      </w:r>
    </w:p>
    <w:p w14:paraId="69CB54E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1.允许投标人实际开具的银行保函或担保机构或保证保险机构出具的担保的格式与本文件提供的格式有所不同，但不得更改本文件提供的银行保函或担保格式中的实质性内容。</w:t>
      </w:r>
    </w:p>
    <w:p w14:paraId="3884E26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2.投标人开具的银行保函（或担保机构担保或保证保险）必须具有明确有效的查询途径（二维码；或网址链接及查询方式）。</w:t>
      </w:r>
    </w:p>
    <w:p w14:paraId="5CEF7EDC">
      <w:pPr>
        <w:widowControl/>
        <w:jc w:val="left"/>
        <w:rPr>
          <w:rFonts w:ascii="Times New Roman" w:hAnsi="Times New Roman"/>
          <w:b/>
          <w:bCs w:val="0"/>
          <w:snapToGrid w:val="0"/>
          <w:color w:val="auto"/>
          <w:kern w:val="0"/>
          <w:szCs w:val="24"/>
          <w:highlight w:val="none"/>
          <w:shd w:val="clear"/>
        </w:rPr>
      </w:pPr>
      <w:r>
        <w:rPr>
          <w:rFonts w:ascii="Times New Roman" w:hAnsi="Times New Roman"/>
          <w:b/>
          <w:snapToGrid w:val="0"/>
          <w:color w:val="auto"/>
          <w:kern w:val="0"/>
          <w:szCs w:val="24"/>
          <w:highlight w:val="none"/>
          <w:shd w:val="clear"/>
        </w:rPr>
        <w:br w:type="page"/>
      </w:r>
    </w:p>
    <w:p w14:paraId="237E87DA">
      <w:pPr>
        <w:pStyle w:val="22"/>
        <w:ind w:firstLine="422"/>
        <w:rPr>
          <w:rFonts w:hint="eastAsia" w:ascii="Times New Roman" w:hAnsi="Times New Roman"/>
          <w:b/>
          <w:color w:val="auto"/>
          <w:highlight w:val="none"/>
          <w:shd w:val="clear"/>
        </w:rPr>
      </w:pPr>
      <w:bookmarkStart w:id="2165" w:name="_Toc16981"/>
      <w:bookmarkStart w:id="2166" w:name="_Toc25422"/>
      <w:bookmarkStart w:id="2167" w:name="_Toc20150"/>
    </w:p>
    <w:p w14:paraId="6AE2A326">
      <w:pPr>
        <w:pStyle w:val="22"/>
        <w:ind w:firstLine="422"/>
        <w:rPr>
          <w:rFonts w:ascii="Times New Roman" w:hAnsi="Times New Roman"/>
          <w:b/>
          <w:bCs/>
          <w:color w:val="auto"/>
          <w:highlight w:val="none"/>
          <w:shd w:val="clear"/>
        </w:rPr>
      </w:pPr>
      <w:r>
        <w:rPr>
          <w:rFonts w:hint="eastAsia" w:ascii="Times New Roman" w:hAnsi="Times New Roman"/>
          <w:b/>
          <w:color w:val="auto"/>
          <w:highlight w:val="none"/>
          <w:shd w:val="clear"/>
        </w:rPr>
        <w:t>（二）免缴投标保证金证明材料（根据第二章“投标人须知”要求提供）</w:t>
      </w:r>
    </w:p>
    <w:p w14:paraId="1399D1DB">
      <w:pPr>
        <w:pStyle w:val="22"/>
        <w:ind w:firstLine="422"/>
        <w:rPr>
          <w:rFonts w:ascii="Times New Roman" w:hAnsi="Times New Roman"/>
          <w:b/>
          <w:bCs/>
          <w:color w:val="auto"/>
          <w:highlight w:val="none"/>
          <w:shd w:val="clear"/>
        </w:rPr>
      </w:pPr>
      <w:r>
        <w:rPr>
          <w:rFonts w:hint="eastAsia" w:ascii="Times New Roman" w:hAnsi="Times New Roman"/>
          <w:b/>
          <w:color w:val="auto"/>
          <w:highlight w:val="none"/>
          <w:shd w:val="clear"/>
        </w:rPr>
        <w:t>（1）承诺函</w:t>
      </w:r>
      <w:bookmarkEnd w:id="2165"/>
      <w:bookmarkEnd w:id="2166"/>
      <w:bookmarkEnd w:id="2167"/>
    </w:p>
    <w:p w14:paraId="0F148B83">
      <w:pPr>
        <w:pStyle w:val="21"/>
        <w:rPr>
          <w:rFonts w:ascii="Times New Roman" w:hAnsi="Times New Roman"/>
          <w:color w:val="auto"/>
          <w:kern w:val="0"/>
          <w:highlight w:val="none"/>
          <w:shd w:val="clear"/>
        </w:rPr>
      </w:pPr>
      <w:r>
        <w:rPr>
          <w:rFonts w:hint="eastAsia" w:ascii="Times New Roman" w:hAnsi="Times New Roman"/>
          <w:color w:val="auto"/>
          <w:highlight w:val="none"/>
          <w:shd w:val="clear"/>
        </w:rPr>
        <w:t>免缴投标保证金承诺函</w:t>
      </w:r>
    </w:p>
    <w:p w14:paraId="2238E8F9">
      <w:pPr>
        <w:pStyle w:val="22"/>
        <w:ind w:firstLine="0" w:firstLineChars="0"/>
        <w:rPr>
          <w:rFonts w:ascii="Times New Roman" w:hAnsi="Times New Roman"/>
          <w:bCs/>
          <w:snapToGrid w:val="0"/>
          <w:color w:val="auto"/>
          <w:highlight w:val="none"/>
          <w:shd w:val="clear"/>
        </w:rPr>
      </w:pPr>
      <w:r>
        <w:rPr>
          <w:rFonts w:hint="eastAsia" w:ascii="Times New Roman" w:hAnsi="Times New Roman"/>
          <w:snapToGrid w:val="0"/>
          <w:color w:val="auto"/>
          <w:highlight w:val="none"/>
          <w:shd w:val="clear"/>
        </w:rPr>
        <w:t>致：(招标人名称)</w:t>
      </w:r>
    </w:p>
    <w:p w14:paraId="7C4E5DC3">
      <w:pPr>
        <w:pStyle w:val="22"/>
        <w:ind w:firstLine="420"/>
        <w:rPr>
          <w:rFonts w:ascii="Times New Roman" w:hAnsi="Times New Roman"/>
          <w:bCs/>
          <w:snapToGrid w:val="0"/>
          <w:color w:val="auto"/>
          <w:highlight w:val="none"/>
          <w:shd w:val="clear"/>
        </w:rPr>
      </w:pPr>
      <w:r>
        <w:rPr>
          <w:rFonts w:hint="eastAsia" w:ascii="Times New Roman" w:hAnsi="Times New Roman"/>
          <w:color w:val="auto"/>
          <w:highlight w:val="none"/>
          <w:shd w:val="clear"/>
        </w:rPr>
        <w:t>按照招标文件的规定，我单位承诺如下：</w:t>
      </w:r>
    </w:p>
    <w:p w14:paraId="657002B7">
      <w:pPr>
        <w:pStyle w:val="22"/>
        <w:ind w:firstLine="420"/>
        <w:rPr>
          <w:rFonts w:ascii="Times New Roman" w:hAnsi="Times New Roman"/>
          <w:color w:val="auto"/>
          <w:highlight w:val="none"/>
          <w:u w:val="single"/>
          <w:shd w:val="clear"/>
        </w:rPr>
      </w:pPr>
      <w:r>
        <w:rPr>
          <w:rFonts w:hint="eastAsia" w:ascii="Times New Roman" w:hAnsi="Times New Roman"/>
          <w:color w:val="auto"/>
          <w:highlight w:val="none"/>
          <w:shd w:val="clear"/>
        </w:rPr>
        <w:t>我单位符合第二章投标人须知前附表3.4.1投标保证金免缴情形</w:t>
      </w:r>
      <w:r>
        <w:rPr>
          <w:rFonts w:hint="eastAsia" w:ascii="Times New Roman" w:hAnsi="Times New Roman"/>
          <w:color w:val="auto"/>
          <w:highlight w:val="none"/>
          <w:u w:val="single"/>
          <w:shd w:val="clear"/>
        </w:rPr>
        <w:t>：</w:t>
      </w:r>
      <w:r>
        <w:rPr>
          <w:rFonts w:hint="eastAsia"/>
          <w:color w:val="auto"/>
          <w:highlight w:val="none"/>
          <w:u w:val="single"/>
          <w:shd w:val="clear"/>
        </w:rPr>
        <w:t>①</w:t>
      </w:r>
      <w:r>
        <w:rPr>
          <w:rFonts w:hint="eastAsia" w:ascii="Times New Roman" w:hAnsi="Times New Roman"/>
          <w:color w:val="auto"/>
          <w:highlight w:val="none"/>
          <w:u w:val="single"/>
          <w:shd w:val="clear"/>
        </w:rPr>
        <w:t>在“信用中国”网站未被列入严重失信主体名单和经营异常名录信息；</w:t>
      </w:r>
      <w:r>
        <w:rPr>
          <w:rFonts w:hint="eastAsia"/>
          <w:color w:val="auto"/>
          <w:highlight w:val="none"/>
          <w:u w:val="single"/>
          <w:shd w:val="clear"/>
        </w:rPr>
        <w:t>②</w:t>
      </w:r>
      <w:r>
        <w:rPr>
          <w:rFonts w:hint="eastAsia" w:ascii="Times New Roman" w:hAnsi="Times New Roman"/>
          <w:color w:val="auto"/>
          <w:highlight w:val="none"/>
          <w:u w:val="single"/>
          <w:shd w:val="clear"/>
        </w:rPr>
        <w:t>投标截止时间前，无蚌埠市及其所辖县招标投标行政监督部门披露的不良行为记录（披露期内）</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w:t>
      </w:r>
    </w:p>
    <w:p w14:paraId="1525108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我单位将严格遵守《中华人民共和国招标投标法》等法律、法规和招标文件约定条款。如果存在招标文件约定的投标保证金不予退还的情形，将于收到招标人书面通知7日内将招标文件约定的投标保证金足额缴纳至招标人指定账户。</w:t>
      </w:r>
    </w:p>
    <w:p w14:paraId="49F6FF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我单位对上述承诺的真实性负责。如有虚假，我单位愿意承担按照弄虚作假情节严重行为追究法律责任，主动接受招标投标行政监督部门依法依规对我单位作出的任何处理。</w:t>
      </w:r>
    </w:p>
    <w:p w14:paraId="23B5AFA4">
      <w:pPr>
        <w:pStyle w:val="22"/>
        <w:ind w:firstLine="420"/>
        <w:rPr>
          <w:rFonts w:ascii="Times New Roman" w:hAnsi="Times New Roman"/>
          <w:color w:val="auto"/>
          <w:highlight w:val="none"/>
          <w:shd w:val="clear"/>
        </w:rPr>
      </w:pPr>
    </w:p>
    <w:p w14:paraId="0C1FF901">
      <w:pPr>
        <w:pStyle w:val="22"/>
        <w:ind w:firstLine="420"/>
        <w:rPr>
          <w:rFonts w:ascii="Times New Roman" w:hAnsi="Times New Roman"/>
          <w:color w:val="auto"/>
          <w:highlight w:val="none"/>
          <w:shd w:val="clear"/>
        </w:rPr>
      </w:pPr>
    </w:p>
    <w:p w14:paraId="41A04759">
      <w:pPr>
        <w:pStyle w:val="22"/>
        <w:ind w:firstLine="420"/>
        <w:rPr>
          <w:rFonts w:ascii="Times New Roman" w:hAnsi="Times New Roman"/>
          <w:color w:val="auto"/>
          <w:highlight w:val="none"/>
          <w:shd w:val="clear"/>
        </w:rPr>
      </w:pPr>
      <w:r>
        <w:rPr>
          <w:rFonts w:ascii="Times New Roman" w:hAnsi="Times New Roman"/>
          <w:color w:val="auto"/>
          <w:highlight w:val="none"/>
          <w:shd w:val="clear"/>
        </w:rPr>
        <w:t xml:space="preserve"> </w:t>
      </w:r>
      <w:r>
        <w:rPr>
          <w:rFonts w:hint="eastAsia" w:ascii="Times New Roman" w:hAnsi="Times New Roman"/>
          <w:color w:val="auto"/>
          <w:highlight w:val="none"/>
          <w:shd w:val="clear"/>
        </w:rPr>
        <w:t>投 标 人：（盖单位章）</w:t>
      </w:r>
    </w:p>
    <w:p w14:paraId="3CDDECB6">
      <w:pPr>
        <w:pStyle w:val="22"/>
        <w:ind w:firstLine="420"/>
        <w:rPr>
          <w:rFonts w:ascii="Times New Roman" w:hAnsi="Times New Roman"/>
          <w:snapToGrid w:val="0"/>
          <w:color w:val="auto"/>
          <w:highlight w:val="none"/>
          <w:shd w:val="clear"/>
        </w:rPr>
      </w:pPr>
      <w:r>
        <w:rPr>
          <w:rFonts w:hint="eastAsia" w:ascii="Times New Roman" w:hAnsi="Times New Roman"/>
          <w:snapToGrid w:val="0"/>
          <w:color w:val="auto"/>
          <w:highlight w:val="none"/>
          <w:shd w:val="clear"/>
        </w:rPr>
        <w:t>法定代表人（单位负责人）或其委托代理人：</w:t>
      </w:r>
      <w:r>
        <w:rPr>
          <w:rFonts w:hint="eastAsia" w:ascii="Times New Roman" w:hAnsi="Times New Roman"/>
          <w:snapToGrid w:val="0"/>
          <w:color w:val="auto"/>
          <w:sz w:val="18"/>
          <w:highlight w:val="none"/>
          <w:u w:val="single"/>
          <w:shd w:val="clear"/>
        </w:rPr>
        <w:t xml:space="preserve">            </w:t>
      </w:r>
      <w:r>
        <w:rPr>
          <w:rFonts w:hint="eastAsia" w:ascii="Times New Roman" w:hAnsi="Times New Roman"/>
          <w:snapToGrid w:val="0"/>
          <w:color w:val="auto"/>
          <w:highlight w:val="none"/>
          <w:shd w:val="clear"/>
        </w:rPr>
        <w:t>（签字或盖章）</w:t>
      </w:r>
    </w:p>
    <w:p w14:paraId="28CED19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日期：</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214C6986">
      <w:pPr>
        <w:tabs>
          <w:tab w:val="left" w:pos="9144"/>
        </w:tabs>
        <w:spacing w:line="360" w:lineRule="auto"/>
        <w:ind w:left="105" w:leftChars="50" w:right="105" w:rightChars="50" w:firstLine="420" w:firstLineChars="200"/>
        <w:jc w:val="left"/>
        <w:rPr>
          <w:rFonts w:ascii="Times New Roman" w:hAnsi="Times New Roman"/>
          <w:color w:val="auto"/>
          <w:highlight w:val="none"/>
          <w:shd w:val="clear"/>
        </w:rPr>
      </w:pPr>
    </w:p>
    <w:p w14:paraId="0B790C54">
      <w:pPr>
        <w:pStyle w:val="22"/>
        <w:ind w:firstLine="422"/>
        <w:rPr>
          <w:rFonts w:ascii="Times New Roman" w:hAnsi="Times New Roman"/>
          <w:b/>
          <w:bCs/>
          <w:color w:val="auto"/>
          <w:highlight w:val="none"/>
          <w:shd w:val="clear"/>
        </w:rPr>
      </w:pPr>
      <w:r>
        <w:rPr>
          <w:rFonts w:hint="eastAsia" w:ascii="Times New Roman" w:hAnsi="Times New Roman"/>
          <w:b/>
          <w:color w:val="auto"/>
          <w:highlight w:val="none"/>
          <w:shd w:val="clear"/>
        </w:rPr>
        <w:t>（2）无违法违规证明版或核查版</w:t>
      </w:r>
    </w:p>
    <w:p w14:paraId="3DDAB367">
      <w:pPr>
        <w:tabs>
          <w:tab w:val="left" w:pos="9144"/>
        </w:tabs>
        <w:spacing w:line="360" w:lineRule="auto"/>
        <w:ind w:left="105" w:leftChars="50" w:right="105" w:rightChars="50" w:firstLine="420" w:firstLineChars="200"/>
        <w:jc w:val="left"/>
        <w:rPr>
          <w:rFonts w:ascii="Times New Roman" w:hAnsi="Times New Roman"/>
          <w:snapToGrid w:val="0"/>
          <w:color w:val="auto"/>
          <w:kern w:val="0"/>
          <w:szCs w:val="24"/>
          <w:highlight w:val="none"/>
          <w:shd w:val="clear"/>
        </w:rPr>
      </w:pPr>
    </w:p>
    <w:p w14:paraId="0A215BCD">
      <w:pPr>
        <w:tabs>
          <w:tab w:val="left" w:pos="9144"/>
        </w:tabs>
        <w:spacing w:line="360" w:lineRule="auto"/>
        <w:ind w:left="105" w:leftChars="50" w:right="105" w:rightChars="50" w:firstLine="420" w:firstLineChars="200"/>
        <w:jc w:val="left"/>
        <w:rPr>
          <w:rFonts w:ascii="Times New Roman" w:hAnsi="Times New Roman"/>
          <w:snapToGrid w:val="0"/>
          <w:color w:val="auto"/>
          <w:kern w:val="0"/>
          <w:szCs w:val="24"/>
          <w:highlight w:val="none"/>
          <w:shd w:val="clear"/>
        </w:rPr>
      </w:pPr>
    </w:p>
    <w:bookmarkEnd w:id="2161"/>
    <w:p w14:paraId="3CCB71BC">
      <w:pPr>
        <w:jc w:val="right"/>
        <w:rPr>
          <w:rFonts w:ascii="Times New Roman" w:hAnsi="Times New Roman" w:eastAsia="黑体"/>
          <w:snapToGrid w:val="0"/>
          <w:color w:val="auto"/>
          <w:kern w:val="44"/>
          <w:sz w:val="32"/>
          <w:szCs w:val="44"/>
          <w:highlight w:val="none"/>
          <w:shd w:val="clear"/>
        </w:rPr>
      </w:pPr>
      <w:bookmarkStart w:id="2168" w:name="_Toc170805785"/>
      <w:bookmarkStart w:id="2169" w:name="_Toc170805405"/>
      <w:bookmarkStart w:id="2170" w:name="_Toc170804217"/>
      <w:r>
        <w:rPr>
          <w:rFonts w:hint="eastAsia" w:ascii="Times New Roman" w:hAnsi="Times New Roman" w:eastAsia="黑体"/>
          <w:snapToGrid w:val="0"/>
          <w:color w:val="auto"/>
          <w:kern w:val="44"/>
          <w:sz w:val="32"/>
          <w:szCs w:val="44"/>
          <w:highlight w:val="none"/>
          <w:shd w:val="clear"/>
        </w:rPr>
        <w:br w:type="page"/>
      </w:r>
      <w:r>
        <w:rPr>
          <w:rFonts w:ascii="Times New Roman" w:hAnsi="Times New Roman" w:eastAsia="黑体"/>
          <w:snapToGrid w:val="0"/>
          <w:color w:val="auto"/>
          <w:kern w:val="44"/>
          <w:sz w:val="32"/>
          <w:szCs w:val="44"/>
          <w:highlight w:val="none"/>
          <w:shd w:val="clear"/>
        </w:rPr>
        <w:t xml:space="preserve"> </w:t>
      </w:r>
    </w:p>
    <w:p w14:paraId="63D6FDDB">
      <w:pPr>
        <w:rPr>
          <w:rFonts w:ascii="Times New Roman" w:hAnsi="Times New Roman"/>
          <w:color w:val="auto"/>
          <w:highlight w:val="none"/>
          <w:shd w:val="clear"/>
          <w:lang w:val="zh-CN"/>
        </w:rPr>
      </w:pPr>
    </w:p>
    <w:p w14:paraId="49D59C1D">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五、项目管理机构</w:t>
      </w:r>
      <w:bookmarkEnd w:id="2168"/>
      <w:bookmarkEnd w:id="2169"/>
      <w:bookmarkEnd w:id="2170"/>
    </w:p>
    <w:bookmarkEnd w:id="2162"/>
    <w:bookmarkEnd w:id="2163"/>
    <w:bookmarkEnd w:id="2164"/>
    <w:p w14:paraId="22D2F168">
      <w:pPr>
        <w:pStyle w:val="28"/>
        <w:rPr>
          <w:rFonts w:ascii="Times New Roman" w:hAnsi="Times New Roman" w:eastAsia="黑体"/>
          <w:b w:val="0"/>
          <w:snapToGrid w:val="0"/>
          <w:color w:val="auto"/>
          <w:sz w:val="28"/>
          <w:szCs w:val="28"/>
          <w:highlight w:val="none"/>
          <w:shd w:val="clear"/>
          <w:lang w:val="zh-CN"/>
        </w:rPr>
      </w:pPr>
      <w:r>
        <w:rPr>
          <w:rFonts w:hint="eastAsia" w:ascii="Times New Roman" w:hAnsi="Times New Roman" w:eastAsia="黑体"/>
          <w:b w:val="0"/>
          <w:snapToGrid w:val="0"/>
          <w:color w:val="auto"/>
          <w:sz w:val="28"/>
          <w:szCs w:val="28"/>
          <w:highlight w:val="none"/>
          <w:shd w:val="clear"/>
          <w:lang w:val="zh-CN"/>
        </w:rPr>
        <w:t>（一）项目管理机构组织机构图</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1"/>
      </w:tblGrid>
      <w:tr w14:paraId="0F0F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jc w:val="center"/>
        </w:trPr>
        <w:tc>
          <w:tcPr>
            <w:tcW w:w="8331" w:type="dxa"/>
            <w:vAlign w:val="center"/>
          </w:tcPr>
          <w:p w14:paraId="1183F9B4">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拟为承包本标段工程设立的组织机构以框图方式表示。</w:t>
            </w:r>
          </w:p>
        </w:tc>
      </w:tr>
      <w:tr w14:paraId="758A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jc w:val="center"/>
        </w:trPr>
        <w:tc>
          <w:tcPr>
            <w:tcW w:w="8331" w:type="dxa"/>
            <w:vAlign w:val="center"/>
          </w:tcPr>
          <w:p w14:paraId="50DE26FA">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说明</w:t>
            </w:r>
          </w:p>
        </w:tc>
      </w:tr>
    </w:tbl>
    <w:p w14:paraId="5098B61D">
      <w:pPr>
        <w:pStyle w:val="28"/>
        <w:rPr>
          <w:rFonts w:ascii="Times New Roman" w:hAnsi="Times New Roman"/>
          <w:color w:val="auto"/>
          <w:highlight w:val="none"/>
          <w:shd w:val="clear"/>
        </w:rPr>
      </w:pPr>
    </w:p>
    <w:p w14:paraId="0D8F66DB">
      <w:pPr>
        <w:pStyle w:val="28"/>
        <w:rPr>
          <w:rFonts w:ascii="Times New Roman" w:hAnsi="Times New Roman" w:eastAsia="黑体"/>
          <w:b w:val="0"/>
          <w:snapToGrid w:val="0"/>
          <w:color w:val="auto"/>
          <w:sz w:val="28"/>
          <w:szCs w:val="28"/>
          <w:highlight w:val="none"/>
          <w:shd w:val="clear"/>
          <w:lang w:val="zh-CN"/>
        </w:rPr>
      </w:pPr>
      <w:r>
        <w:rPr>
          <w:rFonts w:hint="eastAsia" w:ascii="Times New Roman" w:hAnsi="Times New Roman" w:eastAsia="黑体"/>
          <w:b w:val="0"/>
          <w:snapToGrid w:val="0"/>
          <w:color w:val="auto"/>
          <w:sz w:val="28"/>
          <w:szCs w:val="28"/>
          <w:highlight w:val="none"/>
          <w:shd w:val="clear"/>
          <w:lang w:val="zh-CN"/>
        </w:rPr>
        <w:t>（二）项目管理机构人员组成表</w:t>
      </w:r>
    </w:p>
    <w:tbl>
      <w:tblPr>
        <w:tblStyle w:val="12"/>
        <w:tblW w:w="8232" w:type="dxa"/>
        <w:jc w:val="center"/>
        <w:tblLayout w:type="fixed"/>
        <w:tblCellMar>
          <w:top w:w="0" w:type="dxa"/>
          <w:left w:w="0" w:type="dxa"/>
          <w:bottom w:w="0" w:type="dxa"/>
          <w:right w:w="0" w:type="dxa"/>
        </w:tblCellMar>
      </w:tblPr>
      <w:tblGrid>
        <w:gridCol w:w="846"/>
        <w:gridCol w:w="709"/>
        <w:gridCol w:w="1134"/>
        <w:gridCol w:w="1134"/>
        <w:gridCol w:w="850"/>
        <w:gridCol w:w="1276"/>
        <w:gridCol w:w="1291"/>
        <w:gridCol w:w="992"/>
      </w:tblGrid>
      <w:tr w14:paraId="6E510FF5">
        <w:tblPrEx>
          <w:tblCellMar>
            <w:top w:w="0" w:type="dxa"/>
            <w:left w:w="0" w:type="dxa"/>
            <w:bottom w:w="0" w:type="dxa"/>
            <w:right w:w="0" w:type="dxa"/>
          </w:tblCellMar>
        </w:tblPrEx>
        <w:trPr>
          <w:cantSplit/>
          <w:trHeight w:val="450" w:hRule="exac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1699DC0">
            <w:pPr>
              <w:pStyle w:val="28"/>
              <w:rPr>
                <w:rFonts w:ascii="Times New Roman" w:hAnsi="Times New Roman"/>
                <w:color w:val="auto"/>
                <w:highlight w:val="none"/>
                <w:shd w:val="clear"/>
              </w:rPr>
            </w:pPr>
            <w:r>
              <w:rPr>
                <w:rFonts w:hint="eastAsia" w:ascii="Times New Roman" w:hAnsi="Times New Roman"/>
                <w:color w:val="auto"/>
                <w:highlight w:val="none"/>
                <w:shd w:val="clear"/>
              </w:rPr>
              <w:t>职务</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5BD59F72">
            <w:pPr>
              <w:pStyle w:val="28"/>
              <w:rPr>
                <w:rFonts w:ascii="Times New Roman" w:hAnsi="Times New Roman"/>
                <w:color w:val="auto"/>
                <w:highlight w:val="none"/>
                <w:shd w:val="clear"/>
              </w:rPr>
            </w:pPr>
            <w:r>
              <w:rPr>
                <w:rFonts w:hint="eastAsia" w:ascii="Times New Roman" w:hAnsi="Times New Roman"/>
                <w:color w:val="auto"/>
                <w:highlight w:val="none"/>
                <w:shd w:val="clear"/>
              </w:rPr>
              <w:t>姓名</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2D52CA4E">
            <w:pPr>
              <w:pStyle w:val="28"/>
              <w:rPr>
                <w:rFonts w:ascii="Times New Roman" w:hAnsi="Times New Roman"/>
                <w:color w:val="auto"/>
                <w:highlight w:val="none"/>
                <w:shd w:val="clear"/>
              </w:rPr>
            </w:pPr>
            <w:r>
              <w:rPr>
                <w:rFonts w:hint="eastAsia" w:ascii="Times New Roman" w:hAnsi="Times New Roman"/>
                <w:color w:val="auto"/>
                <w:highlight w:val="none"/>
                <w:shd w:val="clear"/>
              </w:rPr>
              <w:t>职称</w:t>
            </w:r>
          </w:p>
        </w:tc>
        <w:tc>
          <w:tcPr>
            <w:tcW w:w="4551" w:type="dxa"/>
            <w:gridSpan w:val="4"/>
            <w:tcBorders>
              <w:top w:val="single" w:color="000000" w:sz="4" w:space="0"/>
              <w:left w:val="single" w:color="000000" w:sz="4" w:space="0"/>
              <w:bottom w:val="single" w:color="000000" w:sz="4" w:space="0"/>
              <w:right w:val="single" w:color="000000" w:sz="4" w:space="0"/>
            </w:tcBorders>
            <w:vAlign w:val="center"/>
          </w:tcPr>
          <w:p w14:paraId="5C27EFC5">
            <w:pPr>
              <w:pStyle w:val="28"/>
              <w:rPr>
                <w:rFonts w:ascii="Times New Roman" w:hAnsi="Times New Roman"/>
                <w:color w:val="auto"/>
                <w:highlight w:val="none"/>
                <w:shd w:val="clear"/>
              </w:rPr>
            </w:pPr>
            <w:r>
              <w:rPr>
                <w:rFonts w:hint="eastAsia" w:ascii="Times New Roman" w:hAnsi="Times New Roman"/>
                <w:color w:val="auto"/>
                <w:highlight w:val="none"/>
                <w:shd w:val="clear"/>
              </w:rPr>
              <w:t>执业或职业资格证明</w:t>
            </w:r>
          </w:p>
        </w:tc>
        <w:tc>
          <w:tcPr>
            <w:tcW w:w="992" w:type="dxa"/>
            <w:tcBorders>
              <w:top w:val="single" w:color="000000" w:sz="4" w:space="0"/>
              <w:left w:val="single" w:color="000000" w:sz="4" w:space="0"/>
              <w:bottom w:val="single" w:color="000000" w:sz="4" w:space="0"/>
              <w:right w:val="single" w:color="000000" w:sz="4" w:space="0"/>
            </w:tcBorders>
            <w:vAlign w:val="center"/>
          </w:tcPr>
          <w:p w14:paraId="032645D1">
            <w:pPr>
              <w:pStyle w:val="28"/>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3E1AEE9E">
        <w:tblPrEx>
          <w:tblCellMar>
            <w:top w:w="0" w:type="dxa"/>
            <w:left w:w="0" w:type="dxa"/>
            <w:bottom w:w="0" w:type="dxa"/>
            <w:right w:w="0" w:type="dxa"/>
          </w:tblCellMar>
        </w:tblPrEx>
        <w:trPr>
          <w:cantSplit/>
          <w:trHeight w:val="648" w:hRule="exac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6DE0A37">
            <w:pPr>
              <w:pStyle w:val="28"/>
              <w:rPr>
                <w:rFonts w:ascii="Times New Roman" w:hAnsi="Times New Roman"/>
                <w:color w:val="auto"/>
                <w:highlight w:val="none"/>
                <w:shd w:val="clear"/>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F3AB339">
            <w:pPr>
              <w:pStyle w:val="28"/>
              <w:rPr>
                <w:rFonts w:ascii="Times New Roman" w:hAnsi="Times New Roman"/>
                <w:color w:val="auto"/>
                <w:highlight w:val="none"/>
                <w:shd w:val="clear"/>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9FA8A58">
            <w:pPr>
              <w:pStyle w:val="28"/>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9A1687">
            <w:pPr>
              <w:pStyle w:val="28"/>
              <w:rPr>
                <w:rFonts w:ascii="Times New Roman" w:hAnsi="Times New Roman"/>
                <w:color w:val="auto"/>
                <w:highlight w:val="none"/>
                <w:shd w:val="clear"/>
              </w:rPr>
            </w:pPr>
            <w:r>
              <w:rPr>
                <w:rFonts w:hint="eastAsia" w:ascii="Times New Roman" w:hAnsi="Times New Roman"/>
                <w:color w:val="auto"/>
                <w:highlight w:val="none"/>
                <w:shd w:val="clear"/>
              </w:rPr>
              <w:t>证书名称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115F1A9A">
            <w:pPr>
              <w:pStyle w:val="28"/>
              <w:rPr>
                <w:rFonts w:ascii="Times New Roman" w:hAnsi="Times New Roman"/>
                <w:color w:val="auto"/>
                <w:highlight w:val="none"/>
                <w:shd w:val="clear"/>
              </w:rPr>
            </w:pPr>
            <w:r>
              <w:rPr>
                <w:rFonts w:hint="eastAsia" w:ascii="Times New Roman" w:hAnsi="Times New Roman"/>
                <w:color w:val="auto"/>
                <w:highlight w:val="none"/>
                <w:shd w:val="clear"/>
              </w:rPr>
              <w:t>级别</w:t>
            </w:r>
          </w:p>
        </w:tc>
        <w:tc>
          <w:tcPr>
            <w:tcW w:w="1276" w:type="dxa"/>
            <w:tcBorders>
              <w:top w:val="single" w:color="000000" w:sz="4" w:space="0"/>
              <w:left w:val="single" w:color="000000" w:sz="4" w:space="0"/>
              <w:bottom w:val="single" w:color="000000" w:sz="4" w:space="0"/>
              <w:right w:val="single" w:color="000000" w:sz="4" w:space="0"/>
            </w:tcBorders>
            <w:vAlign w:val="center"/>
          </w:tcPr>
          <w:p w14:paraId="088C4C9B">
            <w:pPr>
              <w:pStyle w:val="28"/>
              <w:rPr>
                <w:rFonts w:ascii="Times New Roman" w:hAnsi="Times New Roman"/>
                <w:color w:val="auto"/>
                <w:highlight w:val="none"/>
                <w:shd w:val="clear"/>
              </w:rPr>
            </w:pPr>
            <w:r>
              <w:rPr>
                <w:rFonts w:hint="eastAsia" w:ascii="Times New Roman" w:hAnsi="Times New Roman"/>
                <w:color w:val="auto"/>
                <w:highlight w:val="none"/>
                <w:shd w:val="clear"/>
              </w:rPr>
              <w:t>证号</w:t>
            </w:r>
          </w:p>
        </w:tc>
        <w:tc>
          <w:tcPr>
            <w:tcW w:w="1291" w:type="dxa"/>
            <w:tcBorders>
              <w:top w:val="single" w:color="000000" w:sz="4" w:space="0"/>
              <w:left w:val="single" w:color="000000" w:sz="4" w:space="0"/>
              <w:bottom w:val="single" w:color="000000" w:sz="4" w:space="0"/>
              <w:right w:val="single" w:color="000000" w:sz="4" w:space="0"/>
            </w:tcBorders>
            <w:vAlign w:val="center"/>
          </w:tcPr>
          <w:p w14:paraId="096394CD">
            <w:pPr>
              <w:pStyle w:val="28"/>
              <w:rPr>
                <w:rFonts w:ascii="Times New Roman" w:hAnsi="Times New Roman"/>
                <w:color w:val="auto"/>
                <w:highlight w:val="none"/>
                <w:shd w:val="clear"/>
              </w:rPr>
            </w:pPr>
            <w:r>
              <w:rPr>
                <w:rFonts w:hint="eastAsia" w:ascii="Times New Roman" w:hAnsi="Times New Roman"/>
                <w:color w:val="auto"/>
                <w:highlight w:val="none"/>
                <w:shd w:val="clear"/>
              </w:rPr>
              <w:t>专业</w:t>
            </w:r>
          </w:p>
        </w:tc>
        <w:tc>
          <w:tcPr>
            <w:tcW w:w="992" w:type="dxa"/>
            <w:tcBorders>
              <w:top w:val="single" w:color="000000" w:sz="4" w:space="0"/>
              <w:left w:val="single" w:color="000000" w:sz="4" w:space="0"/>
              <w:bottom w:val="single" w:color="000000" w:sz="4" w:space="0"/>
              <w:right w:val="single" w:color="000000" w:sz="4" w:space="0"/>
            </w:tcBorders>
          </w:tcPr>
          <w:p w14:paraId="4C5042AE">
            <w:pPr>
              <w:pStyle w:val="28"/>
              <w:rPr>
                <w:rFonts w:ascii="Times New Roman" w:hAnsi="Times New Roman"/>
                <w:color w:val="auto"/>
                <w:highlight w:val="none"/>
                <w:shd w:val="clear"/>
              </w:rPr>
            </w:pPr>
          </w:p>
        </w:tc>
      </w:tr>
      <w:tr w14:paraId="3C778A0A">
        <w:tblPrEx>
          <w:tblCellMar>
            <w:top w:w="0" w:type="dxa"/>
            <w:left w:w="0" w:type="dxa"/>
            <w:bottom w:w="0" w:type="dxa"/>
            <w:right w:w="0" w:type="dxa"/>
          </w:tblCellMar>
        </w:tblPrEx>
        <w:trPr>
          <w:trHeight w:val="450" w:hRule="exact"/>
          <w:jc w:val="center"/>
        </w:trPr>
        <w:tc>
          <w:tcPr>
            <w:tcW w:w="846" w:type="dxa"/>
            <w:tcBorders>
              <w:top w:val="single" w:color="000000" w:sz="4" w:space="0"/>
              <w:left w:val="single" w:color="000000" w:sz="4" w:space="0"/>
              <w:bottom w:val="single" w:color="000000" w:sz="4" w:space="0"/>
              <w:right w:val="single" w:color="000000" w:sz="4" w:space="0"/>
            </w:tcBorders>
          </w:tcPr>
          <w:p w14:paraId="2A410256">
            <w:pPr>
              <w:pStyle w:val="29"/>
              <w:rPr>
                <w:rFonts w:ascii="Times New Roman" w:hAnsi="Times New Roman"/>
                <w:color w:val="auto"/>
                <w:highlight w:val="none"/>
                <w:shd w:val="clear"/>
              </w:rPr>
            </w:pPr>
          </w:p>
        </w:tc>
        <w:tc>
          <w:tcPr>
            <w:tcW w:w="709" w:type="dxa"/>
            <w:tcBorders>
              <w:top w:val="single" w:color="000000" w:sz="4" w:space="0"/>
              <w:left w:val="single" w:color="000000" w:sz="4" w:space="0"/>
              <w:bottom w:val="single" w:color="000000" w:sz="4" w:space="0"/>
              <w:right w:val="single" w:color="000000" w:sz="4" w:space="0"/>
            </w:tcBorders>
          </w:tcPr>
          <w:p w14:paraId="1B03560A">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6A088B55">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64D62394">
            <w:pPr>
              <w:pStyle w:val="29"/>
              <w:rPr>
                <w:rFonts w:ascii="Times New Roman" w:hAnsi="Times New Roman"/>
                <w:color w:val="auto"/>
                <w:highlight w:val="none"/>
                <w:shd w:val="clear"/>
              </w:rPr>
            </w:pPr>
          </w:p>
        </w:tc>
        <w:tc>
          <w:tcPr>
            <w:tcW w:w="850" w:type="dxa"/>
            <w:tcBorders>
              <w:top w:val="single" w:color="000000" w:sz="4" w:space="0"/>
              <w:left w:val="single" w:color="000000" w:sz="4" w:space="0"/>
              <w:bottom w:val="single" w:color="000000" w:sz="4" w:space="0"/>
              <w:right w:val="single" w:color="000000" w:sz="4" w:space="0"/>
            </w:tcBorders>
          </w:tcPr>
          <w:p w14:paraId="061FCD98">
            <w:pPr>
              <w:pStyle w:val="29"/>
              <w:rPr>
                <w:rFonts w:ascii="Times New Roman" w:hAnsi="Times New Roman"/>
                <w:color w:val="auto"/>
                <w:highlight w:val="none"/>
                <w:shd w:val="clear"/>
              </w:rPr>
            </w:pPr>
          </w:p>
        </w:tc>
        <w:tc>
          <w:tcPr>
            <w:tcW w:w="1276" w:type="dxa"/>
            <w:tcBorders>
              <w:top w:val="single" w:color="000000" w:sz="4" w:space="0"/>
              <w:left w:val="single" w:color="000000" w:sz="4" w:space="0"/>
              <w:bottom w:val="single" w:color="000000" w:sz="4" w:space="0"/>
              <w:right w:val="single" w:color="000000" w:sz="4" w:space="0"/>
            </w:tcBorders>
          </w:tcPr>
          <w:p w14:paraId="0D1EF81E">
            <w:pPr>
              <w:pStyle w:val="29"/>
              <w:rPr>
                <w:rFonts w:ascii="Times New Roman" w:hAnsi="Times New Roman"/>
                <w:color w:val="auto"/>
                <w:highlight w:val="none"/>
                <w:shd w:val="clear"/>
              </w:rPr>
            </w:pPr>
          </w:p>
        </w:tc>
        <w:tc>
          <w:tcPr>
            <w:tcW w:w="1291" w:type="dxa"/>
            <w:tcBorders>
              <w:top w:val="single" w:color="000000" w:sz="4" w:space="0"/>
              <w:left w:val="single" w:color="000000" w:sz="4" w:space="0"/>
              <w:bottom w:val="single" w:color="000000" w:sz="4" w:space="0"/>
              <w:right w:val="single" w:color="000000" w:sz="4" w:space="0"/>
            </w:tcBorders>
          </w:tcPr>
          <w:p w14:paraId="78215DB4">
            <w:pPr>
              <w:pStyle w:val="29"/>
              <w:rPr>
                <w:rFonts w:ascii="Times New Roman" w:hAnsi="Times New Roman"/>
                <w:color w:val="auto"/>
                <w:highlight w:val="none"/>
                <w:shd w:val="clear"/>
              </w:rPr>
            </w:pPr>
          </w:p>
        </w:tc>
        <w:tc>
          <w:tcPr>
            <w:tcW w:w="992" w:type="dxa"/>
            <w:tcBorders>
              <w:top w:val="single" w:color="000000" w:sz="4" w:space="0"/>
              <w:left w:val="single" w:color="000000" w:sz="4" w:space="0"/>
              <w:bottom w:val="single" w:color="000000" w:sz="4" w:space="0"/>
              <w:right w:val="single" w:color="000000" w:sz="4" w:space="0"/>
            </w:tcBorders>
          </w:tcPr>
          <w:p w14:paraId="3314B52F">
            <w:pPr>
              <w:pStyle w:val="29"/>
              <w:rPr>
                <w:rFonts w:ascii="Times New Roman" w:hAnsi="Times New Roman"/>
                <w:color w:val="auto"/>
                <w:highlight w:val="none"/>
                <w:shd w:val="clear"/>
              </w:rPr>
            </w:pPr>
          </w:p>
        </w:tc>
      </w:tr>
      <w:tr w14:paraId="54D6FE73">
        <w:trPr>
          <w:trHeight w:val="450" w:hRule="exact"/>
          <w:jc w:val="center"/>
        </w:trPr>
        <w:tc>
          <w:tcPr>
            <w:tcW w:w="846" w:type="dxa"/>
            <w:tcBorders>
              <w:top w:val="single" w:color="000000" w:sz="4" w:space="0"/>
              <w:left w:val="single" w:color="000000" w:sz="4" w:space="0"/>
              <w:bottom w:val="single" w:color="000000" w:sz="4" w:space="0"/>
              <w:right w:val="single" w:color="000000" w:sz="4" w:space="0"/>
            </w:tcBorders>
          </w:tcPr>
          <w:p w14:paraId="50F783CA">
            <w:pPr>
              <w:pStyle w:val="29"/>
              <w:rPr>
                <w:rFonts w:ascii="Times New Roman" w:hAnsi="Times New Roman"/>
                <w:color w:val="auto"/>
                <w:highlight w:val="none"/>
                <w:shd w:val="clear"/>
              </w:rPr>
            </w:pPr>
          </w:p>
        </w:tc>
        <w:tc>
          <w:tcPr>
            <w:tcW w:w="709" w:type="dxa"/>
            <w:tcBorders>
              <w:top w:val="single" w:color="000000" w:sz="4" w:space="0"/>
              <w:left w:val="single" w:color="000000" w:sz="4" w:space="0"/>
              <w:bottom w:val="single" w:color="000000" w:sz="4" w:space="0"/>
              <w:right w:val="single" w:color="000000" w:sz="4" w:space="0"/>
            </w:tcBorders>
          </w:tcPr>
          <w:p w14:paraId="4287B446">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6B1BBDBD">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224AF379">
            <w:pPr>
              <w:pStyle w:val="29"/>
              <w:rPr>
                <w:rFonts w:ascii="Times New Roman" w:hAnsi="Times New Roman"/>
                <w:color w:val="auto"/>
                <w:highlight w:val="none"/>
                <w:shd w:val="clear"/>
              </w:rPr>
            </w:pPr>
          </w:p>
        </w:tc>
        <w:tc>
          <w:tcPr>
            <w:tcW w:w="850" w:type="dxa"/>
            <w:tcBorders>
              <w:top w:val="single" w:color="000000" w:sz="4" w:space="0"/>
              <w:left w:val="single" w:color="000000" w:sz="4" w:space="0"/>
              <w:bottom w:val="single" w:color="000000" w:sz="4" w:space="0"/>
              <w:right w:val="single" w:color="000000" w:sz="4" w:space="0"/>
            </w:tcBorders>
          </w:tcPr>
          <w:p w14:paraId="306B2D85">
            <w:pPr>
              <w:pStyle w:val="29"/>
              <w:rPr>
                <w:rFonts w:ascii="Times New Roman" w:hAnsi="Times New Roman"/>
                <w:color w:val="auto"/>
                <w:highlight w:val="none"/>
                <w:shd w:val="clear"/>
              </w:rPr>
            </w:pPr>
          </w:p>
        </w:tc>
        <w:tc>
          <w:tcPr>
            <w:tcW w:w="1276" w:type="dxa"/>
            <w:tcBorders>
              <w:top w:val="single" w:color="000000" w:sz="4" w:space="0"/>
              <w:left w:val="single" w:color="000000" w:sz="4" w:space="0"/>
              <w:bottom w:val="single" w:color="000000" w:sz="4" w:space="0"/>
              <w:right w:val="single" w:color="000000" w:sz="4" w:space="0"/>
            </w:tcBorders>
          </w:tcPr>
          <w:p w14:paraId="1ABE0283">
            <w:pPr>
              <w:pStyle w:val="29"/>
              <w:rPr>
                <w:rFonts w:ascii="Times New Roman" w:hAnsi="Times New Roman"/>
                <w:color w:val="auto"/>
                <w:highlight w:val="none"/>
                <w:shd w:val="clear"/>
              </w:rPr>
            </w:pPr>
          </w:p>
        </w:tc>
        <w:tc>
          <w:tcPr>
            <w:tcW w:w="1291" w:type="dxa"/>
            <w:tcBorders>
              <w:top w:val="single" w:color="000000" w:sz="4" w:space="0"/>
              <w:left w:val="single" w:color="000000" w:sz="4" w:space="0"/>
              <w:bottom w:val="single" w:color="000000" w:sz="4" w:space="0"/>
              <w:right w:val="single" w:color="000000" w:sz="4" w:space="0"/>
            </w:tcBorders>
          </w:tcPr>
          <w:p w14:paraId="0673221A">
            <w:pPr>
              <w:pStyle w:val="29"/>
              <w:rPr>
                <w:rFonts w:ascii="Times New Roman" w:hAnsi="Times New Roman"/>
                <w:color w:val="auto"/>
                <w:highlight w:val="none"/>
                <w:shd w:val="clear"/>
              </w:rPr>
            </w:pPr>
          </w:p>
        </w:tc>
        <w:tc>
          <w:tcPr>
            <w:tcW w:w="992" w:type="dxa"/>
            <w:tcBorders>
              <w:top w:val="single" w:color="000000" w:sz="4" w:space="0"/>
              <w:left w:val="single" w:color="000000" w:sz="4" w:space="0"/>
              <w:bottom w:val="single" w:color="000000" w:sz="4" w:space="0"/>
              <w:right w:val="single" w:color="000000" w:sz="4" w:space="0"/>
            </w:tcBorders>
          </w:tcPr>
          <w:p w14:paraId="09EFF001">
            <w:pPr>
              <w:pStyle w:val="29"/>
              <w:rPr>
                <w:rFonts w:ascii="Times New Roman" w:hAnsi="Times New Roman"/>
                <w:color w:val="auto"/>
                <w:highlight w:val="none"/>
                <w:shd w:val="clear"/>
              </w:rPr>
            </w:pPr>
          </w:p>
        </w:tc>
      </w:tr>
      <w:tr w14:paraId="2AF16278">
        <w:tblPrEx>
          <w:tblCellMar>
            <w:top w:w="0" w:type="dxa"/>
            <w:left w:w="0" w:type="dxa"/>
            <w:bottom w:w="0" w:type="dxa"/>
            <w:right w:w="0" w:type="dxa"/>
          </w:tblCellMar>
        </w:tblPrEx>
        <w:trPr>
          <w:trHeight w:val="450" w:hRule="exact"/>
          <w:jc w:val="center"/>
        </w:trPr>
        <w:tc>
          <w:tcPr>
            <w:tcW w:w="846" w:type="dxa"/>
            <w:tcBorders>
              <w:top w:val="single" w:color="000000" w:sz="4" w:space="0"/>
              <w:left w:val="single" w:color="000000" w:sz="4" w:space="0"/>
              <w:bottom w:val="single" w:color="000000" w:sz="4" w:space="0"/>
              <w:right w:val="single" w:color="000000" w:sz="4" w:space="0"/>
            </w:tcBorders>
          </w:tcPr>
          <w:p w14:paraId="56EC626F">
            <w:pPr>
              <w:pStyle w:val="29"/>
              <w:rPr>
                <w:rFonts w:ascii="Times New Roman" w:hAnsi="Times New Roman"/>
                <w:color w:val="auto"/>
                <w:highlight w:val="none"/>
                <w:shd w:val="clear"/>
              </w:rPr>
            </w:pPr>
          </w:p>
        </w:tc>
        <w:tc>
          <w:tcPr>
            <w:tcW w:w="709" w:type="dxa"/>
            <w:tcBorders>
              <w:top w:val="single" w:color="000000" w:sz="4" w:space="0"/>
              <w:left w:val="single" w:color="000000" w:sz="4" w:space="0"/>
              <w:bottom w:val="single" w:color="000000" w:sz="4" w:space="0"/>
              <w:right w:val="single" w:color="000000" w:sz="4" w:space="0"/>
            </w:tcBorders>
          </w:tcPr>
          <w:p w14:paraId="4589224D">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38F5C5FB">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47B8F823">
            <w:pPr>
              <w:pStyle w:val="29"/>
              <w:rPr>
                <w:rFonts w:ascii="Times New Roman" w:hAnsi="Times New Roman"/>
                <w:color w:val="auto"/>
                <w:highlight w:val="none"/>
                <w:shd w:val="clear"/>
              </w:rPr>
            </w:pPr>
          </w:p>
        </w:tc>
        <w:tc>
          <w:tcPr>
            <w:tcW w:w="850" w:type="dxa"/>
            <w:tcBorders>
              <w:top w:val="single" w:color="000000" w:sz="4" w:space="0"/>
              <w:left w:val="single" w:color="000000" w:sz="4" w:space="0"/>
              <w:bottom w:val="single" w:color="000000" w:sz="4" w:space="0"/>
              <w:right w:val="single" w:color="000000" w:sz="4" w:space="0"/>
            </w:tcBorders>
          </w:tcPr>
          <w:p w14:paraId="1E143B45">
            <w:pPr>
              <w:pStyle w:val="29"/>
              <w:rPr>
                <w:rFonts w:ascii="Times New Roman" w:hAnsi="Times New Roman"/>
                <w:color w:val="auto"/>
                <w:highlight w:val="none"/>
                <w:shd w:val="clear"/>
              </w:rPr>
            </w:pPr>
          </w:p>
        </w:tc>
        <w:tc>
          <w:tcPr>
            <w:tcW w:w="1276" w:type="dxa"/>
            <w:tcBorders>
              <w:top w:val="single" w:color="000000" w:sz="4" w:space="0"/>
              <w:left w:val="single" w:color="000000" w:sz="4" w:space="0"/>
              <w:bottom w:val="single" w:color="000000" w:sz="4" w:space="0"/>
              <w:right w:val="single" w:color="000000" w:sz="4" w:space="0"/>
            </w:tcBorders>
          </w:tcPr>
          <w:p w14:paraId="093296C5">
            <w:pPr>
              <w:pStyle w:val="29"/>
              <w:rPr>
                <w:rFonts w:ascii="Times New Roman" w:hAnsi="Times New Roman"/>
                <w:color w:val="auto"/>
                <w:highlight w:val="none"/>
                <w:shd w:val="clear"/>
              </w:rPr>
            </w:pPr>
          </w:p>
        </w:tc>
        <w:tc>
          <w:tcPr>
            <w:tcW w:w="1291" w:type="dxa"/>
            <w:tcBorders>
              <w:top w:val="single" w:color="000000" w:sz="4" w:space="0"/>
              <w:left w:val="single" w:color="000000" w:sz="4" w:space="0"/>
              <w:bottom w:val="single" w:color="000000" w:sz="4" w:space="0"/>
              <w:right w:val="single" w:color="000000" w:sz="4" w:space="0"/>
            </w:tcBorders>
          </w:tcPr>
          <w:p w14:paraId="74CEA8BA">
            <w:pPr>
              <w:pStyle w:val="29"/>
              <w:rPr>
                <w:rFonts w:ascii="Times New Roman" w:hAnsi="Times New Roman"/>
                <w:color w:val="auto"/>
                <w:highlight w:val="none"/>
                <w:shd w:val="clear"/>
              </w:rPr>
            </w:pPr>
          </w:p>
        </w:tc>
        <w:tc>
          <w:tcPr>
            <w:tcW w:w="992" w:type="dxa"/>
            <w:tcBorders>
              <w:top w:val="single" w:color="000000" w:sz="4" w:space="0"/>
              <w:left w:val="single" w:color="000000" w:sz="4" w:space="0"/>
              <w:bottom w:val="single" w:color="000000" w:sz="4" w:space="0"/>
              <w:right w:val="single" w:color="000000" w:sz="4" w:space="0"/>
            </w:tcBorders>
          </w:tcPr>
          <w:p w14:paraId="372BEB5F">
            <w:pPr>
              <w:pStyle w:val="29"/>
              <w:rPr>
                <w:rFonts w:ascii="Times New Roman" w:hAnsi="Times New Roman"/>
                <w:color w:val="auto"/>
                <w:highlight w:val="none"/>
                <w:shd w:val="clear"/>
              </w:rPr>
            </w:pPr>
          </w:p>
        </w:tc>
      </w:tr>
      <w:tr w14:paraId="4436F811">
        <w:tblPrEx>
          <w:tblCellMar>
            <w:top w:w="0" w:type="dxa"/>
            <w:left w:w="0" w:type="dxa"/>
            <w:bottom w:w="0" w:type="dxa"/>
            <w:right w:w="0" w:type="dxa"/>
          </w:tblCellMar>
        </w:tblPrEx>
        <w:trPr>
          <w:trHeight w:val="450" w:hRule="exact"/>
          <w:jc w:val="center"/>
        </w:trPr>
        <w:tc>
          <w:tcPr>
            <w:tcW w:w="846" w:type="dxa"/>
            <w:tcBorders>
              <w:top w:val="single" w:color="000000" w:sz="4" w:space="0"/>
              <w:left w:val="single" w:color="000000" w:sz="4" w:space="0"/>
              <w:bottom w:val="single" w:color="000000" w:sz="4" w:space="0"/>
              <w:right w:val="single" w:color="000000" w:sz="4" w:space="0"/>
            </w:tcBorders>
          </w:tcPr>
          <w:p w14:paraId="095B6FF6">
            <w:pPr>
              <w:pStyle w:val="29"/>
              <w:rPr>
                <w:rFonts w:ascii="Times New Roman" w:hAnsi="Times New Roman"/>
                <w:color w:val="auto"/>
                <w:highlight w:val="none"/>
                <w:shd w:val="clear"/>
              </w:rPr>
            </w:pPr>
          </w:p>
        </w:tc>
        <w:tc>
          <w:tcPr>
            <w:tcW w:w="709" w:type="dxa"/>
            <w:tcBorders>
              <w:top w:val="single" w:color="000000" w:sz="4" w:space="0"/>
              <w:left w:val="single" w:color="000000" w:sz="4" w:space="0"/>
              <w:bottom w:val="single" w:color="000000" w:sz="4" w:space="0"/>
              <w:right w:val="single" w:color="000000" w:sz="4" w:space="0"/>
            </w:tcBorders>
          </w:tcPr>
          <w:p w14:paraId="13E2E618">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02A1E344">
            <w:pPr>
              <w:pStyle w:val="29"/>
              <w:rPr>
                <w:rFonts w:ascii="Times New Roman" w:hAnsi="Times New Roman"/>
                <w:color w:val="auto"/>
                <w:highlight w:val="none"/>
                <w:shd w:val="clear"/>
              </w:rPr>
            </w:pPr>
          </w:p>
        </w:tc>
        <w:tc>
          <w:tcPr>
            <w:tcW w:w="1134" w:type="dxa"/>
            <w:tcBorders>
              <w:top w:val="single" w:color="000000" w:sz="4" w:space="0"/>
              <w:left w:val="single" w:color="000000" w:sz="4" w:space="0"/>
              <w:bottom w:val="single" w:color="000000" w:sz="4" w:space="0"/>
              <w:right w:val="single" w:color="000000" w:sz="4" w:space="0"/>
            </w:tcBorders>
          </w:tcPr>
          <w:p w14:paraId="17985231">
            <w:pPr>
              <w:pStyle w:val="29"/>
              <w:rPr>
                <w:rFonts w:ascii="Times New Roman" w:hAnsi="Times New Roman"/>
                <w:color w:val="auto"/>
                <w:highlight w:val="none"/>
                <w:shd w:val="clear"/>
              </w:rPr>
            </w:pPr>
          </w:p>
        </w:tc>
        <w:tc>
          <w:tcPr>
            <w:tcW w:w="850" w:type="dxa"/>
            <w:tcBorders>
              <w:top w:val="single" w:color="000000" w:sz="4" w:space="0"/>
              <w:left w:val="single" w:color="000000" w:sz="4" w:space="0"/>
              <w:bottom w:val="single" w:color="000000" w:sz="4" w:space="0"/>
              <w:right w:val="single" w:color="000000" w:sz="4" w:space="0"/>
            </w:tcBorders>
          </w:tcPr>
          <w:p w14:paraId="4995D4E7">
            <w:pPr>
              <w:pStyle w:val="29"/>
              <w:rPr>
                <w:rFonts w:ascii="Times New Roman" w:hAnsi="Times New Roman"/>
                <w:color w:val="auto"/>
                <w:highlight w:val="none"/>
                <w:shd w:val="clear"/>
              </w:rPr>
            </w:pPr>
          </w:p>
        </w:tc>
        <w:tc>
          <w:tcPr>
            <w:tcW w:w="1276" w:type="dxa"/>
            <w:tcBorders>
              <w:top w:val="single" w:color="000000" w:sz="4" w:space="0"/>
              <w:left w:val="single" w:color="000000" w:sz="4" w:space="0"/>
              <w:bottom w:val="single" w:color="000000" w:sz="4" w:space="0"/>
              <w:right w:val="single" w:color="000000" w:sz="4" w:space="0"/>
            </w:tcBorders>
          </w:tcPr>
          <w:p w14:paraId="14158E1E">
            <w:pPr>
              <w:pStyle w:val="29"/>
              <w:rPr>
                <w:rFonts w:ascii="Times New Roman" w:hAnsi="Times New Roman"/>
                <w:color w:val="auto"/>
                <w:highlight w:val="none"/>
                <w:shd w:val="clear"/>
              </w:rPr>
            </w:pPr>
          </w:p>
        </w:tc>
        <w:tc>
          <w:tcPr>
            <w:tcW w:w="1291" w:type="dxa"/>
            <w:tcBorders>
              <w:top w:val="single" w:color="000000" w:sz="4" w:space="0"/>
              <w:left w:val="single" w:color="000000" w:sz="4" w:space="0"/>
              <w:bottom w:val="single" w:color="000000" w:sz="4" w:space="0"/>
              <w:right w:val="single" w:color="000000" w:sz="4" w:space="0"/>
            </w:tcBorders>
          </w:tcPr>
          <w:p w14:paraId="19F9D377">
            <w:pPr>
              <w:pStyle w:val="29"/>
              <w:rPr>
                <w:rFonts w:ascii="Times New Roman" w:hAnsi="Times New Roman"/>
                <w:color w:val="auto"/>
                <w:highlight w:val="none"/>
                <w:shd w:val="clear"/>
              </w:rPr>
            </w:pPr>
          </w:p>
        </w:tc>
        <w:tc>
          <w:tcPr>
            <w:tcW w:w="992" w:type="dxa"/>
            <w:tcBorders>
              <w:top w:val="single" w:color="000000" w:sz="4" w:space="0"/>
              <w:left w:val="single" w:color="000000" w:sz="4" w:space="0"/>
              <w:bottom w:val="single" w:color="000000" w:sz="4" w:space="0"/>
              <w:right w:val="single" w:color="000000" w:sz="4" w:space="0"/>
            </w:tcBorders>
          </w:tcPr>
          <w:p w14:paraId="20324969">
            <w:pPr>
              <w:pStyle w:val="29"/>
              <w:rPr>
                <w:rFonts w:ascii="Times New Roman" w:hAnsi="Times New Roman"/>
                <w:color w:val="auto"/>
                <w:highlight w:val="none"/>
                <w:shd w:val="clear"/>
              </w:rPr>
            </w:pPr>
          </w:p>
        </w:tc>
      </w:tr>
    </w:tbl>
    <w:p w14:paraId="0BD7837D">
      <w:pPr>
        <w:pStyle w:val="20"/>
        <w:outlineLvl w:val="2"/>
        <w:rPr>
          <w:rFonts w:ascii="Times New Roman" w:hAnsi="Times New Roman"/>
          <w:color w:val="auto"/>
          <w:highlight w:val="none"/>
          <w:shd w:val="clear"/>
          <w:lang w:val="zh-CN"/>
        </w:rPr>
      </w:pPr>
      <w:bookmarkStart w:id="2171" w:name="_Toc460660226"/>
      <w:bookmarkStart w:id="2172" w:name="_Toc460227111"/>
      <w:bookmarkStart w:id="2173" w:name="_Toc390411624"/>
      <w:bookmarkStart w:id="2174" w:name="_Toc421917004"/>
      <w:r>
        <w:rPr>
          <w:rFonts w:ascii="Times New Roman" w:hAnsi="Times New Roman" w:cs="宋体"/>
          <w:color w:val="auto"/>
          <w:highlight w:val="none"/>
          <w:shd w:val="clear"/>
          <w:lang w:val="zh-CN"/>
        </w:rPr>
        <w:br w:type="page"/>
      </w:r>
      <w:bookmarkEnd w:id="2171"/>
      <w:bookmarkEnd w:id="2172"/>
      <w:bookmarkEnd w:id="2173"/>
      <w:bookmarkEnd w:id="2174"/>
      <w:bookmarkStart w:id="2175" w:name="_Toc170804218"/>
      <w:bookmarkStart w:id="2176" w:name="_Toc170805406"/>
      <w:bookmarkStart w:id="2177" w:name="_Toc170805786"/>
      <w:r>
        <w:rPr>
          <w:rFonts w:ascii="Times New Roman" w:hAnsi="Times New Roman"/>
          <w:color w:val="auto"/>
          <w:highlight w:val="none"/>
          <w:shd w:val="clear"/>
        </w:rPr>
        <w:t>六、</w:t>
      </w:r>
      <w:r>
        <w:rPr>
          <w:rFonts w:ascii="Times New Roman" w:hAnsi="Times New Roman"/>
          <w:color w:val="auto"/>
          <w:highlight w:val="none"/>
          <w:shd w:val="clear"/>
          <w:lang w:val="zh-CN"/>
        </w:rPr>
        <w:t>拟分包项目情况表（如有）</w:t>
      </w:r>
      <w:bookmarkEnd w:id="2175"/>
      <w:bookmarkEnd w:id="2176"/>
      <w:bookmarkEnd w:id="2177"/>
    </w:p>
    <w:tbl>
      <w:tblPr>
        <w:tblStyle w:val="12"/>
        <w:tblW w:w="8525" w:type="dxa"/>
        <w:jc w:val="center"/>
        <w:tblLayout w:type="fixed"/>
        <w:tblCellMar>
          <w:top w:w="28" w:type="dxa"/>
          <w:left w:w="108" w:type="dxa"/>
          <w:bottom w:w="28" w:type="dxa"/>
          <w:right w:w="108" w:type="dxa"/>
        </w:tblCellMar>
      </w:tblPr>
      <w:tblGrid>
        <w:gridCol w:w="2138"/>
        <w:gridCol w:w="2265"/>
        <w:gridCol w:w="1984"/>
        <w:gridCol w:w="2138"/>
      </w:tblGrid>
      <w:tr w14:paraId="6447A2E0">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5DC07AF">
            <w:pPr>
              <w:pStyle w:val="28"/>
              <w:rPr>
                <w:rFonts w:ascii="Times New Roman" w:hAnsi="Times New Roman"/>
                <w:color w:val="auto"/>
                <w:highlight w:val="none"/>
                <w:shd w:val="clear"/>
              </w:rPr>
            </w:pPr>
            <w:r>
              <w:rPr>
                <w:rFonts w:hint="eastAsia" w:ascii="Times New Roman" w:hAnsi="Times New Roman"/>
                <w:color w:val="auto"/>
                <w:highlight w:val="none"/>
                <w:shd w:val="clear"/>
              </w:rPr>
              <w:t>拟分包的工程项目</w:t>
            </w: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51FA408">
            <w:pPr>
              <w:pStyle w:val="28"/>
              <w:rPr>
                <w:rFonts w:ascii="Times New Roman" w:hAnsi="Times New Roman"/>
                <w:color w:val="auto"/>
                <w:highlight w:val="none"/>
                <w:shd w:val="clear"/>
              </w:rPr>
            </w:pPr>
            <w:r>
              <w:rPr>
                <w:rFonts w:hint="eastAsia" w:ascii="Times New Roman" w:hAnsi="Times New Roman"/>
                <w:color w:val="auto"/>
                <w:highlight w:val="none"/>
                <w:shd w:val="clear"/>
              </w:rPr>
              <w:t>主要工程内容</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9E4B07A">
            <w:pPr>
              <w:pStyle w:val="28"/>
              <w:rPr>
                <w:rFonts w:ascii="Times New Roman" w:hAnsi="Times New Roman"/>
                <w:color w:val="auto"/>
                <w:highlight w:val="none"/>
                <w:shd w:val="clear"/>
              </w:rPr>
            </w:pPr>
            <w:r>
              <w:rPr>
                <w:rFonts w:hint="eastAsia" w:ascii="Times New Roman" w:hAnsi="Times New Roman"/>
                <w:color w:val="auto"/>
                <w:highlight w:val="none"/>
                <w:shd w:val="clear"/>
              </w:rPr>
              <w:t>预计造价（万元）</w:t>
            </w:r>
          </w:p>
        </w:tc>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55335E7">
            <w:pPr>
              <w:pStyle w:val="28"/>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20A82801">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B4061EA">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FF90F1E">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C5EC2E">
            <w:pPr>
              <w:pStyle w:val="30"/>
              <w:rPr>
                <w:rFonts w:ascii="Times New Roman" w:hAnsi="Times New Roman"/>
                <w:color w:val="auto"/>
                <w:highlight w:val="none"/>
                <w:shd w:val="clear"/>
              </w:rPr>
            </w:pPr>
          </w:p>
        </w:tc>
        <w:tc>
          <w:tcPr>
            <w:tcW w:w="213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4028B55">
            <w:pPr>
              <w:pStyle w:val="30"/>
              <w:rPr>
                <w:rFonts w:ascii="Times New Roman" w:hAnsi="Times New Roman"/>
                <w:color w:val="auto"/>
                <w:highlight w:val="none"/>
                <w:shd w:val="clear"/>
              </w:rPr>
            </w:pPr>
            <w:r>
              <w:rPr>
                <w:rFonts w:hint="eastAsia" w:ascii="Times New Roman" w:hAnsi="Times New Roman"/>
                <w:color w:val="auto"/>
                <w:highlight w:val="none"/>
                <w:shd w:val="clear"/>
              </w:rPr>
              <w:t>注：若无分包计划，则投标人应在本表填写“无”或“/”。</w:t>
            </w:r>
          </w:p>
        </w:tc>
      </w:tr>
      <w:tr w14:paraId="68A3808A">
        <w:tblPrEx>
          <w:tblCellMar>
            <w:top w:w="28" w:type="dxa"/>
            <w:left w:w="108" w:type="dxa"/>
            <w:bottom w:w="28" w:type="dxa"/>
            <w:right w:w="108" w:type="dxa"/>
          </w:tblCellMar>
        </w:tblPrEx>
        <w:trPr>
          <w:trHeight w:val="68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E136608">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93E3F88">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41843B5">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1EA67F9">
            <w:pPr>
              <w:pStyle w:val="30"/>
              <w:rPr>
                <w:rFonts w:ascii="Times New Roman" w:hAnsi="Times New Roman"/>
                <w:color w:val="auto"/>
                <w:highlight w:val="none"/>
                <w:shd w:val="clear"/>
              </w:rPr>
            </w:pPr>
          </w:p>
        </w:tc>
      </w:tr>
      <w:tr w14:paraId="4D729748">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3871A1A">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1014DD5">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A13BDEB">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269BC89">
            <w:pPr>
              <w:pStyle w:val="30"/>
              <w:rPr>
                <w:rFonts w:ascii="Times New Roman" w:hAnsi="Times New Roman"/>
                <w:color w:val="auto"/>
                <w:highlight w:val="none"/>
                <w:shd w:val="clear"/>
              </w:rPr>
            </w:pPr>
          </w:p>
        </w:tc>
      </w:tr>
      <w:tr w14:paraId="1D035C50">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02271E2">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477C4F2">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1CB233A">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9131B18">
            <w:pPr>
              <w:pStyle w:val="30"/>
              <w:rPr>
                <w:rFonts w:ascii="Times New Roman" w:hAnsi="Times New Roman"/>
                <w:color w:val="auto"/>
                <w:highlight w:val="none"/>
                <w:shd w:val="clear"/>
              </w:rPr>
            </w:pPr>
          </w:p>
        </w:tc>
      </w:tr>
      <w:tr w14:paraId="65343E45">
        <w:tblPrEx>
          <w:tblCellMar>
            <w:top w:w="28" w:type="dxa"/>
            <w:left w:w="108" w:type="dxa"/>
            <w:bottom w:w="28" w:type="dxa"/>
            <w:right w:w="108" w:type="dxa"/>
          </w:tblCellMar>
        </w:tblPrEx>
        <w:trPr>
          <w:trHeight w:val="720"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4F92575">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51EBC6B">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72F1038">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38DE26D">
            <w:pPr>
              <w:pStyle w:val="30"/>
              <w:rPr>
                <w:rFonts w:ascii="Times New Roman" w:hAnsi="Times New Roman"/>
                <w:color w:val="auto"/>
                <w:highlight w:val="none"/>
                <w:shd w:val="clear"/>
              </w:rPr>
            </w:pPr>
          </w:p>
        </w:tc>
      </w:tr>
      <w:tr w14:paraId="2B4D40A2">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045D2A2">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1AE441B">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5777C94">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3F2F927">
            <w:pPr>
              <w:pStyle w:val="30"/>
              <w:rPr>
                <w:rFonts w:ascii="Times New Roman" w:hAnsi="Times New Roman"/>
                <w:color w:val="auto"/>
                <w:highlight w:val="none"/>
                <w:shd w:val="clear"/>
              </w:rPr>
            </w:pPr>
          </w:p>
        </w:tc>
      </w:tr>
      <w:tr w14:paraId="5A67EBDC">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DB55D2B">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C41E0D">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BC1B3FD">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122AD86">
            <w:pPr>
              <w:pStyle w:val="30"/>
              <w:rPr>
                <w:rFonts w:ascii="Times New Roman" w:hAnsi="Times New Roman"/>
                <w:color w:val="auto"/>
                <w:highlight w:val="none"/>
                <w:shd w:val="clear"/>
              </w:rPr>
            </w:pPr>
          </w:p>
        </w:tc>
      </w:tr>
      <w:tr w14:paraId="511818C2">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FD02C43">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03F0245">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C46FB8B">
            <w:pPr>
              <w:pStyle w:val="30"/>
              <w:rPr>
                <w:rFonts w:ascii="Times New Roman" w:hAnsi="Times New Roman"/>
                <w:color w:val="auto"/>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A2CBB3E">
            <w:pPr>
              <w:pStyle w:val="30"/>
              <w:rPr>
                <w:rFonts w:ascii="Times New Roman" w:hAnsi="Times New Roman"/>
                <w:color w:val="auto"/>
                <w:highlight w:val="none"/>
                <w:shd w:val="clear"/>
              </w:rPr>
            </w:pPr>
          </w:p>
        </w:tc>
      </w:tr>
      <w:tr w14:paraId="41D6FF71">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47A9F26">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F383206">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9E3D303">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4231B31">
            <w:pPr>
              <w:spacing w:line="440" w:lineRule="exact"/>
              <w:ind w:left="105" w:leftChars="50" w:right="105" w:rightChars="50"/>
              <w:jc w:val="center"/>
              <w:rPr>
                <w:rFonts w:ascii="Times New Roman" w:hAnsi="Times New Roman"/>
                <w:snapToGrid w:val="0"/>
                <w:color w:val="auto"/>
                <w:kern w:val="0"/>
                <w:highlight w:val="none"/>
                <w:shd w:val="clear"/>
              </w:rPr>
            </w:pPr>
          </w:p>
        </w:tc>
      </w:tr>
      <w:tr w14:paraId="313A3839">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126751">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D128364">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A475BA3">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E933A8E">
            <w:pPr>
              <w:spacing w:line="440" w:lineRule="exact"/>
              <w:ind w:left="105" w:leftChars="50" w:right="105" w:rightChars="50"/>
              <w:jc w:val="center"/>
              <w:rPr>
                <w:rFonts w:ascii="Times New Roman" w:hAnsi="Times New Roman"/>
                <w:snapToGrid w:val="0"/>
                <w:color w:val="auto"/>
                <w:kern w:val="0"/>
                <w:highlight w:val="none"/>
                <w:shd w:val="clear"/>
              </w:rPr>
            </w:pPr>
          </w:p>
        </w:tc>
      </w:tr>
      <w:tr w14:paraId="68A856ED">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8BA5FF">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56BDF76">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66871B5">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FDEFD4D">
            <w:pPr>
              <w:spacing w:line="440" w:lineRule="exact"/>
              <w:ind w:left="105" w:leftChars="50" w:right="105" w:rightChars="50"/>
              <w:jc w:val="center"/>
              <w:rPr>
                <w:rFonts w:ascii="Times New Roman" w:hAnsi="Times New Roman"/>
                <w:snapToGrid w:val="0"/>
                <w:color w:val="auto"/>
                <w:kern w:val="0"/>
                <w:highlight w:val="none"/>
                <w:shd w:val="clear"/>
              </w:rPr>
            </w:pPr>
          </w:p>
        </w:tc>
      </w:tr>
      <w:tr w14:paraId="0CE119F1">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D1BA7C7">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900436D">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27870A">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9744753">
            <w:pPr>
              <w:spacing w:line="440" w:lineRule="exact"/>
              <w:ind w:left="105" w:leftChars="50" w:right="105" w:rightChars="50"/>
              <w:jc w:val="center"/>
              <w:rPr>
                <w:rFonts w:ascii="Times New Roman" w:hAnsi="Times New Roman"/>
                <w:snapToGrid w:val="0"/>
                <w:color w:val="auto"/>
                <w:kern w:val="0"/>
                <w:highlight w:val="none"/>
                <w:shd w:val="clear"/>
              </w:rPr>
            </w:pPr>
          </w:p>
        </w:tc>
      </w:tr>
      <w:tr w14:paraId="02282C0F">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2ACDD69">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CB6DB17">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DFFC1F1">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7C02A6B">
            <w:pPr>
              <w:spacing w:line="440" w:lineRule="exact"/>
              <w:ind w:left="105" w:leftChars="50" w:right="105" w:rightChars="50"/>
              <w:jc w:val="center"/>
              <w:rPr>
                <w:rFonts w:ascii="Times New Roman" w:hAnsi="Times New Roman"/>
                <w:snapToGrid w:val="0"/>
                <w:color w:val="auto"/>
                <w:kern w:val="0"/>
                <w:highlight w:val="none"/>
                <w:shd w:val="clear"/>
              </w:rPr>
            </w:pPr>
          </w:p>
        </w:tc>
      </w:tr>
      <w:tr w14:paraId="76C632C2">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A2EDF1D">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332470F">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ADCEE07">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8A46BBF">
            <w:pPr>
              <w:spacing w:line="440" w:lineRule="exact"/>
              <w:ind w:left="105" w:leftChars="50" w:right="105" w:rightChars="50"/>
              <w:jc w:val="center"/>
              <w:rPr>
                <w:rFonts w:ascii="Times New Roman" w:hAnsi="Times New Roman"/>
                <w:snapToGrid w:val="0"/>
                <w:color w:val="auto"/>
                <w:kern w:val="0"/>
                <w:highlight w:val="none"/>
                <w:shd w:val="clear"/>
              </w:rPr>
            </w:pPr>
          </w:p>
        </w:tc>
      </w:tr>
      <w:tr w14:paraId="4C102DE2">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C963B68">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A71D33C">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BC15F18">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469DB55">
            <w:pPr>
              <w:spacing w:line="440" w:lineRule="exact"/>
              <w:ind w:left="105" w:leftChars="50" w:right="105" w:rightChars="50"/>
              <w:jc w:val="center"/>
              <w:rPr>
                <w:rFonts w:ascii="Times New Roman" w:hAnsi="Times New Roman"/>
                <w:snapToGrid w:val="0"/>
                <w:color w:val="auto"/>
                <w:kern w:val="0"/>
                <w:highlight w:val="none"/>
                <w:shd w:val="clear"/>
              </w:rPr>
            </w:pPr>
          </w:p>
        </w:tc>
      </w:tr>
      <w:tr w14:paraId="529C7D26">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3BD276C">
            <w:pPr>
              <w:spacing w:line="440" w:lineRule="exact"/>
              <w:ind w:left="105" w:leftChars="50" w:right="105" w:rightChars="50"/>
              <w:jc w:val="center"/>
              <w:rPr>
                <w:rFonts w:ascii="Times New Roman" w:hAnsi="Times New Roman"/>
                <w:snapToGrid w:val="0"/>
                <w:color w:val="auto"/>
                <w:kern w:val="0"/>
                <w:highlight w:val="none"/>
                <w:shd w:val="clear"/>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9E186D">
            <w:pPr>
              <w:spacing w:line="440" w:lineRule="exact"/>
              <w:ind w:left="105" w:leftChars="50" w:right="105" w:rightChars="50"/>
              <w:jc w:val="center"/>
              <w:rPr>
                <w:rFonts w:ascii="Times New Roman" w:hAnsi="Times New Roman"/>
                <w:snapToGrid w:val="0"/>
                <w:color w:val="auto"/>
                <w:kern w:val="0"/>
                <w:highlight w:val="none"/>
                <w:shd w:val="clear"/>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E1BDE4C">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E2BD523">
            <w:pPr>
              <w:spacing w:line="440" w:lineRule="exact"/>
              <w:ind w:left="105" w:leftChars="50" w:right="105" w:rightChars="50"/>
              <w:jc w:val="center"/>
              <w:rPr>
                <w:rFonts w:ascii="Times New Roman" w:hAnsi="Times New Roman"/>
                <w:snapToGrid w:val="0"/>
                <w:color w:val="auto"/>
                <w:kern w:val="0"/>
                <w:highlight w:val="none"/>
                <w:shd w:val="clear"/>
              </w:rPr>
            </w:pPr>
          </w:p>
        </w:tc>
      </w:tr>
      <w:tr w14:paraId="0DE40F58">
        <w:tblPrEx>
          <w:tblCellMar>
            <w:top w:w="28" w:type="dxa"/>
            <w:left w:w="108" w:type="dxa"/>
            <w:bottom w:w="28" w:type="dxa"/>
            <w:right w:w="108" w:type="dxa"/>
          </w:tblCellMar>
        </w:tblPrEx>
        <w:trPr>
          <w:trHeight w:val="567" w:hRule="exact"/>
          <w:jc w:val="center"/>
        </w:trPr>
        <w:tc>
          <w:tcPr>
            <w:tcW w:w="440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87A080D">
            <w:pPr>
              <w:spacing w:line="440" w:lineRule="exact"/>
              <w:ind w:left="105" w:leftChars="50" w:right="105" w:rightChars="50"/>
              <w:jc w:val="center"/>
              <w:rPr>
                <w:rFonts w:ascii="Times New Roman" w:hAnsi="Times New Roman"/>
                <w:snapToGrid w:val="0"/>
                <w:color w:val="auto"/>
                <w:kern w:val="0"/>
                <w:highlight w:val="none"/>
                <w:shd w:val="clear"/>
              </w:rPr>
            </w:pPr>
            <w:r>
              <w:rPr>
                <w:rFonts w:hint="eastAsia" w:ascii="Times New Roman" w:hAnsi="Times New Roman"/>
                <w:snapToGrid w:val="0"/>
                <w:color w:val="auto"/>
                <w:kern w:val="0"/>
                <w:highlight w:val="none"/>
                <w:shd w:val="clear"/>
              </w:rPr>
              <w:t>拟分包工程造价合计（万元）</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C93AE1E">
            <w:pPr>
              <w:spacing w:line="440" w:lineRule="exact"/>
              <w:ind w:left="105" w:leftChars="50" w:right="105" w:rightChars="50"/>
              <w:jc w:val="center"/>
              <w:rPr>
                <w:rFonts w:ascii="Times New Roman" w:hAnsi="Times New Roman"/>
                <w:snapToGrid w:val="0"/>
                <w:color w:val="auto"/>
                <w:kern w:val="0"/>
                <w:highlight w:val="none"/>
                <w:shd w:val="clear"/>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88B951C">
            <w:pPr>
              <w:spacing w:line="440" w:lineRule="exact"/>
              <w:ind w:left="105" w:leftChars="50" w:right="105" w:rightChars="50"/>
              <w:jc w:val="center"/>
              <w:rPr>
                <w:rFonts w:ascii="Times New Roman" w:hAnsi="Times New Roman"/>
                <w:snapToGrid w:val="0"/>
                <w:color w:val="auto"/>
                <w:kern w:val="0"/>
                <w:highlight w:val="none"/>
                <w:shd w:val="clear"/>
              </w:rPr>
            </w:pPr>
          </w:p>
        </w:tc>
      </w:tr>
    </w:tbl>
    <w:p w14:paraId="012D50FB">
      <w:pPr>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br w:type="page"/>
      </w:r>
      <w:bookmarkStart w:id="2178" w:name="_Toc170805407"/>
      <w:bookmarkStart w:id="2179" w:name="_Toc170804219"/>
      <w:bookmarkStart w:id="2180" w:name="_Toc170805787"/>
    </w:p>
    <w:p w14:paraId="42884E87">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七、资格审查资料</w:t>
      </w:r>
      <w:bookmarkEnd w:id="2178"/>
      <w:bookmarkEnd w:id="2179"/>
      <w:bookmarkEnd w:id="2180"/>
    </w:p>
    <w:p w14:paraId="0239645E">
      <w:pPr>
        <w:pStyle w:val="28"/>
        <w:rPr>
          <w:rFonts w:ascii="Times New Roman" w:hAnsi="Times New Roman" w:eastAsia="黑体"/>
          <w:b w:val="0"/>
          <w:snapToGrid w:val="0"/>
          <w:color w:val="auto"/>
          <w:sz w:val="28"/>
          <w:szCs w:val="28"/>
          <w:highlight w:val="none"/>
          <w:shd w:val="clear"/>
          <w:lang w:val="zh-CN"/>
        </w:rPr>
      </w:pPr>
      <w:bookmarkStart w:id="2181" w:name="_Toc170804220"/>
      <w:bookmarkStart w:id="2182" w:name="_Toc170805788"/>
      <w:bookmarkStart w:id="2183" w:name="_Toc170805408"/>
      <w:r>
        <w:rPr>
          <w:rFonts w:hint="eastAsia" w:ascii="Times New Roman" w:hAnsi="Times New Roman" w:eastAsia="黑体"/>
          <w:b w:val="0"/>
          <w:snapToGrid w:val="0"/>
          <w:color w:val="auto"/>
          <w:sz w:val="28"/>
          <w:szCs w:val="28"/>
          <w:highlight w:val="none"/>
          <w:shd w:val="clear"/>
          <w:lang w:val="zh-CN"/>
        </w:rPr>
        <w:t>（一）投标人基本情况表</w:t>
      </w:r>
      <w:bookmarkEnd w:id="2151"/>
      <w:bookmarkEnd w:id="2152"/>
      <w:bookmarkEnd w:id="2158"/>
      <w:bookmarkEnd w:id="2159"/>
      <w:bookmarkEnd w:id="2160"/>
      <w:bookmarkEnd w:id="2181"/>
      <w:bookmarkEnd w:id="2182"/>
      <w:bookmarkEnd w:id="2183"/>
    </w:p>
    <w:tbl>
      <w:tblPr>
        <w:tblStyle w:val="12"/>
        <w:tblW w:w="8959" w:type="dxa"/>
        <w:tblInd w:w="0" w:type="dxa"/>
        <w:tblLayout w:type="fixed"/>
        <w:tblCellMar>
          <w:top w:w="0" w:type="dxa"/>
          <w:left w:w="0" w:type="dxa"/>
          <w:bottom w:w="0" w:type="dxa"/>
          <w:right w:w="0" w:type="dxa"/>
        </w:tblCellMar>
      </w:tblPr>
      <w:tblGrid>
        <w:gridCol w:w="1807"/>
        <w:gridCol w:w="939"/>
        <w:gridCol w:w="994"/>
        <w:gridCol w:w="878"/>
        <w:gridCol w:w="480"/>
        <w:gridCol w:w="1418"/>
        <w:gridCol w:w="1405"/>
        <w:gridCol w:w="1038"/>
      </w:tblGrid>
      <w:tr w14:paraId="363900A6">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6ECC287C">
            <w:pPr>
              <w:pStyle w:val="29"/>
              <w:rPr>
                <w:rFonts w:ascii="Times New Roman" w:hAnsi="Times New Roman"/>
                <w:color w:val="auto"/>
                <w:highlight w:val="none"/>
                <w:shd w:val="clear"/>
              </w:rPr>
            </w:pPr>
            <w:bookmarkStart w:id="2184" w:name="_Toc390411623"/>
            <w:bookmarkStart w:id="2185" w:name="_Toc421917003"/>
            <w:r>
              <w:rPr>
                <w:rFonts w:hint="eastAsia" w:ascii="Times New Roman" w:hAnsi="Times New Roman"/>
                <w:color w:val="auto"/>
                <w:highlight w:val="none"/>
                <w:shd w:val="clear"/>
              </w:rPr>
              <w:t>投标人名称</w:t>
            </w:r>
          </w:p>
        </w:tc>
        <w:tc>
          <w:tcPr>
            <w:tcW w:w="7152" w:type="dxa"/>
            <w:gridSpan w:val="7"/>
            <w:tcBorders>
              <w:top w:val="single" w:color="000000" w:sz="4" w:space="0"/>
              <w:left w:val="single" w:color="000000" w:sz="4" w:space="0"/>
              <w:bottom w:val="single" w:color="000000" w:sz="4" w:space="0"/>
              <w:right w:val="single" w:color="000000" w:sz="4" w:space="0"/>
            </w:tcBorders>
            <w:vAlign w:val="center"/>
          </w:tcPr>
          <w:p w14:paraId="293A220C">
            <w:pPr>
              <w:autoSpaceDE w:val="0"/>
              <w:autoSpaceDN w:val="0"/>
              <w:adjustRightInd w:val="0"/>
              <w:snapToGrid w:val="0"/>
              <w:jc w:val="center"/>
              <w:rPr>
                <w:rFonts w:ascii="Times New Roman" w:hAnsi="Times New Roman"/>
                <w:color w:val="auto"/>
                <w:kern w:val="0"/>
                <w:szCs w:val="24"/>
                <w:highlight w:val="none"/>
                <w:shd w:val="clear"/>
              </w:rPr>
            </w:pPr>
          </w:p>
        </w:tc>
      </w:tr>
      <w:tr w14:paraId="345629A9">
        <w:tblPrEx>
          <w:tblCellMar>
            <w:top w:w="0" w:type="dxa"/>
            <w:left w:w="0" w:type="dxa"/>
            <w:bottom w:w="0" w:type="dxa"/>
            <w:right w:w="0" w:type="dxa"/>
          </w:tblCellMar>
        </w:tblPrEx>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43DAB56C">
            <w:pPr>
              <w:pStyle w:val="29"/>
              <w:rPr>
                <w:rFonts w:ascii="Times New Roman" w:hAnsi="Times New Roman"/>
                <w:color w:val="auto"/>
                <w:highlight w:val="none"/>
                <w:shd w:val="clear"/>
              </w:rPr>
            </w:pPr>
            <w:r>
              <w:rPr>
                <w:rFonts w:hint="eastAsia" w:ascii="Times New Roman" w:hAnsi="Times New Roman"/>
                <w:color w:val="auto"/>
                <w:highlight w:val="none"/>
                <w:shd w:val="clear"/>
              </w:rPr>
              <w:t>注册地址</w:t>
            </w:r>
          </w:p>
        </w:tc>
        <w:tc>
          <w:tcPr>
            <w:tcW w:w="3291" w:type="dxa"/>
            <w:gridSpan w:val="4"/>
            <w:tcBorders>
              <w:top w:val="single" w:color="000000" w:sz="4" w:space="0"/>
              <w:left w:val="single" w:color="000000" w:sz="4" w:space="0"/>
              <w:bottom w:val="single" w:color="000000" w:sz="4" w:space="0"/>
              <w:right w:val="single" w:color="000000" w:sz="4" w:space="0"/>
            </w:tcBorders>
            <w:vAlign w:val="center"/>
          </w:tcPr>
          <w:p w14:paraId="386ED743">
            <w:pPr>
              <w:pStyle w:val="29"/>
              <w:rPr>
                <w:rFonts w:ascii="Times New Roman" w:hAnsi="Times New Roman"/>
                <w:color w:val="auto"/>
                <w:highlight w:val="none"/>
                <w:shd w:val="cle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F44F5D1">
            <w:pPr>
              <w:pStyle w:val="29"/>
              <w:rPr>
                <w:rFonts w:ascii="Times New Roman" w:hAnsi="Times New Roman"/>
                <w:color w:val="auto"/>
                <w:highlight w:val="none"/>
                <w:shd w:val="clear"/>
              </w:rPr>
            </w:pPr>
            <w:r>
              <w:rPr>
                <w:rFonts w:hint="eastAsia" w:ascii="Times New Roman" w:hAnsi="Times New Roman"/>
                <w:color w:val="auto"/>
                <w:highlight w:val="none"/>
                <w:shd w:val="clear"/>
              </w:rPr>
              <w:t>邮政编码</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6397098C">
            <w:pPr>
              <w:pStyle w:val="29"/>
              <w:rPr>
                <w:rFonts w:ascii="Times New Roman" w:hAnsi="Times New Roman"/>
                <w:color w:val="auto"/>
                <w:highlight w:val="none"/>
                <w:shd w:val="clear"/>
              </w:rPr>
            </w:pPr>
          </w:p>
        </w:tc>
      </w:tr>
      <w:tr w14:paraId="235FDBA1">
        <w:tblPrEx>
          <w:tblCellMar>
            <w:top w:w="0" w:type="dxa"/>
            <w:left w:w="0" w:type="dxa"/>
            <w:bottom w:w="0" w:type="dxa"/>
            <w:right w:w="0" w:type="dxa"/>
          </w:tblCellMar>
        </w:tblPrEx>
        <w:trPr>
          <w:trHeight w:val="574" w:hRule="atLeast"/>
        </w:trPr>
        <w:tc>
          <w:tcPr>
            <w:tcW w:w="1807" w:type="dxa"/>
            <w:vMerge w:val="restart"/>
            <w:tcBorders>
              <w:top w:val="single" w:color="000000" w:sz="4" w:space="0"/>
              <w:left w:val="single" w:color="000000" w:sz="4" w:space="0"/>
              <w:bottom w:val="single" w:color="000000" w:sz="4" w:space="0"/>
              <w:right w:val="single" w:color="000000" w:sz="4" w:space="0"/>
            </w:tcBorders>
            <w:vAlign w:val="center"/>
          </w:tcPr>
          <w:p w14:paraId="6888FE27">
            <w:pPr>
              <w:pStyle w:val="29"/>
              <w:rPr>
                <w:rFonts w:ascii="Times New Roman" w:hAnsi="Times New Roman"/>
                <w:color w:val="auto"/>
                <w:highlight w:val="none"/>
                <w:shd w:val="clear"/>
              </w:rPr>
            </w:pPr>
            <w:r>
              <w:rPr>
                <w:rFonts w:hint="eastAsia" w:ascii="Times New Roman" w:hAnsi="Times New Roman"/>
                <w:color w:val="auto"/>
                <w:highlight w:val="none"/>
                <w:shd w:val="clear"/>
              </w:rPr>
              <w:t>联系方式</w:t>
            </w:r>
          </w:p>
        </w:tc>
        <w:tc>
          <w:tcPr>
            <w:tcW w:w="939" w:type="dxa"/>
            <w:tcBorders>
              <w:top w:val="single" w:color="000000" w:sz="4" w:space="0"/>
              <w:left w:val="single" w:color="000000" w:sz="4" w:space="0"/>
              <w:bottom w:val="single" w:color="000000" w:sz="4" w:space="0"/>
              <w:right w:val="single" w:color="000000" w:sz="4" w:space="0"/>
            </w:tcBorders>
            <w:vAlign w:val="center"/>
          </w:tcPr>
          <w:p w14:paraId="6A8AFC20">
            <w:pPr>
              <w:pStyle w:val="29"/>
              <w:rPr>
                <w:rFonts w:ascii="Times New Roman" w:hAnsi="Times New Roman"/>
                <w:color w:val="auto"/>
                <w:highlight w:val="none"/>
                <w:shd w:val="clear"/>
              </w:rPr>
            </w:pPr>
            <w:r>
              <w:rPr>
                <w:rFonts w:hint="eastAsia" w:ascii="Times New Roman" w:hAnsi="Times New Roman"/>
                <w:color w:val="auto"/>
                <w:highlight w:val="none"/>
                <w:shd w:val="clear"/>
              </w:rPr>
              <w:t>联系人</w:t>
            </w:r>
          </w:p>
        </w:tc>
        <w:tc>
          <w:tcPr>
            <w:tcW w:w="2352" w:type="dxa"/>
            <w:gridSpan w:val="3"/>
            <w:tcBorders>
              <w:top w:val="single" w:color="000000" w:sz="4" w:space="0"/>
              <w:left w:val="single" w:color="000000" w:sz="4" w:space="0"/>
              <w:bottom w:val="single" w:color="000000" w:sz="4" w:space="0"/>
              <w:right w:val="single" w:color="000000" w:sz="4" w:space="0"/>
            </w:tcBorders>
            <w:vAlign w:val="center"/>
          </w:tcPr>
          <w:p w14:paraId="70F74F48">
            <w:pPr>
              <w:pStyle w:val="29"/>
              <w:rPr>
                <w:rFonts w:ascii="Times New Roman" w:hAnsi="Times New Roman"/>
                <w:color w:val="auto"/>
                <w:highlight w:val="none"/>
                <w:shd w:val="cle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AA9806E">
            <w:pPr>
              <w:pStyle w:val="29"/>
              <w:rPr>
                <w:rFonts w:ascii="Times New Roman" w:hAnsi="Times New Roman"/>
                <w:color w:val="auto"/>
                <w:highlight w:val="none"/>
                <w:shd w:val="clear"/>
              </w:rPr>
            </w:pPr>
            <w:r>
              <w:rPr>
                <w:rFonts w:hint="eastAsia" w:ascii="Times New Roman" w:hAnsi="Times New Roman"/>
                <w:color w:val="auto"/>
                <w:highlight w:val="none"/>
                <w:shd w:val="clear"/>
              </w:rPr>
              <w:t>电  话</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33B0DECB">
            <w:pPr>
              <w:pStyle w:val="29"/>
              <w:rPr>
                <w:rFonts w:ascii="Times New Roman" w:hAnsi="Times New Roman"/>
                <w:color w:val="auto"/>
                <w:highlight w:val="none"/>
                <w:shd w:val="clear"/>
              </w:rPr>
            </w:pPr>
          </w:p>
        </w:tc>
      </w:tr>
      <w:tr w14:paraId="144AC8BD">
        <w:tblPrEx>
          <w:tblCellMar>
            <w:top w:w="0" w:type="dxa"/>
            <w:left w:w="0" w:type="dxa"/>
            <w:bottom w:w="0" w:type="dxa"/>
            <w:right w:w="0" w:type="dxa"/>
          </w:tblCellMar>
        </w:tblPrEx>
        <w:trPr>
          <w:trHeight w:val="574" w:hRule="atLeast"/>
        </w:trPr>
        <w:tc>
          <w:tcPr>
            <w:tcW w:w="1807" w:type="dxa"/>
            <w:vMerge w:val="continue"/>
            <w:tcBorders>
              <w:top w:val="single" w:color="000000" w:sz="4" w:space="0"/>
              <w:left w:val="single" w:color="000000" w:sz="4" w:space="0"/>
              <w:bottom w:val="single" w:color="000000" w:sz="4" w:space="0"/>
              <w:right w:val="single" w:color="000000" w:sz="4" w:space="0"/>
            </w:tcBorders>
            <w:vAlign w:val="center"/>
          </w:tcPr>
          <w:p w14:paraId="2F7966B6">
            <w:pPr>
              <w:pStyle w:val="29"/>
              <w:rPr>
                <w:rFonts w:ascii="Times New Roman" w:hAnsi="Times New Roman"/>
                <w:color w:val="auto"/>
                <w:highlight w:val="none"/>
                <w:shd w:val="cle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F6628EF">
            <w:pPr>
              <w:pStyle w:val="29"/>
              <w:rPr>
                <w:rFonts w:ascii="Times New Roman" w:hAnsi="Times New Roman"/>
                <w:color w:val="auto"/>
                <w:highlight w:val="none"/>
                <w:shd w:val="clear"/>
              </w:rPr>
            </w:pPr>
            <w:r>
              <w:rPr>
                <w:rFonts w:hint="eastAsia" w:ascii="Times New Roman" w:hAnsi="Times New Roman"/>
                <w:color w:val="auto"/>
                <w:highlight w:val="none"/>
                <w:shd w:val="clear"/>
              </w:rPr>
              <w:t>传  真</w:t>
            </w:r>
          </w:p>
        </w:tc>
        <w:tc>
          <w:tcPr>
            <w:tcW w:w="2352" w:type="dxa"/>
            <w:gridSpan w:val="3"/>
            <w:tcBorders>
              <w:top w:val="single" w:color="000000" w:sz="4" w:space="0"/>
              <w:left w:val="single" w:color="000000" w:sz="4" w:space="0"/>
              <w:bottom w:val="single" w:color="000000" w:sz="4" w:space="0"/>
              <w:right w:val="single" w:color="000000" w:sz="4" w:space="0"/>
            </w:tcBorders>
            <w:vAlign w:val="center"/>
          </w:tcPr>
          <w:p w14:paraId="6D3D4A57">
            <w:pPr>
              <w:pStyle w:val="29"/>
              <w:rPr>
                <w:rFonts w:ascii="Times New Roman" w:hAnsi="Times New Roman"/>
                <w:color w:val="auto"/>
                <w:highlight w:val="none"/>
                <w:shd w:val="clear"/>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359CC90">
            <w:pPr>
              <w:pStyle w:val="29"/>
              <w:rPr>
                <w:rFonts w:ascii="Times New Roman" w:hAnsi="Times New Roman"/>
                <w:color w:val="auto"/>
                <w:highlight w:val="none"/>
                <w:shd w:val="clear"/>
              </w:rPr>
            </w:pPr>
            <w:r>
              <w:rPr>
                <w:rFonts w:hint="eastAsia" w:ascii="Times New Roman" w:hAnsi="Times New Roman"/>
                <w:color w:val="auto"/>
                <w:highlight w:val="none"/>
                <w:shd w:val="clear"/>
              </w:rPr>
              <w:t>电子邮件</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07098BF4">
            <w:pPr>
              <w:pStyle w:val="29"/>
              <w:rPr>
                <w:rFonts w:ascii="Times New Roman" w:hAnsi="Times New Roman"/>
                <w:color w:val="auto"/>
                <w:highlight w:val="none"/>
                <w:shd w:val="clear"/>
              </w:rPr>
            </w:pPr>
          </w:p>
        </w:tc>
      </w:tr>
      <w:tr w14:paraId="4383D6AA">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1403BDE0">
            <w:pPr>
              <w:pStyle w:val="29"/>
              <w:rPr>
                <w:rFonts w:ascii="Times New Roman" w:hAnsi="Times New Roman"/>
                <w:color w:val="auto"/>
                <w:highlight w:val="none"/>
                <w:shd w:val="clear"/>
              </w:rPr>
            </w:pPr>
            <w:r>
              <w:rPr>
                <w:rFonts w:hint="eastAsia" w:ascii="Times New Roman" w:hAnsi="Times New Roman"/>
                <w:color w:val="auto"/>
                <w:highlight w:val="none"/>
                <w:shd w:val="clear"/>
              </w:rPr>
              <w:t>法定代表人</w:t>
            </w:r>
          </w:p>
        </w:tc>
        <w:tc>
          <w:tcPr>
            <w:tcW w:w="939" w:type="dxa"/>
            <w:tcBorders>
              <w:top w:val="single" w:color="000000" w:sz="4" w:space="0"/>
              <w:left w:val="single" w:color="000000" w:sz="4" w:space="0"/>
              <w:bottom w:val="single" w:color="000000" w:sz="4" w:space="0"/>
              <w:right w:val="single" w:color="000000" w:sz="4" w:space="0"/>
            </w:tcBorders>
            <w:vAlign w:val="center"/>
          </w:tcPr>
          <w:p w14:paraId="6E97EB3A">
            <w:pPr>
              <w:pStyle w:val="29"/>
              <w:rPr>
                <w:rFonts w:ascii="Times New Roman" w:hAnsi="Times New Roman"/>
                <w:color w:val="auto"/>
                <w:highlight w:val="none"/>
                <w:shd w:val="clear"/>
              </w:rPr>
            </w:pPr>
            <w:r>
              <w:rPr>
                <w:rFonts w:hint="eastAsia" w:ascii="Times New Roman" w:hAnsi="Times New Roman"/>
                <w:color w:val="auto"/>
                <w:highlight w:val="none"/>
                <w:shd w:val="clear"/>
              </w:rPr>
              <w:t>姓名</w:t>
            </w:r>
          </w:p>
        </w:tc>
        <w:tc>
          <w:tcPr>
            <w:tcW w:w="994" w:type="dxa"/>
            <w:tcBorders>
              <w:top w:val="single" w:color="000000" w:sz="4" w:space="0"/>
              <w:left w:val="single" w:color="000000" w:sz="4" w:space="0"/>
              <w:bottom w:val="single" w:color="000000" w:sz="4" w:space="0"/>
              <w:right w:val="single" w:color="000000" w:sz="4" w:space="0"/>
            </w:tcBorders>
            <w:vAlign w:val="center"/>
          </w:tcPr>
          <w:p w14:paraId="5527FA65">
            <w:pPr>
              <w:pStyle w:val="29"/>
              <w:rPr>
                <w:rFonts w:ascii="Times New Roman" w:hAnsi="Times New Roman"/>
                <w:color w:val="auto"/>
                <w:highlight w:val="none"/>
                <w:shd w:val="clear"/>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14:paraId="79BDC4F0">
            <w:pPr>
              <w:pStyle w:val="29"/>
              <w:rPr>
                <w:rFonts w:ascii="Times New Roman" w:hAnsi="Times New Roman"/>
                <w:color w:val="auto"/>
                <w:highlight w:val="none"/>
                <w:shd w:val="clear"/>
              </w:rPr>
            </w:pPr>
            <w:r>
              <w:rPr>
                <w:rFonts w:hint="eastAsia" w:ascii="Times New Roman" w:hAnsi="Times New Roman"/>
                <w:color w:val="auto"/>
                <w:highlight w:val="none"/>
                <w:shd w:val="clear"/>
              </w:rPr>
              <w:t>技术职称</w:t>
            </w:r>
          </w:p>
        </w:tc>
        <w:tc>
          <w:tcPr>
            <w:tcW w:w="1418" w:type="dxa"/>
            <w:tcBorders>
              <w:top w:val="single" w:color="000000" w:sz="4" w:space="0"/>
              <w:left w:val="single" w:color="000000" w:sz="4" w:space="0"/>
              <w:bottom w:val="single" w:color="000000" w:sz="4" w:space="0"/>
              <w:right w:val="single" w:color="000000" w:sz="4" w:space="0"/>
            </w:tcBorders>
            <w:vAlign w:val="center"/>
          </w:tcPr>
          <w:p w14:paraId="003919A3">
            <w:pPr>
              <w:pStyle w:val="29"/>
              <w:rPr>
                <w:rFonts w:ascii="Times New Roman" w:hAnsi="Times New Roman"/>
                <w:color w:val="auto"/>
                <w:highlight w:val="none"/>
                <w:shd w:val="cle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29992BCD">
            <w:pPr>
              <w:pStyle w:val="29"/>
              <w:rPr>
                <w:rFonts w:ascii="Times New Roman" w:hAnsi="Times New Roman"/>
                <w:color w:val="auto"/>
                <w:highlight w:val="none"/>
                <w:shd w:val="clear"/>
              </w:rPr>
            </w:pPr>
            <w:r>
              <w:rPr>
                <w:rFonts w:hint="eastAsia" w:ascii="Times New Roman" w:hAnsi="Times New Roman"/>
                <w:color w:val="auto"/>
                <w:highlight w:val="none"/>
                <w:shd w:val="clear"/>
              </w:rPr>
              <w:t>电话</w:t>
            </w:r>
          </w:p>
        </w:tc>
        <w:tc>
          <w:tcPr>
            <w:tcW w:w="1038" w:type="dxa"/>
            <w:tcBorders>
              <w:top w:val="single" w:color="000000" w:sz="4" w:space="0"/>
              <w:left w:val="single" w:color="000000" w:sz="4" w:space="0"/>
              <w:bottom w:val="single" w:color="000000" w:sz="4" w:space="0"/>
              <w:right w:val="single" w:color="000000" w:sz="4" w:space="0"/>
            </w:tcBorders>
            <w:vAlign w:val="center"/>
          </w:tcPr>
          <w:p w14:paraId="74322A0B">
            <w:pPr>
              <w:pStyle w:val="29"/>
              <w:rPr>
                <w:rFonts w:ascii="Times New Roman" w:hAnsi="Times New Roman"/>
                <w:color w:val="auto"/>
                <w:highlight w:val="none"/>
                <w:shd w:val="clear"/>
              </w:rPr>
            </w:pPr>
          </w:p>
        </w:tc>
      </w:tr>
      <w:tr w14:paraId="1CCB74CF">
        <w:tblPrEx>
          <w:tblCellMar>
            <w:top w:w="0" w:type="dxa"/>
            <w:left w:w="0" w:type="dxa"/>
            <w:bottom w:w="0" w:type="dxa"/>
            <w:right w:w="0" w:type="dxa"/>
          </w:tblCellMar>
        </w:tblPrEx>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33CF1C8A">
            <w:pPr>
              <w:pStyle w:val="29"/>
              <w:rPr>
                <w:rFonts w:ascii="Times New Roman" w:hAnsi="Times New Roman"/>
                <w:color w:val="auto"/>
                <w:highlight w:val="none"/>
                <w:shd w:val="clear"/>
              </w:rPr>
            </w:pPr>
            <w:r>
              <w:rPr>
                <w:rFonts w:hint="eastAsia" w:ascii="Times New Roman" w:hAnsi="Times New Roman"/>
                <w:color w:val="auto"/>
                <w:highlight w:val="none"/>
                <w:shd w:val="clear"/>
              </w:rPr>
              <w:t>技术负责人</w:t>
            </w:r>
          </w:p>
        </w:tc>
        <w:tc>
          <w:tcPr>
            <w:tcW w:w="939" w:type="dxa"/>
            <w:tcBorders>
              <w:top w:val="single" w:color="000000" w:sz="4" w:space="0"/>
              <w:left w:val="single" w:color="000000" w:sz="4" w:space="0"/>
              <w:bottom w:val="single" w:color="000000" w:sz="4" w:space="0"/>
              <w:right w:val="single" w:color="000000" w:sz="4" w:space="0"/>
            </w:tcBorders>
            <w:vAlign w:val="center"/>
          </w:tcPr>
          <w:p w14:paraId="2B869960">
            <w:pPr>
              <w:pStyle w:val="29"/>
              <w:rPr>
                <w:rFonts w:ascii="Times New Roman" w:hAnsi="Times New Roman"/>
                <w:color w:val="auto"/>
                <w:highlight w:val="none"/>
                <w:shd w:val="clear"/>
              </w:rPr>
            </w:pPr>
            <w:r>
              <w:rPr>
                <w:rFonts w:hint="eastAsia" w:ascii="Times New Roman" w:hAnsi="Times New Roman"/>
                <w:color w:val="auto"/>
                <w:highlight w:val="none"/>
                <w:shd w:val="clear"/>
              </w:rPr>
              <w:t>姓名</w:t>
            </w:r>
          </w:p>
        </w:tc>
        <w:tc>
          <w:tcPr>
            <w:tcW w:w="994" w:type="dxa"/>
            <w:tcBorders>
              <w:top w:val="single" w:color="000000" w:sz="4" w:space="0"/>
              <w:left w:val="single" w:color="000000" w:sz="4" w:space="0"/>
              <w:bottom w:val="single" w:color="000000" w:sz="4" w:space="0"/>
              <w:right w:val="single" w:color="000000" w:sz="4" w:space="0"/>
            </w:tcBorders>
            <w:vAlign w:val="center"/>
          </w:tcPr>
          <w:p w14:paraId="65B6B70A">
            <w:pPr>
              <w:pStyle w:val="29"/>
              <w:rPr>
                <w:rFonts w:ascii="Times New Roman" w:hAnsi="Times New Roman"/>
                <w:color w:val="auto"/>
                <w:highlight w:val="none"/>
                <w:shd w:val="clear"/>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14:paraId="2D98D932">
            <w:pPr>
              <w:pStyle w:val="29"/>
              <w:rPr>
                <w:rFonts w:ascii="Times New Roman" w:hAnsi="Times New Roman"/>
                <w:color w:val="auto"/>
                <w:highlight w:val="none"/>
                <w:shd w:val="clear"/>
              </w:rPr>
            </w:pPr>
            <w:r>
              <w:rPr>
                <w:rFonts w:hint="eastAsia" w:ascii="Times New Roman" w:hAnsi="Times New Roman"/>
                <w:color w:val="auto"/>
                <w:highlight w:val="none"/>
                <w:shd w:val="clear"/>
              </w:rPr>
              <w:t>技术职称</w:t>
            </w:r>
          </w:p>
        </w:tc>
        <w:tc>
          <w:tcPr>
            <w:tcW w:w="1418" w:type="dxa"/>
            <w:tcBorders>
              <w:top w:val="single" w:color="000000" w:sz="4" w:space="0"/>
              <w:left w:val="single" w:color="000000" w:sz="4" w:space="0"/>
              <w:bottom w:val="single" w:color="000000" w:sz="4" w:space="0"/>
              <w:right w:val="single" w:color="000000" w:sz="4" w:space="0"/>
            </w:tcBorders>
            <w:vAlign w:val="center"/>
          </w:tcPr>
          <w:p w14:paraId="5BD10F7B">
            <w:pPr>
              <w:pStyle w:val="29"/>
              <w:rPr>
                <w:rFonts w:ascii="Times New Roman" w:hAnsi="Times New Roman"/>
                <w:color w:val="auto"/>
                <w:highlight w:val="none"/>
                <w:shd w:val="clear"/>
              </w:rPr>
            </w:pPr>
          </w:p>
        </w:tc>
        <w:tc>
          <w:tcPr>
            <w:tcW w:w="1405" w:type="dxa"/>
            <w:tcBorders>
              <w:top w:val="single" w:color="000000" w:sz="4" w:space="0"/>
              <w:left w:val="single" w:color="000000" w:sz="4" w:space="0"/>
              <w:bottom w:val="single" w:color="000000" w:sz="4" w:space="0"/>
              <w:right w:val="single" w:color="000000" w:sz="4" w:space="0"/>
            </w:tcBorders>
            <w:vAlign w:val="center"/>
          </w:tcPr>
          <w:p w14:paraId="7E4BC3FC">
            <w:pPr>
              <w:pStyle w:val="29"/>
              <w:rPr>
                <w:rFonts w:ascii="Times New Roman" w:hAnsi="Times New Roman"/>
                <w:color w:val="auto"/>
                <w:highlight w:val="none"/>
                <w:shd w:val="clear"/>
              </w:rPr>
            </w:pPr>
            <w:r>
              <w:rPr>
                <w:rFonts w:hint="eastAsia" w:ascii="Times New Roman" w:hAnsi="Times New Roman"/>
                <w:color w:val="auto"/>
                <w:highlight w:val="none"/>
                <w:shd w:val="clear"/>
              </w:rPr>
              <w:t>电话</w:t>
            </w:r>
          </w:p>
        </w:tc>
        <w:tc>
          <w:tcPr>
            <w:tcW w:w="1038" w:type="dxa"/>
            <w:tcBorders>
              <w:top w:val="single" w:color="000000" w:sz="4" w:space="0"/>
              <w:left w:val="single" w:color="000000" w:sz="4" w:space="0"/>
              <w:bottom w:val="single" w:color="000000" w:sz="4" w:space="0"/>
              <w:right w:val="single" w:color="000000" w:sz="4" w:space="0"/>
            </w:tcBorders>
            <w:vAlign w:val="center"/>
          </w:tcPr>
          <w:p w14:paraId="3BAAA6BD">
            <w:pPr>
              <w:pStyle w:val="29"/>
              <w:rPr>
                <w:rFonts w:ascii="Times New Roman" w:hAnsi="Times New Roman"/>
                <w:color w:val="auto"/>
                <w:highlight w:val="none"/>
                <w:shd w:val="clear"/>
              </w:rPr>
            </w:pPr>
          </w:p>
        </w:tc>
      </w:tr>
      <w:tr w14:paraId="18FCE128">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444CDC00">
            <w:pPr>
              <w:pStyle w:val="29"/>
              <w:rPr>
                <w:rFonts w:ascii="Times New Roman" w:hAnsi="Times New Roman"/>
                <w:color w:val="auto"/>
                <w:highlight w:val="none"/>
                <w:shd w:val="clear"/>
              </w:rPr>
            </w:pPr>
            <w:r>
              <w:rPr>
                <w:rFonts w:hint="eastAsia" w:ascii="Times New Roman" w:hAnsi="Times New Roman"/>
                <w:color w:val="auto"/>
                <w:highlight w:val="none"/>
                <w:shd w:val="clear"/>
              </w:rPr>
              <w:t>成立时间</w:t>
            </w:r>
          </w:p>
        </w:tc>
        <w:tc>
          <w:tcPr>
            <w:tcW w:w="1933" w:type="dxa"/>
            <w:gridSpan w:val="2"/>
            <w:tcBorders>
              <w:top w:val="single" w:color="000000" w:sz="4" w:space="0"/>
              <w:left w:val="single" w:color="000000" w:sz="4" w:space="0"/>
              <w:bottom w:val="single" w:color="000000" w:sz="4" w:space="0"/>
              <w:right w:val="single" w:color="000000" w:sz="4" w:space="0"/>
            </w:tcBorders>
            <w:vAlign w:val="center"/>
          </w:tcPr>
          <w:p w14:paraId="53A0CBAF">
            <w:pPr>
              <w:pStyle w:val="29"/>
              <w:rPr>
                <w:rFonts w:ascii="Times New Roman" w:hAnsi="Times New Roman"/>
                <w:color w:val="auto"/>
                <w:highlight w:val="none"/>
                <w:shd w:val="clear"/>
              </w:rPr>
            </w:pPr>
          </w:p>
        </w:tc>
        <w:tc>
          <w:tcPr>
            <w:tcW w:w="5219" w:type="dxa"/>
            <w:gridSpan w:val="5"/>
            <w:tcBorders>
              <w:top w:val="single" w:color="000000" w:sz="4" w:space="0"/>
              <w:left w:val="single" w:color="000000" w:sz="4" w:space="0"/>
              <w:bottom w:val="single" w:color="000000" w:sz="4" w:space="0"/>
              <w:right w:val="single" w:color="000000" w:sz="4" w:space="0"/>
            </w:tcBorders>
            <w:vAlign w:val="center"/>
          </w:tcPr>
          <w:p w14:paraId="5AB2D0B0">
            <w:pPr>
              <w:pStyle w:val="29"/>
              <w:rPr>
                <w:rFonts w:ascii="Times New Roman" w:hAnsi="Times New Roman"/>
                <w:color w:val="auto"/>
                <w:highlight w:val="none"/>
                <w:shd w:val="clear"/>
              </w:rPr>
            </w:pPr>
            <w:r>
              <w:rPr>
                <w:rFonts w:hint="eastAsia" w:ascii="Times New Roman" w:hAnsi="Times New Roman"/>
                <w:color w:val="auto"/>
                <w:highlight w:val="none"/>
                <w:shd w:val="clear"/>
              </w:rPr>
              <w:t>员工总人数：</w:t>
            </w:r>
          </w:p>
        </w:tc>
      </w:tr>
      <w:tr w14:paraId="6A247CBD">
        <w:tblPrEx>
          <w:tblCellMar>
            <w:top w:w="0" w:type="dxa"/>
            <w:left w:w="0" w:type="dxa"/>
            <w:bottom w:w="0" w:type="dxa"/>
            <w:right w:w="0" w:type="dxa"/>
          </w:tblCellMar>
        </w:tblPrEx>
        <w:trPr>
          <w:trHeight w:val="822"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3856809E">
            <w:pPr>
              <w:pStyle w:val="29"/>
              <w:rPr>
                <w:rFonts w:ascii="Times New Roman" w:hAnsi="Times New Roman"/>
                <w:color w:val="auto"/>
                <w:highlight w:val="none"/>
                <w:shd w:val="clear"/>
              </w:rPr>
            </w:pPr>
            <w:r>
              <w:rPr>
                <w:rFonts w:hint="eastAsia" w:ascii="Times New Roman" w:hAnsi="Times New Roman"/>
                <w:color w:val="auto"/>
                <w:highlight w:val="none"/>
                <w:shd w:val="clear"/>
              </w:rPr>
              <w:t>企业资质等级</w:t>
            </w:r>
          </w:p>
        </w:tc>
        <w:tc>
          <w:tcPr>
            <w:tcW w:w="1933" w:type="dxa"/>
            <w:gridSpan w:val="2"/>
            <w:tcBorders>
              <w:top w:val="single" w:color="000000" w:sz="4" w:space="0"/>
              <w:left w:val="single" w:color="000000" w:sz="4" w:space="0"/>
              <w:bottom w:val="single" w:color="000000" w:sz="4" w:space="0"/>
              <w:right w:val="single" w:color="000000" w:sz="4" w:space="0"/>
            </w:tcBorders>
            <w:vAlign w:val="center"/>
          </w:tcPr>
          <w:p w14:paraId="6990F301">
            <w:pPr>
              <w:pStyle w:val="29"/>
              <w:rPr>
                <w:rFonts w:ascii="Times New Roman" w:hAnsi="Times New Roman"/>
                <w:color w:val="auto"/>
                <w:highlight w:val="none"/>
                <w:shd w:val="clear"/>
              </w:rPr>
            </w:pP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14:paraId="78C763BF">
            <w:pPr>
              <w:pStyle w:val="29"/>
              <w:rPr>
                <w:rFonts w:ascii="Times New Roman" w:hAnsi="Times New Roman"/>
                <w:color w:val="auto"/>
                <w:highlight w:val="none"/>
                <w:shd w:val="clear"/>
              </w:rPr>
            </w:pPr>
            <w:r>
              <w:rPr>
                <w:rFonts w:hint="eastAsia" w:ascii="Times New Roman" w:hAnsi="Times New Roman"/>
                <w:color w:val="auto"/>
                <w:highlight w:val="none"/>
                <w:shd w:val="clear"/>
              </w:rPr>
              <w:t>其中</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144A964B">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项目经理（或注册建造师）</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0C74711F">
            <w:pPr>
              <w:pStyle w:val="29"/>
              <w:rPr>
                <w:rFonts w:ascii="Times New Roman" w:hAnsi="Times New Roman"/>
                <w:color w:val="auto"/>
                <w:highlight w:val="none"/>
                <w:shd w:val="clear"/>
              </w:rPr>
            </w:pPr>
          </w:p>
        </w:tc>
      </w:tr>
      <w:tr w14:paraId="2D1DF71F">
        <w:tblPrEx>
          <w:tblCellMar>
            <w:top w:w="0" w:type="dxa"/>
            <w:left w:w="0" w:type="dxa"/>
            <w:bottom w:w="0" w:type="dxa"/>
            <w:right w:w="0" w:type="dxa"/>
          </w:tblCellMar>
        </w:tblPrEx>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14D24DA2">
            <w:pPr>
              <w:pStyle w:val="29"/>
              <w:rPr>
                <w:rFonts w:ascii="Times New Roman" w:hAnsi="Times New Roman"/>
                <w:color w:val="auto"/>
                <w:highlight w:val="none"/>
                <w:shd w:val="clear"/>
              </w:rPr>
            </w:pPr>
            <w:r>
              <w:rPr>
                <w:rFonts w:hint="eastAsia" w:ascii="Times New Roman" w:hAnsi="Times New Roman"/>
                <w:color w:val="auto"/>
                <w:highlight w:val="none"/>
                <w:shd w:val="clear"/>
              </w:rPr>
              <w:t>统一社会信用代码</w:t>
            </w:r>
          </w:p>
        </w:tc>
        <w:tc>
          <w:tcPr>
            <w:tcW w:w="1933" w:type="dxa"/>
            <w:gridSpan w:val="2"/>
            <w:tcBorders>
              <w:top w:val="single" w:color="000000" w:sz="4" w:space="0"/>
              <w:left w:val="single" w:color="000000" w:sz="4" w:space="0"/>
              <w:bottom w:val="single" w:color="000000" w:sz="4" w:space="0"/>
              <w:right w:val="single" w:color="000000" w:sz="4" w:space="0"/>
            </w:tcBorders>
            <w:vAlign w:val="center"/>
          </w:tcPr>
          <w:p w14:paraId="62F8F3B3">
            <w:pPr>
              <w:pStyle w:val="29"/>
              <w:rPr>
                <w:rFonts w:ascii="Times New Roman" w:hAnsi="Times New Roman"/>
                <w:color w:val="auto"/>
                <w:highlight w:val="none"/>
                <w:shd w:val="clear"/>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03AA0E8B">
            <w:pPr>
              <w:pStyle w:val="29"/>
              <w:rPr>
                <w:rFonts w:ascii="Times New Roman" w:hAnsi="Times New Roman"/>
                <w:color w:val="auto"/>
                <w:highlight w:val="none"/>
                <w:shd w:val="clear"/>
              </w:rPr>
            </w:pP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2DFCAF48">
            <w:pPr>
              <w:pStyle w:val="29"/>
              <w:rPr>
                <w:rFonts w:ascii="Times New Roman" w:hAnsi="Times New Roman"/>
                <w:color w:val="auto"/>
                <w:highlight w:val="none"/>
                <w:shd w:val="clear"/>
              </w:rPr>
            </w:pPr>
            <w:r>
              <w:rPr>
                <w:rFonts w:hint="eastAsia" w:ascii="Times New Roman" w:hAnsi="Times New Roman"/>
                <w:color w:val="auto"/>
                <w:highlight w:val="none"/>
                <w:shd w:val="clear"/>
              </w:rPr>
              <w:t>高级职称人员</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51DD2D41">
            <w:pPr>
              <w:pStyle w:val="29"/>
              <w:rPr>
                <w:rFonts w:ascii="Times New Roman" w:hAnsi="Times New Roman"/>
                <w:color w:val="auto"/>
                <w:highlight w:val="none"/>
                <w:shd w:val="clear"/>
              </w:rPr>
            </w:pPr>
          </w:p>
        </w:tc>
      </w:tr>
      <w:tr w14:paraId="143131CE">
        <w:tblPrEx>
          <w:tblCellMar>
            <w:top w:w="0" w:type="dxa"/>
            <w:left w:w="0" w:type="dxa"/>
            <w:bottom w:w="0" w:type="dxa"/>
            <w:right w:w="0" w:type="dxa"/>
          </w:tblCellMar>
        </w:tblPrEx>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719E384D">
            <w:pPr>
              <w:pStyle w:val="29"/>
              <w:rPr>
                <w:rFonts w:ascii="Times New Roman" w:hAnsi="Times New Roman"/>
                <w:color w:val="auto"/>
                <w:highlight w:val="none"/>
                <w:shd w:val="clear"/>
              </w:rPr>
            </w:pPr>
            <w:r>
              <w:rPr>
                <w:rFonts w:hint="eastAsia" w:ascii="Times New Roman" w:hAnsi="Times New Roman"/>
                <w:color w:val="auto"/>
                <w:highlight w:val="none"/>
                <w:shd w:val="clear"/>
              </w:rPr>
              <w:t>注册资本</w:t>
            </w:r>
          </w:p>
        </w:tc>
        <w:tc>
          <w:tcPr>
            <w:tcW w:w="1933" w:type="dxa"/>
            <w:gridSpan w:val="2"/>
            <w:tcBorders>
              <w:top w:val="single" w:color="000000" w:sz="4" w:space="0"/>
              <w:left w:val="single" w:color="000000" w:sz="4" w:space="0"/>
              <w:bottom w:val="single" w:color="000000" w:sz="4" w:space="0"/>
              <w:right w:val="single" w:color="000000" w:sz="4" w:space="0"/>
            </w:tcBorders>
            <w:vAlign w:val="center"/>
          </w:tcPr>
          <w:p w14:paraId="5DE2CC38">
            <w:pPr>
              <w:pStyle w:val="29"/>
              <w:rPr>
                <w:rFonts w:ascii="Times New Roman" w:hAnsi="Times New Roman"/>
                <w:color w:val="auto"/>
                <w:highlight w:val="none"/>
                <w:shd w:val="clear"/>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60C1700F">
            <w:pPr>
              <w:pStyle w:val="29"/>
              <w:rPr>
                <w:rFonts w:ascii="Times New Roman" w:hAnsi="Times New Roman"/>
                <w:color w:val="auto"/>
                <w:highlight w:val="none"/>
                <w:shd w:val="clear"/>
              </w:rPr>
            </w:pP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77F4E8FB">
            <w:pPr>
              <w:pStyle w:val="29"/>
              <w:rPr>
                <w:rFonts w:ascii="Times New Roman" w:hAnsi="Times New Roman"/>
                <w:color w:val="auto"/>
                <w:highlight w:val="none"/>
                <w:shd w:val="clear"/>
              </w:rPr>
            </w:pPr>
            <w:r>
              <w:rPr>
                <w:rFonts w:hint="eastAsia" w:ascii="Times New Roman" w:hAnsi="Times New Roman"/>
                <w:color w:val="auto"/>
                <w:highlight w:val="none"/>
                <w:shd w:val="clear"/>
              </w:rPr>
              <w:t>中级职称人员</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099AD6DA">
            <w:pPr>
              <w:pStyle w:val="29"/>
              <w:rPr>
                <w:rFonts w:ascii="Times New Roman" w:hAnsi="Times New Roman"/>
                <w:color w:val="auto"/>
                <w:highlight w:val="none"/>
                <w:shd w:val="clear"/>
              </w:rPr>
            </w:pPr>
          </w:p>
        </w:tc>
      </w:tr>
      <w:tr w14:paraId="16252079">
        <w:tblPrEx>
          <w:tblCellMar>
            <w:top w:w="0" w:type="dxa"/>
            <w:left w:w="0" w:type="dxa"/>
            <w:bottom w:w="0" w:type="dxa"/>
            <w:right w:w="0" w:type="dxa"/>
          </w:tblCellMar>
        </w:tblPrEx>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3E505FB0">
            <w:pPr>
              <w:pStyle w:val="29"/>
              <w:rPr>
                <w:rFonts w:ascii="Times New Roman" w:hAnsi="Times New Roman"/>
                <w:color w:val="auto"/>
                <w:highlight w:val="none"/>
                <w:shd w:val="clear"/>
              </w:rPr>
            </w:pPr>
            <w:r>
              <w:rPr>
                <w:rFonts w:hint="eastAsia" w:ascii="Times New Roman" w:hAnsi="Times New Roman"/>
                <w:color w:val="auto"/>
                <w:highlight w:val="none"/>
                <w:shd w:val="clear"/>
              </w:rPr>
              <w:t>基本账户开户银行</w:t>
            </w:r>
          </w:p>
        </w:tc>
        <w:tc>
          <w:tcPr>
            <w:tcW w:w="1933" w:type="dxa"/>
            <w:gridSpan w:val="2"/>
            <w:tcBorders>
              <w:top w:val="single" w:color="000000" w:sz="4" w:space="0"/>
              <w:left w:val="single" w:color="000000" w:sz="4" w:space="0"/>
              <w:bottom w:val="single" w:color="000000" w:sz="4" w:space="0"/>
              <w:right w:val="single" w:color="000000" w:sz="4" w:space="0"/>
            </w:tcBorders>
            <w:vAlign w:val="center"/>
          </w:tcPr>
          <w:p w14:paraId="2C73B117">
            <w:pPr>
              <w:pStyle w:val="29"/>
              <w:rPr>
                <w:rFonts w:ascii="Times New Roman" w:hAnsi="Times New Roman"/>
                <w:color w:val="auto"/>
                <w:highlight w:val="none"/>
                <w:shd w:val="clear"/>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6D5D8423">
            <w:pPr>
              <w:pStyle w:val="29"/>
              <w:rPr>
                <w:rFonts w:ascii="Times New Roman" w:hAnsi="Times New Roman"/>
                <w:color w:val="auto"/>
                <w:highlight w:val="none"/>
                <w:shd w:val="clear"/>
              </w:rPr>
            </w:pP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37A3292D">
            <w:pPr>
              <w:pStyle w:val="29"/>
              <w:rPr>
                <w:rFonts w:ascii="Times New Roman" w:hAnsi="Times New Roman"/>
                <w:color w:val="auto"/>
                <w:highlight w:val="none"/>
                <w:shd w:val="clear"/>
              </w:rPr>
            </w:pPr>
            <w:r>
              <w:rPr>
                <w:rFonts w:hint="eastAsia" w:ascii="Times New Roman" w:hAnsi="Times New Roman"/>
                <w:color w:val="auto"/>
                <w:highlight w:val="none"/>
                <w:shd w:val="clear"/>
              </w:rPr>
              <w:t>初级职称人员</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096F83EF">
            <w:pPr>
              <w:pStyle w:val="29"/>
              <w:rPr>
                <w:rFonts w:ascii="Times New Roman" w:hAnsi="Times New Roman"/>
                <w:color w:val="auto"/>
                <w:highlight w:val="none"/>
                <w:shd w:val="clear"/>
              </w:rPr>
            </w:pPr>
          </w:p>
        </w:tc>
      </w:tr>
      <w:tr w14:paraId="333A0D6C">
        <w:tblPrEx>
          <w:tblCellMar>
            <w:top w:w="0" w:type="dxa"/>
            <w:left w:w="0" w:type="dxa"/>
            <w:bottom w:w="0" w:type="dxa"/>
            <w:right w:w="0" w:type="dxa"/>
          </w:tblCellMar>
        </w:tblPrEx>
        <w:trPr>
          <w:trHeight w:val="574" w:hRule="atLeast"/>
        </w:trPr>
        <w:tc>
          <w:tcPr>
            <w:tcW w:w="1807" w:type="dxa"/>
            <w:tcBorders>
              <w:top w:val="single" w:color="000000" w:sz="4" w:space="0"/>
              <w:left w:val="single" w:color="000000" w:sz="4" w:space="0"/>
              <w:bottom w:val="single" w:color="000000" w:sz="4" w:space="0"/>
              <w:right w:val="single" w:color="000000" w:sz="4" w:space="0"/>
            </w:tcBorders>
            <w:vAlign w:val="center"/>
          </w:tcPr>
          <w:p w14:paraId="295B81B9">
            <w:pPr>
              <w:pStyle w:val="29"/>
              <w:rPr>
                <w:rFonts w:ascii="Times New Roman" w:hAnsi="Times New Roman"/>
                <w:color w:val="auto"/>
                <w:highlight w:val="none"/>
                <w:shd w:val="clear"/>
              </w:rPr>
            </w:pPr>
            <w:r>
              <w:rPr>
                <w:rFonts w:hint="eastAsia" w:ascii="Times New Roman" w:hAnsi="Times New Roman"/>
                <w:color w:val="auto"/>
                <w:highlight w:val="none"/>
                <w:shd w:val="clear"/>
              </w:rPr>
              <w:t>基本账户银行账号</w:t>
            </w:r>
          </w:p>
        </w:tc>
        <w:tc>
          <w:tcPr>
            <w:tcW w:w="1933" w:type="dxa"/>
            <w:gridSpan w:val="2"/>
            <w:tcBorders>
              <w:top w:val="single" w:color="000000" w:sz="4" w:space="0"/>
              <w:left w:val="single" w:color="000000" w:sz="4" w:space="0"/>
              <w:bottom w:val="single" w:color="000000" w:sz="4" w:space="0"/>
              <w:right w:val="single" w:color="000000" w:sz="4" w:space="0"/>
            </w:tcBorders>
            <w:vAlign w:val="center"/>
          </w:tcPr>
          <w:p w14:paraId="368C5FCA">
            <w:pPr>
              <w:pStyle w:val="29"/>
              <w:rPr>
                <w:rFonts w:ascii="Times New Roman" w:hAnsi="Times New Roman"/>
                <w:color w:val="auto"/>
                <w:highlight w:val="none"/>
                <w:shd w:val="clear"/>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42438A18">
            <w:pPr>
              <w:pStyle w:val="29"/>
              <w:rPr>
                <w:rFonts w:ascii="Times New Roman" w:hAnsi="Times New Roman"/>
                <w:color w:val="auto"/>
                <w:highlight w:val="none"/>
                <w:shd w:val="clear"/>
              </w:rPr>
            </w:pP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14:paraId="3415A006">
            <w:pPr>
              <w:pStyle w:val="29"/>
              <w:rPr>
                <w:rFonts w:ascii="Times New Roman" w:hAnsi="Times New Roman"/>
                <w:color w:val="auto"/>
                <w:highlight w:val="none"/>
                <w:shd w:val="clear"/>
              </w:rPr>
            </w:pPr>
            <w:r>
              <w:rPr>
                <w:rFonts w:hint="eastAsia" w:ascii="Times New Roman" w:hAnsi="Times New Roman"/>
                <w:color w:val="auto"/>
                <w:highlight w:val="none"/>
                <w:shd w:val="clear"/>
              </w:rPr>
              <w:t>技        工</w:t>
            </w:r>
          </w:p>
        </w:tc>
        <w:tc>
          <w:tcPr>
            <w:tcW w:w="2443" w:type="dxa"/>
            <w:gridSpan w:val="2"/>
            <w:tcBorders>
              <w:top w:val="single" w:color="000000" w:sz="4" w:space="0"/>
              <w:left w:val="single" w:color="000000" w:sz="4" w:space="0"/>
              <w:bottom w:val="single" w:color="000000" w:sz="4" w:space="0"/>
              <w:right w:val="single" w:color="000000" w:sz="4" w:space="0"/>
            </w:tcBorders>
            <w:vAlign w:val="center"/>
          </w:tcPr>
          <w:p w14:paraId="3CA8CFD6">
            <w:pPr>
              <w:pStyle w:val="29"/>
              <w:rPr>
                <w:rFonts w:ascii="Times New Roman" w:hAnsi="Times New Roman"/>
                <w:color w:val="auto"/>
                <w:highlight w:val="none"/>
                <w:shd w:val="clear"/>
              </w:rPr>
            </w:pPr>
          </w:p>
        </w:tc>
      </w:tr>
      <w:tr w14:paraId="7BBF7E13">
        <w:trPr>
          <w:trHeight w:val="1279" w:hRule="atLeast"/>
        </w:trPr>
        <w:tc>
          <w:tcPr>
            <w:tcW w:w="1807" w:type="dxa"/>
            <w:tcBorders>
              <w:top w:val="single" w:color="000000" w:sz="4" w:space="0"/>
              <w:left w:val="single" w:color="000000" w:sz="4" w:space="0"/>
              <w:bottom w:val="single" w:color="auto" w:sz="4" w:space="0"/>
              <w:right w:val="single" w:color="000000" w:sz="4" w:space="0"/>
            </w:tcBorders>
            <w:vAlign w:val="center"/>
          </w:tcPr>
          <w:p w14:paraId="5521C96A">
            <w:pPr>
              <w:pStyle w:val="29"/>
              <w:rPr>
                <w:rFonts w:ascii="Times New Roman" w:hAnsi="Times New Roman"/>
                <w:color w:val="auto"/>
                <w:highlight w:val="none"/>
                <w:shd w:val="clear"/>
              </w:rPr>
            </w:pPr>
            <w:r>
              <w:rPr>
                <w:rFonts w:hint="eastAsia" w:ascii="Times New Roman" w:hAnsi="Times New Roman"/>
                <w:color w:val="auto"/>
                <w:highlight w:val="none"/>
                <w:shd w:val="clear"/>
              </w:rPr>
              <w:t>经营范围</w:t>
            </w:r>
          </w:p>
        </w:tc>
        <w:tc>
          <w:tcPr>
            <w:tcW w:w="7152" w:type="dxa"/>
            <w:gridSpan w:val="7"/>
            <w:tcBorders>
              <w:top w:val="single" w:color="000000" w:sz="4" w:space="0"/>
              <w:left w:val="single" w:color="000000" w:sz="4" w:space="0"/>
              <w:bottom w:val="single" w:color="auto" w:sz="4" w:space="0"/>
              <w:right w:val="single" w:color="000000" w:sz="4" w:space="0"/>
            </w:tcBorders>
            <w:vAlign w:val="center"/>
          </w:tcPr>
          <w:p w14:paraId="0C38D7E7">
            <w:pPr>
              <w:pStyle w:val="30"/>
              <w:rPr>
                <w:rFonts w:ascii="Times New Roman" w:hAnsi="Times New Roman"/>
                <w:color w:val="auto"/>
                <w:highlight w:val="none"/>
                <w:shd w:val="clear"/>
              </w:rPr>
            </w:pPr>
          </w:p>
        </w:tc>
      </w:tr>
      <w:tr w14:paraId="1904D782">
        <w:trPr>
          <w:trHeight w:val="2516" w:hRule="atLeast"/>
        </w:trPr>
        <w:tc>
          <w:tcPr>
            <w:tcW w:w="1807" w:type="dxa"/>
            <w:tcBorders>
              <w:top w:val="single" w:color="000000" w:sz="4" w:space="0"/>
              <w:left w:val="single" w:color="000000" w:sz="4" w:space="0"/>
              <w:bottom w:val="single" w:color="auto" w:sz="4" w:space="0"/>
              <w:right w:val="single" w:color="000000" w:sz="4" w:space="0"/>
            </w:tcBorders>
            <w:vAlign w:val="center"/>
          </w:tcPr>
          <w:p w14:paraId="7C5491D7">
            <w:pPr>
              <w:pStyle w:val="29"/>
              <w:rPr>
                <w:rFonts w:ascii="Times New Roman" w:hAnsi="Times New Roman"/>
                <w:color w:val="auto"/>
                <w:highlight w:val="none"/>
                <w:shd w:val="clear"/>
              </w:rPr>
            </w:pPr>
            <w:r>
              <w:rPr>
                <w:rFonts w:hint="eastAsia" w:ascii="Times New Roman" w:hAnsi="Times New Roman"/>
                <w:color w:val="auto"/>
                <w:highlight w:val="none"/>
                <w:shd w:val="clear"/>
              </w:rPr>
              <w:t>投标人关联</w:t>
            </w:r>
          </w:p>
          <w:p w14:paraId="536BD785">
            <w:pPr>
              <w:pStyle w:val="29"/>
              <w:rPr>
                <w:rFonts w:ascii="Times New Roman" w:hAnsi="Times New Roman"/>
                <w:color w:val="auto"/>
                <w:highlight w:val="none"/>
                <w:shd w:val="clear"/>
              </w:rPr>
            </w:pPr>
            <w:r>
              <w:rPr>
                <w:rFonts w:hint="eastAsia" w:ascii="Times New Roman" w:hAnsi="Times New Roman"/>
                <w:color w:val="auto"/>
                <w:highlight w:val="none"/>
                <w:shd w:val="clear"/>
              </w:rPr>
              <w:t>企业情况</w:t>
            </w:r>
          </w:p>
        </w:tc>
        <w:tc>
          <w:tcPr>
            <w:tcW w:w="7152" w:type="dxa"/>
            <w:gridSpan w:val="7"/>
            <w:tcBorders>
              <w:top w:val="single" w:color="000000" w:sz="4" w:space="0"/>
              <w:left w:val="single" w:color="000000" w:sz="4" w:space="0"/>
              <w:bottom w:val="single" w:color="auto" w:sz="4" w:space="0"/>
              <w:right w:val="single" w:color="000000" w:sz="4" w:space="0"/>
            </w:tcBorders>
            <w:vAlign w:val="center"/>
          </w:tcPr>
          <w:p w14:paraId="6B37F13D">
            <w:pPr>
              <w:pStyle w:val="30"/>
              <w:rPr>
                <w:rFonts w:ascii="Times New Roman" w:hAnsi="Times New Roman"/>
                <w:color w:val="auto"/>
                <w:highlight w:val="none"/>
                <w:shd w:val="clear"/>
              </w:rPr>
            </w:pPr>
            <w:r>
              <w:rPr>
                <w:rFonts w:hint="eastAsia" w:ascii="Times New Roman" w:hAnsi="Times New Roman"/>
                <w:color w:val="auto"/>
                <w:highlight w:val="none"/>
                <w:shd w:val="clear"/>
              </w:rPr>
              <w:t>投标人应提供关联企业情况，包括：</w:t>
            </w:r>
          </w:p>
          <w:p w14:paraId="5C2EAEE3">
            <w:pPr>
              <w:pStyle w:val="30"/>
              <w:rPr>
                <w:rFonts w:ascii="Times New Roman" w:hAnsi="Times New Roman"/>
                <w:color w:val="auto"/>
                <w:highlight w:val="none"/>
                <w:shd w:val="clear"/>
              </w:rPr>
            </w:pPr>
            <w:r>
              <w:rPr>
                <w:rFonts w:hint="eastAsia" w:ascii="Times New Roman" w:hAnsi="Times New Roman"/>
                <w:color w:val="auto"/>
                <w:highlight w:val="none"/>
                <w:shd w:val="clear"/>
              </w:rPr>
              <w:t>（1）投标人的所有股东名称及相应股权（出资额）比例；如投标人为上市公司，投标人应提供股权占公司股份总数</w:t>
            </w:r>
            <w:r>
              <w:rPr>
                <w:rFonts w:ascii="Times New Roman" w:hAnsi="Times New Roman"/>
                <w:color w:val="auto"/>
                <w:highlight w:val="none"/>
                <w:u w:val="single"/>
                <w:shd w:val="clear"/>
              </w:rPr>
              <w:t>20</w:t>
            </w:r>
            <w:r>
              <w:rPr>
                <w:rFonts w:hint="eastAsia" w:ascii="Times New Roman" w:hAnsi="Times New Roman"/>
                <w:color w:val="auto"/>
                <w:highlight w:val="none"/>
                <w:shd w:val="clear"/>
              </w:rPr>
              <w:t>%以上的所有股东名称及相应股权比例；</w:t>
            </w:r>
          </w:p>
          <w:p w14:paraId="05F832E1">
            <w:pPr>
              <w:pStyle w:val="30"/>
              <w:rPr>
                <w:rFonts w:ascii="Times New Roman" w:hAnsi="Times New Roman"/>
                <w:color w:val="auto"/>
                <w:highlight w:val="none"/>
                <w:shd w:val="clear"/>
              </w:rPr>
            </w:pPr>
            <w:r>
              <w:rPr>
                <w:rFonts w:hint="eastAsia" w:ascii="Times New Roman" w:hAnsi="Times New Roman"/>
                <w:color w:val="auto"/>
                <w:highlight w:val="none"/>
                <w:shd w:val="clear"/>
              </w:rPr>
              <w:t>（2）投标人投资（控股）或管理的下属企业（单位）名称、持有股权（出资额）比例；</w:t>
            </w:r>
            <w:r>
              <w:rPr>
                <w:rFonts w:ascii="Times New Roman" w:hAnsi="Times New Roman"/>
                <w:color w:val="auto"/>
                <w:highlight w:val="none"/>
                <w:shd w:val="clear"/>
              </w:rPr>
              <w:t xml:space="preserve"> </w:t>
            </w:r>
          </w:p>
          <w:p w14:paraId="1DC4913F">
            <w:pPr>
              <w:pStyle w:val="30"/>
              <w:rPr>
                <w:rFonts w:ascii="Times New Roman" w:hAnsi="Times New Roman"/>
                <w:color w:val="auto"/>
                <w:highlight w:val="none"/>
                <w:shd w:val="clear"/>
              </w:rPr>
            </w:pPr>
            <w:r>
              <w:rPr>
                <w:rFonts w:hint="eastAsia" w:ascii="Times New Roman" w:hAnsi="Times New Roman"/>
                <w:color w:val="auto"/>
                <w:highlight w:val="none"/>
                <w:shd w:val="clear"/>
              </w:rPr>
              <w:t>（3）与投标人单位负责人（即法定代表人）为同一人的其他单位名称。</w:t>
            </w:r>
          </w:p>
        </w:tc>
      </w:tr>
      <w:tr w14:paraId="10EEAB0C">
        <w:tblPrEx>
          <w:tblCellMar>
            <w:top w:w="0" w:type="dxa"/>
            <w:left w:w="0" w:type="dxa"/>
            <w:bottom w:w="0" w:type="dxa"/>
            <w:right w:w="0" w:type="dxa"/>
          </w:tblCellMar>
        </w:tblPrEx>
        <w:trPr>
          <w:trHeight w:val="708" w:hRule="atLeast"/>
        </w:trPr>
        <w:tc>
          <w:tcPr>
            <w:tcW w:w="1807" w:type="dxa"/>
            <w:tcBorders>
              <w:top w:val="single" w:color="auto" w:sz="4" w:space="0"/>
              <w:left w:val="single" w:color="auto" w:sz="4" w:space="0"/>
              <w:bottom w:val="single" w:color="auto" w:sz="4" w:space="0"/>
              <w:right w:val="single" w:color="auto" w:sz="4" w:space="0"/>
            </w:tcBorders>
            <w:vAlign w:val="center"/>
          </w:tcPr>
          <w:p w14:paraId="69CC63DA">
            <w:pPr>
              <w:pStyle w:val="29"/>
              <w:rPr>
                <w:rFonts w:ascii="Times New Roman" w:hAnsi="Times New Roman"/>
                <w:color w:val="auto"/>
                <w:highlight w:val="none"/>
                <w:shd w:val="clear"/>
              </w:rPr>
            </w:pPr>
            <w:r>
              <w:rPr>
                <w:rFonts w:hint="eastAsia" w:ascii="Times New Roman" w:hAnsi="Times New Roman"/>
                <w:color w:val="auto"/>
                <w:highlight w:val="none"/>
                <w:shd w:val="clear"/>
              </w:rPr>
              <w:t>备注</w:t>
            </w:r>
          </w:p>
        </w:tc>
        <w:tc>
          <w:tcPr>
            <w:tcW w:w="7152" w:type="dxa"/>
            <w:gridSpan w:val="7"/>
            <w:tcBorders>
              <w:top w:val="single" w:color="auto" w:sz="4" w:space="0"/>
              <w:left w:val="single" w:color="auto" w:sz="4" w:space="0"/>
              <w:bottom w:val="single" w:color="auto" w:sz="4" w:space="0"/>
              <w:right w:val="single" w:color="auto" w:sz="4" w:space="0"/>
            </w:tcBorders>
            <w:vAlign w:val="center"/>
          </w:tcPr>
          <w:p w14:paraId="611F82ED">
            <w:pPr>
              <w:pStyle w:val="29"/>
              <w:rPr>
                <w:rFonts w:ascii="Times New Roman" w:hAnsi="Times New Roman"/>
                <w:color w:val="auto"/>
                <w:highlight w:val="none"/>
                <w:shd w:val="clear"/>
              </w:rPr>
            </w:pPr>
          </w:p>
        </w:tc>
      </w:tr>
      <w:bookmarkEnd w:id="2184"/>
      <w:bookmarkEnd w:id="2185"/>
    </w:tbl>
    <w:p w14:paraId="2F24A2E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注：投标人应根据招标文件第二章“投标人须知”前附表附录1的要求在本表后附资质证书、安全生产许可证、营业执照等材料。接受联合体的，联合体成员分别填写。</w:t>
      </w:r>
    </w:p>
    <w:p w14:paraId="2B89826F">
      <w:pPr>
        <w:rPr>
          <w:rFonts w:ascii="Times New Roman" w:hAnsi="Times New Roman"/>
          <w:color w:val="auto"/>
          <w:highlight w:val="none"/>
          <w:shd w:val="clear"/>
        </w:rPr>
      </w:pPr>
    </w:p>
    <w:p w14:paraId="555D96FE">
      <w:pPr>
        <w:pStyle w:val="20"/>
        <w:rPr>
          <w:rFonts w:ascii="Times New Roman" w:hAnsi="Times New Roman"/>
          <w:color w:val="auto"/>
          <w:highlight w:val="none"/>
          <w:shd w:val="clear"/>
        </w:rPr>
      </w:pPr>
      <w:bookmarkStart w:id="2186" w:name="_Toc170805789"/>
      <w:bookmarkStart w:id="2187" w:name="_Toc170804221"/>
      <w:bookmarkStart w:id="2188" w:name="_Toc170805409"/>
      <w:bookmarkStart w:id="2189" w:name="_Toc535241133"/>
      <w:bookmarkStart w:id="2190" w:name="_Toc535241230"/>
      <w:bookmarkStart w:id="2191" w:name="_Toc535241087"/>
      <w:r>
        <w:rPr>
          <w:rFonts w:ascii="Times New Roman" w:hAnsi="Times New Roman"/>
          <w:color w:val="auto"/>
          <w:highlight w:val="none"/>
          <w:shd w:val="clear"/>
        </w:rPr>
        <w:t>(二）</w:t>
      </w:r>
      <w:r>
        <w:rPr>
          <w:rFonts w:ascii="Times New Roman" w:hAnsi="Times New Roman"/>
          <w:color w:val="auto"/>
          <w:highlight w:val="none"/>
          <w:shd w:val="clear"/>
          <w:lang w:val="zh-CN"/>
        </w:rPr>
        <w:t>近年财务状况</w:t>
      </w:r>
      <w:bookmarkEnd w:id="2186"/>
      <w:bookmarkEnd w:id="2187"/>
      <w:bookmarkEnd w:id="2188"/>
      <w:r>
        <w:rPr>
          <w:rFonts w:hint="eastAsia" w:ascii="Times New Roman" w:hAnsi="Times New Roman"/>
          <w:color w:val="auto"/>
          <w:highlight w:val="none"/>
          <w:shd w:val="clear"/>
        </w:rPr>
        <w:t>（如要求）</w:t>
      </w:r>
    </w:p>
    <w:p w14:paraId="027670BC">
      <w:pPr>
        <w:wordWrap w:val="0"/>
        <w:topLinePunct/>
        <w:spacing w:line="400" w:lineRule="exact"/>
        <w:ind w:firstLine="560" w:firstLineChars="200"/>
        <w:jc w:val="left"/>
        <w:rPr>
          <w:rFonts w:ascii="Times New Roman" w:hAnsi="Times New Roman" w:eastAsia="黑体"/>
          <w:color w:val="auto"/>
          <w:sz w:val="28"/>
          <w:szCs w:val="28"/>
          <w:highlight w:val="none"/>
          <w:shd w:val="clear"/>
        </w:rPr>
      </w:pPr>
    </w:p>
    <w:p w14:paraId="14CF835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投标人应根据招标文件第二章“投标人须知”前附表附录2的要求附相关证明材料。</w:t>
      </w:r>
    </w:p>
    <w:p w14:paraId="77EE4612">
      <w:pPr>
        <w:pStyle w:val="20"/>
        <w:rPr>
          <w:rFonts w:ascii="Times New Roman" w:hAnsi="Times New Roman"/>
          <w:color w:val="auto"/>
          <w:highlight w:val="none"/>
          <w:shd w:val="clear"/>
        </w:rPr>
      </w:pPr>
      <w:r>
        <w:rPr>
          <w:rFonts w:ascii="Times New Roman" w:hAnsi="Times New Roman"/>
          <w:color w:val="auto"/>
          <w:highlight w:val="none"/>
          <w:shd w:val="clear"/>
        </w:rPr>
        <w:br w:type="page"/>
      </w:r>
    </w:p>
    <w:bookmarkEnd w:id="2189"/>
    <w:bookmarkEnd w:id="2190"/>
    <w:bookmarkEnd w:id="2191"/>
    <w:p w14:paraId="0B030A7E">
      <w:pPr>
        <w:pStyle w:val="20"/>
        <w:rPr>
          <w:rFonts w:ascii="Times New Roman" w:hAnsi="Times New Roman"/>
          <w:color w:val="auto"/>
          <w:highlight w:val="none"/>
          <w:shd w:val="clear"/>
        </w:rPr>
      </w:pPr>
      <w:bookmarkStart w:id="2192" w:name="_Toc170805411"/>
      <w:bookmarkStart w:id="2193" w:name="_Toc170804223"/>
      <w:bookmarkStart w:id="2194" w:name="_Toc170805791"/>
      <w:r>
        <w:rPr>
          <w:rFonts w:ascii="Times New Roman" w:hAnsi="Times New Roman"/>
          <w:color w:val="auto"/>
          <w:highlight w:val="none"/>
          <w:shd w:val="clear"/>
        </w:rPr>
        <w:t>（三）</w:t>
      </w:r>
      <w:r>
        <w:rPr>
          <w:rFonts w:hint="eastAsia" w:ascii="Times New Roman" w:hAnsi="Times New Roman"/>
          <w:color w:val="auto"/>
          <w:highlight w:val="none"/>
          <w:shd w:val="clear"/>
        </w:rPr>
        <w:t>投标人业绩情况表（资格审查）</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6328"/>
        <w:gridCol w:w="1249"/>
      </w:tblGrid>
      <w:tr w14:paraId="7CCD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0EB63142">
            <w:pPr>
              <w:pStyle w:val="28"/>
              <w:rPr>
                <w:rFonts w:ascii="Times New Roman" w:hAnsi="Times New Roman"/>
                <w:color w:val="auto"/>
                <w:highlight w:val="none"/>
                <w:shd w:val="clear"/>
              </w:rPr>
            </w:pPr>
            <w:r>
              <w:rPr>
                <w:rFonts w:hint="eastAsia" w:ascii="Times New Roman" w:hAnsi="Times New Roman"/>
                <w:color w:val="auto"/>
                <w:highlight w:val="none"/>
                <w:shd w:val="clear"/>
              </w:rPr>
              <w:t>业绩序号</w:t>
            </w:r>
          </w:p>
        </w:tc>
        <w:tc>
          <w:tcPr>
            <w:tcW w:w="3449" w:type="pct"/>
            <w:vAlign w:val="center"/>
          </w:tcPr>
          <w:p w14:paraId="7E8C6E44">
            <w:pPr>
              <w:pStyle w:val="28"/>
              <w:rPr>
                <w:rFonts w:ascii="Times New Roman" w:hAnsi="Times New Roman"/>
                <w:color w:val="auto"/>
                <w:highlight w:val="none"/>
                <w:shd w:val="clear"/>
              </w:rPr>
            </w:pPr>
            <w:r>
              <w:rPr>
                <w:rFonts w:hint="eastAsia" w:ascii="Times New Roman" w:hAnsi="Times New Roman"/>
                <w:color w:val="auto"/>
                <w:highlight w:val="none"/>
                <w:shd w:val="clear"/>
              </w:rPr>
              <w:t>项目</w:t>
            </w:r>
            <w:r>
              <w:rPr>
                <w:rFonts w:ascii="Times New Roman" w:hAnsi="Times New Roman"/>
                <w:color w:val="auto"/>
                <w:highlight w:val="none"/>
                <w:shd w:val="clear"/>
              </w:rPr>
              <w:t>名称</w:t>
            </w:r>
            <w:r>
              <w:rPr>
                <w:rFonts w:hint="eastAsia" w:ascii="Times New Roman" w:hAnsi="Times New Roman"/>
                <w:color w:val="auto"/>
                <w:highlight w:val="none"/>
                <w:shd w:val="clear"/>
              </w:rPr>
              <w:t>（合同名称）</w:t>
            </w:r>
          </w:p>
        </w:tc>
        <w:tc>
          <w:tcPr>
            <w:tcW w:w="681" w:type="pct"/>
            <w:vAlign w:val="center"/>
          </w:tcPr>
          <w:p w14:paraId="6C6F16DE">
            <w:pPr>
              <w:pStyle w:val="28"/>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2D3C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6911BC5F">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3449" w:type="pct"/>
            <w:vAlign w:val="center"/>
          </w:tcPr>
          <w:p w14:paraId="68747C93">
            <w:pPr>
              <w:spacing w:line="360" w:lineRule="auto"/>
              <w:jc w:val="center"/>
              <w:rPr>
                <w:rFonts w:ascii="Times New Roman" w:hAnsi="Times New Roman"/>
                <w:color w:val="auto"/>
                <w:sz w:val="24"/>
                <w:szCs w:val="24"/>
                <w:highlight w:val="none"/>
                <w:shd w:val="clear"/>
              </w:rPr>
            </w:pPr>
          </w:p>
        </w:tc>
        <w:tc>
          <w:tcPr>
            <w:tcW w:w="681" w:type="pct"/>
            <w:vAlign w:val="center"/>
          </w:tcPr>
          <w:p w14:paraId="57DBFB1A">
            <w:pPr>
              <w:spacing w:line="360" w:lineRule="auto"/>
              <w:jc w:val="center"/>
              <w:rPr>
                <w:rFonts w:ascii="Times New Roman" w:hAnsi="Times New Roman"/>
                <w:color w:val="auto"/>
                <w:sz w:val="24"/>
                <w:szCs w:val="24"/>
                <w:highlight w:val="none"/>
                <w:shd w:val="clear"/>
              </w:rPr>
            </w:pPr>
          </w:p>
        </w:tc>
      </w:tr>
      <w:tr w14:paraId="063A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17CD1E54">
            <w:pPr>
              <w:pStyle w:val="29"/>
              <w:rPr>
                <w:rFonts w:ascii="Times New Roman" w:hAnsi="Times New Roman"/>
                <w:color w:val="auto"/>
                <w:highlight w:val="none"/>
                <w:shd w:val="clear"/>
              </w:rPr>
            </w:pPr>
            <w:r>
              <w:rPr>
                <w:rFonts w:ascii="Times New Roman" w:hAnsi="Times New Roman"/>
                <w:color w:val="auto"/>
                <w:highlight w:val="none"/>
                <w:shd w:val="clear"/>
              </w:rPr>
              <w:t>2</w:t>
            </w:r>
          </w:p>
        </w:tc>
        <w:tc>
          <w:tcPr>
            <w:tcW w:w="3449" w:type="pct"/>
            <w:vAlign w:val="center"/>
          </w:tcPr>
          <w:p w14:paraId="33114353">
            <w:pPr>
              <w:spacing w:line="360" w:lineRule="auto"/>
              <w:jc w:val="center"/>
              <w:rPr>
                <w:rFonts w:ascii="Times New Roman" w:hAnsi="Times New Roman"/>
                <w:color w:val="auto"/>
                <w:sz w:val="24"/>
                <w:szCs w:val="24"/>
                <w:highlight w:val="none"/>
                <w:shd w:val="clear"/>
              </w:rPr>
            </w:pPr>
          </w:p>
        </w:tc>
        <w:tc>
          <w:tcPr>
            <w:tcW w:w="681" w:type="pct"/>
            <w:vAlign w:val="center"/>
          </w:tcPr>
          <w:p w14:paraId="38509394">
            <w:pPr>
              <w:spacing w:line="360" w:lineRule="auto"/>
              <w:jc w:val="center"/>
              <w:rPr>
                <w:rFonts w:ascii="Times New Roman" w:hAnsi="Times New Roman"/>
                <w:color w:val="auto"/>
                <w:sz w:val="24"/>
                <w:szCs w:val="24"/>
                <w:highlight w:val="none"/>
                <w:shd w:val="clear"/>
              </w:rPr>
            </w:pPr>
          </w:p>
        </w:tc>
      </w:tr>
      <w:tr w14:paraId="015E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0C446FE1">
            <w:pPr>
              <w:pStyle w:val="29"/>
              <w:rPr>
                <w:rFonts w:ascii="Times New Roman" w:hAnsi="Times New Roman"/>
                <w:color w:val="auto"/>
                <w:highlight w:val="none"/>
                <w:shd w:val="clear"/>
              </w:rPr>
            </w:pPr>
            <w:r>
              <w:rPr>
                <w:rFonts w:hint="eastAsia" w:ascii="Times New Roman" w:hAnsi="Times New Roman"/>
                <w:color w:val="auto"/>
                <w:highlight w:val="none"/>
                <w:shd w:val="clear"/>
              </w:rPr>
              <w:t>……</w:t>
            </w:r>
          </w:p>
        </w:tc>
        <w:tc>
          <w:tcPr>
            <w:tcW w:w="3449" w:type="pct"/>
            <w:vAlign w:val="center"/>
          </w:tcPr>
          <w:p w14:paraId="3884BC44">
            <w:pPr>
              <w:spacing w:line="360" w:lineRule="auto"/>
              <w:jc w:val="center"/>
              <w:rPr>
                <w:rFonts w:ascii="Times New Roman" w:hAnsi="Times New Roman"/>
                <w:color w:val="auto"/>
                <w:sz w:val="24"/>
                <w:szCs w:val="24"/>
                <w:highlight w:val="none"/>
                <w:shd w:val="clear"/>
              </w:rPr>
            </w:pPr>
          </w:p>
        </w:tc>
        <w:tc>
          <w:tcPr>
            <w:tcW w:w="681" w:type="pct"/>
            <w:vAlign w:val="center"/>
          </w:tcPr>
          <w:p w14:paraId="57375904">
            <w:pPr>
              <w:spacing w:line="360" w:lineRule="auto"/>
              <w:jc w:val="center"/>
              <w:rPr>
                <w:rFonts w:ascii="Times New Roman" w:hAnsi="Times New Roman"/>
                <w:color w:val="auto"/>
                <w:sz w:val="24"/>
                <w:szCs w:val="24"/>
                <w:highlight w:val="none"/>
                <w:shd w:val="clear"/>
              </w:rPr>
            </w:pPr>
          </w:p>
        </w:tc>
      </w:tr>
    </w:tbl>
    <w:p w14:paraId="2AF4C567">
      <w:pPr>
        <w:pStyle w:val="20"/>
        <w:rPr>
          <w:rFonts w:ascii="Times New Roman" w:hAnsi="Times New Roman"/>
          <w:color w:val="auto"/>
          <w:highlight w:val="none"/>
          <w:shd w:val="clear"/>
        </w:rPr>
      </w:pPr>
    </w:p>
    <w:p w14:paraId="0B45DB03">
      <w:pPr>
        <w:widowControl/>
        <w:jc w:val="left"/>
        <w:rPr>
          <w:rFonts w:ascii="Times New Roman" w:hAnsi="Times New Roman" w:eastAsia="黑体" w:cs="仿宋"/>
          <w:snapToGrid w:val="0"/>
          <w:color w:val="auto"/>
          <w:sz w:val="28"/>
          <w:szCs w:val="28"/>
          <w:highlight w:val="none"/>
          <w:shd w:val="clear"/>
        </w:rPr>
      </w:pPr>
      <w:r>
        <w:rPr>
          <w:rFonts w:hint="eastAsia" w:ascii="Times New Roman" w:hAnsi="Times New Roman"/>
          <w:color w:val="auto"/>
          <w:highlight w:val="none"/>
          <w:shd w:val="clear"/>
        </w:rPr>
        <w:br w:type="page"/>
      </w:r>
    </w:p>
    <w:p w14:paraId="11EFB1DC">
      <w:pPr>
        <w:pStyle w:val="20"/>
        <w:rPr>
          <w:rFonts w:ascii="Times New Roman" w:hAnsi="Times New Roman"/>
          <w:color w:val="auto"/>
          <w:highlight w:val="none"/>
          <w:shd w:val="clear"/>
        </w:rPr>
      </w:pPr>
    </w:p>
    <w:bookmarkEnd w:id="2192"/>
    <w:bookmarkEnd w:id="2193"/>
    <w:bookmarkEnd w:id="2194"/>
    <w:p w14:paraId="338703C0">
      <w:pPr>
        <w:pStyle w:val="20"/>
        <w:rPr>
          <w:rFonts w:ascii="Times New Roman" w:hAnsi="Times New Roman"/>
          <w:color w:val="auto"/>
          <w:highlight w:val="none"/>
          <w:shd w:val="clear"/>
        </w:rPr>
      </w:pPr>
      <w:r>
        <w:rPr>
          <w:rFonts w:hint="eastAsia" w:ascii="Times New Roman" w:hAnsi="Times New Roman"/>
          <w:color w:val="auto"/>
          <w:highlight w:val="none"/>
          <w:shd w:val="clear"/>
        </w:rPr>
        <w:t>投标人业绩信息表（资格审查）</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019B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DA7AF22">
            <w:pPr>
              <w:pStyle w:val="29"/>
              <w:rPr>
                <w:rFonts w:ascii="Times New Roman" w:hAnsi="Times New Roman"/>
                <w:color w:val="auto"/>
                <w:highlight w:val="none"/>
                <w:shd w:val="clear"/>
              </w:rPr>
            </w:pPr>
            <w:r>
              <w:rPr>
                <w:rFonts w:hint="eastAsia" w:ascii="Times New Roman" w:hAnsi="Times New Roman"/>
                <w:color w:val="auto"/>
                <w:highlight w:val="none"/>
                <w:shd w:val="clear"/>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04F68D66">
            <w:pPr>
              <w:pStyle w:val="29"/>
              <w:rPr>
                <w:rFonts w:ascii="Times New Roman" w:hAnsi="Times New Roman"/>
                <w:color w:val="auto"/>
                <w:kern w:val="0"/>
                <w:highlight w:val="none"/>
                <w:shd w:val="clear"/>
              </w:rPr>
            </w:pPr>
          </w:p>
        </w:tc>
      </w:tr>
      <w:tr w14:paraId="4B40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67084F">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7AB6A0B4">
            <w:pPr>
              <w:pStyle w:val="29"/>
              <w:rPr>
                <w:rFonts w:ascii="Times New Roman" w:hAnsi="Times New Roman"/>
                <w:color w:val="auto"/>
                <w:kern w:val="0"/>
                <w:highlight w:val="none"/>
                <w:shd w:val="clear"/>
              </w:rPr>
            </w:pPr>
          </w:p>
        </w:tc>
      </w:tr>
      <w:tr w14:paraId="581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4791585">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643B75AB">
            <w:pPr>
              <w:pStyle w:val="29"/>
              <w:rPr>
                <w:rFonts w:ascii="Times New Roman" w:hAnsi="Times New Roman"/>
                <w:color w:val="auto"/>
                <w:kern w:val="0"/>
                <w:highlight w:val="none"/>
                <w:shd w:val="clear"/>
              </w:rPr>
            </w:pPr>
          </w:p>
        </w:tc>
      </w:tr>
      <w:tr w14:paraId="2EA9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1E978C4">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14:paraId="44CAAF06">
            <w:pPr>
              <w:pStyle w:val="29"/>
              <w:rPr>
                <w:rFonts w:ascii="Times New Roman" w:hAnsi="Times New Roman"/>
                <w:color w:val="auto"/>
                <w:kern w:val="0"/>
                <w:highlight w:val="none"/>
                <w:shd w:val="clear"/>
              </w:rPr>
            </w:pPr>
          </w:p>
        </w:tc>
      </w:tr>
      <w:tr w14:paraId="51A6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2BD0327">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14:paraId="182EACC3">
            <w:pPr>
              <w:pStyle w:val="29"/>
              <w:rPr>
                <w:rFonts w:ascii="Times New Roman" w:hAnsi="Times New Roman"/>
                <w:color w:val="auto"/>
                <w:kern w:val="0"/>
                <w:highlight w:val="none"/>
                <w:shd w:val="clear"/>
              </w:rPr>
            </w:pPr>
          </w:p>
        </w:tc>
      </w:tr>
      <w:tr w14:paraId="3FC9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9C2E8A9">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14:paraId="45649C32">
            <w:pPr>
              <w:pStyle w:val="29"/>
              <w:rPr>
                <w:rFonts w:ascii="Times New Roman" w:hAnsi="Times New Roman"/>
                <w:color w:val="auto"/>
                <w:kern w:val="0"/>
                <w:highlight w:val="none"/>
                <w:shd w:val="clear"/>
              </w:rPr>
            </w:pPr>
          </w:p>
        </w:tc>
      </w:tr>
      <w:tr w14:paraId="120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F0FDC00">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3E77B91A">
            <w:pPr>
              <w:pStyle w:val="29"/>
              <w:rPr>
                <w:rFonts w:ascii="Times New Roman" w:hAnsi="Times New Roman"/>
                <w:color w:val="auto"/>
                <w:kern w:val="0"/>
                <w:highlight w:val="none"/>
                <w:shd w:val="clear"/>
              </w:rPr>
            </w:pPr>
          </w:p>
        </w:tc>
      </w:tr>
      <w:tr w14:paraId="3847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954C45">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14:paraId="149BCE55">
            <w:pPr>
              <w:pStyle w:val="29"/>
              <w:rPr>
                <w:rFonts w:ascii="Times New Roman" w:hAnsi="Times New Roman"/>
                <w:color w:val="auto"/>
                <w:kern w:val="0"/>
                <w:highlight w:val="none"/>
                <w:shd w:val="clear"/>
              </w:rPr>
            </w:pPr>
          </w:p>
        </w:tc>
      </w:tr>
      <w:tr w14:paraId="71E7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2C192F4">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14:paraId="772F6FFB">
            <w:pPr>
              <w:pStyle w:val="29"/>
              <w:rPr>
                <w:rFonts w:ascii="Times New Roman" w:hAnsi="Times New Roman"/>
                <w:color w:val="auto"/>
                <w:kern w:val="0"/>
                <w:highlight w:val="none"/>
                <w:shd w:val="clear"/>
              </w:rPr>
            </w:pPr>
          </w:p>
        </w:tc>
      </w:tr>
      <w:tr w14:paraId="29AD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959FF28">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14:paraId="3C9E8DA7">
            <w:pPr>
              <w:pStyle w:val="29"/>
              <w:rPr>
                <w:rFonts w:ascii="Times New Roman" w:hAnsi="Times New Roman"/>
                <w:color w:val="auto"/>
                <w:kern w:val="0"/>
                <w:highlight w:val="none"/>
                <w:shd w:val="clear"/>
              </w:rPr>
            </w:pPr>
          </w:p>
        </w:tc>
      </w:tr>
      <w:tr w14:paraId="3607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1567AC8">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14:paraId="1DB14DEF">
            <w:pPr>
              <w:pStyle w:val="29"/>
              <w:rPr>
                <w:rFonts w:ascii="Times New Roman" w:hAnsi="Times New Roman"/>
                <w:color w:val="auto"/>
                <w:kern w:val="0"/>
                <w:highlight w:val="none"/>
                <w:shd w:val="clear"/>
              </w:rPr>
            </w:pPr>
          </w:p>
        </w:tc>
      </w:tr>
      <w:tr w14:paraId="6360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9B7B520">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项目经理</w:t>
            </w:r>
          </w:p>
          <w:p w14:paraId="77AC6A35">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14:paraId="2C736E70">
            <w:pPr>
              <w:pStyle w:val="29"/>
              <w:rPr>
                <w:rFonts w:ascii="Times New Roman" w:hAnsi="Times New Roman"/>
                <w:color w:val="auto"/>
                <w:kern w:val="0"/>
                <w:highlight w:val="none"/>
                <w:shd w:val="clear"/>
              </w:rPr>
            </w:pPr>
          </w:p>
        </w:tc>
      </w:tr>
      <w:tr w14:paraId="4311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994DE11">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14:paraId="2F17E74D">
            <w:pPr>
              <w:pStyle w:val="29"/>
              <w:rPr>
                <w:rFonts w:ascii="Times New Roman" w:hAnsi="Times New Roman"/>
                <w:color w:val="auto"/>
                <w:kern w:val="0"/>
                <w:highlight w:val="none"/>
                <w:shd w:val="clear"/>
              </w:rPr>
            </w:pPr>
          </w:p>
        </w:tc>
      </w:tr>
      <w:tr w14:paraId="726F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8CA4198">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14:paraId="52431452">
            <w:pPr>
              <w:pStyle w:val="29"/>
              <w:rPr>
                <w:rFonts w:ascii="Times New Roman" w:hAnsi="Times New Roman"/>
                <w:color w:val="auto"/>
                <w:kern w:val="0"/>
                <w:highlight w:val="none"/>
                <w:shd w:val="clear"/>
              </w:rPr>
            </w:pPr>
          </w:p>
        </w:tc>
      </w:tr>
      <w:tr w14:paraId="1C9D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A6DF48D">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14:paraId="274BA8F4">
            <w:pPr>
              <w:pStyle w:val="29"/>
              <w:rPr>
                <w:rFonts w:ascii="Times New Roman" w:hAnsi="Times New Roman"/>
                <w:color w:val="auto"/>
                <w:kern w:val="0"/>
                <w:highlight w:val="none"/>
                <w:shd w:val="clear"/>
              </w:rPr>
            </w:pPr>
          </w:p>
        </w:tc>
      </w:tr>
      <w:tr w14:paraId="76FF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DE1DA01">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3C7531AE">
            <w:pPr>
              <w:pStyle w:val="29"/>
              <w:rPr>
                <w:rFonts w:ascii="Times New Roman" w:hAnsi="Times New Roman"/>
                <w:color w:val="auto"/>
                <w:kern w:val="0"/>
                <w:highlight w:val="none"/>
                <w:shd w:val="clear"/>
              </w:rPr>
            </w:pPr>
          </w:p>
        </w:tc>
      </w:tr>
      <w:tr w14:paraId="3555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8C87678">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4D75A559">
            <w:pPr>
              <w:pStyle w:val="29"/>
              <w:rPr>
                <w:rFonts w:ascii="Times New Roman" w:hAnsi="Times New Roman"/>
                <w:color w:val="auto"/>
                <w:kern w:val="0"/>
                <w:highlight w:val="none"/>
                <w:shd w:val="clear"/>
              </w:rPr>
            </w:pPr>
            <w:r>
              <w:rPr>
                <w:rFonts w:hint="eastAsia" w:ascii="Times New Roman" w:hAnsi="Times New Roman"/>
                <w:color w:val="auto"/>
                <w:highlight w:val="none"/>
                <w:shd w:val="clear"/>
              </w:rPr>
              <w:t>资格审查用业绩</w:t>
            </w:r>
          </w:p>
        </w:tc>
      </w:tr>
    </w:tbl>
    <w:p w14:paraId="1BD29E9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注：投标人应根据招标文件第二章“投标人须知”前附表附录3的要求在本表后附相关证明材料。</w:t>
      </w:r>
    </w:p>
    <w:p w14:paraId="7A1A8EA5">
      <w:pPr>
        <w:pStyle w:val="20"/>
        <w:rPr>
          <w:rFonts w:ascii="Times New Roman" w:hAnsi="Times New Roman" w:cs="黑体"/>
          <w:color w:val="auto"/>
          <w:sz w:val="24"/>
          <w:szCs w:val="24"/>
          <w:highlight w:val="none"/>
          <w:shd w:val="clear"/>
        </w:rPr>
      </w:pPr>
      <w:r>
        <w:rPr>
          <w:rFonts w:ascii="Times New Roman" w:hAnsi="Times New Roman"/>
          <w:color w:val="auto"/>
          <w:sz w:val="24"/>
          <w:highlight w:val="none"/>
          <w:shd w:val="clear"/>
        </w:rPr>
        <w:br w:type="page"/>
      </w:r>
      <w:bookmarkStart w:id="2195" w:name="_Toc170805792"/>
      <w:bookmarkStart w:id="2196" w:name="_Toc170804224"/>
      <w:bookmarkStart w:id="2197" w:name="_Toc170805412"/>
      <w:r>
        <w:rPr>
          <w:rFonts w:ascii="Times New Roman" w:hAnsi="Times New Roman"/>
          <w:color w:val="auto"/>
          <w:highlight w:val="none"/>
          <w:shd w:val="clear"/>
        </w:rPr>
        <w:t>（四）</w:t>
      </w:r>
      <w:r>
        <w:rPr>
          <w:rFonts w:hint="eastAsia" w:ascii="Times New Roman" w:hAnsi="Times New Roman"/>
          <w:color w:val="auto"/>
          <w:highlight w:val="none"/>
          <w:shd w:val="clear"/>
        </w:rPr>
        <w:t>项目经理业绩情况表（资格审查）</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6328"/>
        <w:gridCol w:w="1249"/>
      </w:tblGrid>
      <w:tr w14:paraId="543A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67DF4BF2">
            <w:pPr>
              <w:pStyle w:val="28"/>
              <w:rPr>
                <w:rFonts w:ascii="Times New Roman" w:hAnsi="Times New Roman"/>
                <w:color w:val="auto"/>
                <w:highlight w:val="none"/>
                <w:shd w:val="clear"/>
              </w:rPr>
            </w:pPr>
            <w:r>
              <w:rPr>
                <w:rFonts w:hint="eastAsia" w:ascii="Times New Roman" w:hAnsi="Times New Roman"/>
                <w:color w:val="auto"/>
                <w:highlight w:val="none"/>
                <w:shd w:val="clear"/>
              </w:rPr>
              <w:t>业绩序号</w:t>
            </w:r>
          </w:p>
        </w:tc>
        <w:tc>
          <w:tcPr>
            <w:tcW w:w="3449" w:type="pct"/>
            <w:vAlign w:val="center"/>
          </w:tcPr>
          <w:p w14:paraId="7C71746D">
            <w:pPr>
              <w:pStyle w:val="28"/>
              <w:rPr>
                <w:rFonts w:ascii="Times New Roman" w:hAnsi="Times New Roman"/>
                <w:color w:val="auto"/>
                <w:highlight w:val="none"/>
                <w:shd w:val="clear"/>
              </w:rPr>
            </w:pPr>
            <w:r>
              <w:rPr>
                <w:rFonts w:hint="eastAsia" w:ascii="Times New Roman" w:hAnsi="Times New Roman"/>
                <w:color w:val="auto"/>
                <w:highlight w:val="none"/>
                <w:shd w:val="clear"/>
              </w:rPr>
              <w:t>项目</w:t>
            </w:r>
            <w:r>
              <w:rPr>
                <w:rFonts w:ascii="Times New Roman" w:hAnsi="Times New Roman"/>
                <w:color w:val="auto"/>
                <w:highlight w:val="none"/>
                <w:shd w:val="clear"/>
              </w:rPr>
              <w:t>名称</w:t>
            </w:r>
            <w:r>
              <w:rPr>
                <w:rFonts w:hint="eastAsia" w:ascii="Times New Roman" w:hAnsi="Times New Roman"/>
                <w:color w:val="auto"/>
                <w:highlight w:val="none"/>
                <w:shd w:val="clear"/>
              </w:rPr>
              <w:t>（合同名称）</w:t>
            </w:r>
          </w:p>
        </w:tc>
        <w:tc>
          <w:tcPr>
            <w:tcW w:w="681" w:type="pct"/>
            <w:vAlign w:val="center"/>
          </w:tcPr>
          <w:p w14:paraId="278C80EC">
            <w:pPr>
              <w:pStyle w:val="28"/>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6565C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6626932F">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3449" w:type="pct"/>
            <w:vAlign w:val="center"/>
          </w:tcPr>
          <w:p w14:paraId="70E95BA5">
            <w:pPr>
              <w:spacing w:line="360" w:lineRule="auto"/>
              <w:jc w:val="center"/>
              <w:rPr>
                <w:rFonts w:ascii="Times New Roman" w:hAnsi="Times New Roman"/>
                <w:color w:val="auto"/>
                <w:sz w:val="24"/>
                <w:szCs w:val="24"/>
                <w:highlight w:val="none"/>
                <w:shd w:val="clear"/>
              </w:rPr>
            </w:pPr>
          </w:p>
        </w:tc>
        <w:tc>
          <w:tcPr>
            <w:tcW w:w="681" w:type="pct"/>
            <w:vAlign w:val="center"/>
          </w:tcPr>
          <w:p w14:paraId="436DC685">
            <w:pPr>
              <w:spacing w:line="360" w:lineRule="auto"/>
              <w:jc w:val="center"/>
              <w:rPr>
                <w:rFonts w:ascii="Times New Roman" w:hAnsi="Times New Roman"/>
                <w:color w:val="auto"/>
                <w:sz w:val="24"/>
                <w:szCs w:val="24"/>
                <w:highlight w:val="none"/>
                <w:shd w:val="clear"/>
              </w:rPr>
            </w:pPr>
          </w:p>
        </w:tc>
      </w:tr>
      <w:tr w14:paraId="1FE13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0C8251C1">
            <w:pPr>
              <w:pStyle w:val="29"/>
              <w:rPr>
                <w:rFonts w:ascii="Times New Roman" w:hAnsi="Times New Roman"/>
                <w:color w:val="auto"/>
                <w:highlight w:val="none"/>
                <w:shd w:val="clear"/>
              </w:rPr>
            </w:pPr>
            <w:r>
              <w:rPr>
                <w:rFonts w:ascii="Times New Roman" w:hAnsi="Times New Roman"/>
                <w:color w:val="auto"/>
                <w:highlight w:val="none"/>
                <w:shd w:val="clear"/>
              </w:rPr>
              <w:t>2</w:t>
            </w:r>
          </w:p>
        </w:tc>
        <w:tc>
          <w:tcPr>
            <w:tcW w:w="3449" w:type="pct"/>
            <w:vAlign w:val="center"/>
          </w:tcPr>
          <w:p w14:paraId="7E871A39">
            <w:pPr>
              <w:spacing w:line="360" w:lineRule="auto"/>
              <w:jc w:val="center"/>
              <w:rPr>
                <w:rFonts w:ascii="Times New Roman" w:hAnsi="Times New Roman"/>
                <w:color w:val="auto"/>
                <w:sz w:val="24"/>
                <w:szCs w:val="24"/>
                <w:highlight w:val="none"/>
                <w:shd w:val="clear"/>
              </w:rPr>
            </w:pPr>
          </w:p>
        </w:tc>
        <w:tc>
          <w:tcPr>
            <w:tcW w:w="681" w:type="pct"/>
            <w:vAlign w:val="center"/>
          </w:tcPr>
          <w:p w14:paraId="2005F6FE">
            <w:pPr>
              <w:spacing w:line="360" w:lineRule="auto"/>
              <w:jc w:val="center"/>
              <w:rPr>
                <w:rFonts w:ascii="Times New Roman" w:hAnsi="Times New Roman"/>
                <w:color w:val="auto"/>
                <w:sz w:val="24"/>
                <w:szCs w:val="24"/>
                <w:highlight w:val="none"/>
                <w:shd w:val="clear"/>
              </w:rPr>
            </w:pPr>
          </w:p>
        </w:tc>
      </w:tr>
      <w:tr w14:paraId="2071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1D5C7775">
            <w:pPr>
              <w:pStyle w:val="29"/>
              <w:rPr>
                <w:rFonts w:ascii="Times New Roman" w:hAnsi="Times New Roman"/>
                <w:color w:val="auto"/>
                <w:highlight w:val="none"/>
                <w:shd w:val="clear"/>
              </w:rPr>
            </w:pPr>
            <w:r>
              <w:rPr>
                <w:rFonts w:hint="eastAsia" w:ascii="Times New Roman" w:hAnsi="Times New Roman"/>
                <w:color w:val="auto"/>
                <w:highlight w:val="none"/>
                <w:shd w:val="clear"/>
              </w:rPr>
              <w:t>……</w:t>
            </w:r>
          </w:p>
        </w:tc>
        <w:tc>
          <w:tcPr>
            <w:tcW w:w="3449" w:type="pct"/>
            <w:vAlign w:val="center"/>
          </w:tcPr>
          <w:p w14:paraId="7F5F7421">
            <w:pPr>
              <w:spacing w:line="360" w:lineRule="auto"/>
              <w:jc w:val="center"/>
              <w:rPr>
                <w:rFonts w:ascii="Times New Roman" w:hAnsi="Times New Roman"/>
                <w:color w:val="auto"/>
                <w:sz w:val="24"/>
                <w:szCs w:val="24"/>
                <w:highlight w:val="none"/>
                <w:shd w:val="clear"/>
              </w:rPr>
            </w:pPr>
          </w:p>
        </w:tc>
        <w:tc>
          <w:tcPr>
            <w:tcW w:w="681" w:type="pct"/>
            <w:vAlign w:val="center"/>
          </w:tcPr>
          <w:p w14:paraId="0BF711C6">
            <w:pPr>
              <w:spacing w:line="360" w:lineRule="auto"/>
              <w:jc w:val="center"/>
              <w:rPr>
                <w:rFonts w:ascii="Times New Roman" w:hAnsi="Times New Roman"/>
                <w:color w:val="auto"/>
                <w:sz w:val="24"/>
                <w:szCs w:val="24"/>
                <w:highlight w:val="none"/>
                <w:shd w:val="clear"/>
              </w:rPr>
            </w:pPr>
          </w:p>
        </w:tc>
      </w:tr>
    </w:tbl>
    <w:p w14:paraId="3F8BBECC">
      <w:pPr>
        <w:pStyle w:val="20"/>
        <w:rPr>
          <w:rFonts w:ascii="Times New Roman" w:hAnsi="Times New Roman"/>
          <w:color w:val="auto"/>
          <w:highlight w:val="none"/>
          <w:shd w:val="clear"/>
        </w:rPr>
      </w:pPr>
    </w:p>
    <w:p w14:paraId="6F237697">
      <w:pPr>
        <w:widowControl/>
        <w:jc w:val="left"/>
        <w:rPr>
          <w:rFonts w:ascii="Times New Roman" w:hAnsi="Times New Roman" w:eastAsia="黑体" w:cs="仿宋"/>
          <w:snapToGrid w:val="0"/>
          <w:color w:val="auto"/>
          <w:sz w:val="28"/>
          <w:szCs w:val="28"/>
          <w:highlight w:val="none"/>
          <w:shd w:val="clear"/>
        </w:rPr>
      </w:pPr>
      <w:r>
        <w:rPr>
          <w:rFonts w:hint="eastAsia" w:ascii="Times New Roman" w:hAnsi="Times New Roman"/>
          <w:color w:val="auto"/>
          <w:highlight w:val="none"/>
          <w:shd w:val="clear"/>
        </w:rPr>
        <w:br w:type="page"/>
      </w:r>
    </w:p>
    <w:p w14:paraId="3E8980EE">
      <w:pPr>
        <w:pStyle w:val="20"/>
        <w:rPr>
          <w:rFonts w:ascii="Times New Roman" w:hAnsi="Times New Roman"/>
          <w:color w:val="auto"/>
          <w:highlight w:val="none"/>
          <w:shd w:val="clear"/>
        </w:rPr>
      </w:pPr>
    </w:p>
    <w:p w14:paraId="3C2410E3">
      <w:pPr>
        <w:pStyle w:val="20"/>
        <w:rPr>
          <w:rFonts w:ascii="Times New Roman" w:hAnsi="Times New Roman"/>
          <w:color w:val="auto"/>
          <w:highlight w:val="none"/>
          <w:shd w:val="clear"/>
        </w:rPr>
      </w:pPr>
      <w:r>
        <w:rPr>
          <w:rFonts w:ascii="Times New Roman" w:hAnsi="Times New Roman"/>
          <w:color w:val="auto"/>
          <w:highlight w:val="none"/>
          <w:shd w:val="clear"/>
        </w:rPr>
        <w:t>项目经理业绩情况表</w:t>
      </w:r>
      <w:bookmarkEnd w:id="2195"/>
      <w:bookmarkEnd w:id="2196"/>
      <w:bookmarkEnd w:id="2197"/>
      <w:r>
        <w:rPr>
          <w:rFonts w:hint="eastAsia" w:ascii="Times New Roman" w:hAnsi="Times New Roman"/>
          <w:color w:val="auto"/>
          <w:highlight w:val="none"/>
          <w:shd w:val="clear"/>
        </w:rPr>
        <w:t>（资格审查）</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77C9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EA8B9EB">
            <w:pPr>
              <w:pStyle w:val="29"/>
              <w:rPr>
                <w:rFonts w:ascii="Times New Roman" w:hAnsi="Times New Roman"/>
                <w:color w:val="auto"/>
                <w:highlight w:val="none"/>
                <w:shd w:val="clear"/>
              </w:rPr>
            </w:pPr>
            <w:r>
              <w:rPr>
                <w:rFonts w:hint="eastAsia" w:ascii="Times New Roman" w:hAnsi="Times New Roman"/>
                <w:color w:val="auto"/>
                <w:highlight w:val="none"/>
                <w:shd w:val="clear"/>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39F143F7">
            <w:pPr>
              <w:pStyle w:val="29"/>
              <w:rPr>
                <w:rFonts w:ascii="Times New Roman" w:hAnsi="Times New Roman"/>
                <w:color w:val="auto"/>
                <w:kern w:val="0"/>
                <w:highlight w:val="none"/>
                <w:shd w:val="clear"/>
              </w:rPr>
            </w:pPr>
          </w:p>
        </w:tc>
      </w:tr>
      <w:tr w14:paraId="2C77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924228D">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7A4E64A5">
            <w:pPr>
              <w:pStyle w:val="29"/>
              <w:rPr>
                <w:rFonts w:ascii="Times New Roman" w:hAnsi="Times New Roman"/>
                <w:color w:val="auto"/>
                <w:kern w:val="0"/>
                <w:highlight w:val="none"/>
                <w:shd w:val="clear"/>
              </w:rPr>
            </w:pPr>
          </w:p>
        </w:tc>
      </w:tr>
      <w:tr w14:paraId="7CC2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24B0FA5">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64A3D8D9">
            <w:pPr>
              <w:pStyle w:val="29"/>
              <w:rPr>
                <w:rFonts w:ascii="Times New Roman" w:hAnsi="Times New Roman"/>
                <w:color w:val="auto"/>
                <w:kern w:val="0"/>
                <w:highlight w:val="none"/>
                <w:shd w:val="clear"/>
              </w:rPr>
            </w:pPr>
          </w:p>
        </w:tc>
      </w:tr>
      <w:tr w14:paraId="66D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C3BF8ED">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14:paraId="03C99137">
            <w:pPr>
              <w:pStyle w:val="29"/>
              <w:rPr>
                <w:rFonts w:ascii="Times New Roman" w:hAnsi="Times New Roman"/>
                <w:color w:val="auto"/>
                <w:kern w:val="0"/>
                <w:highlight w:val="none"/>
                <w:shd w:val="clear"/>
              </w:rPr>
            </w:pPr>
          </w:p>
        </w:tc>
      </w:tr>
      <w:tr w14:paraId="68F3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542E684">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14:paraId="72921318">
            <w:pPr>
              <w:pStyle w:val="29"/>
              <w:rPr>
                <w:rFonts w:ascii="Times New Roman" w:hAnsi="Times New Roman"/>
                <w:color w:val="auto"/>
                <w:kern w:val="0"/>
                <w:highlight w:val="none"/>
                <w:shd w:val="clear"/>
              </w:rPr>
            </w:pPr>
          </w:p>
        </w:tc>
      </w:tr>
      <w:tr w14:paraId="656C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C018636">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14:paraId="4186A4C7">
            <w:pPr>
              <w:pStyle w:val="29"/>
              <w:rPr>
                <w:rFonts w:ascii="Times New Roman" w:hAnsi="Times New Roman"/>
                <w:color w:val="auto"/>
                <w:kern w:val="0"/>
                <w:highlight w:val="none"/>
                <w:shd w:val="clear"/>
              </w:rPr>
            </w:pPr>
          </w:p>
        </w:tc>
      </w:tr>
      <w:tr w14:paraId="4120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3137EFA">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DFAFF49">
            <w:pPr>
              <w:pStyle w:val="29"/>
              <w:rPr>
                <w:rFonts w:ascii="Times New Roman" w:hAnsi="Times New Roman"/>
                <w:color w:val="auto"/>
                <w:kern w:val="0"/>
                <w:highlight w:val="none"/>
                <w:shd w:val="clear"/>
              </w:rPr>
            </w:pPr>
          </w:p>
        </w:tc>
      </w:tr>
      <w:tr w14:paraId="4C7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EFA25AF">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14:paraId="2D846DF0">
            <w:pPr>
              <w:pStyle w:val="29"/>
              <w:rPr>
                <w:rFonts w:ascii="Times New Roman" w:hAnsi="Times New Roman"/>
                <w:color w:val="auto"/>
                <w:kern w:val="0"/>
                <w:highlight w:val="none"/>
                <w:shd w:val="clear"/>
              </w:rPr>
            </w:pPr>
          </w:p>
        </w:tc>
      </w:tr>
      <w:tr w14:paraId="088E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B34AEE8">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14:paraId="7F26A4D6">
            <w:pPr>
              <w:pStyle w:val="29"/>
              <w:rPr>
                <w:rFonts w:ascii="Times New Roman" w:hAnsi="Times New Roman"/>
                <w:color w:val="auto"/>
                <w:kern w:val="0"/>
                <w:highlight w:val="none"/>
                <w:shd w:val="clear"/>
              </w:rPr>
            </w:pPr>
          </w:p>
        </w:tc>
      </w:tr>
      <w:tr w14:paraId="2193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47DFB47">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14:paraId="501DC821">
            <w:pPr>
              <w:pStyle w:val="29"/>
              <w:rPr>
                <w:rFonts w:ascii="Times New Roman" w:hAnsi="Times New Roman"/>
                <w:color w:val="auto"/>
                <w:kern w:val="0"/>
                <w:highlight w:val="none"/>
                <w:shd w:val="clear"/>
              </w:rPr>
            </w:pPr>
          </w:p>
        </w:tc>
      </w:tr>
      <w:tr w14:paraId="0ED8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3647FF2">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14:paraId="318D252E">
            <w:pPr>
              <w:pStyle w:val="29"/>
              <w:rPr>
                <w:rFonts w:ascii="Times New Roman" w:hAnsi="Times New Roman"/>
                <w:color w:val="auto"/>
                <w:kern w:val="0"/>
                <w:highlight w:val="none"/>
                <w:shd w:val="clear"/>
              </w:rPr>
            </w:pPr>
          </w:p>
        </w:tc>
      </w:tr>
      <w:tr w14:paraId="69D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651A9A6">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项目经理</w:t>
            </w:r>
          </w:p>
          <w:p w14:paraId="55E5FCC0">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14:paraId="731E3B79">
            <w:pPr>
              <w:pStyle w:val="29"/>
              <w:rPr>
                <w:rFonts w:ascii="Times New Roman" w:hAnsi="Times New Roman"/>
                <w:color w:val="auto"/>
                <w:kern w:val="0"/>
                <w:highlight w:val="none"/>
                <w:shd w:val="clear"/>
              </w:rPr>
            </w:pPr>
          </w:p>
        </w:tc>
      </w:tr>
      <w:tr w14:paraId="7F9E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9ABF267">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14:paraId="647F3846">
            <w:pPr>
              <w:pStyle w:val="29"/>
              <w:rPr>
                <w:rFonts w:ascii="Times New Roman" w:hAnsi="Times New Roman"/>
                <w:color w:val="auto"/>
                <w:kern w:val="0"/>
                <w:highlight w:val="none"/>
                <w:shd w:val="clear"/>
              </w:rPr>
            </w:pPr>
          </w:p>
        </w:tc>
      </w:tr>
      <w:tr w14:paraId="4F2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B373C5F">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14:paraId="6113C979">
            <w:pPr>
              <w:pStyle w:val="29"/>
              <w:rPr>
                <w:rFonts w:ascii="Times New Roman" w:hAnsi="Times New Roman"/>
                <w:color w:val="auto"/>
                <w:kern w:val="0"/>
                <w:highlight w:val="none"/>
                <w:shd w:val="clear"/>
              </w:rPr>
            </w:pPr>
          </w:p>
        </w:tc>
      </w:tr>
      <w:tr w14:paraId="314B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C6263D6">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14:paraId="459CF40A">
            <w:pPr>
              <w:pStyle w:val="29"/>
              <w:rPr>
                <w:rFonts w:ascii="Times New Roman" w:hAnsi="Times New Roman"/>
                <w:color w:val="auto"/>
                <w:kern w:val="0"/>
                <w:highlight w:val="none"/>
                <w:shd w:val="clear"/>
              </w:rPr>
            </w:pPr>
          </w:p>
        </w:tc>
      </w:tr>
      <w:tr w14:paraId="3217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58BD563">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00860FC2">
            <w:pPr>
              <w:pStyle w:val="29"/>
              <w:rPr>
                <w:rFonts w:ascii="Times New Roman" w:hAnsi="Times New Roman"/>
                <w:color w:val="auto"/>
                <w:kern w:val="0"/>
                <w:highlight w:val="none"/>
                <w:shd w:val="clear"/>
              </w:rPr>
            </w:pPr>
          </w:p>
        </w:tc>
      </w:tr>
      <w:tr w14:paraId="7438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1580A26">
            <w:pPr>
              <w:pStyle w:val="29"/>
              <w:rPr>
                <w:rFonts w:ascii="Times New Roman" w:hAnsi="Times New Roman"/>
                <w:color w:val="auto"/>
                <w:kern w:val="0"/>
                <w:highlight w:val="none"/>
                <w:shd w:val="clear"/>
              </w:rPr>
            </w:pPr>
            <w:r>
              <w:rPr>
                <w:rFonts w:hint="eastAsia" w:ascii="Times New Roman" w:hAnsi="Times New Roman"/>
                <w:color w:val="auto"/>
                <w:kern w:val="0"/>
                <w:highlight w:val="none"/>
                <w:shd w:val="clear"/>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98A2849">
            <w:pPr>
              <w:pStyle w:val="29"/>
              <w:rPr>
                <w:rFonts w:ascii="Times New Roman" w:hAnsi="Times New Roman"/>
                <w:color w:val="auto"/>
                <w:kern w:val="0"/>
                <w:highlight w:val="none"/>
                <w:shd w:val="clear"/>
              </w:rPr>
            </w:pPr>
            <w:r>
              <w:rPr>
                <w:rFonts w:hint="eastAsia" w:ascii="Times New Roman" w:hAnsi="Times New Roman"/>
                <w:color w:val="auto"/>
                <w:highlight w:val="none"/>
                <w:shd w:val="clear"/>
              </w:rPr>
              <w:t>资格审查用业绩</w:t>
            </w:r>
          </w:p>
        </w:tc>
      </w:tr>
    </w:tbl>
    <w:p w14:paraId="3174314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注：投标人应根据招标文件第二章“投标人须知”前附表附录5的要求在本表后附相关证明材料。</w:t>
      </w:r>
    </w:p>
    <w:p w14:paraId="51946C74">
      <w:pPr>
        <w:pStyle w:val="19"/>
        <w:rPr>
          <w:rFonts w:hint="default" w:ascii="Times New Roman" w:hAnsi="Times New Roman"/>
          <w:color w:val="auto"/>
          <w:highlight w:val="none"/>
          <w:shd w:val="clear"/>
          <w:lang w:val="zh-CN"/>
        </w:rPr>
      </w:pPr>
      <w:r>
        <w:rPr>
          <w:rFonts w:ascii="Times New Roman" w:hAnsi="Times New Roman"/>
          <w:color w:val="auto"/>
          <w:highlight w:val="none"/>
          <w:shd w:val="clear"/>
          <w:lang w:val="zh-CN"/>
        </w:rPr>
        <w:br w:type="page"/>
      </w:r>
    </w:p>
    <w:p w14:paraId="4611864A">
      <w:pPr>
        <w:rPr>
          <w:rFonts w:ascii="Times New Roman" w:hAnsi="Times New Roman"/>
          <w:color w:val="auto"/>
          <w:highlight w:val="none"/>
          <w:shd w:val="clear"/>
          <w:lang w:val="zh-CN"/>
        </w:rPr>
      </w:pPr>
      <w:bookmarkStart w:id="2198" w:name="_Toc170805793"/>
      <w:bookmarkStart w:id="2199" w:name="_Toc170804225"/>
      <w:bookmarkStart w:id="2200" w:name="_Toc170805413"/>
    </w:p>
    <w:p w14:paraId="2959B128">
      <w:pPr>
        <w:pStyle w:val="20"/>
        <w:numPr>
          <w:ilvl w:val="0"/>
          <w:numId w:val="3"/>
        </w:numPr>
        <w:rPr>
          <w:rFonts w:ascii="Times New Roman" w:hAnsi="Times New Roman"/>
          <w:color w:val="auto"/>
          <w:highlight w:val="none"/>
          <w:shd w:val="clear"/>
          <w:lang w:val="zh-CN"/>
        </w:rPr>
      </w:pPr>
      <w:r>
        <w:rPr>
          <w:rFonts w:ascii="Times New Roman" w:hAnsi="Times New Roman"/>
          <w:color w:val="auto"/>
          <w:highlight w:val="none"/>
          <w:shd w:val="clear"/>
          <w:lang w:val="zh-CN"/>
        </w:rPr>
        <w:t>投标人信誉情况</w:t>
      </w:r>
      <w:bookmarkEnd w:id="2198"/>
      <w:bookmarkEnd w:id="2199"/>
      <w:bookmarkEnd w:id="2200"/>
    </w:p>
    <w:p w14:paraId="70EE1110">
      <w:pPr>
        <w:rPr>
          <w:rFonts w:ascii="Times New Roman" w:hAnsi="Times New Roman"/>
          <w:color w:val="auto"/>
          <w:highlight w:val="none"/>
          <w:shd w:val="clear"/>
          <w:lang w:val="zh-CN"/>
        </w:rPr>
      </w:pPr>
    </w:p>
    <w:p w14:paraId="7811823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投标人无需提供相应资料，在投标函中提供承诺即可。如承诺与实际不符，则视为投标人弄虚作假骗取中标，其投标保证金按规定予以处理。</w:t>
      </w:r>
    </w:p>
    <w:p w14:paraId="52BDEF2B">
      <w:pPr>
        <w:pStyle w:val="20"/>
        <w:rPr>
          <w:rFonts w:ascii="Times New Roman" w:hAnsi="Times New Roman"/>
          <w:color w:val="auto"/>
          <w:highlight w:val="none"/>
          <w:shd w:val="clear"/>
          <w:lang w:val="zh-CN"/>
        </w:rPr>
      </w:pPr>
      <w:bookmarkStart w:id="2201" w:name="_Toc460227112"/>
      <w:bookmarkStart w:id="2202" w:name="_Toc460660227"/>
      <w:bookmarkStart w:id="2203" w:name="_Toc390411625"/>
      <w:bookmarkStart w:id="2204" w:name="_Toc421917005"/>
      <w:r>
        <w:rPr>
          <w:rFonts w:ascii="Times New Roman" w:hAnsi="Times New Roman"/>
          <w:color w:val="auto"/>
          <w:highlight w:val="none"/>
          <w:shd w:val="clear"/>
          <w:lang w:val="zh-CN"/>
        </w:rPr>
        <w:br w:type="page"/>
      </w:r>
      <w:bookmarkStart w:id="2205" w:name="_Toc170804226"/>
      <w:bookmarkStart w:id="2206" w:name="_Toc170805414"/>
      <w:bookmarkStart w:id="2207" w:name="_Toc170805794"/>
      <w:r>
        <w:rPr>
          <w:rFonts w:ascii="Times New Roman" w:hAnsi="Times New Roman"/>
          <w:color w:val="auto"/>
          <w:highlight w:val="none"/>
          <w:shd w:val="clear"/>
          <w:lang w:val="zh-CN"/>
        </w:rPr>
        <w:t>（六）拟委任的项目经理（项目技术负责人）简历</w:t>
      </w:r>
      <w:bookmarkEnd w:id="2201"/>
      <w:bookmarkEnd w:id="2202"/>
      <w:bookmarkEnd w:id="2203"/>
      <w:bookmarkEnd w:id="2204"/>
      <w:bookmarkEnd w:id="2205"/>
      <w:bookmarkEnd w:id="2206"/>
      <w:bookmarkEnd w:id="2207"/>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1081"/>
        <w:gridCol w:w="209"/>
        <w:gridCol w:w="1474"/>
        <w:gridCol w:w="1268"/>
        <w:gridCol w:w="391"/>
        <w:gridCol w:w="2011"/>
      </w:tblGrid>
      <w:tr w14:paraId="526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5B8D2773">
            <w:pPr>
              <w:pStyle w:val="29"/>
              <w:rPr>
                <w:rFonts w:ascii="Times New Roman" w:hAnsi="Times New Roman"/>
                <w:color w:val="auto"/>
                <w:highlight w:val="none"/>
                <w:shd w:val="clear"/>
              </w:rPr>
            </w:pPr>
            <w:r>
              <w:rPr>
                <w:rFonts w:hint="eastAsia" w:ascii="Times New Roman" w:hAnsi="Times New Roman"/>
                <w:color w:val="auto"/>
                <w:highlight w:val="none"/>
                <w:shd w:val="clear"/>
              </w:rPr>
              <w:t>姓  名</w:t>
            </w:r>
          </w:p>
        </w:tc>
        <w:tc>
          <w:tcPr>
            <w:tcW w:w="792" w:type="pct"/>
            <w:gridSpan w:val="2"/>
            <w:vAlign w:val="center"/>
          </w:tcPr>
          <w:p w14:paraId="512F5705">
            <w:pPr>
              <w:pStyle w:val="29"/>
              <w:rPr>
                <w:rFonts w:ascii="Times New Roman" w:hAnsi="Times New Roman"/>
                <w:color w:val="auto"/>
                <w:highlight w:val="none"/>
                <w:shd w:val="clear"/>
              </w:rPr>
            </w:pPr>
          </w:p>
        </w:tc>
        <w:tc>
          <w:tcPr>
            <w:tcW w:w="703" w:type="pct"/>
            <w:gridSpan w:val="2"/>
            <w:vAlign w:val="center"/>
          </w:tcPr>
          <w:p w14:paraId="202A3867">
            <w:pPr>
              <w:pStyle w:val="29"/>
              <w:rPr>
                <w:rFonts w:ascii="Times New Roman" w:hAnsi="Times New Roman"/>
                <w:color w:val="auto"/>
                <w:highlight w:val="none"/>
                <w:shd w:val="clear"/>
              </w:rPr>
            </w:pPr>
            <w:r>
              <w:rPr>
                <w:rFonts w:hint="eastAsia" w:ascii="Times New Roman" w:hAnsi="Times New Roman"/>
                <w:color w:val="auto"/>
                <w:highlight w:val="none"/>
                <w:shd w:val="clear"/>
              </w:rPr>
              <w:t>年 龄</w:t>
            </w:r>
          </w:p>
        </w:tc>
        <w:tc>
          <w:tcPr>
            <w:tcW w:w="803" w:type="pct"/>
            <w:vAlign w:val="center"/>
          </w:tcPr>
          <w:p w14:paraId="0EC29C3D">
            <w:pPr>
              <w:pStyle w:val="29"/>
              <w:rPr>
                <w:rFonts w:ascii="Times New Roman" w:hAnsi="Times New Roman"/>
                <w:color w:val="auto"/>
                <w:highlight w:val="none"/>
                <w:shd w:val="clear"/>
              </w:rPr>
            </w:pPr>
          </w:p>
        </w:tc>
        <w:tc>
          <w:tcPr>
            <w:tcW w:w="904" w:type="pct"/>
            <w:gridSpan w:val="2"/>
            <w:vAlign w:val="center"/>
          </w:tcPr>
          <w:p w14:paraId="5AF09B50">
            <w:pPr>
              <w:pStyle w:val="29"/>
              <w:rPr>
                <w:rFonts w:ascii="Times New Roman" w:hAnsi="Times New Roman"/>
                <w:color w:val="auto"/>
                <w:highlight w:val="none"/>
                <w:shd w:val="clear"/>
              </w:rPr>
            </w:pPr>
            <w:r>
              <w:rPr>
                <w:rFonts w:hint="eastAsia" w:ascii="Times New Roman" w:hAnsi="Times New Roman"/>
                <w:color w:val="auto"/>
                <w:highlight w:val="none"/>
                <w:shd w:val="clear"/>
              </w:rPr>
              <w:t>学 历</w:t>
            </w:r>
          </w:p>
        </w:tc>
        <w:tc>
          <w:tcPr>
            <w:tcW w:w="1096" w:type="pct"/>
            <w:vAlign w:val="center"/>
          </w:tcPr>
          <w:p w14:paraId="5B832D05">
            <w:pPr>
              <w:pStyle w:val="29"/>
              <w:rPr>
                <w:rFonts w:ascii="Times New Roman" w:hAnsi="Times New Roman"/>
                <w:color w:val="auto"/>
                <w:highlight w:val="none"/>
                <w:shd w:val="clear"/>
              </w:rPr>
            </w:pPr>
          </w:p>
        </w:tc>
      </w:tr>
      <w:tr w14:paraId="5448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394325DC">
            <w:pPr>
              <w:pStyle w:val="29"/>
              <w:rPr>
                <w:rFonts w:ascii="Times New Roman" w:hAnsi="Times New Roman"/>
                <w:color w:val="auto"/>
                <w:highlight w:val="none"/>
                <w:shd w:val="clear"/>
              </w:rPr>
            </w:pPr>
            <w:r>
              <w:rPr>
                <w:rFonts w:hint="eastAsia" w:ascii="Times New Roman" w:hAnsi="Times New Roman"/>
                <w:color w:val="auto"/>
                <w:highlight w:val="none"/>
                <w:shd w:val="clear"/>
              </w:rPr>
              <w:t>职  称</w:t>
            </w:r>
          </w:p>
        </w:tc>
        <w:tc>
          <w:tcPr>
            <w:tcW w:w="792" w:type="pct"/>
            <w:gridSpan w:val="2"/>
            <w:vAlign w:val="center"/>
          </w:tcPr>
          <w:p w14:paraId="6010345F">
            <w:pPr>
              <w:pStyle w:val="29"/>
              <w:rPr>
                <w:rFonts w:ascii="Times New Roman" w:hAnsi="Times New Roman"/>
                <w:color w:val="auto"/>
                <w:highlight w:val="none"/>
                <w:shd w:val="clear"/>
              </w:rPr>
            </w:pPr>
          </w:p>
        </w:tc>
        <w:tc>
          <w:tcPr>
            <w:tcW w:w="703" w:type="pct"/>
            <w:gridSpan w:val="2"/>
            <w:vAlign w:val="center"/>
          </w:tcPr>
          <w:p w14:paraId="68B61D57">
            <w:pPr>
              <w:pStyle w:val="29"/>
              <w:rPr>
                <w:rFonts w:ascii="Times New Roman" w:hAnsi="Times New Roman"/>
                <w:color w:val="auto"/>
                <w:highlight w:val="none"/>
                <w:shd w:val="clear"/>
              </w:rPr>
            </w:pPr>
            <w:r>
              <w:rPr>
                <w:rFonts w:hint="eastAsia" w:ascii="Times New Roman" w:hAnsi="Times New Roman"/>
                <w:color w:val="auto"/>
                <w:highlight w:val="none"/>
                <w:shd w:val="clear"/>
              </w:rPr>
              <w:t>单位职务</w:t>
            </w:r>
          </w:p>
        </w:tc>
        <w:tc>
          <w:tcPr>
            <w:tcW w:w="803" w:type="pct"/>
            <w:vAlign w:val="center"/>
          </w:tcPr>
          <w:p w14:paraId="2D9083F9">
            <w:pPr>
              <w:pStyle w:val="29"/>
              <w:rPr>
                <w:rFonts w:ascii="Times New Roman" w:hAnsi="Times New Roman"/>
                <w:color w:val="auto"/>
                <w:highlight w:val="none"/>
                <w:shd w:val="clear"/>
              </w:rPr>
            </w:pPr>
          </w:p>
        </w:tc>
        <w:tc>
          <w:tcPr>
            <w:tcW w:w="904" w:type="pct"/>
            <w:gridSpan w:val="2"/>
            <w:vAlign w:val="center"/>
          </w:tcPr>
          <w:p w14:paraId="1C23BA7B">
            <w:pPr>
              <w:pStyle w:val="29"/>
              <w:rPr>
                <w:rFonts w:ascii="Times New Roman" w:hAnsi="Times New Roman"/>
                <w:color w:val="auto"/>
                <w:highlight w:val="none"/>
                <w:shd w:val="clear"/>
              </w:rPr>
            </w:pPr>
            <w:r>
              <w:rPr>
                <w:rFonts w:hint="eastAsia" w:ascii="Times New Roman" w:hAnsi="Times New Roman"/>
                <w:color w:val="auto"/>
                <w:highlight w:val="none"/>
                <w:shd w:val="clear"/>
              </w:rPr>
              <w:t>拟在本标段工程担任职务</w:t>
            </w:r>
          </w:p>
        </w:tc>
        <w:tc>
          <w:tcPr>
            <w:tcW w:w="1096" w:type="pct"/>
            <w:vAlign w:val="center"/>
          </w:tcPr>
          <w:p w14:paraId="21B5BE0D">
            <w:pPr>
              <w:pStyle w:val="29"/>
              <w:rPr>
                <w:rFonts w:ascii="Times New Roman" w:hAnsi="Times New Roman"/>
                <w:color w:val="auto"/>
                <w:highlight w:val="none"/>
                <w:shd w:val="clear"/>
              </w:rPr>
            </w:pPr>
          </w:p>
        </w:tc>
      </w:tr>
      <w:tr w14:paraId="1DB7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766DFA3">
            <w:pPr>
              <w:pStyle w:val="29"/>
              <w:rPr>
                <w:rFonts w:ascii="Times New Roman" w:hAnsi="Times New Roman"/>
                <w:color w:val="auto"/>
                <w:highlight w:val="none"/>
                <w:shd w:val="clear"/>
              </w:rPr>
            </w:pPr>
            <w:r>
              <w:rPr>
                <w:rFonts w:hint="eastAsia" w:ascii="Times New Roman" w:hAnsi="Times New Roman"/>
                <w:color w:val="auto"/>
                <w:highlight w:val="none"/>
                <w:shd w:val="clear"/>
              </w:rPr>
              <w:t>毕业学校</w:t>
            </w:r>
          </w:p>
        </w:tc>
        <w:tc>
          <w:tcPr>
            <w:tcW w:w="4298" w:type="pct"/>
            <w:gridSpan w:val="8"/>
            <w:vAlign w:val="center"/>
          </w:tcPr>
          <w:p w14:paraId="109E232B">
            <w:pPr>
              <w:pStyle w:val="29"/>
              <w:rPr>
                <w:rFonts w:ascii="Times New Roman" w:hAnsi="Times New Roman"/>
                <w:color w:val="auto"/>
                <w:highlight w:val="none"/>
                <w:shd w:val="clear"/>
              </w:rPr>
            </w:pP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月毕业于</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学校</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专业，学制</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p>
        </w:tc>
      </w:tr>
      <w:tr w14:paraId="54F3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14:paraId="347A5A9D">
            <w:pPr>
              <w:pStyle w:val="29"/>
              <w:rPr>
                <w:rFonts w:ascii="Times New Roman" w:hAnsi="Times New Roman"/>
                <w:color w:val="auto"/>
                <w:highlight w:val="none"/>
                <w:shd w:val="clear"/>
              </w:rPr>
            </w:pPr>
            <w:r>
              <w:rPr>
                <w:rFonts w:hint="eastAsia" w:ascii="Times New Roman" w:hAnsi="Times New Roman"/>
                <w:color w:val="auto"/>
                <w:highlight w:val="none"/>
                <w:shd w:val="clear"/>
              </w:rPr>
              <w:t>经    历</w:t>
            </w:r>
          </w:p>
        </w:tc>
      </w:tr>
      <w:tr w14:paraId="6BDF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0A05C59F">
            <w:pPr>
              <w:pStyle w:val="29"/>
              <w:rPr>
                <w:rFonts w:ascii="Times New Roman" w:hAnsi="Times New Roman"/>
                <w:color w:val="auto"/>
                <w:highlight w:val="none"/>
                <w:shd w:val="clear"/>
              </w:rPr>
            </w:pPr>
            <w:r>
              <w:rPr>
                <w:rFonts w:hint="eastAsia" w:ascii="Times New Roman" w:hAnsi="Times New Roman"/>
                <w:color w:val="auto"/>
                <w:highlight w:val="none"/>
                <w:shd w:val="clear"/>
              </w:rPr>
              <w:t>时间</w:t>
            </w:r>
          </w:p>
        </w:tc>
        <w:tc>
          <w:tcPr>
            <w:tcW w:w="1370" w:type="pct"/>
            <w:gridSpan w:val="2"/>
            <w:vAlign w:val="center"/>
          </w:tcPr>
          <w:p w14:paraId="1A7B2787">
            <w:pPr>
              <w:pStyle w:val="29"/>
              <w:rPr>
                <w:rFonts w:ascii="Times New Roman" w:hAnsi="Times New Roman"/>
                <w:color w:val="auto"/>
                <w:highlight w:val="none"/>
                <w:shd w:val="clear"/>
              </w:rPr>
            </w:pPr>
            <w:r>
              <w:rPr>
                <w:rFonts w:hint="eastAsia" w:ascii="Times New Roman" w:hAnsi="Times New Roman"/>
                <w:color w:val="auto"/>
                <w:highlight w:val="none"/>
                <w:shd w:val="clear"/>
              </w:rPr>
              <w:t>参加过的工程项目名称</w:t>
            </w:r>
          </w:p>
        </w:tc>
        <w:tc>
          <w:tcPr>
            <w:tcW w:w="917" w:type="pct"/>
            <w:gridSpan w:val="2"/>
            <w:vAlign w:val="center"/>
          </w:tcPr>
          <w:p w14:paraId="01A81374">
            <w:pPr>
              <w:pStyle w:val="29"/>
              <w:rPr>
                <w:rFonts w:ascii="Times New Roman" w:hAnsi="Times New Roman"/>
                <w:color w:val="auto"/>
                <w:highlight w:val="none"/>
                <w:shd w:val="clear"/>
              </w:rPr>
            </w:pPr>
            <w:r>
              <w:rPr>
                <w:rFonts w:hint="eastAsia" w:ascii="Times New Roman" w:hAnsi="Times New Roman"/>
                <w:color w:val="auto"/>
                <w:highlight w:val="none"/>
                <w:shd w:val="clear"/>
              </w:rPr>
              <w:t>签约合同价金额（万元）</w:t>
            </w:r>
          </w:p>
        </w:tc>
        <w:tc>
          <w:tcPr>
            <w:tcW w:w="691" w:type="pct"/>
            <w:vAlign w:val="center"/>
          </w:tcPr>
          <w:p w14:paraId="27FEFF77">
            <w:pPr>
              <w:pStyle w:val="29"/>
              <w:rPr>
                <w:rFonts w:ascii="Times New Roman" w:hAnsi="Times New Roman"/>
                <w:color w:val="auto"/>
                <w:highlight w:val="none"/>
                <w:shd w:val="clear"/>
              </w:rPr>
            </w:pPr>
            <w:r>
              <w:rPr>
                <w:rFonts w:hint="eastAsia" w:ascii="Times New Roman" w:hAnsi="Times New Roman"/>
                <w:color w:val="auto"/>
                <w:highlight w:val="none"/>
                <w:shd w:val="clear"/>
              </w:rPr>
              <w:t>担任职务</w:t>
            </w:r>
          </w:p>
        </w:tc>
        <w:tc>
          <w:tcPr>
            <w:tcW w:w="1309" w:type="pct"/>
            <w:gridSpan w:val="2"/>
            <w:vAlign w:val="center"/>
          </w:tcPr>
          <w:p w14:paraId="7C9B4627">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发包人及联系电话</w:t>
            </w:r>
          </w:p>
        </w:tc>
      </w:tr>
      <w:tr w14:paraId="10BC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70CABEA6">
            <w:pPr>
              <w:pStyle w:val="29"/>
              <w:rPr>
                <w:rFonts w:ascii="Times New Roman" w:hAnsi="Times New Roman"/>
                <w:color w:val="auto"/>
                <w:highlight w:val="none"/>
                <w:shd w:val="clear"/>
              </w:rPr>
            </w:pPr>
          </w:p>
        </w:tc>
        <w:tc>
          <w:tcPr>
            <w:tcW w:w="1370" w:type="pct"/>
            <w:gridSpan w:val="2"/>
          </w:tcPr>
          <w:p w14:paraId="2D00E3D0">
            <w:pPr>
              <w:pStyle w:val="29"/>
              <w:rPr>
                <w:rFonts w:ascii="Times New Roman" w:hAnsi="Times New Roman"/>
                <w:color w:val="auto"/>
                <w:highlight w:val="none"/>
                <w:shd w:val="clear"/>
              </w:rPr>
            </w:pPr>
          </w:p>
        </w:tc>
        <w:tc>
          <w:tcPr>
            <w:tcW w:w="917" w:type="pct"/>
            <w:gridSpan w:val="2"/>
          </w:tcPr>
          <w:p w14:paraId="16305FA2">
            <w:pPr>
              <w:pStyle w:val="29"/>
              <w:rPr>
                <w:rFonts w:ascii="Times New Roman" w:hAnsi="Times New Roman"/>
                <w:color w:val="auto"/>
                <w:highlight w:val="none"/>
                <w:shd w:val="clear"/>
              </w:rPr>
            </w:pPr>
          </w:p>
        </w:tc>
        <w:tc>
          <w:tcPr>
            <w:tcW w:w="691" w:type="pct"/>
          </w:tcPr>
          <w:p w14:paraId="58D17EC0">
            <w:pPr>
              <w:pStyle w:val="29"/>
              <w:rPr>
                <w:rFonts w:ascii="Times New Roman" w:hAnsi="Times New Roman"/>
                <w:color w:val="auto"/>
                <w:highlight w:val="none"/>
                <w:shd w:val="clear"/>
              </w:rPr>
            </w:pPr>
          </w:p>
        </w:tc>
        <w:tc>
          <w:tcPr>
            <w:tcW w:w="1309" w:type="pct"/>
            <w:gridSpan w:val="2"/>
          </w:tcPr>
          <w:p w14:paraId="77F86EBA">
            <w:pPr>
              <w:pStyle w:val="29"/>
              <w:rPr>
                <w:rFonts w:ascii="Times New Roman" w:hAnsi="Times New Roman"/>
                <w:color w:val="auto"/>
                <w:highlight w:val="none"/>
                <w:shd w:val="clear"/>
              </w:rPr>
            </w:pPr>
          </w:p>
        </w:tc>
      </w:tr>
      <w:tr w14:paraId="18A2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37144218">
            <w:pPr>
              <w:pStyle w:val="29"/>
              <w:rPr>
                <w:rFonts w:ascii="Times New Roman" w:hAnsi="Times New Roman"/>
                <w:color w:val="auto"/>
                <w:highlight w:val="none"/>
                <w:shd w:val="clear"/>
              </w:rPr>
            </w:pPr>
          </w:p>
        </w:tc>
        <w:tc>
          <w:tcPr>
            <w:tcW w:w="1370" w:type="pct"/>
            <w:gridSpan w:val="2"/>
          </w:tcPr>
          <w:p w14:paraId="1F38684A">
            <w:pPr>
              <w:pStyle w:val="29"/>
              <w:rPr>
                <w:rFonts w:ascii="Times New Roman" w:hAnsi="Times New Roman"/>
                <w:b/>
                <w:color w:val="auto"/>
                <w:sz w:val="20"/>
                <w:szCs w:val="20"/>
                <w:highlight w:val="none"/>
                <w:shd w:val="clear"/>
              </w:rPr>
            </w:pPr>
          </w:p>
        </w:tc>
        <w:tc>
          <w:tcPr>
            <w:tcW w:w="917" w:type="pct"/>
            <w:gridSpan w:val="2"/>
          </w:tcPr>
          <w:p w14:paraId="5205A2FE">
            <w:pPr>
              <w:pStyle w:val="29"/>
              <w:rPr>
                <w:rFonts w:ascii="Times New Roman" w:hAnsi="Times New Roman"/>
                <w:b/>
                <w:color w:val="auto"/>
                <w:sz w:val="20"/>
                <w:szCs w:val="20"/>
                <w:highlight w:val="none"/>
                <w:shd w:val="clear"/>
              </w:rPr>
            </w:pPr>
          </w:p>
        </w:tc>
        <w:tc>
          <w:tcPr>
            <w:tcW w:w="691" w:type="pct"/>
          </w:tcPr>
          <w:p w14:paraId="3D4AC862">
            <w:pPr>
              <w:pStyle w:val="29"/>
              <w:rPr>
                <w:rFonts w:ascii="Times New Roman" w:hAnsi="Times New Roman"/>
                <w:b/>
                <w:color w:val="auto"/>
                <w:sz w:val="20"/>
                <w:szCs w:val="20"/>
                <w:highlight w:val="none"/>
                <w:shd w:val="clear"/>
              </w:rPr>
            </w:pPr>
          </w:p>
        </w:tc>
        <w:tc>
          <w:tcPr>
            <w:tcW w:w="1309" w:type="pct"/>
            <w:gridSpan w:val="2"/>
          </w:tcPr>
          <w:p w14:paraId="78F636D5">
            <w:pPr>
              <w:pStyle w:val="29"/>
              <w:rPr>
                <w:rFonts w:ascii="Times New Roman" w:hAnsi="Times New Roman"/>
                <w:color w:val="auto"/>
                <w:highlight w:val="none"/>
                <w:shd w:val="clear"/>
              </w:rPr>
            </w:pPr>
          </w:p>
        </w:tc>
      </w:tr>
      <w:tr w14:paraId="418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2DBE93E0">
            <w:pPr>
              <w:pStyle w:val="29"/>
              <w:rPr>
                <w:rFonts w:ascii="Times New Roman" w:hAnsi="Times New Roman"/>
                <w:color w:val="auto"/>
                <w:highlight w:val="none"/>
                <w:shd w:val="clear"/>
              </w:rPr>
            </w:pPr>
          </w:p>
        </w:tc>
        <w:tc>
          <w:tcPr>
            <w:tcW w:w="1370" w:type="pct"/>
            <w:gridSpan w:val="2"/>
          </w:tcPr>
          <w:p w14:paraId="033BC927">
            <w:pPr>
              <w:pStyle w:val="29"/>
              <w:rPr>
                <w:rFonts w:ascii="Times New Roman" w:hAnsi="Times New Roman"/>
                <w:color w:val="auto"/>
                <w:highlight w:val="none"/>
                <w:shd w:val="clear"/>
              </w:rPr>
            </w:pPr>
          </w:p>
        </w:tc>
        <w:tc>
          <w:tcPr>
            <w:tcW w:w="917" w:type="pct"/>
            <w:gridSpan w:val="2"/>
          </w:tcPr>
          <w:p w14:paraId="27A0894D">
            <w:pPr>
              <w:pStyle w:val="29"/>
              <w:rPr>
                <w:rFonts w:ascii="Times New Roman" w:hAnsi="Times New Roman"/>
                <w:color w:val="auto"/>
                <w:highlight w:val="none"/>
                <w:shd w:val="clear"/>
              </w:rPr>
            </w:pPr>
          </w:p>
        </w:tc>
        <w:tc>
          <w:tcPr>
            <w:tcW w:w="691" w:type="pct"/>
          </w:tcPr>
          <w:p w14:paraId="54C0284A">
            <w:pPr>
              <w:pStyle w:val="29"/>
              <w:rPr>
                <w:rFonts w:ascii="Times New Roman" w:hAnsi="Times New Roman"/>
                <w:color w:val="auto"/>
                <w:highlight w:val="none"/>
                <w:shd w:val="clear"/>
              </w:rPr>
            </w:pPr>
          </w:p>
        </w:tc>
        <w:tc>
          <w:tcPr>
            <w:tcW w:w="1309" w:type="pct"/>
            <w:gridSpan w:val="2"/>
          </w:tcPr>
          <w:p w14:paraId="6AD67D24">
            <w:pPr>
              <w:pStyle w:val="29"/>
              <w:rPr>
                <w:rFonts w:ascii="Times New Roman" w:hAnsi="Times New Roman"/>
                <w:color w:val="auto"/>
                <w:highlight w:val="none"/>
                <w:shd w:val="clear"/>
              </w:rPr>
            </w:pPr>
          </w:p>
        </w:tc>
      </w:tr>
      <w:tr w14:paraId="5F4C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289B52C1">
            <w:pPr>
              <w:pStyle w:val="29"/>
              <w:rPr>
                <w:rFonts w:ascii="Times New Roman" w:hAnsi="Times New Roman"/>
                <w:color w:val="auto"/>
                <w:highlight w:val="none"/>
                <w:shd w:val="clear"/>
              </w:rPr>
            </w:pPr>
          </w:p>
        </w:tc>
        <w:tc>
          <w:tcPr>
            <w:tcW w:w="1370" w:type="pct"/>
            <w:gridSpan w:val="2"/>
            <w:vAlign w:val="center"/>
          </w:tcPr>
          <w:p w14:paraId="69C27B0C">
            <w:pPr>
              <w:pStyle w:val="29"/>
              <w:rPr>
                <w:rFonts w:ascii="Times New Roman" w:hAnsi="Times New Roman"/>
                <w:color w:val="auto"/>
                <w:highlight w:val="none"/>
                <w:shd w:val="clear"/>
              </w:rPr>
            </w:pPr>
          </w:p>
        </w:tc>
        <w:tc>
          <w:tcPr>
            <w:tcW w:w="917" w:type="pct"/>
            <w:gridSpan w:val="2"/>
            <w:vAlign w:val="center"/>
          </w:tcPr>
          <w:p w14:paraId="64F75964">
            <w:pPr>
              <w:pStyle w:val="29"/>
              <w:rPr>
                <w:rFonts w:ascii="Times New Roman" w:hAnsi="Times New Roman"/>
                <w:color w:val="auto"/>
                <w:highlight w:val="none"/>
                <w:shd w:val="clear"/>
              </w:rPr>
            </w:pPr>
          </w:p>
        </w:tc>
        <w:tc>
          <w:tcPr>
            <w:tcW w:w="691" w:type="pct"/>
            <w:vAlign w:val="center"/>
          </w:tcPr>
          <w:p w14:paraId="002D4FF6">
            <w:pPr>
              <w:pStyle w:val="29"/>
              <w:rPr>
                <w:rFonts w:ascii="Times New Roman" w:hAnsi="Times New Roman"/>
                <w:color w:val="auto"/>
                <w:highlight w:val="none"/>
                <w:shd w:val="clear"/>
              </w:rPr>
            </w:pPr>
          </w:p>
        </w:tc>
        <w:tc>
          <w:tcPr>
            <w:tcW w:w="1309" w:type="pct"/>
            <w:gridSpan w:val="2"/>
            <w:vAlign w:val="center"/>
          </w:tcPr>
          <w:p w14:paraId="656142CB">
            <w:pPr>
              <w:pStyle w:val="29"/>
              <w:rPr>
                <w:rFonts w:ascii="Times New Roman" w:hAnsi="Times New Roman"/>
                <w:color w:val="auto"/>
                <w:highlight w:val="none"/>
                <w:shd w:val="clear"/>
              </w:rPr>
            </w:pPr>
          </w:p>
        </w:tc>
      </w:tr>
      <w:tr w14:paraId="64B1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0C978D63">
            <w:pPr>
              <w:pStyle w:val="29"/>
              <w:rPr>
                <w:rFonts w:ascii="Times New Roman" w:hAnsi="Times New Roman"/>
                <w:color w:val="auto"/>
                <w:highlight w:val="none"/>
                <w:shd w:val="clear"/>
              </w:rPr>
            </w:pPr>
          </w:p>
        </w:tc>
        <w:tc>
          <w:tcPr>
            <w:tcW w:w="1370" w:type="pct"/>
            <w:gridSpan w:val="2"/>
            <w:vAlign w:val="center"/>
          </w:tcPr>
          <w:p w14:paraId="2D17D327">
            <w:pPr>
              <w:pStyle w:val="29"/>
              <w:rPr>
                <w:rFonts w:ascii="Times New Roman" w:hAnsi="Times New Roman"/>
                <w:color w:val="auto"/>
                <w:highlight w:val="none"/>
                <w:shd w:val="clear"/>
              </w:rPr>
            </w:pPr>
          </w:p>
        </w:tc>
        <w:tc>
          <w:tcPr>
            <w:tcW w:w="917" w:type="pct"/>
            <w:gridSpan w:val="2"/>
            <w:vAlign w:val="center"/>
          </w:tcPr>
          <w:p w14:paraId="060C3DE3">
            <w:pPr>
              <w:pStyle w:val="29"/>
              <w:rPr>
                <w:rFonts w:ascii="Times New Roman" w:hAnsi="Times New Roman"/>
                <w:color w:val="auto"/>
                <w:highlight w:val="none"/>
                <w:shd w:val="clear"/>
              </w:rPr>
            </w:pPr>
          </w:p>
        </w:tc>
        <w:tc>
          <w:tcPr>
            <w:tcW w:w="691" w:type="pct"/>
            <w:vAlign w:val="center"/>
          </w:tcPr>
          <w:p w14:paraId="1EAEE237">
            <w:pPr>
              <w:pStyle w:val="29"/>
              <w:rPr>
                <w:rFonts w:ascii="Times New Roman" w:hAnsi="Times New Roman"/>
                <w:color w:val="auto"/>
                <w:highlight w:val="none"/>
                <w:shd w:val="clear"/>
              </w:rPr>
            </w:pPr>
          </w:p>
        </w:tc>
        <w:tc>
          <w:tcPr>
            <w:tcW w:w="1309" w:type="pct"/>
            <w:gridSpan w:val="2"/>
            <w:vAlign w:val="center"/>
          </w:tcPr>
          <w:p w14:paraId="36292D06">
            <w:pPr>
              <w:pStyle w:val="29"/>
              <w:rPr>
                <w:rFonts w:ascii="Times New Roman" w:hAnsi="Times New Roman"/>
                <w:color w:val="auto"/>
                <w:highlight w:val="none"/>
                <w:shd w:val="clear"/>
              </w:rPr>
            </w:pPr>
          </w:p>
        </w:tc>
      </w:tr>
      <w:tr w14:paraId="48C5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7A083BC0">
            <w:pPr>
              <w:pStyle w:val="29"/>
              <w:rPr>
                <w:rFonts w:ascii="Times New Roman" w:hAnsi="Times New Roman"/>
                <w:color w:val="auto"/>
                <w:highlight w:val="none"/>
                <w:shd w:val="clear"/>
              </w:rPr>
            </w:pPr>
          </w:p>
        </w:tc>
        <w:tc>
          <w:tcPr>
            <w:tcW w:w="1370" w:type="pct"/>
            <w:gridSpan w:val="2"/>
            <w:vAlign w:val="center"/>
          </w:tcPr>
          <w:p w14:paraId="28E937BA">
            <w:pPr>
              <w:pStyle w:val="29"/>
              <w:rPr>
                <w:rFonts w:ascii="Times New Roman" w:hAnsi="Times New Roman"/>
                <w:color w:val="auto"/>
                <w:highlight w:val="none"/>
                <w:shd w:val="clear"/>
              </w:rPr>
            </w:pPr>
          </w:p>
        </w:tc>
        <w:tc>
          <w:tcPr>
            <w:tcW w:w="917" w:type="pct"/>
            <w:gridSpan w:val="2"/>
            <w:vAlign w:val="center"/>
          </w:tcPr>
          <w:p w14:paraId="160BA188">
            <w:pPr>
              <w:pStyle w:val="29"/>
              <w:rPr>
                <w:rFonts w:ascii="Times New Roman" w:hAnsi="Times New Roman"/>
                <w:color w:val="auto"/>
                <w:highlight w:val="none"/>
                <w:shd w:val="clear"/>
              </w:rPr>
            </w:pPr>
          </w:p>
        </w:tc>
        <w:tc>
          <w:tcPr>
            <w:tcW w:w="691" w:type="pct"/>
            <w:vAlign w:val="center"/>
          </w:tcPr>
          <w:p w14:paraId="57409268">
            <w:pPr>
              <w:pStyle w:val="29"/>
              <w:rPr>
                <w:rFonts w:ascii="Times New Roman" w:hAnsi="Times New Roman"/>
                <w:color w:val="auto"/>
                <w:highlight w:val="none"/>
                <w:shd w:val="clear"/>
              </w:rPr>
            </w:pPr>
          </w:p>
        </w:tc>
        <w:tc>
          <w:tcPr>
            <w:tcW w:w="1309" w:type="pct"/>
            <w:gridSpan w:val="2"/>
            <w:vAlign w:val="center"/>
          </w:tcPr>
          <w:p w14:paraId="633D7BDE">
            <w:pPr>
              <w:pStyle w:val="29"/>
              <w:rPr>
                <w:rFonts w:ascii="Times New Roman" w:hAnsi="Times New Roman"/>
                <w:color w:val="auto"/>
                <w:highlight w:val="none"/>
                <w:shd w:val="clear"/>
              </w:rPr>
            </w:pPr>
          </w:p>
        </w:tc>
      </w:tr>
      <w:tr w14:paraId="08D9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68C4D66E">
            <w:pPr>
              <w:pStyle w:val="29"/>
              <w:rPr>
                <w:rFonts w:ascii="Times New Roman" w:hAnsi="Times New Roman"/>
                <w:color w:val="auto"/>
                <w:highlight w:val="none"/>
                <w:shd w:val="clear"/>
              </w:rPr>
            </w:pPr>
          </w:p>
        </w:tc>
        <w:tc>
          <w:tcPr>
            <w:tcW w:w="1370" w:type="pct"/>
            <w:gridSpan w:val="2"/>
            <w:vAlign w:val="center"/>
          </w:tcPr>
          <w:p w14:paraId="626339C9">
            <w:pPr>
              <w:pStyle w:val="29"/>
              <w:rPr>
                <w:rFonts w:ascii="Times New Roman" w:hAnsi="Times New Roman"/>
                <w:color w:val="auto"/>
                <w:highlight w:val="none"/>
                <w:shd w:val="clear"/>
              </w:rPr>
            </w:pPr>
          </w:p>
        </w:tc>
        <w:tc>
          <w:tcPr>
            <w:tcW w:w="917" w:type="pct"/>
            <w:gridSpan w:val="2"/>
            <w:tcBorders>
              <w:right w:val="single" w:color="auto" w:sz="8" w:space="0"/>
            </w:tcBorders>
            <w:vAlign w:val="center"/>
          </w:tcPr>
          <w:p w14:paraId="13ACCF94">
            <w:pPr>
              <w:pStyle w:val="29"/>
              <w:rPr>
                <w:rFonts w:ascii="Times New Roman" w:hAnsi="Times New Roman"/>
                <w:color w:val="auto"/>
                <w:highlight w:val="none"/>
                <w:shd w:val="clear"/>
              </w:rPr>
            </w:pPr>
          </w:p>
        </w:tc>
        <w:tc>
          <w:tcPr>
            <w:tcW w:w="691" w:type="pct"/>
            <w:tcBorders>
              <w:left w:val="single" w:color="auto" w:sz="8" w:space="0"/>
            </w:tcBorders>
            <w:vAlign w:val="center"/>
          </w:tcPr>
          <w:p w14:paraId="67A42865">
            <w:pPr>
              <w:pStyle w:val="29"/>
              <w:rPr>
                <w:rFonts w:ascii="Times New Roman" w:hAnsi="Times New Roman"/>
                <w:color w:val="auto"/>
                <w:highlight w:val="none"/>
                <w:shd w:val="clear"/>
              </w:rPr>
            </w:pPr>
          </w:p>
        </w:tc>
        <w:tc>
          <w:tcPr>
            <w:tcW w:w="1309" w:type="pct"/>
            <w:gridSpan w:val="2"/>
            <w:vAlign w:val="center"/>
          </w:tcPr>
          <w:p w14:paraId="1FAE9D69">
            <w:pPr>
              <w:pStyle w:val="29"/>
              <w:rPr>
                <w:rFonts w:ascii="Times New Roman" w:hAnsi="Times New Roman"/>
                <w:color w:val="auto"/>
                <w:highlight w:val="none"/>
                <w:shd w:val="clear"/>
              </w:rPr>
            </w:pPr>
          </w:p>
        </w:tc>
      </w:tr>
      <w:tr w14:paraId="62B8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1A7C575C">
            <w:pPr>
              <w:pStyle w:val="29"/>
              <w:rPr>
                <w:rFonts w:ascii="Times New Roman" w:hAnsi="Times New Roman"/>
                <w:color w:val="auto"/>
                <w:highlight w:val="none"/>
                <w:shd w:val="clear"/>
              </w:rPr>
            </w:pPr>
            <w:r>
              <w:rPr>
                <w:rFonts w:hint="eastAsia" w:ascii="Times New Roman" w:hAnsi="Times New Roman"/>
                <w:color w:val="auto"/>
                <w:highlight w:val="none"/>
                <w:shd w:val="clear"/>
              </w:rPr>
              <w:t>获奖情况</w:t>
            </w:r>
          </w:p>
        </w:tc>
        <w:tc>
          <w:tcPr>
            <w:tcW w:w="4287" w:type="pct"/>
            <w:gridSpan w:val="7"/>
            <w:vAlign w:val="center"/>
          </w:tcPr>
          <w:p w14:paraId="2F301594">
            <w:pPr>
              <w:pStyle w:val="29"/>
              <w:rPr>
                <w:rFonts w:ascii="Times New Roman" w:hAnsi="Times New Roman"/>
                <w:color w:val="auto"/>
                <w:highlight w:val="none"/>
                <w:shd w:val="clear"/>
              </w:rPr>
            </w:pPr>
          </w:p>
        </w:tc>
      </w:tr>
    </w:tbl>
    <w:p w14:paraId="5C4F4BD9">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1.本表应填写项目经理和项目技术负责人相关情况。</w:t>
      </w:r>
    </w:p>
    <w:p w14:paraId="691DACC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2.投标人应根据招标文件第二章“投标人须知”前附表附录5、附录6的要求在本表后附相关证明材料，对于前附表附录5中的相关证明材料如投标文件已经提交 ，可不重复提交。</w:t>
      </w:r>
    </w:p>
    <w:p w14:paraId="327B4709">
      <w:pPr>
        <w:rPr>
          <w:rStyle w:val="25"/>
          <w:rFonts w:ascii="Times New Roman" w:hAnsi="Times New Roman"/>
          <w:bCs w:val="0"/>
          <w:color w:val="auto"/>
          <w:highlight w:val="none"/>
          <w:shd w:val="clear"/>
          <w:lang w:val="zh-CN"/>
        </w:rPr>
      </w:pPr>
      <w:bookmarkStart w:id="2208" w:name="_Toc170805415"/>
      <w:bookmarkStart w:id="2209" w:name="_Toc170805795"/>
      <w:bookmarkStart w:id="2210" w:name="_Toc460227113"/>
      <w:bookmarkStart w:id="2211" w:name="_Toc170804227"/>
      <w:bookmarkStart w:id="2212" w:name="_Toc390411626"/>
      <w:bookmarkStart w:id="2213" w:name="_Toc421917006"/>
      <w:bookmarkStart w:id="2214" w:name="_Toc460660228"/>
      <w:r>
        <w:rPr>
          <w:rStyle w:val="25"/>
          <w:rFonts w:ascii="Times New Roman" w:hAnsi="Times New Roman"/>
          <w:bCs w:val="0"/>
          <w:color w:val="auto"/>
          <w:highlight w:val="none"/>
          <w:shd w:val="clear"/>
          <w:lang w:val="zh-CN"/>
        </w:rPr>
        <w:br w:type="page"/>
      </w:r>
    </w:p>
    <w:p w14:paraId="25EAF8EC">
      <w:pPr>
        <w:pStyle w:val="28"/>
        <w:numPr>
          <w:ilvl w:val="0"/>
          <w:numId w:val="4"/>
        </w:numPr>
        <w:rPr>
          <w:rFonts w:ascii="Times New Roman" w:hAnsi="Times New Roman" w:eastAsia="黑体"/>
          <w:b w:val="0"/>
          <w:snapToGrid w:val="0"/>
          <w:color w:val="auto"/>
          <w:sz w:val="28"/>
          <w:szCs w:val="28"/>
          <w:highlight w:val="none"/>
          <w:shd w:val="clear"/>
          <w:lang w:val="zh-CN"/>
        </w:rPr>
      </w:pPr>
      <w:r>
        <w:rPr>
          <w:rFonts w:hint="eastAsia" w:ascii="Times New Roman" w:hAnsi="Times New Roman" w:eastAsia="黑体"/>
          <w:b w:val="0"/>
          <w:snapToGrid w:val="0"/>
          <w:color w:val="auto"/>
          <w:sz w:val="28"/>
          <w:szCs w:val="28"/>
          <w:highlight w:val="none"/>
          <w:shd w:val="clear"/>
          <w:lang w:val="zh-CN"/>
        </w:rPr>
        <w:t>项目经理承诺</w:t>
      </w:r>
      <w:bookmarkEnd w:id="2208"/>
      <w:bookmarkEnd w:id="2209"/>
      <w:bookmarkEnd w:id="2210"/>
      <w:bookmarkEnd w:id="2211"/>
      <w:bookmarkEnd w:id="2212"/>
      <w:bookmarkEnd w:id="2213"/>
      <w:bookmarkEnd w:id="2214"/>
    </w:p>
    <w:p w14:paraId="425C2CA8">
      <w:pPr>
        <w:pStyle w:val="28"/>
        <w:jc w:val="both"/>
        <w:rPr>
          <w:rFonts w:ascii="Times New Roman" w:hAnsi="Times New Roman"/>
          <w:color w:val="auto"/>
          <w:highlight w:val="none"/>
          <w:shd w:val="clear"/>
          <w:lang w:val="zh-CN"/>
        </w:rPr>
      </w:pPr>
    </w:p>
    <w:p w14:paraId="652A0857">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致：______________(招标人名称)</w:t>
      </w:r>
    </w:p>
    <w:p w14:paraId="188ECD3F">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本人作为拟委任的项目经理，现郑重承诺如下：</w:t>
      </w:r>
    </w:p>
    <w:p w14:paraId="3964A2FC">
      <w:pPr>
        <w:pStyle w:val="22"/>
        <w:ind w:firstLine="420"/>
        <w:rPr>
          <w:rFonts w:ascii="Times New Roman" w:hAnsi="Times New Roman"/>
          <w:bCs/>
          <w:color w:val="auto"/>
          <w:highlight w:val="none"/>
          <w:shd w:val="clear"/>
        </w:rPr>
      </w:pPr>
      <w:bookmarkStart w:id="2215" w:name="_Hlk176854228"/>
      <w:r>
        <w:rPr>
          <w:rFonts w:hint="eastAsia" w:ascii="Times New Roman" w:hAnsi="Times New Roman"/>
          <w:color w:val="auto"/>
          <w:highlight w:val="none"/>
          <w:shd w:val="clear"/>
        </w:rPr>
        <w:t>一、投标文件中提供的项目经理业绩已经本人核实，工程实施过程中项目经理为本人，合同履约过程中和竣工相关资料证明涉及的本人签字均为该工程实施时段所签，真实无误，不存在虚假和挂靠现象，也不存在为投标而造假的行为。</w:t>
      </w:r>
    </w:p>
    <w:p w14:paraId="64CD60C1">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二、目前未在其他项目上担任项目经理或虽在其他项目上担任项目经理，承诺在本项目中标后合同签订前能够从其他项目撤离，变更至本项目并全面履约。</w:t>
      </w:r>
    </w:p>
    <w:p w14:paraId="3605C9B2">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三、以上承诺如果发现虚假现象，本人愿意承担相应法律责任，并随时无条件配合你方调查取证。</w:t>
      </w:r>
    </w:p>
    <w:p w14:paraId="171775A0">
      <w:pPr>
        <w:pStyle w:val="22"/>
        <w:ind w:firstLine="420"/>
        <w:rPr>
          <w:rFonts w:ascii="Times New Roman" w:hAnsi="Times New Roman"/>
          <w:bCs/>
          <w:color w:val="auto"/>
          <w:highlight w:val="none"/>
          <w:u w:val="single"/>
          <w:shd w:val="clear"/>
        </w:rPr>
      </w:pPr>
      <w:r>
        <w:rPr>
          <w:rFonts w:hint="eastAsia" w:ascii="Times New Roman" w:hAnsi="Times New Roman"/>
          <w:color w:val="auto"/>
          <w:highlight w:val="none"/>
          <w:shd w:val="clear"/>
        </w:rPr>
        <w:t>四、</w:t>
      </w:r>
      <w:r>
        <w:rPr>
          <w:rFonts w:hint="eastAsia" w:ascii="Times New Roman" w:hAnsi="Times New Roman"/>
          <w:color w:val="auto"/>
          <w:highlight w:val="none"/>
          <w:u w:val="single"/>
          <w:shd w:val="clear"/>
        </w:rPr>
        <w:t xml:space="preserve">                                   </w:t>
      </w:r>
    </w:p>
    <w:bookmarkEnd w:id="2215"/>
    <w:p w14:paraId="7A084B4C">
      <w:pPr>
        <w:pStyle w:val="22"/>
        <w:ind w:firstLine="420"/>
        <w:rPr>
          <w:rFonts w:ascii="Times New Roman" w:hAnsi="Times New Roman"/>
          <w:bCs/>
          <w:color w:val="auto"/>
          <w:highlight w:val="none"/>
          <w:shd w:val="clear"/>
        </w:rPr>
      </w:pPr>
    </w:p>
    <w:p w14:paraId="2B3D8A16">
      <w:pPr>
        <w:pStyle w:val="22"/>
        <w:ind w:firstLine="420"/>
        <w:rPr>
          <w:rFonts w:ascii="Times New Roman" w:hAnsi="Times New Roman"/>
          <w:bCs/>
          <w:color w:val="auto"/>
          <w:highlight w:val="none"/>
          <w:shd w:val="clear"/>
        </w:rPr>
      </w:pPr>
    </w:p>
    <w:p w14:paraId="72E741FC">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项目经理：</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（签字）</w:t>
      </w:r>
    </w:p>
    <w:p w14:paraId="2CDB5224">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身份证号：</w:t>
      </w:r>
      <w:r>
        <w:rPr>
          <w:rFonts w:hint="eastAsia" w:ascii="Times New Roman" w:hAnsi="Times New Roman"/>
          <w:color w:val="auto"/>
          <w:highlight w:val="none"/>
          <w:u w:val="single"/>
          <w:shd w:val="clear"/>
        </w:rPr>
        <w:t xml:space="preserve">                       </w:t>
      </w:r>
    </w:p>
    <w:p w14:paraId="74EAF0A3">
      <w:pPr>
        <w:pStyle w:val="22"/>
        <w:ind w:firstLine="420"/>
        <w:rPr>
          <w:rFonts w:ascii="Times New Roman" w:hAnsi="Times New Roman"/>
          <w:bCs/>
          <w:color w:val="auto"/>
          <w:highlight w:val="none"/>
          <w:shd w:val="clear"/>
        </w:rPr>
      </w:pPr>
      <w:r>
        <w:rPr>
          <w:rFonts w:hint="eastAsia" w:ascii="Times New Roman" w:hAnsi="Times New Roman"/>
          <w:color w:val="auto"/>
          <w:highlight w:val="none"/>
          <w:shd w:val="clear"/>
        </w:rPr>
        <w:t>日期：_____年____月____日</w:t>
      </w:r>
    </w:p>
    <w:p w14:paraId="1D09C941">
      <w:pPr>
        <w:pStyle w:val="28"/>
        <w:numPr>
          <w:ilvl w:val="0"/>
          <w:numId w:val="0"/>
        </w:numPr>
        <w:jc w:val="center"/>
        <w:rPr>
          <w:rFonts w:ascii="Arial" w:hAnsi="Arial" w:cs="Wingdings"/>
          <w:color w:val="auto"/>
          <w:kern w:val="0"/>
          <w:szCs w:val="21"/>
          <w:highlight w:val="none"/>
          <w:shd w:val="clear"/>
        </w:rPr>
      </w:pPr>
      <w:bookmarkStart w:id="2216" w:name="_Toc170805797"/>
      <w:bookmarkStart w:id="2217" w:name="_Toc31971"/>
      <w:bookmarkStart w:id="2218" w:name="_Toc170804229"/>
      <w:bookmarkStart w:id="2219" w:name="_Toc23087"/>
      <w:bookmarkStart w:id="2220" w:name="_Toc170805417"/>
      <w:r>
        <w:rPr>
          <w:rFonts w:ascii="Times New Roman" w:hAnsi="Times New Roman"/>
          <w:color w:val="auto"/>
          <w:highlight w:val="none"/>
          <w:shd w:val="clear"/>
          <w:lang w:val="zh-CN"/>
        </w:rPr>
        <w:br w:type="page"/>
      </w:r>
      <w:r>
        <w:rPr>
          <w:rFonts w:hint="eastAsia" w:ascii="Times New Roman" w:hAnsi="Times New Roman" w:eastAsia="黑体" w:cs="宋体"/>
          <w:b w:val="0"/>
          <w:snapToGrid w:val="0"/>
          <w:color w:val="auto"/>
          <w:sz w:val="28"/>
          <w:szCs w:val="28"/>
          <w:highlight w:val="none"/>
          <w:shd w:val="clear"/>
          <w:lang w:val="zh-CN"/>
        </w:rPr>
        <w:t>（</w:t>
      </w:r>
      <w:r>
        <w:rPr>
          <w:rFonts w:hint="eastAsia" w:ascii="Times New Roman" w:hAnsi="Times New Roman" w:eastAsia="黑体" w:cs="宋体"/>
          <w:b w:val="0"/>
          <w:snapToGrid w:val="0"/>
          <w:color w:val="auto"/>
          <w:sz w:val="28"/>
          <w:szCs w:val="28"/>
          <w:highlight w:val="none"/>
          <w:shd w:val="clear"/>
          <w:lang w:val="en-US" w:eastAsia="zh-CN"/>
        </w:rPr>
        <w:t>八</w:t>
      </w:r>
      <w:r>
        <w:rPr>
          <w:rFonts w:hint="eastAsia" w:ascii="Times New Roman" w:hAnsi="Times New Roman" w:eastAsia="黑体" w:cs="宋体"/>
          <w:b w:val="0"/>
          <w:snapToGrid w:val="0"/>
          <w:color w:val="auto"/>
          <w:sz w:val="28"/>
          <w:szCs w:val="28"/>
          <w:highlight w:val="none"/>
          <w:shd w:val="clear"/>
          <w:lang w:val="zh-CN"/>
        </w:rPr>
        <w:t>）中小企业声明函（工程）</w:t>
      </w:r>
    </w:p>
    <w:p w14:paraId="2F51E0BB">
      <w:pPr>
        <w:autoSpaceDE w:val="0"/>
        <w:autoSpaceDN w:val="0"/>
        <w:adjustRightInd w:val="0"/>
        <w:jc w:val="left"/>
        <w:rPr>
          <w:rFonts w:ascii="Arial" w:hAnsi="Arial" w:cs="Wingdings"/>
          <w:color w:val="auto"/>
          <w:kern w:val="0"/>
          <w:szCs w:val="21"/>
          <w:highlight w:val="none"/>
          <w:shd w:val="clear"/>
        </w:rPr>
      </w:pPr>
    </w:p>
    <w:p w14:paraId="6C14ED77">
      <w:pPr>
        <w:pStyle w:val="20"/>
        <w:rPr>
          <w:rFonts w:hint="eastAsia"/>
          <w:color w:val="auto"/>
          <w:highlight w:val="none"/>
          <w:shd w:val="clear"/>
        </w:rPr>
      </w:pPr>
      <w:r>
        <w:rPr>
          <w:rFonts w:hint="eastAsia"/>
          <w:color w:val="auto"/>
          <w:highlight w:val="none"/>
          <w:shd w:val="clear"/>
        </w:rPr>
        <w:t>1.</w:t>
      </w:r>
      <w:r>
        <w:rPr>
          <w:color w:val="auto"/>
          <w:highlight w:val="none"/>
          <w:shd w:val="clear"/>
        </w:rPr>
        <w:t>中小企业声明函</w:t>
      </w:r>
    </w:p>
    <w:p w14:paraId="3AF91B9C">
      <w:pPr>
        <w:topLinePunct/>
        <w:spacing w:line="360" w:lineRule="auto"/>
        <w:ind w:firstLine="420" w:firstLineChars="200"/>
        <w:jc w:val="left"/>
        <w:rPr>
          <w:rFonts w:ascii="Times New Roman" w:hAnsi="Times New Roman"/>
          <w:bCs/>
          <w:color w:val="auto"/>
          <w:highlight w:val="none"/>
          <w:shd w:val="clear"/>
          <w:lang w:val="zh-CN"/>
        </w:rPr>
      </w:pPr>
      <w:r>
        <w:rPr>
          <w:rFonts w:hint="eastAsia" w:ascii="Times New Roman" w:hAnsi="Times New Roman"/>
          <w:color w:val="auto"/>
          <w:highlight w:val="none"/>
          <w:shd w:val="clear"/>
          <w:lang w:val="zh-CN"/>
        </w:rPr>
        <w:t>本公司（联合体）郑重声明，根据《政府采购促进中小企业发展管理办法》（财库﹝2020﹞46号）的规定，本公司（联合体）参加</w:t>
      </w:r>
      <w:r>
        <w:rPr>
          <w:rFonts w:hint="eastAsia" w:ascii="Times New Roman" w:hAnsi="Times New Roman"/>
          <w:color w:val="auto"/>
          <w:highlight w:val="none"/>
          <w:u w:val="single"/>
          <w:shd w:val="clear"/>
          <w:lang w:val="zh-CN"/>
        </w:rPr>
        <w:t>固镇县仲兴镇2025年和美乡村省级中心村建设项目</w:t>
      </w:r>
      <w:r>
        <w:rPr>
          <w:rFonts w:hint="eastAsia" w:ascii="Times New Roman" w:hAnsi="Times New Roman"/>
          <w:color w:val="auto"/>
          <w:highlight w:val="none"/>
          <w:shd w:val="clear"/>
          <w:lang w:val="zh-CN"/>
        </w:rPr>
        <w:t>招标采购活动，工程的施工单位全部为符合政策要求的中小企业。相关企业（含联合体中的中小企业、签订分包意向协议的中小企业）的具体情况如下：</w:t>
      </w:r>
    </w:p>
    <w:p w14:paraId="36E372C1">
      <w:pPr>
        <w:topLinePunct/>
        <w:spacing w:line="360" w:lineRule="auto"/>
        <w:ind w:firstLine="420" w:firstLineChars="200"/>
        <w:jc w:val="left"/>
        <w:rPr>
          <w:rFonts w:ascii="Times New Roman" w:hAnsi="Times New Roman"/>
          <w:bCs/>
          <w:color w:val="auto"/>
          <w:highlight w:val="none"/>
          <w:shd w:val="clear"/>
          <w:lang w:val="zh-CN"/>
        </w:rPr>
      </w:pPr>
      <w:r>
        <w:rPr>
          <w:rFonts w:hint="eastAsia" w:ascii="Times New Roman" w:hAnsi="Times New Roman"/>
          <w:color w:val="auto"/>
          <w:highlight w:val="none"/>
          <w:shd w:val="clear"/>
          <w:lang w:val="zh-CN"/>
        </w:rPr>
        <w:t>1.</w:t>
      </w:r>
      <w:r>
        <w:rPr>
          <w:rFonts w:hint="eastAsia"/>
          <w:color w:val="auto"/>
          <w:highlight w:val="none"/>
          <w:shd w:val="clear"/>
        </w:rPr>
        <w:t xml:space="preserve"> </w:t>
      </w:r>
      <w:r>
        <w:rPr>
          <w:rFonts w:hint="eastAsia"/>
          <w:color w:val="auto"/>
          <w:highlight w:val="none"/>
          <w:u w:val="single"/>
          <w:shd w:val="clear"/>
          <w:lang w:eastAsia="zh-CN"/>
        </w:rPr>
        <w:t>固镇县仲兴镇2025年和美乡村省级中心村建设项目</w:t>
      </w:r>
      <w:r>
        <w:rPr>
          <w:rFonts w:hint="eastAsia" w:ascii="Times New Roman" w:hAnsi="Times New Roman"/>
          <w:color w:val="auto"/>
          <w:highlight w:val="none"/>
          <w:shd w:val="clear"/>
          <w:lang w:val="zh-CN"/>
        </w:rPr>
        <w:t>，属于</w:t>
      </w:r>
      <w:r>
        <w:rPr>
          <w:rFonts w:hint="eastAsia" w:ascii="Times New Roman" w:hAnsi="Times New Roman"/>
          <w:color w:val="auto"/>
          <w:highlight w:val="none"/>
          <w:u w:val="single"/>
          <w:shd w:val="clear"/>
          <w:lang w:val="zh-CN"/>
        </w:rPr>
        <w:t>建筑业</w:t>
      </w:r>
      <w:r>
        <w:rPr>
          <w:rFonts w:hint="eastAsia" w:ascii="Times New Roman" w:hAnsi="Times New Roman"/>
          <w:color w:val="auto"/>
          <w:highlight w:val="none"/>
          <w:shd w:val="clear"/>
          <w:lang w:val="zh-CN"/>
        </w:rPr>
        <w:t>；承建企业为</w:t>
      </w:r>
      <w:r>
        <w:rPr>
          <w:rFonts w:hint="eastAsia" w:ascii="Times New Roman" w:hAnsi="Times New Roman"/>
          <w:color w:val="auto"/>
          <w:highlight w:val="none"/>
          <w:u w:val="single"/>
          <w:shd w:val="clear"/>
          <w:lang w:val="zh-CN"/>
        </w:rPr>
        <w:t>（企业名称）</w:t>
      </w:r>
      <w:r>
        <w:rPr>
          <w:rFonts w:hint="eastAsia" w:ascii="Times New Roman" w:hAnsi="Times New Roman"/>
          <w:color w:val="auto"/>
          <w:highlight w:val="none"/>
          <w:shd w:val="clear"/>
          <w:lang w:val="zh-CN"/>
        </w:rPr>
        <w:t>，从业人员</w:t>
      </w:r>
      <w:r>
        <w:rPr>
          <w:rFonts w:hint="eastAsia" w:ascii="Times New Roman" w:hAnsi="Times New Roman"/>
          <w:color w:val="auto"/>
          <w:highlight w:val="none"/>
          <w:u w:val="single"/>
          <w:shd w:val="clear"/>
          <w:lang w:val="zh-CN"/>
        </w:rPr>
        <w:t xml:space="preserve">     </w:t>
      </w:r>
      <w:r>
        <w:rPr>
          <w:rFonts w:hint="eastAsia" w:ascii="Times New Roman" w:hAnsi="Times New Roman"/>
          <w:color w:val="auto"/>
          <w:highlight w:val="none"/>
          <w:shd w:val="clear"/>
          <w:lang w:val="zh-CN"/>
        </w:rPr>
        <w:t>人，营业收入为</w:t>
      </w:r>
      <w:r>
        <w:rPr>
          <w:rFonts w:hint="eastAsia" w:ascii="Times New Roman" w:hAnsi="Times New Roman"/>
          <w:color w:val="auto"/>
          <w:highlight w:val="none"/>
          <w:u w:val="single"/>
          <w:shd w:val="clear"/>
          <w:lang w:val="zh-CN"/>
        </w:rPr>
        <w:t xml:space="preserve">     </w:t>
      </w:r>
      <w:r>
        <w:rPr>
          <w:rFonts w:hint="eastAsia" w:ascii="Times New Roman" w:hAnsi="Times New Roman"/>
          <w:color w:val="auto"/>
          <w:highlight w:val="none"/>
          <w:shd w:val="clear"/>
          <w:lang w:val="zh-CN"/>
        </w:rPr>
        <w:t>万元，资产总额为</w:t>
      </w:r>
      <w:r>
        <w:rPr>
          <w:rFonts w:hint="eastAsia" w:ascii="Times New Roman" w:hAnsi="Times New Roman"/>
          <w:color w:val="auto"/>
          <w:highlight w:val="none"/>
          <w:u w:val="single"/>
          <w:shd w:val="clear"/>
          <w:lang w:val="zh-CN"/>
        </w:rPr>
        <w:t xml:space="preserve">     </w:t>
      </w:r>
      <w:r>
        <w:rPr>
          <w:rFonts w:hint="eastAsia" w:ascii="Times New Roman" w:hAnsi="Times New Roman"/>
          <w:color w:val="auto"/>
          <w:highlight w:val="none"/>
          <w:shd w:val="clear"/>
          <w:lang w:val="zh-CN"/>
        </w:rPr>
        <w:t>万元，属于</w:t>
      </w:r>
      <w:r>
        <w:rPr>
          <w:rFonts w:hint="eastAsia" w:ascii="Times New Roman" w:hAnsi="Times New Roman"/>
          <w:color w:val="auto"/>
          <w:highlight w:val="none"/>
          <w:u w:val="single"/>
          <w:shd w:val="clear"/>
          <w:lang w:val="zh-CN"/>
        </w:rPr>
        <w:t>（中型企业、小型企业、微型企业）</w:t>
      </w:r>
      <w:r>
        <w:rPr>
          <w:rFonts w:hint="eastAsia" w:ascii="Times New Roman" w:hAnsi="Times New Roman"/>
          <w:color w:val="auto"/>
          <w:highlight w:val="none"/>
          <w:shd w:val="clear"/>
          <w:lang w:val="zh-CN"/>
        </w:rPr>
        <w:t>；</w:t>
      </w:r>
    </w:p>
    <w:p w14:paraId="3F6E8740">
      <w:pPr>
        <w:wordWrap w:val="0"/>
        <w:topLinePunct/>
        <w:spacing w:line="400" w:lineRule="exact"/>
        <w:ind w:firstLine="420" w:firstLineChars="200"/>
        <w:jc w:val="left"/>
        <w:rPr>
          <w:rFonts w:ascii="Times New Roman" w:hAnsi="Times New Roman"/>
          <w:bCs/>
          <w:color w:val="auto"/>
          <w:highlight w:val="none"/>
          <w:shd w:val="clear"/>
          <w:lang w:val="zh-CN"/>
        </w:rPr>
      </w:pPr>
      <w:r>
        <w:rPr>
          <w:rFonts w:hint="eastAsia" w:ascii="Times New Roman" w:hAnsi="Times New Roman"/>
          <w:color w:val="auto"/>
          <w:highlight w:val="none"/>
          <w:shd w:val="clear"/>
          <w:lang w:val="zh-CN"/>
        </w:rPr>
        <w:t>……</w:t>
      </w:r>
    </w:p>
    <w:p w14:paraId="1F7D0402">
      <w:pPr>
        <w:wordWrap w:val="0"/>
        <w:topLinePunct/>
        <w:spacing w:line="400" w:lineRule="exact"/>
        <w:ind w:firstLine="420" w:firstLineChars="200"/>
        <w:jc w:val="left"/>
        <w:rPr>
          <w:rFonts w:ascii="Times New Roman" w:hAnsi="Times New Roman"/>
          <w:bCs/>
          <w:color w:val="auto"/>
          <w:highlight w:val="none"/>
          <w:shd w:val="clear"/>
          <w:lang w:val="zh-CN"/>
        </w:rPr>
      </w:pPr>
      <w:r>
        <w:rPr>
          <w:rFonts w:hint="eastAsia" w:ascii="Times New Roman" w:hAnsi="Times New Roman"/>
          <w:color w:val="auto"/>
          <w:highlight w:val="none"/>
          <w:shd w:val="clear"/>
          <w:lang w:val="zh-CN"/>
        </w:rPr>
        <w:t>以上企业，不属于大企业的分支机构，不存在控股股东为大企业的情形，也不存在与大企业的负责人为同一人的情形。</w:t>
      </w:r>
    </w:p>
    <w:p w14:paraId="0541DDAB">
      <w:pPr>
        <w:wordWrap w:val="0"/>
        <w:topLinePunct/>
        <w:spacing w:line="400" w:lineRule="exact"/>
        <w:ind w:firstLine="420" w:firstLineChars="200"/>
        <w:jc w:val="left"/>
        <w:rPr>
          <w:rFonts w:ascii="Times New Roman" w:hAnsi="Times New Roman" w:cs="@仿宋_GB2312"/>
          <w:bCs/>
          <w:color w:val="auto"/>
          <w:sz w:val="24"/>
          <w:szCs w:val="24"/>
          <w:highlight w:val="none"/>
          <w:shd w:val="clear"/>
        </w:rPr>
      </w:pPr>
      <w:r>
        <w:rPr>
          <w:rFonts w:hint="eastAsia" w:ascii="Times New Roman" w:hAnsi="Times New Roman"/>
          <w:color w:val="auto"/>
          <w:highlight w:val="none"/>
          <w:shd w:val="clear"/>
          <w:lang w:val="zh-CN"/>
        </w:rPr>
        <w:t>本企业对上述声明内容的真实性负责。如有虚假，将依法承担相应责任。</w:t>
      </w:r>
    </w:p>
    <w:p w14:paraId="5FDFAAF1">
      <w:pPr>
        <w:spacing w:line="360" w:lineRule="auto"/>
        <w:ind w:firstLine="435"/>
        <w:rPr>
          <w:rFonts w:ascii="Times New Roman" w:hAnsi="Times New Roman" w:cs="@仿宋_GB2312"/>
          <w:color w:val="auto"/>
          <w:sz w:val="24"/>
          <w:szCs w:val="24"/>
          <w:highlight w:val="none"/>
          <w:shd w:val="clear"/>
        </w:rPr>
      </w:pPr>
    </w:p>
    <w:p w14:paraId="0298974A">
      <w:pPr>
        <w:spacing w:line="360" w:lineRule="auto"/>
        <w:ind w:firstLine="4330" w:firstLineChars="2062"/>
        <w:jc w:val="right"/>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t>投 标 人：</w:t>
      </w:r>
      <w:r>
        <w:rPr>
          <w:rFonts w:hint="eastAsia" w:ascii="Times New Roman" w:hAnsi="Times New Roman"/>
          <w:color w:val="auto"/>
          <w:highlight w:val="none"/>
          <w:u w:val="single"/>
          <w:shd w:val="clear"/>
          <w:lang w:val="zh-CN"/>
        </w:rPr>
        <w:t xml:space="preserve">        </w:t>
      </w:r>
      <w:r>
        <w:rPr>
          <w:rFonts w:hint="eastAsia" w:ascii="Times New Roman" w:hAnsi="Times New Roman"/>
          <w:color w:val="auto"/>
          <w:highlight w:val="none"/>
          <w:shd w:val="clear"/>
          <w:lang w:val="zh-CN"/>
        </w:rPr>
        <w:t>(盖单位章)</w:t>
      </w:r>
    </w:p>
    <w:p w14:paraId="6AB5745A">
      <w:pPr>
        <w:tabs>
          <w:tab w:val="left" w:pos="4620"/>
        </w:tabs>
        <w:spacing w:line="360" w:lineRule="auto"/>
        <w:ind w:firstLine="4347" w:firstLineChars="2070"/>
        <w:jc w:val="right"/>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t>日</w:t>
      </w:r>
      <w:r>
        <w:rPr>
          <w:rFonts w:hint="eastAsia" w:ascii="Times New Roman" w:hAnsi="Times New Roman"/>
          <w:color w:val="auto"/>
          <w:highlight w:val="none"/>
          <w:shd w:val="clear"/>
        </w:rPr>
        <w:t xml:space="preserve">   </w:t>
      </w:r>
      <w:r>
        <w:rPr>
          <w:rFonts w:hint="eastAsia" w:ascii="Times New Roman" w:hAnsi="Times New Roman"/>
          <w:color w:val="auto"/>
          <w:highlight w:val="none"/>
          <w:shd w:val="clear"/>
          <w:lang w:val="zh-CN"/>
        </w:rPr>
        <w:t xml:space="preserve"> 期：</w:t>
      </w:r>
      <w:r>
        <w:rPr>
          <w:rFonts w:hint="eastAsia" w:ascii="Times New Roman" w:hAnsi="Times New Roman"/>
          <w:color w:val="auto"/>
          <w:highlight w:val="none"/>
          <w:u w:val="single"/>
          <w:shd w:val="clear"/>
        </w:rPr>
        <w:t xml:space="preserve">      年   月   日</w:t>
      </w:r>
    </w:p>
    <w:p w14:paraId="09BEAE20">
      <w:pPr>
        <w:wordWrap w:val="0"/>
        <w:topLinePunct/>
        <w:spacing w:line="400" w:lineRule="exact"/>
        <w:ind w:firstLine="420" w:firstLineChars="200"/>
        <w:jc w:val="left"/>
        <w:rPr>
          <w:rFonts w:ascii="Times New Roman" w:hAnsi="Times New Roman"/>
          <w:bCs/>
          <w:iCs/>
          <w:color w:val="auto"/>
          <w:highlight w:val="none"/>
          <w:shd w:val="clear"/>
        </w:rPr>
      </w:pPr>
      <w:r>
        <w:rPr>
          <w:rFonts w:hint="eastAsia" w:ascii="Times New Roman" w:hAnsi="Times New Roman"/>
          <w:iCs/>
          <w:color w:val="auto"/>
          <w:highlight w:val="none"/>
          <w:shd w:val="clear"/>
        </w:rPr>
        <w:t>注：</w:t>
      </w:r>
    </w:p>
    <w:p w14:paraId="53281BC1">
      <w:pPr>
        <w:wordWrap w:val="0"/>
        <w:topLinePunct/>
        <w:spacing w:line="400" w:lineRule="exact"/>
        <w:ind w:firstLine="420" w:firstLineChars="200"/>
        <w:jc w:val="left"/>
        <w:rPr>
          <w:rFonts w:hint="eastAsia" w:ascii="Times New Roman" w:hAnsi="Times New Roman" w:eastAsia="宋体" w:cs="Times New Roman"/>
          <w:color w:val="auto"/>
          <w:highlight w:val="none"/>
          <w:shd w:val="clear"/>
          <w:lang w:val="en-US" w:eastAsia="zh-CN"/>
        </w:rPr>
      </w:pPr>
      <w:r>
        <w:rPr>
          <w:rFonts w:hint="eastAsia" w:ascii="Times New Roman" w:hAnsi="Times New Roman" w:eastAsia="宋体" w:cs="Times New Roman"/>
          <w:color w:val="auto"/>
          <w:highlight w:val="none"/>
          <w:shd w:val="clear"/>
          <w:lang w:val="en-US" w:eastAsia="zh-CN"/>
        </w:rPr>
        <w:t>1.从业人员、营业收入、资产总额填报上一年数据，无上一年数据的新成立企业可不填报。</w:t>
      </w:r>
    </w:p>
    <w:p w14:paraId="44D50E60">
      <w:pPr>
        <w:wordWrap w:val="0"/>
        <w:topLinePunct/>
        <w:spacing w:line="400" w:lineRule="exact"/>
        <w:ind w:firstLine="420" w:firstLineChars="200"/>
        <w:jc w:val="left"/>
        <w:rPr>
          <w:rFonts w:hint="default" w:ascii="Times New Roman" w:hAnsi="Times New Roman" w:eastAsia="宋体" w:cs="Times New Roman"/>
          <w:color w:val="auto"/>
          <w:highlight w:val="none"/>
          <w:shd w:val="clear"/>
          <w:lang w:val="en-US" w:eastAsia="zh-CN"/>
        </w:rPr>
      </w:pPr>
      <w:r>
        <w:rPr>
          <w:rFonts w:hint="eastAsia" w:ascii="Times New Roman" w:hAnsi="Times New Roman" w:eastAsia="宋体" w:cs="Times New Roman"/>
          <w:color w:val="auto"/>
          <w:highlight w:val="none"/>
          <w:shd w:val="clear"/>
          <w:lang w:val="en-US" w:eastAsia="zh-CN"/>
        </w:rPr>
        <w:t>2.上述“招标文件中明确的所属行业”，详见第二章投标人须知前附表明确的“所属行业”。</w:t>
      </w:r>
    </w:p>
    <w:p w14:paraId="35D85B35">
      <w:pPr>
        <w:wordWrap w:val="0"/>
        <w:topLinePunct/>
        <w:spacing w:line="400" w:lineRule="exact"/>
        <w:ind w:firstLine="420" w:firstLineChars="200"/>
        <w:jc w:val="left"/>
        <w:rPr>
          <w:rFonts w:hint="eastAsia" w:ascii="Times New Roman" w:hAnsi="Times New Roman" w:eastAsia="宋体" w:cs="Times New Roman"/>
          <w:color w:val="auto"/>
          <w:highlight w:val="none"/>
          <w:shd w:val="clear"/>
          <w:lang w:val="en-US" w:eastAsia="zh-CN"/>
        </w:rPr>
      </w:pPr>
      <w:r>
        <w:rPr>
          <w:rFonts w:hint="eastAsia" w:ascii="Times New Roman" w:hAnsi="Times New Roman" w:eastAsia="宋体" w:cs="Times New Roman"/>
          <w:color w:val="auto"/>
          <w:highlight w:val="none"/>
          <w:shd w:val="clear"/>
          <w:lang w:val="en-US" w:eastAsia="zh-CN"/>
        </w:rPr>
        <w:t>3.供应商须对《中小企业声明函》的真实性负责。如有虚假，属于提供虚假材料谋取成交，将依法追究相应责任。</w:t>
      </w:r>
    </w:p>
    <w:p w14:paraId="1DFB7F63">
      <w:pPr>
        <w:wordWrap w:val="0"/>
        <w:topLinePunct/>
        <w:spacing w:line="400" w:lineRule="exact"/>
        <w:ind w:firstLine="420" w:firstLineChars="200"/>
        <w:jc w:val="left"/>
        <w:rPr>
          <w:rFonts w:ascii="Times New Roman" w:hAnsi="Times New Roman"/>
          <w:bCs/>
          <w:color w:val="auto"/>
          <w:highlight w:val="none"/>
          <w:shd w:val="clear"/>
        </w:rPr>
      </w:pPr>
    </w:p>
    <w:p w14:paraId="3B6F0418">
      <w:pPr>
        <w:widowControl/>
        <w:jc w:val="left"/>
        <w:rPr>
          <w:rFonts w:ascii="Times New Roman" w:hAnsi="Times New Roman" w:eastAsia="黑体" w:cs="仿宋"/>
          <w:snapToGrid w:val="0"/>
          <w:color w:val="auto"/>
          <w:sz w:val="28"/>
          <w:szCs w:val="28"/>
          <w:highlight w:val="none"/>
          <w:shd w:val="clear"/>
        </w:rPr>
      </w:pPr>
      <w:r>
        <w:rPr>
          <w:rFonts w:hint="eastAsia" w:ascii="Times New Roman" w:hAnsi="Times New Roman"/>
          <w:color w:val="auto"/>
          <w:highlight w:val="none"/>
          <w:shd w:val="clear"/>
        </w:rPr>
        <w:br w:type="page"/>
      </w:r>
    </w:p>
    <w:p w14:paraId="1D4C89CA">
      <w:pPr>
        <w:pStyle w:val="11"/>
        <w:widowControl w:val="0"/>
        <w:autoSpaceDE w:val="0"/>
        <w:autoSpaceDN w:val="0"/>
        <w:snapToGrid w:val="0"/>
        <w:spacing w:before="0" w:beforeAutospacing="0" w:after="0" w:afterAutospacing="0" w:line="360" w:lineRule="auto"/>
        <w:ind w:firstLine="480" w:firstLineChars="200"/>
        <w:rPr>
          <w:rFonts w:hint="eastAsia" w:ascii="宋体" w:hAnsi="宋体"/>
          <w:color w:val="auto"/>
          <w:szCs w:val="21"/>
          <w:highlight w:val="none"/>
          <w:shd w:val="clear"/>
        </w:rPr>
      </w:pPr>
    </w:p>
    <w:p w14:paraId="08234B2E">
      <w:pPr>
        <w:rPr>
          <w:rFonts w:hint="eastAsia" w:ascii="宋体" w:hAnsi="宋体" w:cs="宋体"/>
          <w:color w:val="auto"/>
          <w:highlight w:val="none"/>
          <w:shd w:val="clear"/>
        </w:rPr>
      </w:pPr>
      <w:bookmarkStart w:id="2221" w:name="OLE_LINK14"/>
      <w:bookmarkStart w:id="2222" w:name="OLE_LINK13"/>
    </w:p>
    <w:p w14:paraId="1BA09563">
      <w:pPr>
        <w:pStyle w:val="7"/>
        <w:spacing w:line="360" w:lineRule="auto"/>
        <w:ind w:left="0" w:leftChars="0"/>
        <w:jc w:val="center"/>
        <w:rPr>
          <w:rFonts w:hint="eastAsia" w:hAnsi="宋体" w:cs="宋体"/>
          <w:color w:val="auto"/>
          <w:spacing w:val="6"/>
          <w:szCs w:val="24"/>
          <w:highlight w:val="none"/>
          <w:shd w:val="clear"/>
        </w:rPr>
      </w:pPr>
      <w:r>
        <w:rPr>
          <w:rFonts w:hint="eastAsia" w:hAnsi="宋体" w:cs="宋体"/>
          <w:color w:val="auto"/>
          <w:spacing w:val="6"/>
          <w:szCs w:val="24"/>
          <w:highlight w:val="none"/>
          <w:shd w:val="clear"/>
          <w:lang w:val="en-US" w:eastAsia="zh-CN"/>
        </w:rPr>
        <w:t>2.</w:t>
      </w:r>
      <w:r>
        <w:rPr>
          <w:rFonts w:hint="eastAsia" w:hAnsi="宋体" w:cs="宋体"/>
          <w:color w:val="auto"/>
          <w:spacing w:val="6"/>
          <w:szCs w:val="24"/>
          <w:highlight w:val="none"/>
          <w:shd w:val="clear"/>
        </w:rPr>
        <w:t>残疾人福利性单位声明函</w:t>
      </w:r>
    </w:p>
    <w:bookmarkEnd w:id="2221"/>
    <w:bookmarkEnd w:id="2222"/>
    <w:p w14:paraId="7C853D6C">
      <w:pPr>
        <w:autoSpaceDE w:val="0"/>
        <w:autoSpaceDN w:val="0"/>
        <w:snapToGrid w:val="0"/>
        <w:spacing w:line="360" w:lineRule="auto"/>
        <w:ind w:left="80" w:leftChars="38" w:right="40" w:firstLine="444" w:firstLineChars="200"/>
        <w:rPr>
          <w:rFonts w:hint="eastAsia" w:ascii="宋体" w:hAnsi="宋体" w:cs="宋体"/>
          <w:color w:val="auto"/>
          <w:spacing w:val="6"/>
          <w:szCs w:val="21"/>
          <w:highlight w:val="none"/>
          <w:shd w:val="clear"/>
        </w:rPr>
      </w:pPr>
      <w:r>
        <w:rPr>
          <w:rFonts w:hint="eastAsia" w:ascii="宋体" w:hAnsi="宋体" w:cs="宋体"/>
          <w:color w:val="auto"/>
          <w:spacing w:val="6"/>
          <w:szCs w:val="21"/>
          <w:highlight w:val="none"/>
          <w:shd w:val="clear"/>
        </w:rPr>
        <w:t>本单位郑重声明，根据</w:t>
      </w:r>
      <w:r>
        <w:rPr>
          <w:rFonts w:hint="eastAsia" w:ascii="宋体" w:hAnsi="宋体" w:cs="宋体"/>
          <w:color w:val="auto"/>
          <w:szCs w:val="21"/>
          <w:highlight w:val="none"/>
          <w:shd w:val="clear"/>
          <w:lang w:val="zh-CN"/>
        </w:rPr>
        <w:t>《财政部 民政部 中国残疾人联合会关于促进残疾人就业政府采购政策的通知》</w:t>
      </w:r>
      <w:r>
        <w:rPr>
          <w:rFonts w:hint="eastAsia" w:ascii="宋体" w:hAnsi="宋体" w:cs="宋体"/>
          <w:color w:val="auto"/>
          <w:spacing w:val="6"/>
          <w:szCs w:val="21"/>
          <w:highlight w:val="none"/>
          <w:shd w:val="clear"/>
        </w:rPr>
        <w:t>（财库</w:t>
      </w:r>
      <w:r>
        <w:rPr>
          <w:rFonts w:hint="eastAsia" w:ascii="宋体" w:hAnsi="宋体" w:cs="宋体"/>
          <w:color w:val="auto"/>
          <w:szCs w:val="21"/>
          <w:highlight w:val="none"/>
          <w:shd w:val="clear"/>
        </w:rPr>
        <w:t>〔2017〕141</w:t>
      </w:r>
      <w:r>
        <w:rPr>
          <w:rFonts w:hint="eastAsia" w:ascii="宋体" w:hAnsi="宋体" w:cs="宋体"/>
          <w:color w:val="auto"/>
          <w:spacing w:val="6"/>
          <w:szCs w:val="21"/>
          <w:highlight w:val="none"/>
          <w:shd w:val="clear"/>
        </w:rPr>
        <w:t>号）的规定，本单位为符合条件的残疾人福利性单位，且本单位参加</w:t>
      </w:r>
      <w:r>
        <w:rPr>
          <w:rFonts w:hint="eastAsia" w:ascii="宋体" w:hAnsi="宋体" w:cs="宋体"/>
          <w:i w:val="0"/>
          <w:iCs w:val="0"/>
          <w:color w:val="auto"/>
          <w:szCs w:val="21"/>
          <w:highlight w:val="none"/>
          <w:u w:val="single"/>
          <w:shd w:val="clear"/>
        </w:rPr>
        <w:t>（招标人名称）</w:t>
      </w:r>
      <w:r>
        <w:rPr>
          <w:rFonts w:hint="eastAsia" w:ascii="宋体" w:hAnsi="宋体" w:cs="宋体"/>
          <w:color w:val="auto"/>
          <w:szCs w:val="21"/>
          <w:highlight w:val="none"/>
          <w:shd w:val="clear"/>
        </w:rPr>
        <w:t>的</w:t>
      </w: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shd w:val="clear"/>
        </w:rPr>
        <w:t>（项目名称）</w:t>
      </w: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shd w:val="clear"/>
        </w:rPr>
        <w:t>标段施工招标活动</w:t>
      </w:r>
      <w:r>
        <w:rPr>
          <w:rFonts w:hint="eastAsia" w:ascii="宋体" w:hAnsi="宋体" w:cs="宋体"/>
          <w:color w:val="auto"/>
          <w:spacing w:val="6"/>
          <w:szCs w:val="21"/>
          <w:highlight w:val="none"/>
          <w:shd w:val="clear"/>
        </w:rPr>
        <w:t>。</w:t>
      </w:r>
    </w:p>
    <w:p w14:paraId="213A3ED4">
      <w:pPr>
        <w:autoSpaceDE w:val="0"/>
        <w:autoSpaceDN w:val="0"/>
        <w:snapToGrid w:val="0"/>
        <w:spacing w:line="360" w:lineRule="auto"/>
        <w:ind w:left="80" w:leftChars="38" w:right="40" w:firstLine="444" w:firstLineChars="200"/>
        <w:rPr>
          <w:rFonts w:hint="eastAsia" w:ascii="宋体" w:hAnsi="宋体" w:cs="宋体"/>
          <w:color w:val="auto"/>
          <w:spacing w:val="6"/>
          <w:szCs w:val="21"/>
          <w:highlight w:val="none"/>
          <w:shd w:val="clear"/>
        </w:rPr>
      </w:pPr>
      <w:r>
        <w:rPr>
          <w:rFonts w:hint="eastAsia" w:ascii="宋体" w:hAnsi="宋体" w:cs="宋体"/>
          <w:color w:val="auto"/>
          <w:spacing w:val="6"/>
          <w:szCs w:val="21"/>
          <w:highlight w:val="none"/>
          <w:shd w:val="clear"/>
        </w:rPr>
        <w:t>本单位对上述声明的真实性负责。如有虚假，将依法承担相应责任。</w:t>
      </w:r>
    </w:p>
    <w:p w14:paraId="648E121B">
      <w:pPr>
        <w:spacing w:line="440" w:lineRule="exact"/>
        <w:jc w:val="left"/>
        <w:rPr>
          <w:rFonts w:hint="eastAsia" w:ascii="宋体" w:hAnsi="宋体" w:cs="宋体"/>
          <w:color w:val="auto"/>
          <w:spacing w:val="6"/>
          <w:szCs w:val="21"/>
          <w:highlight w:val="none"/>
          <w:shd w:val="clear"/>
        </w:rPr>
      </w:pPr>
      <w:r>
        <w:rPr>
          <w:rFonts w:hint="eastAsia" w:ascii="宋体" w:hAnsi="宋体" w:cs="宋体"/>
          <w:color w:val="auto"/>
          <w:spacing w:val="6"/>
          <w:szCs w:val="21"/>
          <w:highlight w:val="none"/>
          <w:shd w:val="clear"/>
        </w:rPr>
        <w:t xml:space="preserve">              </w:t>
      </w:r>
    </w:p>
    <w:p w14:paraId="02B1CC5A">
      <w:pPr>
        <w:spacing w:line="360" w:lineRule="auto"/>
        <w:ind w:firstLine="3360" w:firstLineChars="1600"/>
        <w:jc w:val="left"/>
        <w:rPr>
          <w:rFonts w:hint="eastAsia" w:ascii="宋体" w:hAnsi="宋体" w:cs="宋体"/>
          <w:color w:val="auto"/>
          <w:szCs w:val="21"/>
          <w:highlight w:val="none"/>
          <w:shd w:val="clear"/>
        </w:rPr>
      </w:pPr>
      <w:r>
        <w:rPr>
          <w:rFonts w:hint="eastAsia" w:ascii="宋体" w:hAnsi="宋体" w:cs="宋体"/>
          <w:color w:val="auto"/>
          <w:szCs w:val="21"/>
          <w:highlight w:val="none"/>
          <w:shd w:val="clear"/>
        </w:rPr>
        <w:t>投 标 人：</w:t>
      </w: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u w:val="single"/>
          <w:shd w:val="clear"/>
        </w:rPr>
        <w:tab/>
      </w:r>
      <w:r>
        <w:rPr>
          <w:rFonts w:hint="eastAsia" w:ascii="宋体" w:hAnsi="宋体" w:cs="宋体"/>
          <w:color w:val="auto"/>
          <w:szCs w:val="21"/>
          <w:highlight w:val="none"/>
          <w:shd w:val="clear"/>
        </w:rPr>
        <w:t>（盖单位章）</w:t>
      </w:r>
    </w:p>
    <w:p w14:paraId="46D7A350">
      <w:pPr>
        <w:spacing w:line="360" w:lineRule="auto"/>
        <w:jc w:val="left"/>
        <w:rPr>
          <w:rFonts w:hint="eastAsia" w:ascii="宋体" w:hAnsi="宋体" w:cs="宋体"/>
          <w:color w:val="auto"/>
          <w:szCs w:val="21"/>
          <w:highlight w:val="none"/>
          <w:shd w:val="clear"/>
        </w:rPr>
      </w:pPr>
      <w:r>
        <w:rPr>
          <w:rFonts w:hint="eastAsia" w:ascii="宋体" w:hAnsi="宋体" w:cs="宋体"/>
          <w:color w:val="auto"/>
          <w:szCs w:val="21"/>
          <w:highlight w:val="none"/>
          <w:shd w:val="clear"/>
        </w:rPr>
        <w:t xml:space="preserve">                                法定代表人或其委托代理人：</w:t>
      </w: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u w:val="single"/>
          <w:shd w:val="clear"/>
        </w:rPr>
        <w:tab/>
      </w:r>
      <w:r>
        <w:rPr>
          <w:rFonts w:hint="eastAsia" w:ascii="宋体" w:hAnsi="宋体" w:cs="宋体"/>
          <w:color w:val="auto"/>
          <w:szCs w:val="21"/>
          <w:highlight w:val="none"/>
          <w:shd w:val="clear"/>
        </w:rPr>
        <w:t>（签字）</w:t>
      </w:r>
    </w:p>
    <w:p w14:paraId="35CF275B">
      <w:pPr>
        <w:autoSpaceDE w:val="0"/>
        <w:autoSpaceDN w:val="0"/>
        <w:snapToGrid w:val="0"/>
        <w:spacing w:line="360" w:lineRule="auto"/>
        <w:ind w:left="80" w:leftChars="38" w:right="40" w:firstLine="5880" w:firstLineChars="2800"/>
        <w:rPr>
          <w:rFonts w:hint="eastAsia" w:ascii="宋体" w:hAnsi="宋体" w:cs="宋体"/>
          <w:color w:val="auto"/>
          <w:szCs w:val="21"/>
          <w:highlight w:val="none"/>
          <w:shd w:val="clear"/>
        </w:rPr>
      </w:pP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shd w:val="clear"/>
        </w:rPr>
        <w:t>年</w:t>
      </w: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shd w:val="clear"/>
        </w:rPr>
        <w:t>月</w:t>
      </w:r>
      <w:r>
        <w:rPr>
          <w:rFonts w:hint="eastAsia" w:ascii="宋体" w:hAnsi="宋体" w:cs="宋体"/>
          <w:color w:val="auto"/>
          <w:szCs w:val="21"/>
          <w:highlight w:val="none"/>
          <w:u w:val="single"/>
          <w:shd w:val="clear"/>
        </w:rPr>
        <w:t xml:space="preserve">      </w:t>
      </w:r>
      <w:r>
        <w:rPr>
          <w:rFonts w:hint="eastAsia" w:ascii="宋体" w:hAnsi="宋体" w:cs="宋体"/>
          <w:color w:val="auto"/>
          <w:szCs w:val="21"/>
          <w:highlight w:val="none"/>
          <w:shd w:val="clear"/>
        </w:rPr>
        <w:t>日</w:t>
      </w:r>
    </w:p>
    <w:p w14:paraId="446FFDEC">
      <w:pPr>
        <w:autoSpaceDE w:val="0"/>
        <w:autoSpaceDN w:val="0"/>
        <w:snapToGrid w:val="0"/>
        <w:spacing w:line="360" w:lineRule="auto"/>
        <w:ind w:left="80" w:leftChars="38" w:right="40" w:firstLine="5880" w:firstLineChars="2800"/>
        <w:rPr>
          <w:rFonts w:hint="eastAsia" w:ascii="宋体" w:hAnsi="宋体" w:cs="宋体"/>
          <w:color w:val="auto"/>
          <w:szCs w:val="21"/>
          <w:highlight w:val="none"/>
          <w:shd w:val="clear"/>
        </w:rPr>
      </w:pPr>
    </w:p>
    <w:p w14:paraId="3BEC4939">
      <w:pPr>
        <w:autoSpaceDE w:val="0"/>
        <w:autoSpaceDN w:val="0"/>
        <w:snapToGrid w:val="0"/>
        <w:spacing w:line="360" w:lineRule="auto"/>
        <w:ind w:left="80" w:leftChars="38" w:right="40" w:firstLine="5880" w:firstLineChars="2800"/>
        <w:rPr>
          <w:rFonts w:hint="eastAsia" w:ascii="宋体" w:hAnsi="宋体" w:cs="宋体"/>
          <w:color w:val="auto"/>
          <w:szCs w:val="21"/>
          <w:highlight w:val="none"/>
          <w:shd w:val="clear"/>
        </w:rPr>
      </w:pPr>
    </w:p>
    <w:p w14:paraId="1EC669FB">
      <w:pPr>
        <w:autoSpaceDE w:val="0"/>
        <w:autoSpaceDN w:val="0"/>
        <w:snapToGrid w:val="0"/>
        <w:spacing w:line="360" w:lineRule="auto"/>
        <w:ind w:left="80" w:leftChars="38" w:right="40" w:firstLine="5880" w:firstLineChars="2800"/>
        <w:rPr>
          <w:rFonts w:hint="eastAsia" w:ascii="宋体" w:hAnsi="宋体" w:cs="宋体"/>
          <w:color w:val="auto"/>
          <w:szCs w:val="21"/>
          <w:highlight w:val="none"/>
          <w:shd w:val="clear"/>
        </w:rPr>
      </w:pPr>
    </w:p>
    <w:p w14:paraId="500F17C2">
      <w:pPr>
        <w:autoSpaceDE w:val="0"/>
        <w:autoSpaceDN w:val="0"/>
        <w:snapToGrid w:val="0"/>
        <w:spacing w:line="360" w:lineRule="auto"/>
        <w:ind w:left="80" w:leftChars="38" w:right="40"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注：1.监狱企业无需</w:t>
      </w:r>
      <w:r>
        <w:rPr>
          <w:rFonts w:hint="eastAsia" w:ascii="宋体" w:hAnsi="宋体" w:cs="宋体"/>
          <w:color w:val="auto"/>
          <w:spacing w:val="6"/>
          <w:sz w:val="22"/>
          <w:highlight w:val="none"/>
          <w:shd w:val="clear"/>
        </w:rPr>
        <w:t>提供</w:t>
      </w:r>
      <w:r>
        <w:rPr>
          <w:rFonts w:hint="eastAsia" w:ascii="宋体" w:hAnsi="宋体" w:cs="宋体"/>
          <w:color w:val="auto"/>
          <w:szCs w:val="21"/>
          <w:highlight w:val="none"/>
          <w:shd w:val="clear"/>
        </w:rPr>
        <w:t>《中小企业声明函》，需要提供由省级以上监狱管理局、戒毒管理局(含新疆生产建设兵团)出具的属于监狱企业的证明文件。</w:t>
      </w:r>
    </w:p>
    <w:p w14:paraId="438B624C">
      <w:pPr>
        <w:autoSpaceDE w:val="0"/>
        <w:autoSpaceDN w:val="0"/>
        <w:snapToGrid w:val="0"/>
        <w:spacing w:line="360" w:lineRule="auto"/>
        <w:ind w:left="80" w:leftChars="38" w:right="40"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2.残疾人福利性单位无需提供《中小企业声明函》，提供以</w:t>
      </w:r>
      <w:r>
        <w:rPr>
          <w:rFonts w:hint="eastAsia" w:ascii="宋体" w:hAnsi="宋体" w:cs="宋体"/>
          <w:color w:val="auto"/>
          <w:szCs w:val="21"/>
          <w:highlight w:val="none"/>
          <w:shd w:val="clear"/>
          <w:lang w:val="en-US" w:eastAsia="zh-CN"/>
        </w:rPr>
        <w:t>上</w:t>
      </w:r>
      <w:r>
        <w:rPr>
          <w:rFonts w:hint="eastAsia" w:ascii="宋体" w:hAnsi="宋体" w:cs="宋体"/>
          <w:color w:val="auto"/>
          <w:szCs w:val="21"/>
          <w:highlight w:val="none"/>
          <w:shd w:val="clear"/>
        </w:rPr>
        <w:t>格式的《残疾人福利性单位声明函》。</w:t>
      </w:r>
    </w:p>
    <w:p w14:paraId="0E774E72">
      <w:pPr>
        <w:autoSpaceDE w:val="0"/>
        <w:autoSpaceDN w:val="0"/>
        <w:snapToGrid w:val="0"/>
        <w:spacing w:line="360" w:lineRule="auto"/>
        <w:ind w:left="80" w:leftChars="38" w:right="40" w:firstLine="464" w:firstLineChars="200"/>
        <w:rPr>
          <w:rFonts w:hint="eastAsia" w:ascii="宋体" w:hAnsi="宋体" w:cs="宋体"/>
          <w:color w:val="auto"/>
          <w:sz w:val="24"/>
          <w:highlight w:val="none"/>
          <w:shd w:val="clear"/>
        </w:rPr>
      </w:pPr>
      <w:r>
        <w:rPr>
          <w:rFonts w:hint="eastAsia" w:ascii="宋体" w:hAnsi="宋体" w:cs="宋体"/>
          <w:color w:val="auto"/>
          <w:spacing w:val="6"/>
          <w:sz w:val="22"/>
          <w:highlight w:val="none"/>
          <w:u w:val="single"/>
          <w:shd w:val="clear"/>
        </w:rPr>
        <w:br w:type="page"/>
      </w:r>
      <w:r>
        <w:rPr>
          <w:rFonts w:hint="eastAsia" w:ascii="宋体" w:hAnsi="宋体" w:cs="宋体"/>
          <w:color w:val="auto"/>
          <w:sz w:val="24"/>
          <w:highlight w:val="none"/>
          <w:shd w:val="clear"/>
        </w:rPr>
        <w:t>附：</w:t>
      </w:r>
    </w:p>
    <w:p w14:paraId="560AC755">
      <w:pPr>
        <w:widowControl/>
        <w:jc w:val="center"/>
        <w:rPr>
          <w:rFonts w:hint="eastAsia" w:ascii="宋体" w:hAnsi="宋体" w:cs="宋体"/>
          <w:b/>
          <w:color w:val="auto"/>
          <w:sz w:val="24"/>
          <w:szCs w:val="21"/>
          <w:highlight w:val="none"/>
          <w:shd w:val="clear"/>
        </w:rPr>
      </w:pPr>
      <w:r>
        <w:rPr>
          <w:rFonts w:hint="eastAsia" w:ascii="宋体" w:hAnsi="宋体" w:cs="宋体"/>
          <w:b/>
          <w:color w:val="auto"/>
          <w:sz w:val="24"/>
          <w:szCs w:val="21"/>
          <w:highlight w:val="none"/>
          <w:shd w:val="clear"/>
        </w:rPr>
        <w:t>工业和信息化部、国家统计局、国家发展和改革委员会、财政部关于印发中小企业划型标准规定的通知</w:t>
      </w:r>
    </w:p>
    <w:p w14:paraId="291D7A6F">
      <w:pPr>
        <w:widowControl/>
        <w:jc w:val="center"/>
        <w:rPr>
          <w:rFonts w:hint="eastAsia" w:ascii="宋体" w:hAnsi="宋体" w:cs="宋体"/>
          <w:b/>
          <w:color w:val="auto"/>
          <w:sz w:val="24"/>
          <w:szCs w:val="21"/>
          <w:highlight w:val="none"/>
          <w:shd w:val="clear"/>
        </w:rPr>
      </w:pPr>
      <w:r>
        <w:rPr>
          <w:rFonts w:hint="eastAsia" w:ascii="宋体" w:hAnsi="宋体" w:cs="宋体"/>
          <w:b/>
          <w:color w:val="auto"/>
          <w:sz w:val="24"/>
          <w:szCs w:val="21"/>
          <w:highlight w:val="none"/>
          <w:shd w:val="clear"/>
        </w:rPr>
        <w:t>（工信部联企业〔2011〕300号）</w:t>
      </w:r>
    </w:p>
    <w:p w14:paraId="74B3A8A7">
      <w:pPr>
        <w:widowControl/>
        <w:adjustRightInd w:val="0"/>
        <w:snapToGrid w:val="0"/>
        <w:spacing w:line="360" w:lineRule="auto"/>
        <w:rPr>
          <w:rFonts w:hint="eastAsia" w:ascii="宋体" w:hAnsi="宋体" w:cs="宋体"/>
          <w:color w:val="auto"/>
          <w:szCs w:val="21"/>
          <w:highlight w:val="none"/>
          <w:shd w:val="clear"/>
        </w:rPr>
      </w:pPr>
      <w:r>
        <w:rPr>
          <w:rFonts w:hint="eastAsia" w:ascii="宋体" w:hAnsi="宋体" w:cs="宋体"/>
          <w:color w:val="auto"/>
          <w:szCs w:val="21"/>
          <w:highlight w:val="none"/>
          <w:shd w:val="clear"/>
        </w:rPr>
        <w:t>各省、自治区、直辖市人民政府，国务院各部委、各直属机构及有关单位：</w:t>
      </w:r>
    </w:p>
    <w:p w14:paraId="05D10CD0">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3D11BD8">
      <w:pPr>
        <w:widowControl/>
        <w:jc w:val="right"/>
        <w:rPr>
          <w:rFonts w:hint="eastAsia" w:ascii="宋体" w:hAnsi="宋体" w:cs="宋体"/>
          <w:color w:val="auto"/>
          <w:szCs w:val="21"/>
          <w:highlight w:val="none"/>
          <w:shd w:val="clear"/>
        </w:rPr>
      </w:pPr>
      <w:r>
        <w:rPr>
          <w:rFonts w:hint="eastAsia" w:ascii="宋体" w:hAnsi="宋体" w:cs="宋体"/>
          <w:color w:val="auto"/>
          <w:szCs w:val="21"/>
          <w:highlight w:val="none"/>
          <w:shd w:val="clear"/>
        </w:rPr>
        <w:t>工业和信息化部</w:t>
      </w:r>
    </w:p>
    <w:p w14:paraId="51B455C9">
      <w:pPr>
        <w:widowControl/>
        <w:jc w:val="right"/>
        <w:rPr>
          <w:rFonts w:hint="eastAsia" w:ascii="宋体" w:hAnsi="宋体" w:cs="宋体"/>
          <w:color w:val="auto"/>
          <w:szCs w:val="21"/>
          <w:highlight w:val="none"/>
          <w:shd w:val="clear"/>
        </w:rPr>
      </w:pPr>
      <w:r>
        <w:rPr>
          <w:rFonts w:hint="eastAsia" w:ascii="宋体" w:hAnsi="宋体" w:cs="宋体"/>
          <w:color w:val="auto"/>
          <w:szCs w:val="21"/>
          <w:highlight w:val="none"/>
          <w:shd w:val="clear"/>
        </w:rPr>
        <w:t>国家统计局</w:t>
      </w:r>
    </w:p>
    <w:p w14:paraId="1C3B399C">
      <w:pPr>
        <w:widowControl/>
        <w:jc w:val="right"/>
        <w:rPr>
          <w:rFonts w:hint="eastAsia" w:ascii="宋体" w:hAnsi="宋体" w:cs="宋体"/>
          <w:color w:val="auto"/>
          <w:szCs w:val="21"/>
          <w:highlight w:val="none"/>
          <w:shd w:val="clear"/>
        </w:rPr>
      </w:pPr>
      <w:r>
        <w:rPr>
          <w:rFonts w:hint="eastAsia" w:ascii="宋体" w:hAnsi="宋体" w:cs="宋体"/>
          <w:color w:val="auto"/>
          <w:szCs w:val="21"/>
          <w:highlight w:val="none"/>
          <w:shd w:val="clear"/>
        </w:rPr>
        <w:t>国家发展和改革委员会</w:t>
      </w:r>
    </w:p>
    <w:p w14:paraId="07CFB0A9">
      <w:pPr>
        <w:widowControl/>
        <w:jc w:val="right"/>
        <w:rPr>
          <w:rFonts w:hint="eastAsia" w:ascii="宋体" w:hAnsi="宋体" w:cs="宋体"/>
          <w:color w:val="auto"/>
          <w:szCs w:val="21"/>
          <w:highlight w:val="none"/>
          <w:shd w:val="clear"/>
        </w:rPr>
      </w:pPr>
      <w:r>
        <w:rPr>
          <w:rFonts w:hint="eastAsia" w:ascii="宋体" w:hAnsi="宋体" w:cs="宋体"/>
          <w:color w:val="auto"/>
          <w:szCs w:val="21"/>
          <w:highlight w:val="none"/>
          <w:shd w:val="clear"/>
        </w:rPr>
        <w:t>财政部</w:t>
      </w:r>
    </w:p>
    <w:p w14:paraId="22068DBA">
      <w:pPr>
        <w:widowControl/>
        <w:jc w:val="right"/>
        <w:rPr>
          <w:rFonts w:hint="eastAsia" w:ascii="宋体" w:hAnsi="宋体" w:cs="宋体"/>
          <w:color w:val="auto"/>
          <w:szCs w:val="21"/>
          <w:highlight w:val="none"/>
          <w:shd w:val="clear"/>
        </w:rPr>
      </w:pPr>
      <w:r>
        <w:rPr>
          <w:rFonts w:hint="eastAsia" w:ascii="宋体" w:hAnsi="宋体" w:cs="宋体"/>
          <w:color w:val="auto"/>
          <w:szCs w:val="21"/>
          <w:highlight w:val="none"/>
          <w:shd w:val="clear"/>
        </w:rPr>
        <w:t>二○一一年六月十八日</w:t>
      </w:r>
    </w:p>
    <w:p w14:paraId="0579BAF9">
      <w:pPr>
        <w:widowControl/>
        <w:spacing w:line="360" w:lineRule="auto"/>
        <w:jc w:val="center"/>
        <w:rPr>
          <w:rFonts w:hint="eastAsia" w:ascii="宋体" w:hAnsi="宋体" w:cs="宋体"/>
          <w:b/>
          <w:color w:val="auto"/>
          <w:szCs w:val="21"/>
          <w:highlight w:val="none"/>
          <w:shd w:val="clear"/>
        </w:rPr>
      </w:pPr>
      <w:r>
        <w:rPr>
          <w:rFonts w:hint="eastAsia" w:ascii="宋体" w:hAnsi="宋体" w:cs="宋体"/>
          <w:b/>
          <w:color w:val="auto"/>
          <w:szCs w:val="21"/>
          <w:highlight w:val="none"/>
          <w:shd w:val="clear"/>
        </w:rPr>
        <w:t>中小企业划型标准规定</w:t>
      </w:r>
    </w:p>
    <w:p w14:paraId="7F24FAA2">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一、根据《中华人民共和国中小企业促进法》和《国务院关于进一步促进中小企业发展的若干意见》（国发〔2009〕36号），制定本规定。</w:t>
      </w:r>
    </w:p>
    <w:p w14:paraId="2A1CDCD8">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二、中小企业划分为中型、小型、微型三种类型，具体标准根据企业从业人员、营业收入、资产总额等指标，结合行业特点制定。</w:t>
      </w:r>
    </w:p>
    <w:p w14:paraId="19188D1B">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B49080">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四、各行业划型标准为：</w:t>
      </w:r>
    </w:p>
    <w:p w14:paraId="6B4EAD3E">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（一）农、林、牧、渔业。营业收入20000万元以下的为中小微型企业。其中，营业收入500万元及以上的为中型企业，营业收入50万元及以上的为小型企业，营业收入50万元以下的为微型企业。</w:t>
      </w:r>
    </w:p>
    <w:p w14:paraId="07DDFEEB">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64D4C7">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B4F80F1">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64A571">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7BA330">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0AA3F5">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664339">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387AF15">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22AACD">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C2AD7F">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348153">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3C78C9">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A693A9">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D8065F">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07A523">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（十六）其他未列明行业。从业人员300人以下的为中小微型企业。其中，从业人员100人及以上的为中型企业；从业人员10人及以上的为小型企业；从业人员10人以下的为微型企业。</w:t>
      </w:r>
    </w:p>
    <w:p w14:paraId="39FA2C6A">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五、企业类型的划分以统计部门的统计数据为依据。</w:t>
      </w:r>
    </w:p>
    <w:p w14:paraId="3CCDA3EE">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六、本规定适用于在中华人民共和国境内依法设立的各类所有制和各种组织形式的企业。个体工商户和本规定以外的行业，参照本规定进行划型。</w:t>
      </w:r>
    </w:p>
    <w:p w14:paraId="4B07B7FE">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七、本规定的中型企业标准上限即为大型企业标准的下限，国家统计部门据此制定大中小微型企业的统计分类。国务院有关部门据此进行相关数据分析，不得制定与本规定不一致的企业划型标准。</w:t>
      </w:r>
    </w:p>
    <w:p w14:paraId="4E76694D">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八、本规定由工业和信息化部、国家统计局会同有关部门根据《国民经济行业分类》修订情况和企业发展变化情况适时修订。</w:t>
      </w:r>
    </w:p>
    <w:p w14:paraId="125C7EA6">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九、本规定由工业和信息化部、国家统计局会同有关部门负责解释。</w:t>
      </w:r>
    </w:p>
    <w:p w14:paraId="4207E92A">
      <w:pPr>
        <w:widowControl/>
        <w:adjustRightInd w:val="0"/>
        <w:snapToGrid w:val="0"/>
        <w:spacing w:line="360" w:lineRule="auto"/>
        <w:ind w:firstLine="420" w:firstLineChars="200"/>
        <w:rPr>
          <w:rFonts w:hint="eastAsia" w:ascii="宋体" w:hAnsi="宋体" w:cs="宋体"/>
          <w:color w:val="auto"/>
          <w:szCs w:val="21"/>
          <w:highlight w:val="none"/>
          <w:shd w:val="clear"/>
        </w:rPr>
      </w:pPr>
      <w:r>
        <w:rPr>
          <w:rFonts w:hint="eastAsia" w:ascii="宋体" w:hAnsi="宋体" w:cs="宋体"/>
          <w:color w:val="auto"/>
          <w:szCs w:val="21"/>
          <w:highlight w:val="none"/>
          <w:shd w:val="clear"/>
        </w:rPr>
        <w:t>十、本规定自发布之日起执行，原国家经贸委、原国家计委、财政部和国家统计局2003年颁布的《中小企业标准暂行规定》同时废止。</w:t>
      </w:r>
    </w:p>
    <w:p w14:paraId="6F28F7B8">
      <w:pPr>
        <w:rPr>
          <w:rFonts w:ascii="Times New Roman" w:hAnsi="Times New Roman"/>
          <w:color w:val="auto"/>
          <w:highlight w:val="none"/>
          <w:shd w:val="clear"/>
          <w:lang w:val="zh-CN"/>
        </w:rPr>
      </w:pPr>
      <w:r>
        <w:rPr>
          <w:rFonts w:ascii="Times New Roman" w:hAnsi="Times New Roman"/>
          <w:color w:val="auto"/>
          <w:highlight w:val="none"/>
          <w:shd w:val="clear"/>
          <w:lang w:val="zh-CN"/>
        </w:rPr>
        <w:br w:type="page"/>
      </w:r>
    </w:p>
    <w:p w14:paraId="5C4E403E">
      <w:pPr>
        <w:pStyle w:val="2"/>
        <w:rPr>
          <w:color w:val="auto"/>
          <w:highlight w:val="none"/>
          <w:shd w:val="clear"/>
          <w:lang w:val="zh-CN"/>
        </w:rPr>
      </w:pPr>
    </w:p>
    <w:p w14:paraId="552B07F6">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八、商务文件详细评审资料</w:t>
      </w:r>
      <w:bookmarkEnd w:id="2216"/>
      <w:bookmarkEnd w:id="2217"/>
      <w:bookmarkEnd w:id="2218"/>
      <w:bookmarkEnd w:id="2219"/>
      <w:bookmarkEnd w:id="2220"/>
    </w:p>
    <w:p w14:paraId="6EDD3E4F">
      <w:pPr>
        <w:pStyle w:val="20"/>
        <w:rPr>
          <w:rFonts w:ascii="Times New Roman" w:hAnsi="Times New Roman"/>
          <w:color w:val="auto"/>
          <w:highlight w:val="none"/>
          <w:shd w:val="clear"/>
          <w:lang w:val="zh-CN"/>
        </w:rPr>
      </w:pPr>
      <w:bookmarkStart w:id="2223" w:name="_Toc170804230"/>
      <w:bookmarkStart w:id="2224" w:name="_Toc170805418"/>
      <w:bookmarkStart w:id="2225" w:name="_Toc880"/>
      <w:bookmarkStart w:id="2226" w:name="_Toc170805798"/>
      <w:bookmarkStart w:id="2227" w:name="_Toc26962"/>
      <w:r>
        <w:rPr>
          <w:rFonts w:ascii="Times New Roman" w:hAnsi="Times New Roman"/>
          <w:color w:val="auto"/>
          <w:highlight w:val="none"/>
          <w:shd w:val="clear"/>
          <w:lang w:val="zh-CN"/>
        </w:rPr>
        <w:t>（一）</w:t>
      </w:r>
      <w:r>
        <w:rPr>
          <w:rFonts w:hint="eastAsia" w:ascii="Times New Roman" w:hAnsi="Times New Roman"/>
          <w:color w:val="auto"/>
          <w:highlight w:val="none"/>
          <w:shd w:val="clear"/>
          <w:lang w:val="zh-CN"/>
        </w:rPr>
        <w:t>投标人业绩情况表（详细评审）</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6"/>
        <w:gridCol w:w="6276"/>
        <w:gridCol w:w="1249"/>
      </w:tblGrid>
      <w:tr w14:paraId="059B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38AC43A7">
            <w:pPr>
              <w:pStyle w:val="28"/>
              <w:rPr>
                <w:rFonts w:ascii="Times New Roman" w:hAnsi="Times New Roman"/>
                <w:color w:val="auto"/>
                <w:highlight w:val="none"/>
                <w:shd w:val="clear"/>
              </w:rPr>
            </w:pPr>
            <w:r>
              <w:rPr>
                <w:rFonts w:hint="eastAsia" w:ascii="Times New Roman" w:hAnsi="Times New Roman"/>
                <w:color w:val="auto"/>
                <w:highlight w:val="none"/>
                <w:shd w:val="clear"/>
              </w:rPr>
              <w:t>业绩序号</w:t>
            </w:r>
          </w:p>
        </w:tc>
        <w:tc>
          <w:tcPr>
            <w:tcW w:w="3421" w:type="pct"/>
            <w:vAlign w:val="center"/>
          </w:tcPr>
          <w:p w14:paraId="43AC2753">
            <w:pPr>
              <w:pStyle w:val="28"/>
              <w:rPr>
                <w:rFonts w:ascii="Times New Roman" w:hAnsi="Times New Roman"/>
                <w:color w:val="auto"/>
                <w:highlight w:val="none"/>
                <w:shd w:val="clear"/>
              </w:rPr>
            </w:pPr>
            <w:r>
              <w:rPr>
                <w:rFonts w:hint="eastAsia" w:ascii="Times New Roman" w:hAnsi="Times New Roman"/>
                <w:color w:val="auto"/>
                <w:highlight w:val="none"/>
                <w:shd w:val="clear"/>
              </w:rPr>
              <w:t>项目</w:t>
            </w:r>
            <w:r>
              <w:rPr>
                <w:rFonts w:ascii="Times New Roman" w:hAnsi="Times New Roman"/>
                <w:color w:val="auto"/>
                <w:highlight w:val="none"/>
                <w:shd w:val="clear"/>
              </w:rPr>
              <w:t>名称</w:t>
            </w:r>
            <w:r>
              <w:rPr>
                <w:rFonts w:hint="eastAsia" w:ascii="Times New Roman" w:hAnsi="Times New Roman"/>
                <w:color w:val="auto"/>
                <w:highlight w:val="none"/>
                <w:shd w:val="clear"/>
              </w:rPr>
              <w:t>（合同名称）</w:t>
            </w:r>
          </w:p>
        </w:tc>
        <w:tc>
          <w:tcPr>
            <w:tcW w:w="681" w:type="pct"/>
            <w:vAlign w:val="center"/>
          </w:tcPr>
          <w:p w14:paraId="3E6D63D5">
            <w:pPr>
              <w:pStyle w:val="28"/>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49C5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43AA3557">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3421" w:type="pct"/>
            <w:vAlign w:val="center"/>
          </w:tcPr>
          <w:p w14:paraId="73CD3620">
            <w:pPr>
              <w:spacing w:line="360" w:lineRule="auto"/>
              <w:jc w:val="center"/>
              <w:rPr>
                <w:rFonts w:ascii="Times New Roman" w:hAnsi="Times New Roman"/>
                <w:color w:val="auto"/>
                <w:sz w:val="24"/>
                <w:szCs w:val="24"/>
                <w:highlight w:val="none"/>
                <w:shd w:val="clear"/>
              </w:rPr>
            </w:pPr>
          </w:p>
        </w:tc>
        <w:tc>
          <w:tcPr>
            <w:tcW w:w="681" w:type="pct"/>
            <w:vAlign w:val="center"/>
          </w:tcPr>
          <w:p w14:paraId="22A25C91">
            <w:pPr>
              <w:spacing w:line="360" w:lineRule="auto"/>
              <w:jc w:val="center"/>
              <w:rPr>
                <w:rFonts w:ascii="Times New Roman" w:hAnsi="Times New Roman"/>
                <w:color w:val="auto"/>
                <w:sz w:val="24"/>
                <w:szCs w:val="24"/>
                <w:highlight w:val="none"/>
                <w:shd w:val="clear"/>
              </w:rPr>
            </w:pPr>
          </w:p>
        </w:tc>
      </w:tr>
      <w:tr w14:paraId="7415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49FDB16C">
            <w:pPr>
              <w:pStyle w:val="29"/>
              <w:rPr>
                <w:rFonts w:ascii="Times New Roman" w:hAnsi="Times New Roman"/>
                <w:color w:val="auto"/>
                <w:highlight w:val="none"/>
                <w:shd w:val="clear"/>
              </w:rPr>
            </w:pPr>
            <w:r>
              <w:rPr>
                <w:rFonts w:ascii="Times New Roman" w:hAnsi="Times New Roman"/>
                <w:color w:val="auto"/>
                <w:highlight w:val="none"/>
                <w:shd w:val="clear"/>
              </w:rPr>
              <w:t>2</w:t>
            </w:r>
          </w:p>
        </w:tc>
        <w:tc>
          <w:tcPr>
            <w:tcW w:w="3421" w:type="pct"/>
            <w:vAlign w:val="center"/>
          </w:tcPr>
          <w:p w14:paraId="248C4CA2">
            <w:pPr>
              <w:spacing w:line="360" w:lineRule="auto"/>
              <w:jc w:val="center"/>
              <w:rPr>
                <w:rFonts w:ascii="Times New Roman" w:hAnsi="Times New Roman"/>
                <w:color w:val="auto"/>
                <w:sz w:val="24"/>
                <w:szCs w:val="24"/>
                <w:highlight w:val="none"/>
                <w:shd w:val="clear"/>
              </w:rPr>
            </w:pPr>
          </w:p>
        </w:tc>
        <w:tc>
          <w:tcPr>
            <w:tcW w:w="681" w:type="pct"/>
            <w:vAlign w:val="center"/>
          </w:tcPr>
          <w:p w14:paraId="3564B8DF">
            <w:pPr>
              <w:spacing w:line="360" w:lineRule="auto"/>
              <w:jc w:val="center"/>
              <w:rPr>
                <w:rFonts w:ascii="Times New Roman" w:hAnsi="Times New Roman"/>
                <w:color w:val="auto"/>
                <w:sz w:val="24"/>
                <w:szCs w:val="24"/>
                <w:highlight w:val="none"/>
                <w:shd w:val="clear"/>
              </w:rPr>
            </w:pPr>
          </w:p>
        </w:tc>
      </w:tr>
      <w:tr w14:paraId="67AC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6643486C">
            <w:pPr>
              <w:pStyle w:val="29"/>
              <w:rPr>
                <w:rFonts w:ascii="Times New Roman" w:hAnsi="Times New Roman"/>
                <w:color w:val="auto"/>
                <w:highlight w:val="none"/>
                <w:shd w:val="clear"/>
              </w:rPr>
            </w:pPr>
            <w:r>
              <w:rPr>
                <w:rFonts w:hint="eastAsia" w:ascii="Times New Roman" w:hAnsi="Times New Roman"/>
                <w:color w:val="auto"/>
                <w:highlight w:val="none"/>
                <w:shd w:val="clear"/>
              </w:rPr>
              <w:t>……</w:t>
            </w:r>
          </w:p>
        </w:tc>
        <w:tc>
          <w:tcPr>
            <w:tcW w:w="3421" w:type="pct"/>
            <w:vAlign w:val="center"/>
          </w:tcPr>
          <w:p w14:paraId="3E3E38DE">
            <w:pPr>
              <w:spacing w:line="360" w:lineRule="auto"/>
              <w:jc w:val="center"/>
              <w:rPr>
                <w:rFonts w:ascii="Times New Roman" w:hAnsi="Times New Roman"/>
                <w:color w:val="auto"/>
                <w:sz w:val="24"/>
                <w:szCs w:val="24"/>
                <w:highlight w:val="none"/>
                <w:shd w:val="clear"/>
              </w:rPr>
            </w:pPr>
          </w:p>
        </w:tc>
        <w:tc>
          <w:tcPr>
            <w:tcW w:w="681" w:type="pct"/>
            <w:vAlign w:val="center"/>
          </w:tcPr>
          <w:p w14:paraId="74186A1F">
            <w:pPr>
              <w:spacing w:line="360" w:lineRule="auto"/>
              <w:jc w:val="center"/>
              <w:rPr>
                <w:rFonts w:ascii="Times New Roman" w:hAnsi="Times New Roman"/>
                <w:color w:val="auto"/>
                <w:sz w:val="24"/>
                <w:szCs w:val="24"/>
                <w:highlight w:val="none"/>
                <w:shd w:val="clear"/>
              </w:rPr>
            </w:pPr>
          </w:p>
        </w:tc>
      </w:tr>
    </w:tbl>
    <w:p w14:paraId="51649E22">
      <w:pPr>
        <w:spacing w:line="360" w:lineRule="auto"/>
        <w:jc w:val="left"/>
        <w:rPr>
          <w:rFonts w:ascii="Times New Roman" w:hAnsi="Times New Roman"/>
          <w:color w:val="auto"/>
          <w:sz w:val="24"/>
          <w:szCs w:val="24"/>
          <w:highlight w:val="none"/>
          <w:shd w:val="clear"/>
        </w:rPr>
      </w:pPr>
    </w:p>
    <w:p w14:paraId="1C136275">
      <w:pPr>
        <w:widowControl/>
        <w:jc w:val="left"/>
        <w:rPr>
          <w:rFonts w:ascii="Times New Roman" w:hAnsi="Times New Roman" w:eastAsia="黑体" w:cs="仿宋"/>
          <w:snapToGrid w:val="0"/>
          <w:color w:val="auto"/>
          <w:sz w:val="28"/>
          <w:szCs w:val="28"/>
          <w:highlight w:val="none"/>
          <w:shd w:val="clear"/>
          <w:lang w:val="zh-CN"/>
        </w:rPr>
      </w:pPr>
      <w:r>
        <w:rPr>
          <w:rFonts w:hint="eastAsia" w:ascii="Times New Roman" w:hAnsi="Times New Roman"/>
          <w:color w:val="auto"/>
          <w:highlight w:val="none"/>
          <w:shd w:val="clear"/>
          <w:lang w:val="zh-CN"/>
        </w:rPr>
        <w:br w:type="page"/>
      </w:r>
    </w:p>
    <w:bookmarkEnd w:id="2223"/>
    <w:bookmarkEnd w:id="2224"/>
    <w:bookmarkEnd w:id="2225"/>
    <w:bookmarkEnd w:id="2226"/>
    <w:bookmarkEnd w:id="2227"/>
    <w:p w14:paraId="2EB4EFC2">
      <w:pPr>
        <w:pStyle w:val="20"/>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t>投标人业绩信息表（详细评审）</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174E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E5EA35D">
            <w:pPr>
              <w:pStyle w:val="29"/>
              <w:rPr>
                <w:rFonts w:ascii="Times New Roman" w:hAnsi="Times New Roman"/>
                <w:color w:val="auto"/>
                <w:highlight w:val="none"/>
                <w:shd w:val="clear"/>
              </w:rPr>
            </w:pPr>
            <w:r>
              <w:rPr>
                <w:rFonts w:hint="eastAsia" w:ascii="Times New Roman" w:hAnsi="Times New Roman"/>
                <w:color w:val="auto"/>
                <w:highlight w:val="none"/>
                <w:shd w:val="clear"/>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3FAE2856">
            <w:pPr>
              <w:autoSpaceDE w:val="0"/>
              <w:autoSpaceDN w:val="0"/>
              <w:adjustRightInd w:val="0"/>
              <w:spacing w:line="300" w:lineRule="exact"/>
              <w:jc w:val="center"/>
              <w:rPr>
                <w:rFonts w:ascii="Times New Roman" w:hAnsi="Times New Roman"/>
                <w:color w:val="auto"/>
                <w:kern w:val="0"/>
                <w:highlight w:val="none"/>
                <w:shd w:val="clear"/>
              </w:rPr>
            </w:pPr>
          </w:p>
        </w:tc>
      </w:tr>
      <w:tr w14:paraId="3FED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113446C">
            <w:pPr>
              <w:pStyle w:val="29"/>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B34B415">
            <w:pPr>
              <w:autoSpaceDE w:val="0"/>
              <w:autoSpaceDN w:val="0"/>
              <w:adjustRightInd w:val="0"/>
              <w:spacing w:line="300" w:lineRule="exact"/>
              <w:jc w:val="center"/>
              <w:rPr>
                <w:rFonts w:ascii="Times New Roman" w:hAnsi="Times New Roman"/>
                <w:color w:val="auto"/>
                <w:kern w:val="0"/>
                <w:highlight w:val="none"/>
                <w:shd w:val="clear"/>
              </w:rPr>
            </w:pPr>
          </w:p>
        </w:tc>
      </w:tr>
      <w:tr w14:paraId="16F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0FF64EA">
            <w:pPr>
              <w:pStyle w:val="29"/>
              <w:rPr>
                <w:rFonts w:ascii="Times New Roman" w:hAnsi="Times New Roman"/>
                <w:color w:val="auto"/>
                <w:highlight w:val="none"/>
                <w:shd w:val="clear"/>
              </w:rPr>
            </w:pPr>
            <w:r>
              <w:rPr>
                <w:rFonts w:hint="eastAsia" w:ascii="Times New Roman" w:hAnsi="Times New Roman"/>
                <w:color w:val="auto"/>
                <w:highlight w:val="none"/>
                <w:shd w:val="clear"/>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30CF2CA4">
            <w:pPr>
              <w:autoSpaceDE w:val="0"/>
              <w:autoSpaceDN w:val="0"/>
              <w:adjustRightInd w:val="0"/>
              <w:spacing w:line="300" w:lineRule="exact"/>
              <w:jc w:val="center"/>
              <w:rPr>
                <w:rFonts w:ascii="Times New Roman" w:hAnsi="Times New Roman"/>
                <w:color w:val="auto"/>
                <w:kern w:val="0"/>
                <w:highlight w:val="none"/>
                <w:shd w:val="clear"/>
              </w:rPr>
            </w:pPr>
          </w:p>
        </w:tc>
      </w:tr>
      <w:tr w14:paraId="30C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E0396D3">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14:paraId="0ABDDC92">
            <w:pPr>
              <w:autoSpaceDE w:val="0"/>
              <w:autoSpaceDN w:val="0"/>
              <w:adjustRightInd w:val="0"/>
              <w:spacing w:line="300" w:lineRule="exact"/>
              <w:jc w:val="center"/>
              <w:rPr>
                <w:rFonts w:ascii="Times New Roman" w:hAnsi="Times New Roman"/>
                <w:color w:val="auto"/>
                <w:kern w:val="0"/>
                <w:highlight w:val="none"/>
                <w:shd w:val="clear"/>
              </w:rPr>
            </w:pPr>
          </w:p>
        </w:tc>
      </w:tr>
      <w:tr w14:paraId="3CF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6CCFDA2">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14:paraId="112B15E8">
            <w:pPr>
              <w:autoSpaceDE w:val="0"/>
              <w:autoSpaceDN w:val="0"/>
              <w:adjustRightInd w:val="0"/>
              <w:spacing w:line="300" w:lineRule="exact"/>
              <w:jc w:val="center"/>
              <w:rPr>
                <w:rFonts w:ascii="Times New Roman" w:hAnsi="Times New Roman"/>
                <w:color w:val="auto"/>
                <w:kern w:val="0"/>
                <w:highlight w:val="none"/>
                <w:shd w:val="clear"/>
              </w:rPr>
            </w:pPr>
          </w:p>
        </w:tc>
      </w:tr>
      <w:tr w14:paraId="5466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DAB4205">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14:paraId="2E10C51C">
            <w:pPr>
              <w:autoSpaceDE w:val="0"/>
              <w:autoSpaceDN w:val="0"/>
              <w:adjustRightInd w:val="0"/>
              <w:spacing w:line="300" w:lineRule="exact"/>
              <w:jc w:val="center"/>
              <w:rPr>
                <w:rFonts w:ascii="Times New Roman" w:hAnsi="Times New Roman"/>
                <w:color w:val="auto"/>
                <w:kern w:val="0"/>
                <w:highlight w:val="none"/>
                <w:shd w:val="clear"/>
              </w:rPr>
            </w:pPr>
          </w:p>
        </w:tc>
      </w:tr>
      <w:tr w14:paraId="0A3D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DBF637C">
            <w:pPr>
              <w:pStyle w:val="29"/>
              <w:rPr>
                <w:rFonts w:ascii="Times New Roman" w:hAnsi="Times New Roman"/>
                <w:color w:val="auto"/>
                <w:highlight w:val="none"/>
                <w:shd w:val="clear"/>
              </w:rPr>
            </w:pPr>
            <w:r>
              <w:rPr>
                <w:rFonts w:hint="eastAsia" w:ascii="Times New Roman" w:hAnsi="Times New Roman"/>
                <w:color w:val="auto"/>
                <w:highlight w:val="none"/>
                <w:shd w:val="clear"/>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32588D99">
            <w:pPr>
              <w:autoSpaceDE w:val="0"/>
              <w:autoSpaceDN w:val="0"/>
              <w:adjustRightInd w:val="0"/>
              <w:spacing w:line="300" w:lineRule="exact"/>
              <w:jc w:val="center"/>
              <w:rPr>
                <w:rFonts w:ascii="Times New Roman" w:hAnsi="Times New Roman"/>
                <w:color w:val="auto"/>
                <w:kern w:val="0"/>
                <w:highlight w:val="none"/>
                <w:shd w:val="clear"/>
              </w:rPr>
            </w:pPr>
          </w:p>
        </w:tc>
      </w:tr>
      <w:tr w14:paraId="7DA8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19C3D06">
            <w:pPr>
              <w:pStyle w:val="29"/>
              <w:rPr>
                <w:rFonts w:ascii="Times New Roman" w:hAnsi="Times New Roman"/>
                <w:color w:val="auto"/>
                <w:highlight w:val="none"/>
                <w:shd w:val="clear"/>
              </w:rPr>
            </w:pPr>
            <w:r>
              <w:rPr>
                <w:rFonts w:hint="eastAsia" w:ascii="Times New Roman" w:hAnsi="Times New Roman"/>
                <w:color w:val="auto"/>
                <w:highlight w:val="none"/>
                <w:shd w:val="clear"/>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14:paraId="41DE0664">
            <w:pPr>
              <w:autoSpaceDE w:val="0"/>
              <w:autoSpaceDN w:val="0"/>
              <w:adjustRightInd w:val="0"/>
              <w:spacing w:line="300" w:lineRule="exact"/>
              <w:jc w:val="center"/>
              <w:rPr>
                <w:rFonts w:ascii="Times New Roman" w:hAnsi="Times New Roman"/>
                <w:color w:val="auto"/>
                <w:kern w:val="0"/>
                <w:highlight w:val="none"/>
                <w:shd w:val="clear"/>
              </w:rPr>
            </w:pPr>
          </w:p>
        </w:tc>
      </w:tr>
      <w:tr w14:paraId="70AD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1A657F1">
            <w:pPr>
              <w:pStyle w:val="29"/>
              <w:rPr>
                <w:rFonts w:ascii="Times New Roman" w:hAnsi="Times New Roman"/>
                <w:color w:val="auto"/>
                <w:highlight w:val="none"/>
                <w:shd w:val="clear"/>
              </w:rPr>
            </w:pPr>
            <w:r>
              <w:rPr>
                <w:rFonts w:hint="eastAsia" w:ascii="Times New Roman" w:hAnsi="Times New Roman"/>
                <w:color w:val="auto"/>
                <w:highlight w:val="none"/>
                <w:shd w:val="clear"/>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14:paraId="55888042">
            <w:pPr>
              <w:autoSpaceDE w:val="0"/>
              <w:autoSpaceDN w:val="0"/>
              <w:adjustRightInd w:val="0"/>
              <w:spacing w:line="300" w:lineRule="exact"/>
              <w:jc w:val="center"/>
              <w:rPr>
                <w:rFonts w:ascii="Times New Roman" w:hAnsi="Times New Roman"/>
                <w:color w:val="auto"/>
                <w:kern w:val="0"/>
                <w:highlight w:val="none"/>
                <w:shd w:val="clear"/>
              </w:rPr>
            </w:pPr>
          </w:p>
        </w:tc>
      </w:tr>
      <w:tr w14:paraId="0231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02F37D9">
            <w:pPr>
              <w:pStyle w:val="29"/>
              <w:rPr>
                <w:rFonts w:ascii="Times New Roman" w:hAnsi="Times New Roman"/>
                <w:color w:val="auto"/>
                <w:highlight w:val="none"/>
                <w:shd w:val="clear"/>
              </w:rPr>
            </w:pPr>
            <w:r>
              <w:rPr>
                <w:rFonts w:hint="eastAsia" w:ascii="Times New Roman" w:hAnsi="Times New Roman"/>
                <w:color w:val="auto"/>
                <w:highlight w:val="none"/>
                <w:shd w:val="clear"/>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14:paraId="6E7E668E">
            <w:pPr>
              <w:autoSpaceDE w:val="0"/>
              <w:autoSpaceDN w:val="0"/>
              <w:adjustRightInd w:val="0"/>
              <w:spacing w:line="300" w:lineRule="exact"/>
              <w:jc w:val="center"/>
              <w:rPr>
                <w:rFonts w:ascii="Times New Roman" w:hAnsi="Times New Roman"/>
                <w:color w:val="auto"/>
                <w:kern w:val="0"/>
                <w:highlight w:val="none"/>
                <w:shd w:val="clear"/>
              </w:rPr>
            </w:pPr>
          </w:p>
        </w:tc>
      </w:tr>
      <w:tr w14:paraId="27AD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9E01644">
            <w:pPr>
              <w:pStyle w:val="29"/>
              <w:rPr>
                <w:rFonts w:ascii="Times New Roman" w:hAnsi="Times New Roman"/>
                <w:color w:val="auto"/>
                <w:highlight w:val="none"/>
                <w:shd w:val="clear"/>
              </w:rPr>
            </w:pPr>
            <w:r>
              <w:rPr>
                <w:rFonts w:hint="eastAsia" w:ascii="Times New Roman" w:hAnsi="Times New Roman"/>
                <w:color w:val="auto"/>
                <w:highlight w:val="none"/>
                <w:shd w:val="clear"/>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14:paraId="64C2FE94">
            <w:pPr>
              <w:autoSpaceDE w:val="0"/>
              <w:autoSpaceDN w:val="0"/>
              <w:adjustRightInd w:val="0"/>
              <w:spacing w:line="300" w:lineRule="exact"/>
              <w:jc w:val="center"/>
              <w:rPr>
                <w:rFonts w:ascii="Times New Roman" w:hAnsi="Times New Roman"/>
                <w:color w:val="auto"/>
                <w:kern w:val="0"/>
                <w:highlight w:val="none"/>
                <w:shd w:val="clear"/>
              </w:rPr>
            </w:pPr>
          </w:p>
        </w:tc>
      </w:tr>
      <w:tr w14:paraId="4F6C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FD755DA">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w:t>
            </w:r>
          </w:p>
          <w:p w14:paraId="43054FC8">
            <w:pPr>
              <w:pStyle w:val="29"/>
              <w:rPr>
                <w:rFonts w:ascii="Times New Roman" w:hAnsi="Times New Roman"/>
                <w:color w:val="auto"/>
                <w:highlight w:val="none"/>
                <w:shd w:val="clear"/>
              </w:rPr>
            </w:pPr>
            <w:r>
              <w:rPr>
                <w:rFonts w:hint="eastAsia" w:ascii="Times New Roman" w:hAnsi="Times New Roman"/>
                <w:color w:val="auto"/>
                <w:highlight w:val="none"/>
                <w:shd w:val="clear"/>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14:paraId="3DD27F5A">
            <w:pPr>
              <w:autoSpaceDE w:val="0"/>
              <w:autoSpaceDN w:val="0"/>
              <w:adjustRightInd w:val="0"/>
              <w:spacing w:line="300" w:lineRule="exact"/>
              <w:jc w:val="center"/>
              <w:rPr>
                <w:rFonts w:ascii="Times New Roman" w:hAnsi="Times New Roman"/>
                <w:color w:val="auto"/>
                <w:kern w:val="0"/>
                <w:highlight w:val="none"/>
                <w:shd w:val="clear"/>
              </w:rPr>
            </w:pPr>
          </w:p>
        </w:tc>
      </w:tr>
      <w:tr w14:paraId="04C4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EE1358F">
            <w:pPr>
              <w:pStyle w:val="29"/>
              <w:rPr>
                <w:rFonts w:ascii="Times New Roman" w:hAnsi="Times New Roman"/>
                <w:color w:val="auto"/>
                <w:highlight w:val="none"/>
                <w:shd w:val="clear"/>
              </w:rPr>
            </w:pPr>
            <w:r>
              <w:rPr>
                <w:rFonts w:hint="eastAsia" w:ascii="Times New Roman" w:hAnsi="Times New Roman"/>
                <w:color w:val="auto"/>
                <w:highlight w:val="none"/>
                <w:shd w:val="clear"/>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14:paraId="70D05E73">
            <w:pPr>
              <w:autoSpaceDE w:val="0"/>
              <w:autoSpaceDN w:val="0"/>
              <w:adjustRightInd w:val="0"/>
              <w:spacing w:line="300" w:lineRule="exact"/>
              <w:jc w:val="center"/>
              <w:rPr>
                <w:rFonts w:ascii="Times New Roman" w:hAnsi="Times New Roman"/>
                <w:color w:val="auto"/>
                <w:kern w:val="0"/>
                <w:highlight w:val="none"/>
                <w:shd w:val="clear"/>
              </w:rPr>
            </w:pPr>
          </w:p>
        </w:tc>
      </w:tr>
      <w:tr w14:paraId="5D28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DDB6152">
            <w:pPr>
              <w:pStyle w:val="29"/>
              <w:rPr>
                <w:rFonts w:ascii="Times New Roman" w:hAnsi="Times New Roman"/>
                <w:color w:val="auto"/>
                <w:highlight w:val="none"/>
                <w:shd w:val="clear"/>
              </w:rPr>
            </w:pPr>
            <w:r>
              <w:rPr>
                <w:rFonts w:hint="eastAsia" w:ascii="Times New Roman" w:hAnsi="Times New Roman"/>
                <w:color w:val="auto"/>
                <w:highlight w:val="none"/>
                <w:shd w:val="clear"/>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14:paraId="643194DA">
            <w:pPr>
              <w:autoSpaceDE w:val="0"/>
              <w:autoSpaceDN w:val="0"/>
              <w:adjustRightInd w:val="0"/>
              <w:spacing w:line="300" w:lineRule="exact"/>
              <w:jc w:val="center"/>
              <w:rPr>
                <w:rFonts w:ascii="Times New Roman" w:hAnsi="Times New Roman"/>
                <w:color w:val="auto"/>
                <w:kern w:val="0"/>
                <w:highlight w:val="none"/>
                <w:shd w:val="clear"/>
              </w:rPr>
            </w:pPr>
          </w:p>
        </w:tc>
      </w:tr>
      <w:tr w14:paraId="530F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FC59613">
            <w:pPr>
              <w:pStyle w:val="29"/>
              <w:rPr>
                <w:rFonts w:ascii="Times New Roman" w:hAnsi="Times New Roman"/>
                <w:color w:val="auto"/>
                <w:highlight w:val="none"/>
                <w:shd w:val="clear"/>
              </w:rPr>
            </w:pPr>
            <w:r>
              <w:rPr>
                <w:rFonts w:hint="eastAsia" w:ascii="Times New Roman" w:hAnsi="Times New Roman"/>
                <w:color w:val="auto"/>
                <w:highlight w:val="none"/>
                <w:shd w:val="clear"/>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14:paraId="0A1B4414">
            <w:pPr>
              <w:autoSpaceDE w:val="0"/>
              <w:autoSpaceDN w:val="0"/>
              <w:adjustRightInd w:val="0"/>
              <w:spacing w:line="300" w:lineRule="exact"/>
              <w:jc w:val="center"/>
              <w:rPr>
                <w:rFonts w:ascii="Times New Roman" w:hAnsi="Times New Roman"/>
                <w:color w:val="auto"/>
                <w:kern w:val="0"/>
                <w:highlight w:val="none"/>
                <w:shd w:val="clear"/>
              </w:rPr>
            </w:pPr>
          </w:p>
        </w:tc>
      </w:tr>
      <w:tr w14:paraId="4948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EE5AFB8">
            <w:pPr>
              <w:pStyle w:val="29"/>
              <w:rPr>
                <w:rFonts w:ascii="Times New Roman" w:hAnsi="Times New Roman"/>
                <w:color w:val="auto"/>
                <w:highlight w:val="none"/>
                <w:shd w:val="clear"/>
              </w:rPr>
            </w:pPr>
            <w:r>
              <w:rPr>
                <w:rFonts w:hint="eastAsia" w:ascii="Times New Roman" w:hAnsi="Times New Roman"/>
                <w:color w:val="auto"/>
                <w:highlight w:val="none"/>
                <w:shd w:val="clear"/>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1C92DD85">
            <w:pPr>
              <w:autoSpaceDE w:val="0"/>
              <w:autoSpaceDN w:val="0"/>
              <w:adjustRightInd w:val="0"/>
              <w:spacing w:line="300" w:lineRule="exact"/>
              <w:jc w:val="center"/>
              <w:rPr>
                <w:rFonts w:ascii="Times New Roman" w:hAnsi="Times New Roman"/>
                <w:color w:val="auto"/>
                <w:kern w:val="0"/>
                <w:highlight w:val="none"/>
                <w:shd w:val="clear"/>
              </w:rPr>
            </w:pPr>
          </w:p>
        </w:tc>
      </w:tr>
      <w:tr w14:paraId="0016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D27E223">
            <w:pPr>
              <w:pStyle w:val="29"/>
              <w:rPr>
                <w:rFonts w:ascii="Times New Roman" w:hAnsi="Times New Roman"/>
                <w:color w:val="auto"/>
                <w:highlight w:val="none"/>
                <w:shd w:val="clear"/>
              </w:rPr>
            </w:pPr>
            <w:r>
              <w:rPr>
                <w:rFonts w:hint="eastAsia" w:ascii="Times New Roman" w:hAnsi="Times New Roman"/>
                <w:color w:val="auto"/>
                <w:highlight w:val="none"/>
                <w:shd w:val="clear"/>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4E1B158E">
            <w:pPr>
              <w:autoSpaceDE w:val="0"/>
              <w:autoSpaceDN w:val="0"/>
              <w:adjustRightInd w:val="0"/>
              <w:spacing w:line="300" w:lineRule="exact"/>
              <w:jc w:val="center"/>
              <w:rPr>
                <w:rFonts w:ascii="Times New Roman" w:hAnsi="Times New Roman"/>
                <w:color w:val="auto"/>
                <w:kern w:val="0"/>
                <w:highlight w:val="none"/>
                <w:shd w:val="clear"/>
              </w:rPr>
            </w:pPr>
            <w:r>
              <w:rPr>
                <w:rFonts w:hint="eastAsia" w:ascii="Times New Roman" w:hAnsi="Times New Roman"/>
                <w:color w:val="auto"/>
                <w:highlight w:val="none"/>
                <w:shd w:val="clear"/>
              </w:rPr>
              <w:t>商务文件评分用业绩</w:t>
            </w:r>
          </w:p>
        </w:tc>
      </w:tr>
    </w:tbl>
    <w:p w14:paraId="070200A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注：投标人应根据招标文件第三章“评标及定标办法”的要求在本表后附相关证明材料。</w:t>
      </w:r>
    </w:p>
    <w:p w14:paraId="72E0E9E7">
      <w:pPr>
        <w:pStyle w:val="20"/>
        <w:rPr>
          <w:rFonts w:ascii="Times New Roman" w:hAnsi="Times New Roman"/>
          <w:color w:val="auto"/>
          <w:highlight w:val="none"/>
          <w:shd w:val="clear"/>
          <w:lang w:val="zh-CN"/>
        </w:rPr>
      </w:pPr>
      <w:r>
        <w:rPr>
          <w:rFonts w:ascii="Times New Roman" w:hAnsi="Times New Roman" w:cs="宋体"/>
          <w:color w:val="auto"/>
          <w:sz w:val="24"/>
          <w:szCs w:val="21"/>
          <w:highlight w:val="none"/>
          <w:shd w:val="clear"/>
        </w:rPr>
        <w:br w:type="page"/>
      </w:r>
      <w:bookmarkStart w:id="2228" w:name="_Toc26996"/>
      <w:bookmarkStart w:id="2229" w:name="_Toc170805419"/>
      <w:bookmarkStart w:id="2230" w:name="_Toc170804231"/>
      <w:bookmarkStart w:id="2231" w:name="_Toc18739"/>
      <w:bookmarkStart w:id="2232" w:name="_Toc170805799"/>
      <w:r>
        <w:rPr>
          <w:rFonts w:ascii="Times New Roman" w:hAnsi="Times New Roman"/>
          <w:color w:val="auto"/>
          <w:highlight w:val="none"/>
          <w:shd w:val="clear"/>
          <w:lang w:val="zh-CN"/>
        </w:rPr>
        <w:t>（二）项目经理业绩情况表</w:t>
      </w:r>
      <w:bookmarkEnd w:id="2228"/>
      <w:bookmarkEnd w:id="2229"/>
      <w:bookmarkEnd w:id="2230"/>
      <w:bookmarkEnd w:id="2231"/>
      <w:bookmarkEnd w:id="2232"/>
      <w:r>
        <w:rPr>
          <w:rFonts w:hint="eastAsia" w:ascii="Times New Roman" w:hAnsi="Times New Roman"/>
          <w:color w:val="auto"/>
          <w:highlight w:val="none"/>
          <w:shd w:val="clear"/>
          <w:lang w:val="zh-CN"/>
        </w:rPr>
        <w:t>（详细评审）</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6"/>
        <w:gridCol w:w="6276"/>
        <w:gridCol w:w="1249"/>
      </w:tblGrid>
      <w:tr w14:paraId="7EDBA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397A307C">
            <w:pPr>
              <w:pStyle w:val="28"/>
              <w:rPr>
                <w:rFonts w:ascii="Times New Roman" w:hAnsi="Times New Roman"/>
                <w:color w:val="auto"/>
                <w:highlight w:val="none"/>
                <w:shd w:val="clear"/>
              </w:rPr>
            </w:pPr>
            <w:r>
              <w:rPr>
                <w:rFonts w:hint="eastAsia" w:ascii="Times New Roman" w:hAnsi="Times New Roman"/>
                <w:color w:val="auto"/>
                <w:highlight w:val="none"/>
                <w:shd w:val="clear"/>
              </w:rPr>
              <w:t>业绩序号</w:t>
            </w:r>
          </w:p>
        </w:tc>
        <w:tc>
          <w:tcPr>
            <w:tcW w:w="3421" w:type="pct"/>
            <w:vAlign w:val="center"/>
          </w:tcPr>
          <w:p w14:paraId="1FA2C629">
            <w:pPr>
              <w:pStyle w:val="28"/>
              <w:rPr>
                <w:rFonts w:ascii="Times New Roman" w:hAnsi="Times New Roman"/>
                <w:color w:val="auto"/>
                <w:highlight w:val="none"/>
                <w:shd w:val="clear"/>
              </w:rPr>
            </w:pPr>
            <w:r>
              <w:rPr>
                <w:rFonts w:hint="eastAsia" w:ascii="Times New Roman" w:hAnsi="Times New Roman"/>
                <w:color w:val="auto"/>
                <w:highlight w:val="none"/>
                <w:shd w:val="clear"/>
              </w:rPr>
              <w:t>项目</w:t>
            </w:r>
            <w:r>
              <w:rPr>
                <w:rFonts w:ascii="Times New Roman" w:hAnsi="Times New Roman"/>
                <w:color w:val="auto"/>
                <w:highlight w:val="none"/>
                <w:shd w:val="clear"/>
              </w:rPr>
              <w:t>名称</w:t>
            </w:r>
            <w:r>
              <w:rPr>
                <w:rFonts w:hint="eastAsia" w:ascii="Times New Roman" w:hAnsi="Times New Roman"/>
                <w:color w:val="auto"/>
                <w:highlight w:val="none"/>
                <w:shd w:val="clear"/>
              </w:rPr>
              <w:t>（合同名称）</w:t>
            </w:r>
          </w:p>
        </w:tc>
        <w:tc>
          <w:tcPr>
            <w:tcW w:w="681" w:type="pct"/>
            <w:vAlign w:val="center"/>
          </w:tcPr>
          <w:p w14:paraId="4298E6D0">
            <w:pPr>
              <w:pStyle w:val="28"/>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7B8F5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4B368B1F">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3421" w:type="pct"/>
            <w:vAlign w:val="center"/>
          </w:tcPr>
          <w:p w14:paraId="0683FB68">
            <w:pPr>
              <w:spacing w:line="360" w:lineRule="auto"/>
              <w:jc w:val="center"/>
              <w:rPr>
                <w:rFonts w:ascii="Times New Roman" w:hAnsi="Times New Roman"/>
                <w:color w:val="auto"/>
                <w:sz w:val="24"/>
                <w:szCs w:val="24"/>
                <w:highlight w:val="none"/>
                <w:shd w:val="clear"/>
              </w:rPr>
            </w:pPr>
          </w:p>
        </w:tc>
        <w:tc>
          <w:tcPr>
            <w:tcW w:w="681" w:type="pct"/>
            <w:vAlign w:val="center"/>
          </w:tcPr>
          <w:p w14:paraId="105081C7">
            <w:pPr>
              <w:spacing w:line="360" w:lineRule="auto"/>
              <w:jc w:val="center"/>
              <w:rPr>
                <w:rFonts w:ascii="Times New Roman" w:hAnsi="Times New Roman"/>
                <w:color w:val="auto"/>
                <w:sz w:val="24"/>
                <w:szCs w:val="24"/>
                <w:highlight w:val="none"/>
                <w:shd w:val="clear"/>
              </w:rPr>
            </w:pPr>
          </w:p>
        </w:tc>
      </w:tr>
      <w:tr w14:paraId="79C2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45F83ACF">
            <w:pPr>
              <w:pStyle w:val="29"/>
              <w:rPr>
                <w:rFonts w:ascii="Times New Roman" w:hAnsi="Times New Roman"/>
                <w:color w:val="auto"/>
                <w:highlight w:val="none"/>
                <w:shd w:val="clear"/>
              </w:rPr>
            </w:pPr>
            <w:r>
              <w:rPr>
                <w:rFonts w:ascii="Times New Roman" w:hAnsi="Times New Roman"/>
                <w:color w:val="auto"/>
                <w:highlight w:val="none"/>
                <w:shd w:val="clear"/>
              </w:rPr>
              <w:t>2</w:t>
            </w:r>
          </w:p>
        </w:tc>
        <w:tc>
          <w:tcPr>
            <w:tcW w:w="3421" w:type="pct"/>
            <w:vAlign w:val="center"/>
          </w:tcPr>
          <w:p w14:paraId="5EF4EEA4">
            <w:pPr>
              <w:spacing w:line="360" w:lineRule="auto"/>
              <w:jc w:val="center"/>
              <w:rPr>
                <w:rFonts w:ascii="Times New Roman" w:hAnsi="Times New Roman"/>
                <w:color w:val="auto"/>
                <w:sz w:val="24"/>
                <w:szCs w:val="24"/>
                <w:highlight w:val="none"/>
                <w:shd w:val="clear"/>
              </w:rPr>
            </w:pPr>
          </w:p>
        </w:tc>
        <w:tc>
          <w:tcPr>
            <w:tcW w:w="681" w:type="pct"/>
            <w:vAlign w:val="center"/>
          </w:tcPr>
          <w:p w14:paraId="7573E271">
            <w:pPr>
              <w:spacing w:line="360" w:lineRule="auto"/>
              <w:jc w:val="center"/>
              <w:rPr>
                <w:rFonts w:ascii="Times New Roman" w:hAnsi="Times New Roman"/>
                <w:color w:val="auto"/>
                <w:sz w:val="24"/>
                <w:szCs w:val="24"/>
                <w:highlight w:val="none"/>
                <w:shd w:val="clear"/>
              </w:rPr>
            </w:pPr>
          </w:p>
        </w:tc>
      </w:tr>
      <w:tr w14:paraId="36C3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7" w:type="pct"/>
            <w:vAlign w:val="center"/>
          </w:tcPr>
          <w:p w14:paraId="46F9BA62">
            <w:pPr>
              <w:pStyle w:val="29"/>
              <w:rPr>
                <w:rFonts w:ascii="Times New Roman" w:hAnsi="Times New Roman"/>
                <w:color w:val="auto"/>
                <w:highlight w:val="none"/>
                <w:shd w:val="clear"/>
              </w:rPr>
            </w:pPr>
            <w:r>
              <w:rPr>
                <w:rFonts w:hint="eastAsia" w:ascii="Times New Roman" w:hAnsi="Times New Roman"/>
                <w:color w:val="auto"/>
                <w:highlight w:val="none"/>
                <w:shd w:val="clear"/>
              </w:rPr>
              <w:t>……</w:t>
            </w:r>
          </w:p>
        </w:tc>
        <w:tc>
          <w:tcPr>
            <w:tcW w:w="3421" w:type="pct"/>
            <w:vAlign w:val="center"/>
          </w:tcPr>
          <w:p w14:paraId="757011FF">
            <w:pPr>
              <w:spacing w:line="360" w:lineRule="auto"/>
              <w:jc w:val="center"/>
              <w:rPr>
                <w:rFonts w:ascii="Times New Roman" w:hAnsi="Times New Roman"/>
                <w:color w:val="auto"/>
                <w:sz w:val="24"/>
                <w:szCs w:val="24"/>
                <w:highlight w:val="none"/>
                <w:shd w:val="clear"/>
              </w:rPr>
            </w:pPr>
          </w:p>
        </w:tc>
        <w:tc>
          <w:tcPr>
            <w:tcW w:w="681" w:type="pct"/>
            <w:vAlign w:val="center"/>
          </w:tcPr>
          <w:p w14:paraId="676F6004">
            <w:pPr>
              <w:spacing w:line="360" w:lineRule="auto"/>
              <w:jc w:val="center"/>
              <w:rPr>
                <w:rFonts w:ascii="Times New Roman" w:hAnsi="Times New Roman"/>
                <w:color w:val="auto"/>
                <w:sz w:val="24"/>
                <w:szCs w:val="24"/>
                <w:highlight w:val="none"/>
                <w:shd w:val="clear"/>
              </w:rPr>
            </w:pPr>
          </w:p>
        </w:tc>
      </w:tr>
    </w:tbl>
    <w:p w14:paraId="01619343">
      <w:pPr>
        <w:pStyle w:val="20"/>
        <w:rPr>
          <w:rFonts w:ascii="Times New Roman" w:hAnsi="Times New Roman"/>
          <w:color w:val="auto"/>
          <w:highlight w:val="none"/>
          <w:shd w:val="clear"/>
          <w:lang w:val="zh-CN"/>
        </w:rPr>
      </w:pPr>
    </w:p>
    <w:p w14:paraId="175B2C76">
      <w:pPr>
        <w:widowControl/>
        <w:jc w:val="left"/>
        <w:rPr>
          <w:rFonts w:ascii="Times New Roman" w:hAnsi="Times New Roman" w:eastAsia="黑体" w:cs="仿宋"/>
          <w:snapToGrid w:val="0"/>
          <w:color w:val="auto"/>
          <w:sz w:val="28"/>
          <w:szCs w:val="28"/>
          <w:highlight w:val="none"/>
          <w:shd w:val="clear"/>
          <w:lang w:val="zh-CN"/>
        </w:rPr>
      </w:pPr>
      <w:r>
        <w:rPr>
          <w:rFonts w:hint="eastAsia" w:ascii="Times New Roman" w:hAnsi="Times New Roman"/>
          <w:color w:val="auto"/>
          <w:highlight w:val="none"/>
          <w:shd w:val="clear"/>
          <w:lang w:val="zh-CN"/>
        </w:rPr>
        <w:br w:type="page"/>
      </w:r>
    </w:p>
    <w:p w14:paraId="1FC56A69">
      <w:pPr>
        <w:pStyle w:val="20"/>
        <w:rPr>
          <w:rFonts w:ascii="Times New Roman" w:hAnsi="Times New Roman"/>
          <w:color w:val="auto"/>
          <w:highlight w:val="none"/>
          <w:shd w:val="clear"/>
          <w:lang w:val="zh-CN"/>
        </w:rPr>
      </w:pPr>
    </w:p>
    <w:p w14:paraId="738FFE51">
      <w:pPr>
        <w:pStyle w:val="20"/>
        <w:rPr>
          <w:rFonts w:ascii="Times New Roman" w:hAnsi="Times New Roman"/>
          <w:color w:val="auto"/>
          <w:highlight w:val="none"/>
          <w:shd w:val="clear"/>
          <w:lang w:val="zh-CN"/>
        </w:rPr>
      </w:pPr>
      <w:r>
        <w:rPr>
          <w:rFonts w:ascii="Times New Roman" w:hAnsi="Times New Roman"/>
          <w:color w:val="auto"/>
          <w:highlight w:val="none"/>
          <w:shd w:val="clear"/>
          <w:lang w:val="zh-CN"/>
        </w:rPr>
        <w:t>项目经理</w:t>
      </w:r>
      <w:r>
        <w:rPr>
          <w:rFonts w:hint="eastAsia" w:ascii="Times New Roman" w:hAnsi="Times New Roman"/>
          <w:color w:val="auto"/>
          <w:highlight w:val="none"/>
          <w:shd w:val="clear"/>
          <w:lang w:val="zh-CN"/>
        </w:rPr>
        <w:t>业绩信息表（详细评审）</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15D6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61C6C83">
            <w:pPr>
              <w:pStyle w:val="29"/>
              <w:rPr>
                <w:rFonts w:ascii="Times New Roman" w:hAnsi="Times New Roman"/>
                <w:color w:val="auto"/>
                <w:highlight w:val="none"/>
                <w:shd w:val="clear"/>
              </w:rPr>
            </w:pPr>
            <w:r>
              <w:rPr>
                <w:rFonts w:hint="eastAsia" w:ascii="Times New Roman" w:hAnsi="Times New Roman"/>
                <w:color w:val="auto"/>
                <w:highlight w:val="none"/>
                <w:shd w:val="clear"/>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3B7BC238">
            <w:pPr>
              <w:pStyle w:val="30"/>
              <w:rPr>
                <w:rFonts w:ascii="Times New Roman" w:hAnsi="Times New Roman"/>
                <w:color w:val="auto"/>
                <w:highlight w:val="none"/>
                <w:shd w:val="clear"/>
              </w:rPr>
            </w:pPr>
          </w:p>
        </w:tc>
      </w:tr>
      <w:tr w14:paraId="29A7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914385D">
            <w:pPr>
              <w:pStyle w:val="29"/>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7C347D6">
            <w:pPr>
              <w:pStyle w:val="30"/>
              <w:rPr>
                <w:rFonts w:ascii="Times New Roman" w:hAnsi="Times New Roman"/>
                <w:color w:val="auto"/>
                <w:highlight w:val="none"/>
                <w:shd w:val="clear"/>
              </w:rPr>
            </w:pPr>
          </w:p>
        </w:tc>
      </w:tr>
      <w:tr w14:paraId="7197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48407BD">
            <w:pPr>
              <w:pStyle w:val="29"/>
              <w:rPr>
                <w:rFonts w:ascii="Times New Roman" w:hAnsi="Times New Roman"/>
                <w:color w:val="auto"/>
                <w:highlight w:val="none"/>
                <w:shd w:val="clear"/>
              </w:rPr>
            </w:pPr>
            <w:r>
              <w:rPr>
                <w:rFonts w:hint="eastAsia" w:ascii="Times New Roman" w:hAnsi="Times New Roman"/>
                <w:color w:val="auto"/>
                <w:highlight w:val="none"/>
                <w:shd w:val="clear"/>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7829AB22">
            <w:pPr>
              <w:pStyle w:val="30"/>
              <w:rPr>
                <w:rFonts w:ascii="Times New Roman" w:hAnsi="Times New Roman"/>
                <w:color w:val="auto"/>
                <w:highlight w:val="none"/>
                <w:shd w:val="clear"/>
              </w:rPr>
            </w:pPr>
          </w:p>
        </w:tc>
      </w:tr>
      <w:tr w14:paraId="5BD6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02CE07D">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14:paraId="64ACFF96">
            <w:pPr>
              <w:pStyle w:val="30"/>
              <w:rPr>
                <w:rFonts w:ascii="Times New Roman" w:hAnsi="Times New Roman"/>
                <w:color w:val="auto"/>
                <w:highlight w:val="none"/>
                <w:shd w:val="clear"/>
              </w:rPr>
            </w:pPr>
          </w:p>
        </w:tc>
      </w:tr>
      <w:tr w14:paraId="42E9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F667109">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14:paraId="580B41D5">
            <w:pPr>
              <w:pStyle w:val="30"/>
              <w:rPr>
                <w:rFonts w:ascii="Times New Roman" w:hAnsi="Times New Roman"/>
                <w:color w:val="auto"/>
                <w:highlight w:val="none"/>
                <w:shd w:val="clear"/>
              </w:rPr>
            </w:pPr>
          </w:p>
        </w:tc>
      </w:tr>
      <w:tr w14:paraId="524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E361259">
            <w:pPr>
              <w:pStyle w:val="29"/>
              <w:rPr>
                <w:rFonts w:ascii="Times New Roman" w:hAnsi="Times New Roman"/>
                <w:color w:val="auto"/>
                <w:highlight w:val="none"/>
                <w:shd w:val="clear"/>
              </w:rPr>
            </w:pPr>
            <w:r>
              <w:rPr>
                <w:rFonts w:hint="eastAsia" w:ascii="Times New Roman" w:hAnsi="Times New Roman"/>
                <w:color w:val="auto"/>
                <w:highlight w:val="none"/>
                <w:shd w:val="clear"/>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14:paraId="4B6A90CF">
            <w:pPr>
              <w:pStyle w:val="30"/>
              <w:rPr>
                <w:rFonts w:ascii="Times New Roman" w:hAnsi="Times New Roman"/>
                <w:color w:val="auto"/>
                <w:highlight w:val="none"/>
                <w:shd w:val="clear"/>
              </w:rPr>
            </w:pPr>
          </w:p>
        </w:tc>
      </w:tr>
      <w:tr w14:paraId="540D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312E1C6">
            <w:pPr>
              <w:pStyle w:val="29"/>
              <w:rPr>
                <w:rFonts w:ascii="Times New Roman" w:hAnsi="Times New Roman"/>
                <w:color w:val="auto"/>
                <w:highlight w:val="none"/>
                <w:shd w:val="clear"/>
              </w:rPr>
            </w:pPr>
            <w:r>
              <w:rPr>
                <w:rFonts w:hint="eastAsia" w:ascii="Times New Roman" w:hAnsi="Times New Roman"/>
                <w:color w:val="auto"/>
                <w:highlight w:val="none"/>
                <w:shd w:val="clear"/>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66C4E89">
            <w:pPr>
              <w:pStyle w:val="30"/>
              <w:rPr>
                <w:rFonts w:ascii="Times New Roman" w:hAnsi="Times New Roman"/>
                <w:color w:val="auto"/>
                <w:highlight w:val="none"/>
                <w:shd w:val="clear"/>
              </w:rPr>
            </w:pPr>
          </w:p>
        </w:tc>
      </w:tr>
      <w:tr w14:paraId="4158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94A5B63">
            <w:pPr>
              <w:pStyle w:val="29"/>
              <w:rPr>
                <w:rFonts w:ascii="Times New Roman" w:hAnsi="Times New Roman"/>
                <w:color w:val="auto"/>
                <w:highlight w:val="none"/>
                <w:shd w:val="clear"/>
              </w:rPr>
            </w:pPr>
            <w:r>
              <w:rPr>
                <w:rFonts w:hint="eastAsia" w:ascii="Times New Roman" w:hAnsi="Times New Roman"/>
                <w:color w:val="auto"/>
                <w:highlight w:val="none"/>
                <w:shd w:val="clear"/>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14:paraId="24A0A149">
            <w:pPr>
              <w:pStyle w:val="30"/>
              <w:rPr>
                <w:rFonts w:ascii="Times New Roman" w:hAnsi="Times New Roman"/>
                <w:color w:val="auto"/>
                <w:highlight w:val="none"/>
                <w:shd w:val="clear"/>
              </w:rPr>
            </w:pPr>
          </w:p>
        </w:tc>
      </w:tr>
      <w:tr w14:paraId="1189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E3B79B1">
            <w:pPr>
              <w:pStyle w:val="29"/>
              <w:rPr>
                <w:rFonts w:ascii="Times New Roman" w:hAnsi="Times New Roman"/>
                <w:color w:val="auto"/>
                <w:highlight w:val="none"/>
                <w:shd w:val="clear"/>
              </w:rPr>
            </w:pPr>
            <w:r>
              <w:rPr>
                <w:rFonts w:hint="eastAsia" w:ascii="Times New Roman" w:hAnsi="Times New Roman"/>
                <w:color w:val="auto"/>
                <w:highlight w:val="none"/>
                <w:shd w:val="clear"/>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14:paraId="7AB875BB">
            <w:pPr>
              <w:pStyle w:val="30"/>
              <w:rPr>
                <w:rFonts w:ascii="Times New Roman" w:hAnsi="Times New Roman"/>
                <w:color w:val="auto"/>
                <w:highlight w:val="none"/>
                <w:shd w:val="clear"/>
              </w:rPr>
            </w:pPr>
          </w:p>
        </w:tc>
      </w:tr>
      <w:tr w14:paraId="49C0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F2A864">
            <w:pPr>
              <w:pStyle w:val="29"/>
              <w:rPr>
                <w:rFonts w:ascii="Times New Roman" w:hAnsi="Times New Roman"/>
                <w:color w:val="auto"/>
                <w:highlight w:val="none"/>
                <w:shd w:val="clear"/>
              </w:rPr>
            </w:pPr>
            <w:r>
              <w:rPr>
                <w:rFonts w:hint="eastAsia" w:ascii="Times New Roman" w:hAnsi="Times New Roman"/>
                <w:color w:val="auto"/>
                <w:highlight w:val="none"/>
                <w:shd w:val="clear"/>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14:paraId="12330129">
            <w:pPr>
              <w:pStyle w:val="30"/>
              <w:rPr>
                <w:rFonts w:ascii="Times New Roman" w:hAnsi="Times New Roman"/>
                <w:color w:val="auto"/>
                <w:highlight w:val="none"/>
                <w:shd w:val="clear"/>
              </w:rPr>
            </w:pPr>
          </w:p>
        </w:tc>
      </w:tr>
      <w:tr w14:paraId="6D87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7152E693">
            <w:pPr>
              <w:pStyle w:val="29"/>
              <w:rPr>
                <w:rFonts w:ascii="Times New Roman" w:hAnsi="Times New Roman"/>
                <w:color w:val="auto"/>
                <w:highlight w:val="none"/>
                <w:shd w:val="clear"/>
              </w:rPr>
            </w:pPr>
            <w:r>
              <w:rPr>
                <w:rFonts w:hint="eastAsia" w:ascii="Times New Roman" w:hAnsi="Times New Roman"/>
                <w:color w:val="auto"/>
                <w:highlight w:val="none"/>
                <w:shd w:val="clear"/>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14:paraId="14647923">
            <w:pPr>
              <w:pStyle w:val="30"/>
              <w:rPr>
                <w:rFonts w:ascii="Times New Roman" w:hAnsi="Times New Roman"/>
                <w:color w:val="auto"/>
                <w:highlight w:val="none"/>
                <w:shd w:val="clear"/>
              </w:rPr>
            </w:pPr>
          </w:p>
        </w:tc>
      </w:tr>
      <w:tr w14:paraId="1214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06423FF">
            <w:pPr>
              <w:pStyle w:val="29"/>
              <w:rPr>
                <w:rFonts w:ascii="Times New Roman" w:hAnsi="Times New Roman"/>
                <w:color w:val="auto"/>
                <w:highlight w:val="none"/>
                <w:shd w:val="clear"/>
              </w:rPr>
            </w:pPr>
            <w:r>
              <w:rPr>
                <w:rFonts w:hint="eastAsia" w:ascii="Times New Roman" w:hAnsi="Times New Roman"/>
                <w:color w:val="auto"/>
                <w:highlight w:val="none"/>
                <w:shd w:val="clear"/>
              </w:rPr>
              <w:t>项目经理</w:t>
            </w:r>
          </w:p>
          <w:p w14:paraId="6CC59C9D">
            <w:pPr>
              <w:pStyle w:val="29"/>
              <w:rPr>
                <w:rFonts w:ascii="Times New Roman" w:hAnsi="Times New Roman"/>
                <w:color w:val="auto"/>
                <w:highlight w:val="none"/>
                <w:shd w:val="clear"/>
              </w:rPr>
            </w:pPr>
            <w:r>
              <w:rPr>
                <w:rFonts w:hint="eastAsia" w:ascii="Times New Roman" w:hAnsi="Times New Roman"/>
                <w:color w:val="auto"/>
                <w:highlight w:val="none"/>
                <w:shd w:val="clear"/>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14:paraId="74162EF7">
            <w:pPr>
              <w:pStyle w:val="30"/>
              <w:rPr>
                <w:rFonts w:ascii="Times New Roman" w:hAnsi="Times New Roman"/>
                <w:color w:val="auto"/>
                <w:highlight w:val="none"/>
                <w:shd w:val="clear"/>
              </w:rPr>
            </w:pPr>
          </w:p>
        </w:tc>
      </w:tr>
      <w:tr w14:paraId="0E40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CF1FCD1">
            <w:pPr>
              <w:pStyle w:val="29"/>
              <w:rPr>
                <w:rFonts w:ascii="Times New Roman" w:hAnsi="Times New Roman"/>
                <w:color w:val="auto"/>
                <w:highlight w:val="none"/>
                <w:shd w:val="clear"/>
              </w:rPr>
            </w:pPr>
            <w:r>
              <w:rPr>
                <w:rFonts w:hint="eastAsia" w:ascii="Times New Roman" w:hAnsi="Times New Roman"/>
                <w:color w:val="auto"/>
                <w:highlight w:val="none"/>
                <w:shd w:val="clear"/>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14:paraId="2A7CBBE3">
            <w:pPr>
              <w:pStyle w:val="30"/>
              <w:rPr>
                <w:rFonts w:ascii="Times New Roman" w:hAnsi="Times New Roman"/>
                <w:color w:val="auto"/>
                <w:highlight w:val="none"/>
                <w:shd w:val="clear"/>
              </w:rPr>
            </w:pPr>
          </w:p>
        </w:tc>
      </w:tr>
      <w:tr w14:paraId="252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5C949C0">
            <w:pPr>
              <w:pStyle w:val="29"/>
              <w:rPr>
                <w:rFonts w:ascii="Times New Roman" w:hAnsi="Times New Roman"/>
                <w:color w:val="auto"/>
                <w:highlight w:val="none"/>
                <w:shd w:val="clear"/>
              </w:rPr>
            </w:pPr>
            <w:r>
              <w:rPr>
                <w:rFonts w:hint="eastAsia" w:ascii="Times New Roman" w:hAnsi="Times New Roman"/>
                <w:color w:val="auto"/>
                <w:highlight w:val="none"/>
                <w:shd w:val="clear"/>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14:paraId="761F2D94">
            <w:pPr>
              <w:pStyle w:val="30"/>
              <w:rPr>
                <w:rFonts w:ascii="Times New Roman" w:hAnsi="Times New Roman"/>
                <w:color w:val="auto"/>
                <w:highlight w:val="none"/>
                <w:shd w:val="clear"/>
              </w:rPr>
            </w:pPr>
          </w:p>
        </w:tc>
      </w:tr>
      <w:tr w14:paraId="15CB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2F66577">
            <w:pPr>
              <w:pStyle w:val="29"/>
              <w:rPr>
                <w:rFonts w:ascii="Times New Roman" w:hAnsi="Times New Roman"/>
                <w:color w:val="auto"/>
                <w:highlight w:val="none"/>
                <w:shd w:val="clear"/>
              </w:rPr>
            </w:pPr>
            <w:r>
              <w:rPr>
                <w:rFonts w:hint="eastAsia" w:ascii="Times New Roman" w:hAnsi="Times New Roman"/>
                <w:color w:val="auto"/>
                <w:highlight w:val="none"/>
                <w:shd w:val="clear"/>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14:paraId="419F429F">
            <w:pPr>
              <w:pStyle w:val="30"/>
              <w:rPr>
                <w:rFonts w:ascii="Times New Roman" w:hAnsi="Times New Roman"/>
                <w:color w:val="auto"/>
                <w:highlight w:val="none"/>
                <w:shd w:val="clear"/>
              </w:rPr>
            </w:pPr>
          </w:p>
        </w:tc>
      </w:tr>
      <w:tr w14:paraId="1FDF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339CCFB">
            <w:pPr>
              <w:pStyle w:val="29"/>
              <w:rPr>
                <w:rFonts w:ascii="Times New Roman" w:hAnsi="Times New Roman"/>
                <w:color w:val="auto"/>
                <w:highlight w:val="none"/>
                <w:shd w:val="clear"/>
              </w:rPr>
            </w:pPr>
            <w:r>
              <w:rPr>
                <w:rFonts w:hint="eastAsia" w:ascii="Times New Roman" w:hAnsi="Times New Roman"/>
                <w:color w:val="auto"/>
                <w:highlight w:val="none"/>
                <w:shd w:val="clear"/>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1B798490">
            <w:pPr>
              <w:pStyle w:val="30"/>
              <w:rPr>
                <w:rFonts w:ascii="Times New Roman" w:hAnsi="Times New Roman"/>
                <w:color w:val="auto"/>
                <w:highlight w:val="none"/>
                <w:shd w:val="clear"/>
              </w:rPr>
            </w:pPr>
          </w:p>
        </w:tc>
      </w:tr>
      <w:tr w14:paraId="6D3A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63895B0">
            <w:pPr>
              <w:pStyle w:val="29"/>
              <w:rPr>
                <w:rFonts w:ascii="Times New Roman" w:hAnsi="Times New Roman"/>
                <w:color w:val="auto"/>
                <w:highlight w:val="none"/>
                <w:shd w:val="clear"/>
              </w:rPr>
            </w:pPr>
            <w:r>
              <w:rPr>
                <w:rFonts w:hint="eastAsia" w:ascii="Times New Roman" w:hAnsi="Times New Roman"/>
                <w:color w:val="auto"/>
                <w:highlight w:val="none"/>
                <w:shd w:val="clear"/>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53D35395">
            <w:pPr>
              <w:pStyle w:val="30"/>
              <w:rPr>
                <w:rFonts w:ascii="Times New Roman" w:hAnsi="Times New Roman"/>
                <w:color w:val="auto"/>
                <w:highlight w:val="none"/>
                <w:shd w:val="clear"/>
              </w:rPr>
            </w:pPr>
            <w:r>
              <w:rPr>
                <w:rFonts w:hint="eastAsia" w:ascii="Times New Roman" w:hAnsi="Times New Roman"/>
                <w:color w:val="auto"/>
                <w:highlight w:val="none"/>
                <w:shd w:val="clear"/>
              </w:rPr>
              <w:t>商务文件评分用业绩</w:t>
            </w:r>
          </w:p>
        </w:tc>
      </w:tr>
    </w:tbl>
    <w:p w14:paraId="73DD089D">
      <w:pPr>
        <w:pStyle w:val="22"/>
        <w:ind w:firstLine="420"/>
        <w:rPr>
          <w:rFonts w:ascii="Times New Roman" w:hAnsi="Times New Roman"/>
          <w:color w:val="auto"/>
          <w:highlight w:val="none"/>
          <w:shd w:val="clear"/>
        </w:rPr>
      </w:pPr>
      <w:bookmarkStart w:id="2233" w:name="_Toc170805420"/>
      <w:bookmarkStart w:id="2234" w:name="_Toc170804232"/>
      <w:bookmarkStart w:id="2235" w:name="_Toc170805800"/>
      <w:r>
        <w:rPr>
          <w:rFonts w:hint="eastAsia" w:ascii="Times New Roman" w:hAnsi="Times New Roman"/>
          <w:color w:val="auto"/>
          <w:highlight w:val="none"/>
          <w:shd w:val="clear"/>
        </w:rPr>
        <w:t>注：投标人应根据招标文件第三章“评标及定标办法”的要求在本表后附相关证明材料。</w:t>
      </w:r>
      <w:bookmarkEnd w:id="2233"/>
      <w:bookmarkEnd w:id="2234"/>
      <w:bookmarkEnd w:id="2235"/>
    </w:p>
    <w:p w14:paraId="01A0661A">
      <w:pPr>
        <w:spacing w:before="240" w:beforeLines="100" w:line="510" w:lineRule="exact"/>
        <w:rPr>
          <w:rFonts w:ascii="Times New Roman" w:hAnsi="Times New Roman"/>
          <w:bCs w:val="0"/>
          <w:color w:val="auto"/>
          <w:sz w:val="24"/>
          <w:szCs w:val="24"/>
          <w:highlight w:val="none"/>
          <w:shd w:val="clear"/>
        </w:rPr>
      </w:pPr>
      <w:r>
        <w:rPr>
          <w:rFonts w:hint="eastAsia" w:ascii="Times New Roman" w:hAnsi="Times New Roman"/>
          <w:b/>
          <w:color w:val="auto"/>
          <w:sz w:val="24"/>
          <w:highlight w:val="none"/>
          <w:shd w:val="clear"/>
        </w:rPr>
        <w:br w:type="page"/>
      </w:r>
    </w:p>
    <w:p w14:paraId="017998B0">
      <w:pPr>
        <w:rPr>
          <w:rFonts w:ascii="Times New Roman" w:hAnsi="Times New Roman"/>
          <w:color w:val="auto"/>
          <w:highlight w:val="none"/>
          <w:shd w:val="clear"/>
          <w:lang w:val="zh-CN"/>
        </w:rPr>
      </w:pPr>
      <w:bookmarkStart w:id="2236" w:name="_Toc13256"/>
      <w:bookmarkStart w:id="2237" w:name="_Toc170805801"/>
      <w:bookmarkStart w:id="2238" w:name="_Toc170804233"/>
      <w:bookmarkStart w:id="2239" w:name="_Toc170805421"/>
      <w:bookmarkStart w:id="2240" w:name="_Toc10672"/>
    </w:p>
    <w:p w14:paraId="30E355FB">
      <w:pPr>
        <w:pStyle w:val="20"/>
        <w:outlineLvl w:val="2"/>
        <w:rPr>
          <w:rFonts w:ascii="Times New Roman" w:hAnsi="Times New Roman"/>
          <w:color w:val="auto"/>
          <w:highlight w:val="none"/>
          <w:shd w:val="clear"/>
          <w:lang w:val="zh-CN"/>
        </w:rPr>
      </w:pPr>
      <w:r>
        <w:rPr>
          <w:rFonts w:ascii="Times New Roman" w:hAnsi="Times New Roman"/>
          <w:color w:val="auto"/>
          <w:highlight w:val="none"/>
          <w:shd w:val="clear"/>
          <w:lang w:val="zh-CN"/>
        </w:rPr>
        <w:t>九、其他资料</w:t>
      </w:r>
      <w:bookmarkEnd w:id="2236"/>
      <w:bookmarkEnd w:id="2237"/>
      <w:bookmarkEnd w:id="2238"/>
      <w:bookmarkEnd w:id="2239"/>
      <w:bookmarkEnd w:id="2240"/>
    </w:p>
    <w:p w14:paraId="1C664C72">
      <w:pPr>
        <w:pStyle w:val="20"/>
        <w:rPr>
          <w:rFonts w:ascii="Times New Roman" w:hAnsi="Times New Roman"/>
          <w:color w:val="auto"/>
          <w:highlight w:val="none"/>
          <w:shd w:val="clear"/>
        </w:rPr>
      </w:pPr>
    </w:p>
    <w:p w14:paraId="1B8F7CD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自行提供其他相关资料（如有）</w:t>
      </w:r>
    </w:p>
    <w:p w14:paraId="6AB4B72E">
      <w:pPr>
        <w:rPr>
          <w:rFonts w:ascii="Times New Roman" w:hAnsi="Times New Roman"/>
          <w:bCs w:val="0"/>
          <w:color w:val="auto"/>
          <w:highlight w:val="none"/>
          <w:shd w:val="clear"/>
        </w:rPr>
      </w:pPr>
      <w:r>
        <w:rPr>
          <w:rFonts w:hint="eastAsia" w:ascii="Times New Roman" w:hAnsi="Times New Roman"/>
          <w:color w:val="auto"/>
          <w:highlight w:val="none"/>
          <w:shd w:val="clear"/>
        </w:rPr>
        <w:br w:type="page"/>
      </w:r>
    </w:p>
    <w:p w14:paraId="31E43FF5">
      <w:pPr>
        <w:tabs>
          <w:tab w:val="left" w:pos="2580"/>
          <w:tab w:val="left" w:pos="5940"/>
        </w:tabs>
        <w:autoSpaceDE w:val="0"/>
        <w:autoSpaceDN w:val="0"/>
        <w:adjustRightInd w:val="0"/>
        <w:snapToGrid w:val="0"/>
        <w:spacing w:line="360" w:lineRule="auto"/>
        <w:jc w:val="left"/>
        <w:rPr>
          <w:rFonts w:ascii="Times New Roman" w:hAnsi="Times New Roman"/>
          <w:color w:val="auto"/>
          <w:kern w:val="0"/>
          <w:sz w:val="28"/>
          <w:szCs w:val="24"/>
          <w:highlight w:val="none"/>
          <w:u w:val="single"/>
          <w:shd w:val="clear"/>
        </w:rPr>
      </w:pPr>
    </w:p>
    <w:p w14:paraId="1C766CE1">
      <w:pPr>
        <w:tabs>
          <w:tab w:val="left" w:pos="2580"/>
          <w:tab w:val="left" w:pos="5940"/>
        </w:tabs>
        <w:autoSpaceDE w:val="0"/>
        <w:autoSpaceDN w:val="0"/>
        <w:adjustRightInd w:val="0"/>
        <w:snapToGrid w:val="0"/>
        <w:spacing w:line="360" w:lineRule="auto"/>
        <w:jc w:val="left"/>
        <w:rPr>
          <w:rFonts w:ascii="Times New Roman" w:hAnsi="Times New Roman"/>
          <w:color w:val="auto"/>
          <w:kern w:val="0"/>
          <w:sz w:val="28"/>
          <w:szCs w:val="24"/>
          <w:highlight w:val="none"/>
          <w:u w:val="single"/>
          <w:shd w:val="clear"/>
        </w:rPr>
      </w:pPr>
    </w:p>
    <w:p w14:paraId="063BA32C">
      <w:pPr>
        <w:tabs>
          <w:tab w:val="left" w:pos="2580"/>
          <w:tab w:val="left" w:pos="5940"/>
        </w:tabs>
        <w:autoSpaceDE w:val="0"/>
        <w:autoSpaceDN w:val="0"/>
        <w:adjustRightInd w:val="0"/>
        <w:snapToGrid w:val="0"/>
        <w:spacing w:line="360" w:lineRule="auto"/>
        <w:jc w:val="left"/>
        <w:rPr>
          <w:rFonts w:ascii="Times New Roman" w:hAnsi="Times New Roman"/>
          <w:color w:val="auto"/>
          <w:kern w:val="0"/>
          <w:sz w:val="28"/>
          <w:szCs w:val="24"/>
          <w:highlight w:val="none"/>
          <w:u w:val="single"/>
          <w:shd w:val="clear"/>
        </w:rPr>
      </w:pPr>
    </w:p>
    <w:p w14:paraId="38EF81A3">
      <w:pPr>
        <w:spacing w:line="440" w:lineRule="exact"/>
        <w:jc w:val="center"/>
        <w:rPr>
          <w:rFonts w:ascii="Times New Roman" w:hAnsi="Times New Roman" w:eastAsia="黑体"/>
          <w:snapToGrid w:val="0"/>
          <w:color w:val="auto"/>
          <w:kern w:val="0"/>
          <w:sz w:val="28"/>
          <w:szCs w:val="28"/>
          <w:highlight w:val="none"/>
          <w:shd w:val="clear"/>
        </w:rPr>
      </w:pPr>
      <w:r>
        <w:rPr>
          <w:rFonts w:hint="eastAsia" w:ascii="Times New Roman" w:hAnsi="Times New Roman" w:eastAsia="黑体"/>
          <w:snapToGrid w:val="0"/>
          <w:color w:val="auto"/>
          <w:kern w:val="0"/>
          <w:sz w:val="28"/>
          <w:szCs w:val="28"/>
          <w:highlight w:val="none"/>
          <w:u w:val="single"/>
          <w:shd w:val="clear"/>
        </w:rPr>
        <w:t xml:space="preserve">             </w:t>
      </w:r>
      <w:bookmarkStart w:id="2241" w:name="_Toc32538"/>
      <w:bookmarkStart w:id="2242" w:name="_Toc13383"/>
      <w:r>
        <w:rPr>
          <w:rFonts w:hint="eastAsia" w:ascii="Times New Roman" w:hAnsi="Times New Roman" w:eastAsia="黑体"/>
          <w:snapToGrid w:val="0"/>
          <w:color w:val="auto"/>
          <w:kern w:val="0"/>
          <w:sz w:val="28"/>
          <w:szCs w:val="28"/>
          <w:highlight w:val="none"/>
          <w:shd w:val="clear"/>
        </w:rPr>
        <w:t>（招标项目名称）</w:t>
      </w:r>
      <w:r>
        <w:rPr>
          <w:rFonts w:hint="eastAsia" w:ascii="Times New Roman" w:hAnsi="Times New Roman" w:eastAsia="黑体"/>
          <w:snapToGrid w:val="0"/>
          <w:color w:val="auto"/>
          <w:kern w:val="0"/>
          <w:sz w:val="28"/>
          <w:szCs w:val="28"/>
          <w:highlight w:val="none"/>
          <w:u w:val="single"/>
          <w:shd w:val="clear"/>
        </w:rPr>
        <w:t xml:space="preserve">      </w:t>
      </w:r>
      <w:r>
        <w:rPr>
          <w:rFonts w:hint="eastAsia" w:ascii="Times New Roman" w:hAnsi="Times New Roman" w:eastAsia="黑体"/>
          <w:snapToGrid w:val="0"/>
          <w:color w:val="auto"/>
          <w:kern w:val="0"/>
          <w:sz w:val="28"/>
          <w:szCs w:val="28"/>
          <w:highlight w:val="none"/>
          <w:shd w:val="clear"/>
        </w:rPr>
        <w:t>标段</w:t>
      </w:r>
      <w:bookmarkEnd w:id="2241"/>
      <w:bookmarkEnd w:id="2242"/>
    </w:p>
    <w:p w14:paraId="574D1BF6">
      <w:pPr>
        <w:spacing w:line="440" w:lineRule="exact"/>
        <w:jc w:val="left"/>
        <w:rPr>
          <w:rFonts w:ascii="Times New Roman" w:hAnsi="Times New Roman" w:eastAsia="黑体"/>
          <w:snapToGrid w:val="0"/>
          <w:color w:val="auto"/>
          <w:kern w:val="0"/>
          <w:sz w:val="28"/>
          <w:szCs w:val="28"/>
          <w:highlight w:val="none"/>
          <w:shd w:val="clear"/>
        </w:rPr>
      </w:pPr>
    </w:p>
    <w:p w14:paraId="44368CBA">
      <w:pPr>
        <w:spacing w:line="440" w:lineRule="exact"/>
        <w:jc w:val="left"/>
        <w:rPr>
          <w:rFonts w:ascii="Times New Roman" w:hAnsi="Times New Roman" w:eastAsia="黑体"/>
          <w:snapToGrid w:val="0"/>
          <w:color w:val="auto"/>
          <w:kern w:val="0"/>
          <w:sz w:val="28"/>
          <w:szCs w:val="28"/>
          <w:highlight w:val="none"/>
          <w:shd w:val="clear"/>
        </w:rPr>
      </w:pPr>
    </w:p>
    <w:p w14:paraId="7BC185AC">
      <w:pPr>
        <w:keepNext/>
        <w:keepLines/>
        <w:jc w:val="center"/>
        <w:outlineLvl w:val="1"/>
        <w:rPr>
          <w:rStyle w:val="39"/>
          <w:rFonts w:ascii="Times New Roman" w:hAnsi="Times New Roman"/>
          <w:color w:val="auto"/>
          <w:highlight w:val="none"/>
          <w:shd w:val="clear"/>
          <w:lang w:val="zh-CN"/>
        </w:rPr>
      </w:pPr>
      <w:bookmarkStart w:id="2243" w:name="_Toc19217"/>
      <w:bookmarkStart w:id="2244" w:name="_Toc170805802"/>
      <w:bookmarkStart w:id="2245" w:name="_Toc170804234"/>
      <w:bookmarkStart w:id="2246" w:name="_Toc170805422"/>
      <w:r>
        <w:rPr>
          <w:rStyle w:val="39"/>
          <w:rFonts w:ascii="Times New Roman" w:hAnsi="Times New Roman"/>
          <w:color w:val="auto"/>
          <w:highlight w:val="none"/>
          <w:shd w:val="clear"/>
          <w:lang w:val="zh-CN"/>
        </w:rPr>
        <w:t>投标文件</w:t>
      </w:r>
    </w:p>
    <w:p w14:paraId="4A3209F9">
      <w:pPr>
        <w:pStyle w:val="40"/>
        <w:outlineLvl w:val="1"/>
        <w:rPr>
          <w:rStyle w:val="38"/>
          <w:rFonts w:hint="default" w:ascii="Times New Roman" w:hAnsi="Times New Roman"/>
          <w:bCs/>
          <w:color w:val="auto"/>
          <w:highlight w:val="none"/>
          <w:shd w:val="clear"/>
        </w:rPr>
      </w:pPr>
      <w:r>
        <w:rPr>
          <w:rStyle w:val="38"/>
          <w:rFonts w:ascii="Times New Roman" w:hAnsi="Times New Roman"/>
          <w:bCs/>
          <w:color w:val="auto"/>
          <w:highlight w:val="none"/>
          <w:shd w:val="clear"/>
        </w:rPr>
        <w:t>（报价文件）</w:t>
      </w:r>
      <w:bookmarkEnd w:id="2243"/>
      <w:bookmarkEnd w:id="2244"/>
      <w:bookmarkEnd w:id="2245"/>
      <w:bookmarkEnd w:id="2246"/>
    </w:p>
    <w:p w14:paraId="7CB58446">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5AA06412">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562BDD15">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6BCD4099">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3C3422D8">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37299CA6">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526B6086">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7C62D4CF">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768B0B1F">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4F36A344">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7E223D0B">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028CCAEE">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6E51D0B8">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53C10EE4">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30652EE6">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34C500E0">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04BF6A9E">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3E69EFB0">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011D06F0">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519FCA0D">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7A173CA5">
      <w:pPr>
        <w:autoSpaceDE w:val="0"/>
        <w:autoSpaceDN w:val="0"/>
        <w:adjustRightInd w:val="0"/>
        <w:snapToGrid w:val="0"/>
        <w:spacing w:line="360" w:lineRule="auto"/>
        <w:jc w:val="left"/>
        <w:rPr>
          <w:rFonts w:ascii="Times New Roman" w:hAnsi="Times New Roman"/>
          <w:b/>
          <w:bCs w:val="0"/>
          <w:color w:val="auto"/>
          <w:kern w:val="0"/>
          <w:sz w:val="20"/>
          <w:highlight w:val="none"/>
          <w:shd w:val="clear"/>
        </w:rPr>
      </w:pPr>
    </w:p>
    <w:p w14:paraId="687E8F22">
      <w:pPr>
        <w:pStyle w:val="21"/>
        <w:rPr>
          <w:rFonts w:ascii="Times New Roman" w:hAnsi="Times New Roman"/>
          <w:color w:val="auto"/>
          <w:highlight w:val="none"/>
          <w:shd w:val="clear"/>
        </w:rPr>
      </w:pPr>
      <w:bookmarkStart w:id="2247" w:name="_Toc22968"/>
      <w:bookmarkStart w:id="2248" w:name="_Toc2427"/>
      <w:bookmarkStart w:id="2249" w:name="_Toc170804235"/>
      <w:bookmarkStart w:id="2250" w:name="_Toc170805423"/>
      <w:bookmarkStart w:id="2251" w:name="_Toc170805803"/>
      <w:r>
        <w:rPr>
          <w:rFonts w:ascii="Times New Roman" w:hAnsi="Times New Roman"/>
          <w:color w:val="auto"/>
          <w:highlight w:val="none"/>
          <w:shd w:val="clear"/>
        </w:rPr>
        <w:t xml:space="preserve">投标人：   </w:t>
      </w:r>
      <w:r>
        <w:rPr>
          <w:rFonts w:ascii="Times New Roman" w:hAnsi="Times New Roman"/>
          <w:color w:val="auto"/>
          <w:highlight w:val="none"/>
          <w:u w:val="single"/>
          <w:shd w:val="clear"/>
        </w:rPr>
        <w:t xml:space="preserve">                            </w:t>
      </w:r>
      <w:r>
        <w:rPr>
          <w:rFonts w:ascii="Times New Roman" w:hAnsi="Times New Roman"/>
          <w:color w:val="auto"/>
          <w:highlight w:val="none"/>
          <w:shd w:val="clear"/>
        </w:rPr>
        <w:t>（盖单位章）</w:t>
      </w:r>
      <w:bookmarkEnd w:id="2247"/>
      <w:bookmarkEnd w:id="2248"/>
      <w:bookmarkEnd w:id="2249"/>
      <w:bookmarkEnd w:id="2250"/>
      <w:bookmarkEnd w:id="2251"/>
    </w:p>
    <w:p w14:paraId="5A45FBAB">
      <w:pPr>
        <w:pStyle w:val="21"/>
        <w:rPr>
          <w:rFonts w:ascii="Times New Roman" w:hAnsi="Times New Roman"/>
          <w:color w:val="auto"/>
          <w:highlight w:val="none"/>
          <w:shd w:val="clear"/>
        </w:rPr>
      </w:pPr>
      <w:r>
        <w:rPr>
          <w:rFonts w:ascii="Times New Roman" w:hAnsi="Times New Roman"/>
          <w:color w:val="auto"/>
          <w:highlight w:val="none"/>
          <w:shd w:val="clear"/>
        </w:rPr>
        <w:t xml:space="preserve">         </w:t>
      </w:r>
      <w:bookmarkStart w:id="2252" w:name="_Toc4255"/>
      <w:bookmarkStart w:id="2253" w:name="_Toc170805424"/>
      <w:bookmarkStart w:id="2254" w:name="_Toc170805804"/>
      <w:bookmarkStart w:id="2255" w:name="_Toc27725"/>
      <w:bookmarkStart w:id="2256" w:name="_Toc170804236"/>
      <w:r>
        <w:rPr>
          <w:rFonts w:ascii="Times New Roman" w:hAnsi="Times New Roman"/>
          <w:color w:val="auto"/>
          <w:highlight w:val="none"/>
          <w:shd w:val="clear"/>
        </w:rPr>
        <w:t>年         月         日</w:t>
      </w:r>
      <w:bookmarkEnd w:id="2252"/>
      <w:bookmarkEnd w:id="2253"/>
      <w:bookmarkEnd w:id="2254"/>
      <w:bookmarkEnd w:id="2255"/>
      <w:bookmarkEnd w:id="2256"/>
    </w:p>
    <w:p w14:paraId="49D4B3AD">
      <w:pPr>
        <w:autoSpaceDE w:val="0"/>
        <w:autoSpaceDN w:val="0"/>
        <w:adjustRightInd w:val="0"/>
        <w:snapToGrid w:val="0"/>
        <w:spacing w:line="360" w:lineRule="auto"/>
        <w:jc w:val="left"/>
        <w:rPr>
          <w:rFonts w:ascii="Times New Roman" w:hAnsi="Times New Roman"/>
          <w:color w:val="auto"/>
          <w:kern w:val="0"/>
          <w:sz w:val="24"/>
          <w:highlight w:val="none"/>
          <w:shd w:val="clear"/>
        </w:rPr>
      </w:pPr>
      <w:r>
        <w:rPr>
          <w:rFonts w:hint="eastAsia" w:ascii="Times New Roman" w:hAnsi="Times New Roman"/>
          <w:color w:val="auto"/>
          <w:kern w:val="0"/>
          <w:sz w:val="24"/>
          <w:highlight w:val="none"/>
          <w:shd w:val="clear"/>
        </w:rPr>
        <w:br w:type="page"/>
      </w:r>
    </w:p>
    <w:p w14:paraId="7FFDC48B">
      <w:pPr>
        <w:pStyle w:val="20"/>
        <w:rPr>
          <w:rFonts w:ascii="Times New Roman" w:hAnsi="Times New Roman" w:cs="宋体"/>
          <w:b/>
          <w:color w:val="auto"/>
          <w:kern w:val="0"/>
          <w:highlight w:val="none"/>
          <w:shd w:val="clear"/>
        </w:rPr>
      </w:pPr>
      <w:bookmarkStart w:id="2257" w:name="_Toc6842"/>
      <w:bookmarkStart w:id="2258" w:name="_Toc170805425"/>
      <w:bookmarkStart w:id="2259" w:name="_Toc170804237"/>
      <w:bookmarkStart w:id="2260" w:name="_Toc170805805"/>
      <w:r>
        <w:rPr>
          <w:rFonts w:ascii="Times New Roman" w:hAnsi="Times New Roman"/>
          <w:color w:val="auto"/>
          <w:highlight w:val="none"/>
          <w:shd w:val="clear"/>
        </w:rPr>
        <w:t>目  录</w:t>
      </w:r>
      <w:bookmarkEnd w:id="2257"/>
      <w:bookmarkEnd w:id="2258"/>
      <w:bookmarkEnd w:id="2259"/>
      <w:bookmarkEnd w:id="2260"/>
    </w:p>
    <w:p w14:paraId="4569FA63">
      <w:pPr>
        <w:autoSpaceDE w:val="0"/>
        <w:autoSpaceDN w:val="0"/>
        <w:adjustRightInd w:val="0"/>
        <w:snapToGrid w:val="0"/>
        <w:spacing w:line="360" w:lineRule="auto"/>
        <w:ind w:firstLine="388" w:firstLineChars="196"/>
        <w:rPr>
          <w:rFonts w:ascii="Times New Roman" w:hAnsi="Times New Roman"/>
          <w:color w:val="auto"/>
          <w:spacing w:val="-6"/>
          <w:highlight w:val="none"/>
          <w:shd w:val="clear"/>
        </w:rPr>
      </w:pPr>
    </w:p>
    <w:p w14:paraId="0DB78567">
      <w:pPr>
        <w:pStyle w:val="37"/>
        <w:rPr>
          <w:rFonts w:hint="default" w:ascii="Times New Roman" w:hAnsi="Times New Roman"/>
          <w:color w:val="auto"/>
          <w:highlight w:val="none"/>
          <w:shd w:val="clear"/>
        </w:rPr>
      </w:pPr>
      <w:bookmarkStart w:id="2261" w:name="_Toc170805426"/>
      <w:bookmarkStart w:id="2262" w:name="_Toc170804238"/>
      <w:bookmarkStart w:id="2263" w:name="_Toc18874"/>
      <w:bookmarkStart w:id="2264" w:name="_Toc893"/>
      <w:bookmarkStart w:id="2265" w:name="_Toc170805806"/>
      <w:r>
        <w:rPr>
          <w:rFonts w:ascii="Times New Roman" w:hAnsi="Times New Roman"/>
          <w:color w:val="auto"/>
          <w:highlight w:val="none"/>
          <w:shd w:val="clear"/>
        </w:rPr>
        <w:t>一、投标函</w:t>
      </w:r>
      <w:bookmarkEnd w:id="2261"/>
      <w:bookmarkEnd w:id="2262"/>
      <w:bookmarkEnd w:id="2263"/>
      <w:bookmarkEnd w:id="2264"/>
      <w:bookmarkEnd w:id="2265"/>
    </w:p>
    <w:p w14:paraId="5485874D">
      <w:pPr>
        <w:pStyle w:val="37"/>
        <w:rPr>
          <w:rFonts w:hint="default" w:ascii="Times New Roman" w:hAnsi="Times New Roman"/>
          <w:color w:val="auto"/>
          <w:highlight w:val="none"/>
          <w:shd w:val="clear"/>
        </w:rPr>
      </w:pPr>
      <w:bookmarkStart w:id="2266" w:name="_Toc170804239"/>
      <w:bookmarkStart w:id="2267" w:name="_Toc17226"/>
      <w:bookmarkStart w:id="2268" w:name="_Toc4372"/>
      <w:bookmarkStart w:id="2269" w:name="_Toc170805427"/>
      <w:bookmarkStart w:id="2270" w:name="_Toc170805807"/>
      <w:r>
        <w:rPr>
          <w:rFonts w:ascii="Times New Roman" w:hAnsi="Times New Roman"/>
          <w:color w:val="auto"/>
          <w:highlight w:val="none"/>
          <w:shd w:val="clear"/>
        </w:rPr>
        <w:t>二、工程量清单报价书</w:t>
      </w:r>
      <w:bookmarkEnd w:id="2266"/>
      <w:bookmarkEnd w:id="2267"/>
      <w:bookmarkEnd w:id="2268"/>
      <w:bookmarkEnd w:id="2269"/>
      <w:bookmarkEnd w:id="2270"/>
    </w:p>
    <w:p w14:paraId="21A4685F">
      <w:pPr>
        <w:pStyle w:val="37"/>
        <w:rPr>
          <w:rFonts w:hint="default" w:ascii="Times New Roman" w:hAnsi="Times New Roman"/>
          <w:color w:val="auto"/>
          <w:highlight w:val="none"/>
          <w:shd w:val="clear"/>
        </w:rPr>
      </w:pPr>
      <w:bookmarkStart w:id="2271" w:name="_Toc170804240"/>
      <w:bookmarkStart w:id="2272" w:name="_Toc10151"/>
      <w:bookmarkStart w:id="2273" w:name="_Toc29797"/>
      <w:bookmarkStart w:id="2274" w:name="_Toc170805808"/>
      <w:bookmarkStart w:id="2275" w:name="_Toc170805428"/>
      <w:r>
        <w:rPr>
          <w:rFonts w:ascii="Times New Roman" w:hAnsi="Times New Roman"/>
          <w:color w:val="auto"/>
          <w:highlight w:val="none"/>
          <w:shd w:val="clear"/>
        </w:rPr>
        <w:t>三、其他资料</w:t>
      </w:r>
      <w:bookmarkEnd w:id="2271"/>
      <w:bookmarkEnd w:id="2272"/>
      <w:bookmarkEnd w:id="2273"/>
      <w:bookmarkEnd w:id="2274"/>
      <w:bookmarkEnd w:id="2275"/>
    </w:p>
    <w:p w14:paraId="7D9ED5BE">
      <w:pPr>
        <w:pStyle w:val="22"/>
        <w:ind w:firstLine="420"/>
        <w:rPr>
          <w:rFonts w:ascii="Times New Roman" w:hAnsi="Times New Roman"/>
          <w:color w:val="auto"/>
          <w:highlight w:val="none"/>
          <w:shd w:val="clear"/>
        </w:rPr>
        <w:sectPr>
          <w:footerReference r:id="rId13" w:type="default"/>
          <w:footnotePr>
            <w:numFmt w:val="decimalEnclosedCircleChinese"/>
            <w:numRestart w:val="eachPage"/>
          </w:footnotePr>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pPr>
    </w:p>
    <w:p w14:paraId="57478B97">
      <w:pPr>
        <w:pStyle w:val="20"/>
        <w:outlineLvl w:val="2"/>
        <w:rPr>
          <w:rFonts w:ascii="Times New Roman" w:hAnsi="Times New Roman"/>
          <w:color w:val="auto"/>
          <w:highlight w:val="none"/>
          <w:shd w:val="clear"/>
          <w:lang w:val="zh-CN"/>
        </w:rPr>
      </w:pPr>
      <w:bookmarkStart w:id="2276" w:name="_Toc390411631"/>
      <w:bookmarkStart w:id="2277" w:name="_Toc15108"/>
      <w:bookmarkStart w:id="2278" w:name="_Toc460660235"/>
      <w:bookmarkStart w:id="2279" w:name="_Toc170805429"/>
      <w:bookmarkStart w:id="2280" w:name="_Toc2672"/>
      <w:bookmarkStart w:id="2281" w:name="_Toc460227120"/>
      <w:bookmarkStart w:id="2282" w:name="_Toc421917012"/>
      <w:bookmarkStart w:id="2283" w:name="_Toc170804241"/>
      <w:bookmarkStart w:id="2284" w:name="_Toc170805809"/>
      <w:r>
        <w:rPr>
          <w:rFonts w:ascii="Times New Roman" w:hAnsi="Times New Roman"/>
          <w:color w:val="auto"/>
          <w:highlight w:val="none"/>
          <w:shd w:val="clear"/>
          <w:lang w:val="zh-CN"/>
        </w:rPr>
        <w:t>一、投标函</w:t>
      </w:r>
      <w:bookmarkEnd w:id="2276"/>
      <w:bookmarkEnd w:id="2277"/>
      <w:bookmarkEnd w:id="2278"/>
      <w:bookmarkEnd w:id="2279"/>
      <w:bookmarkEnd w:id="2280"/>
      <w:bookmarkEnd w:id="2281"/>
      <w:bookmarkEnd w:id="2282"/>
      <w:bookmarkEnd w:id="2283"/>
      <w:bookmarkEnd w:id="2284"/>
    </w:p>
    <w:p w14:paraId="6EC2F439">
      <w:pPr>
        <w:pStyle w:val="22"/>
        <w:ind w:firstLine="0" w:firstLineChars="0"/>
        <w:rPr>
          <w:rFonts w:ascii="Times New Roman" w:hAnsi="Times New Roman"/>
          <w:color w:val="auto"/>
          <w:highlight w:val="none"/>
          <w:shd w:val="clear"/>
        </w:rPr>
      </w:pP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（招标人名称）：</w:t>
      </w:r>
    </w:p>
    <w:p w14:paraId="48201CC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1.我方已仔细研究</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（招标项目名称）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标段招标文件的全部内容，在考察工程现场后，</w:t>
      </w:r>
      <w:r>
        <w:rPr>
          <w:rFonts w:hint="eastAsia" w:ascii="Times New Roman" w:hAnsi="Times New Roman"/>
          <w:b/>
          <w:color w:val="auto"/>
          <w:highlight w:val="none"/>
          <w:shd w:val="clear"/>
        </w:rPr>
        <w:t>愿意以人民币（大写）</w:t>
      </w:r>
      <w:r>
        <w:rPr>
          <w:rFonts w:hint="eastAsia" w:ascii="Times New Roman" w:hAnsi="Times New Roman"/>
          <w:b/>
          <w:color w:val="auto"/>
          <w:highlight w:val="none"/>
          <w:u w:val="single"/>
          <w:shd w:val="clear"/>
        </w:rPr>
        <w:t xml:space="preserve">         </w:t>
      </w:r>
      <w:r>
        <w:rPr>
          <w:rFonts w:hint="eastAsia" w:ascii="Times New Roman" w:hAnsi="Times New Roman"/>
          <w:b/>
          <w:color w:val="auto"/>
          <w:highlight w:val="none"/>
          <w:shd w:val="clear"/>
        </w:rPr>
        <w:t>（¥</w:t>
      </w:r>
      <w:r>
        <w:rPr>
          <w:rFonts w:hint="eastAsia" w:ascii="Times New Roman" w:hAnsi="Times New Roman"/>
          <w:b/>
          <w:color w:val="auto"/>
          <w:highlight w:val="none"/>
          <w:u w:val="single"/>
          <w:shd w:val="clear"/>
        </w:rPr>
        <w:t xml:space="preserve">         </w:t>
      </w:r>
      <w:r>
        <w:rPr>
          <w:rFonts w:hint="eastAsia" w:ascii="Times New Roman" w:hAnsi="Times New Roman"/>
          <w:b/>
          <w:color w:val="auto"/>
          <w:highlight w:val="none"/>
          <w:shd w:val="clear"/>
        </w:rPr>
        <w:t>元）的投标总报价</w:t>
      </w:r>
      <w:r>
        <w:rPr>
          <w:rFonts w:hint="eastAsia" w:ascii="Times New Roman" w:hAnsi="Times New Roman"/>
          <w:color w:val="auto"/>
          <w:highlight w:val="none"/>
          <w:shd w:val="clear"/>
        </w:rPr>
        <w:t>，按合同约定实施和完成承包工程，修补工程中的任何缺陷。</w:t>
      </w:r>
    </w:p>
    <w:p w14:paraId="12FCD1B1">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2.我方已按招标文件要求详细审核并确认全部招标文件及有关附件，充分理解投标价格不得低于企业个别成本有关规定。我方经成本核算，所填报的投标报价不低于企业个别成本。</w:t>
      </w:r>
    </w:p>
    <w:p w14:paraId="08052D26">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（其他补充说明）。</w:t>
      </w:r>
    </w:p>
    <w:p w14:paraId="49A1C6F9">
      <w:pPr>
        <w:pStyle w:val="22"/>
        <w:ind w:firstLine="420"/>
        <w:rPr>
          <w:rFonts w:ascii="Times New Roman" w:hAnsi="Times New Roman"/>
          <w:color w:val="auto"/>
          <w:highlight w:val="none"/>
          <w:shd w:val="clear"/>
        </w:rPr>
      </w:pPr>
    </w:p>
    <w:p w14:paraId="5E5B12D3">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投 标 人：</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（盖单位章）</w:t>
      </w:r>
    </w:p>
    <w:p w14:paraId="66EE16B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（签字或盖章）</w:t>
      </w:r>
    </w:p>
    <w:p w14:paraId="56EA8A8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单位地址：</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7ED1364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邮政编码：</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电话：</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传真：</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p>
    <w:p w14:paraId="3B1C4ECF">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日期：</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2A4234E1">
      <w:pPr>
        <w:widowControl/>
        <w:jc w:val="left"/>
        <w:rPr>
          <w:rFonts w:ascii="Times New Roman" w:hAnsi="Times New Roman"/>
          <w:color w:val="auto"/>
          <w:highlight w:val="none"/>
          <w:shd w:val="clear"/>
        </w:rPr>
      </w:pPr>
      <w:r>
        <w:rPr>
          <w:rFonts w:ascii="Times New Roman" w:hAnsi="Times New Roman" w:cs="宋体"/>
          <w:color w:val="auto"/>
          <w:sz w:val="24"/>
          <w:highlight w:val="none"/>
          <w:shd w:val="clear"/>
        </w:rPr>
        <w:br w:type="page"/>
      </w:r>
    </w:p>
    <w:p w14:paraId="48F354FC">
      <w:pPr>
        <w:pStyle w:val="20"/>
        <w:outlineLvl w:val="2"/>
        <w:rPr>
          <w:rFonts w:ascii="Times New Roman" w:hAnsi="Times New Roman"/>
          <w:color w:val="auto"/>
          <w:highlight w:val="none"/>
          <w:shd w:val="clear"/>
          <w:lang w:val="zh-CN"/>
        </w:rPr>
      </w:pPr>
      <w:bookmarkStart w:id="2285" w:name="_Toc421917014"/>
      <w:bookmarkStart w:id="2286" w:name="_Toc32611"/>
      <w:bookmarkStart w:id="2287" w:name="_Toc460227122"/>
      <w:bookmarkStart w:id="2288" w:name="_Toc170805813"/>
      <w:bookmarkStart w:id="2289" w:name="_Toc170804245"/>
      <w:bookmarkStart w:id="2290" w:name="_Toc460660237"/>
      <w:bookmarkStart w:id="2291" w:name="_Toc228"/>
      <w:bookmarkStart w:id="2292" w:name="_Toc170805433"/>
      <w:r>
        <w:rPr>
          <w:rFonts w:hint="eastAsia" w:ascii="Times New Roman" w:hAnsi="Times New Roman"/>
          <w:color w:val="auto"/>
          <w:highlight w:val="none"/>
          <w:shd w:val="clear"/>
          <w:lang w:val="en-US" w:eastAsia="zh-CN"/>
        </w:rPr>
        <w:t>二</w:t>
      </w:r>
      <w:r>
        <w:rPr>
          <w:rFonts w:ascii="Times New Roman" w:hAnsi="Times New Roman"/>
          <w:color w:val="auto"/>
          <w:highlight w:val="none"/>
          <w:shd w:val="clear"/>
          <w:lang w:val="zh-CN"/>
        </w:rPr>
        <w:t>、工程量清单报价书</w:t>
      </w:r>
      <w:bookmarkEnd w:id="2285"/>
      <w:bookmarkEnd w:id="2286"/>
      <w:bookmarkEnd w:id="2287"/>
      <w:bookmarkEnd w:id="2288"/>
      <w:bookmarkEnd w:id="2289"/>
      <w:bookmarkEnd w:id="2290"/>
      <w:bookmarkEnd w:id="2291"/>
      <w:bookmarkEnd w:id="2292"/>
    </w:p>
    <w:p w14:paraId="3A1018B2">
      <w:pPr>
        <w:adjustRightInd w:val="0"/>
        <w:snapToGrid w:val="0"/>
        <w:spacing w:before="48" w:beforeLines="20" w:after="48" w:afterLines="20" w:line="540" w:lineRule="exact"/>
        <w:rPr>
          <w:rFonts w:ascii="Times New Roman" w:hAnsi="Times New Roman"/>
          <w:color w:val="auto"/>
          <w:sz w:val="28"/>
          <w:highlight w:val="none"/>
          <w:shd w:val="clear"/>
        </w:rPr>
      </w:pPr>
    </w:p>
    <w:p w14:paraId="169033A4">
      <w:pPr>
        <w:pStyle w:val="19"/>
        <w:rPr>
          <w:rFonts w:hint="default" w:ascii="Times New Roman" w:hAnsi="Times New Roman"/>
          <w:color w:val="auto"/>
          <w:highlight w:val="none"/>
          <w:shd w:val="clear"/>
        </w:rPr>
      </w:pPr>
      <w:bookmarkStart w:id="2293" w:name="_Toc5585"/>
      <w:bookmarkStart w:id="2294" w:name="_Toc27588"/>
      <w:bookmarkStart w:id="2295" w:name="_Toc170804246"/>
      <w:bookmarkStart w:id="2296" w:name="_Toc170805434"/>
      <w:bookmarkStart w:id="2297" w:name="_Toc170805814"/>
      <w:r>
        <w:rPr>
          <w:rFonts w:ascii="Times New Roman" w:hAnsi="Times New Roman"/>
          <w:color w:val="auto"/>
          <w:highlight w:val="none"/>
          <w:shd w:val="clear"/>
        </w:rPr>
        <w:t>投标总价</w:t>
      </w:r>
      <w:bookmarkEnd w:id="2293"/>
      <w:bookmarkEnd w:id="2294"/>
      <w:bookmarkEnd w:id="2295"/>
      <w:bookmarkEnd w:id="2296"/>
      <w:bookmarkEnd w:id="2297"/>
    </w:p>
    <w:p w14:paraId="3519DF4A">
      <w:pPr>
        <w:adjustRightInd w:val="0"/>
        <w:snapToGrid w:val="0"/>
        <w:spacing w:before="48" w:beforeLines="20" w:after="48" w:afterLines="20" w:line="540" w:lineRule="exact"/>
        <w:rPr>
          <w:rFonts w:ascii="Times New Roman" w:hAnsi="Times New Roman"/>
          <w:b/>
          <w:color w:val="auto"/>
          <w:sz w:val="30"/>
          <w:highlight w:val="none"/>
          <w:shd w:val="clear"/>
        </w:rPr>
      </w:pPr>
    </w:p>
    <w:p w14:paraId="3C97E303">
      <w:pPr>
        <w:adjustRightInd w:val="0"/>
        <w:snapToGrid w:val="0"/>
        <w:spacing w:before="48" w:beforeLines="20" w:after="48" w:afterLines="20" w:line="540" w:lineRule="exact"/>
        <w:rPr>
          <w:rFonts w:ascii="Times New Roman" w:hAnsi="Times New Roman"/>
          <w:b/>
          <w:color w:val="auto"/>
          <w:sz w:val="30"/>
          <w:highlight w:val="none"/>
          <w:shd w:val="clear"/>
        </w:rPr>
      </w:pPr>
    </w:p>
    <w:p w14:paraId="29ECCEB8">
      <w:pPr>
        <w:adjustRightInd w:val="0"/>
        <w:snapToGrid w:val="0"/>
        <w:spacing w:before="48" w:beforeLines="20" w:after="48" w:afterLines="20" w:line="540" w:lineRule="exact"/>
        <w:rPr>
          <w:rFonts w:ascii="Times New Roman" w:hAnsi="Times New Roman"/>
          <w:b/>
          <w:color w:val="auto"/>
          <w:sz w:val="30"/>
          <w:highlight w:val="none"/>
          <w:shd w:val="clear"/>
        </w:rPr>
      </w:pPr>
    </w:p>
    <w:p w14:paraId="7CC34082">
      <w:pPr>
        <w:adjustRightInd w:val="0"/>
        <w:snapToGrid w:val="0"/>
        <w:spacing w:before="48" w:beforeLines="20" w:after="48" w:afterLines="20" w:line="540" w:lineRule="exact"/>
        <w:rPr>
          <w:rFonts w:ascii="Times New Roman" w:hAnsi="Times New Roman"/>
          <w:b/>
          <w:color w:val="auto"/>
          <w:sz w:val="30"/>
          <w:highlight w:val="none"/>
          <w:shd w:val="clear"/>
        </w:rPr>
      </w:pPr>
    </w:p>
    <w:p w14:paraId="698EA8FF">
      <w:pPr>
        <w:pStyle w:val="21"/>
        <w:jc w:val="left"/>
        <w:rPr>
          <w:rFonts w:ascii="Times New Roman" w:hAnsi="Times New Roman"/>
          <w:color w:val="auto"/>
          <w:highlight w:val="none"/>
          <w:shd w:val="clear"/>
        </w:rPr>
      </w:pPr>
      <w:bookmarkStart w:id="2298" w:name="_Toc170805435"/>
      <w:bookmarkStart w:id="2299" w:name="_Toc13204"/>
      <w:bookmarkStart w:id="2300" w:name="_Toc170805815"/>
      <w:bookmarkStart w:id="2301" w:name="_Toc12323"/>
      <w:bookmarkStart w:id="2302" w:name="_Toc170804247"/>
      <w:r>
        <w:rPr>
          <w:rFonts w:ascii="Times New Roman" w:hAnsi="Times New Roman"/>
          <w:color w:val="auto"/>
          <w:highlight w:val="none"/>
          <w:shd w:val="clear"/>
        </w:rPr>
        <w:t>招   标  人</w:t>
      </w:r>
      <w:bookmarkEnd w:id="2298"/>
      <w:bookmarkEnd w:id="2299"/>
      <w:bookmarkEnd w:id="2300"/>
      <w:bookmarkEnd w:id="2301"/>
      <w:bookmarkEnd w:id="2302"/>
      <w:r>
        <w:rPr>
          <w:rFonts w:ascii="Times New Roman" w:hAnsi="Times New Roman"/>
          <w:color w:val="auto"/>
          <w:highlight w:val="none"/>
          <w:shd w:val="clear"/>
        </w:rPr>
        <w:t xml:space="preserve">： </w:t>
      </w:r>
      <w:r>
        <w:rPr>
          <w:rFonts w:ascii="Times New Roman" w:hAnsi="Times New Roman"/>
          <w:color w:val="auto"/>
          <w:highlight w:val="none"/>
          <w:u w:val="single"/>
          <w:shd w:val="clear"/>
        </w:rPr>
        <w:t xml:space="preserve">                                   </w:t>
      </w:r>
    </w:p>
    <w:p w14:paraId="20F61C86">
      <w:pPr>
        <w:pStyle w:val="21"/>
        <w:jc w:val="left"/>
        <w:rPr>
          <w:rFonts w:ascii="Times New Roman" w:hAnsi="Times New Roman"/>
          <w:color w:val="auto"/>
          <w:highlight w:val="none"/>
          <w:u w:val="single"/>
          <w:shd w:val="clear"/>
        </w:rPr>
      </w:pPr>
      <w:bookmarkStart w:id="2303" w:name="_Toc170805816"/>
      <w:bookmarkStart w:id="2304" w:name="_Toc20498"/>
      <w:bookmarkStart w:id="2305" w:name="_Toc170804248"/>
      <w:bookmarkStart w:id="2306" w:name="_Toc18688"/>
      <w:bookmarkStart w:id="2307" w:name="_Toc170805436"/>
      <w:r>
        <w:rPr>
          <w:rFonts w:ascii="Times New Roman" w:hAnsi="Times New Roman"/>
          <w:color w:val="auto"/>
          <w:highlight w:val="none"/>
          <w:shd w:val="clear"/>
        </w:rPr>
        <w:t>工 程 名 称：</w:t>
      </w:r>
      <w:bookmarkEnd w:id="2303"/>
      <w:bookmarkEnd w:id="2304"/>
      <w:bookmarkEnd w:id="2305"/>
      <w:bookmarkEnd w:id="2306"/>
      <w:bookmarkEnd w:id="2307"/>
      <w:r>
        <w:rPr>
          <w:rFonts w:ascii="Times New Roman" w:hAnsi="Times New Roman"/>
          <w:color w:val="auto"/>
          <w:highlight w:val="none"/>
          <w:shd w:val="clear"/>
        </w:rPr>
        <w:t xml:space="preserve"> </w:t>
      </w:r>
      <w:r>
        <w:rPr>
          <w:rFonts w:ascii="Times New Roman" w:hAnsi="Times New Roman"/>
          <w:color w:val="auto"/>
          <w:highlight w:val="none"/>
          <w:u w:val="single"/>
          <w:shd w:val="clear"/>
        </w:rPr>
        <w:t xml:space="preserve">                                   </w:t>
      </w:r>
    </w:p>
    <w:p w14:paraId="1CB10B03">
      <w:pPr>
        <w:pStyle w:val="21"/>
        <w:jc w:val="left"/>
        <w:rPr>
          <w:rFonts w:ascii="Times New Roman" w:hAnsi="Times New Roman"/>
          <w:color w:val="auto"/>
          <w:highlight w:val="none"/>
          <w:shd w:val="clear"/>
        </w:rPr>
      </w:pPr>
      <w:bookmarkStart w:id="2308" w:name="_Toc170805817"/>
      <w:bookmarkStart w:id="2309" w:name="_Toc170804249"/>
      <w:bookmarkStart w:id="2310" w:name="_Toc18199"/>
      <w:bookmarkStart w:id="2311" w:name="_Toc29954"/>
      <w:bookmarkStart w:id="2312" w:name="_Toc170805437"/>
      <w:r>
        <w:rPr>
          <w:rFonts w:ascii="Times New Roman" w:hAnsi="Times New Roman"/>
          <w:color w:val="auto"/>
          <w:highlight w:val="none"/>
          <w:shd w:val="clear"/>
        </w:rPr>
        <w:t>投 标 总 价（小写）：</w:t>
      </w:r>
      <w:bookmarkEnd w:id="2308"/>
      <w:bookmarkEnd w:id="2309"/>
      <w:bookmarkEnd w:id="2310"/>
      <w:bookmarkEnd w:id="2311"/>
      <w:bookmarkEnd w:id="2312"/>
      <w:r>
        <w:rPr>
          <w:rFonts w:ascii="Times New Roman" w:hAnsi="Times New Roman"/>
          <w:color w:val="auto"/>
          <w:highlight w:val="none"/>
          <w:u w:val="single"/>
          <w:shd w:val="clear"/>
        </w:rPr>
        <w:t xml:space="preserve">                            </w:t>
      </w:r>
    </w:p>
    <w:p w14:paraId="4F002CC2">
      <w:pPr>
        <w:pStyle w:val="21"/>
        <w:jc w:val="left"/>
        <w:rPr>
          <w:rFonts w:ascii="Times New Roman" w:hAnsi="Times New Roman"/>
          <w:color w:val="auto"/>
          <w:highlight w:val="none"/>
          <w:u w:val="single"/>
          <w:shd w:val="clear"/>
        </w:rPr>
      </w:pPr>
      <w:bookmarkStart w:id="2313" w:name="_Toc17318"/>
      <w:bookmarkStart w:id="2314" w:name="_Toc170805818"/>
      <w:bookmarkStart w:id="2315" w:name="_Toc170805438"/>
      <w:bookmarkStart w:id="2316" w:name="_Toc17138"/>
      <w:bookmarkStart w:id="2317" w:name="_Toc170804250"/>
      <w:r>
        <w:rPr>
          <w:rFonts w:ascii="Times New Roman" w:hAnsi="Times New Roman"/>
          <w:color w:val="auto"/>
          <w:highlight w:val="none"/>
          <w:shd w:val="clear"/>
        </w:rPr>
        <w:t>（大写）：</w:t>
      </w:r>
      <w:bookmarkEnd w:id="2313"/>
      <w:bookmarkEnd w:id="2314"/>
      <w:bookmarkEnd w:id="2315"/>
      <w:bookmarkEnd w:id="2316"/>
      <w:bookmarkEnd w:id="2317"/>
      <w:r>
        <w:rPr>
          <w:rFonts w:ascii="Times New Roman" w:hAnsi="Times New Roman"/>
          <w:color w:val="auto"/>
          <w:highlight w:val="none"/>
          <w:shd w:val="clear"/>
        </w:rPr>
        <w:t xml:space="preserve"> </w:t>
      </w:r>
      <w:r>
        <w:rPr>
          <w:rFonts w:ascii="Times New Roman" w:hAnsi="Times New Roman"/>
          <w:color w:val="auto"/>
          <w:highlight w:val="none"/>
          <w:u w:val="single"/>
          <w:shd w:val="clear"/>
        </w:rPr>
        <w:t xml:space="preserve">                                      </w:t>
      </w:r>
    </w:p>
    <w:p w14:paraId="54C1F0EE">
      <w:pPr>
        <w:pStyle w:val="21"/>
        <w:jc w:val="left"/>
        <w:rPr>
          <w:rFonts w:ascii="Times New Roman" w:hAnsi="Times New Roman"/>
          <w:color w:val="auto"/>
          <w:highlight w:val="none"/>
          <w:shd w:val="clear"/>
        </w:rPr>
      </w:pPr>
      <w:bookmarkStart w:id="2318" w:name="_Toc170804251"/>
      <w:bookmarkStart w:id="2319" w:name="_Toc31826"/>
      <w:bookmarkStart w:id="2320" w:name="_Toc170805439"/>
      <w:bookmarkStart w:id="2321" w:name="_Toc170805819"/>
      <w:bookmarkStart w:id="2322" w:name="_Toc6511"/>
    </w:p>
    <w:p w14:paraId="2F44CE3A">
      <w:pPr>
        <w:pStyle w:val="21"/>
        <w:jc w:val="left"/>
        <w:rPr>
          <w:rFonts w:ascii="Times New Roman" w:hAnsi="Times New Roman"/>
          <w:color w:val="auto"/>
          <w:highlight w:val="none"/>
          <w:shd w:val="clear"/>
        </w:rPr>
      </w:pPr>
      <w:r>
        <w:rPr>
          <w:rFonts w:ascii="Times New Roman" w:hAnsi="Times New Roman"/>
          <w:color w:val="auto"/>
          <w:highlight w:val="none"/>
          <w:shd w:val="clear"/>
        </w:rPr>
        <w:t xml:space="preserve">投 标 人： </w:t>
      </w:r>
      <w:r>
        <w:rPr>
          <w:rFonts w:ascii="Times New Roman" w:hAnsi="Times New Roman"/>
          <w:color w:val="auto"/>
          <w:highlight w:val="none"/>
          <w:u w:val="single"/>
          <w:shd w:val="clear"/>
        </w:rPr>
        <w:t xml:space="preserve">                               </w:t>
      </w:r>
      <w:r>
        <w:rPr>
          <w:rFonts w:ascii="Times New Roman" w:hAnsi="Times New Roman"/>
          <w:color w:val="auto"/>
          <w:highlight w:val="none"/>
          <w:shd w:val="clear"/>
        </w:rPr>
        <w:t xml:space="preserve">   (盖单位章)</w:t>
      </w:r>
      <w:bookmarkEnd w:id="2318"/>
      <w:bookmarkEnd w:id="2319"/>
      <w:bookmarkEnd w:id="2320"/>
      <w:bookmarkEnd w:id="2321"/>
      <w:bookmarkEnd w:id="2322"/>
    </w:p>
    <w:p w14:paraId="7DA852E5">
      <w:pPr>
        <w:pStyle w:val="21"/>
        <w:jc w:val="left"/>
        <w:rPr>
          <w:rFonts w:ascii="Times New Roman" w:hAnsi="Times New Roman"/>
          <w:color w:val="auto"/>
          <w:highlight w:val="none"/>
          <w:shd w:val="clear"/>
        </w:rPr>
      </w:pPr>
      <w:bookmarkStart w:id="2323" w:name="_Toc29309"/>
      <w:bookmarkStart w:id="2324" w:name="_Toc170804252"/>
      <w:bookmarkStart w:id="2325" w:name="_Toc170805820"/>
      <w:bookmarkStart w:id="2326" w:name="_Toc3509"/>
      <w:bookmarkStart w:id="2327" w:name="_Toc170805440"/>
      <w:r>
        <w:rPr>
          <w:rFonts w:ascii="Times New Roman" w:hAnsi="Times New Roman"/>
          <w:color w:val="auto"/>
          <w:highlight w:val="none"/>
          <w:shd w:val="clear"/>
        </w:rPr>
        <w:t>法定代表人：</w:t>
      </w:r>
      <w:r>
        <w:rPr>
          <w:rFonts w:ascii="Times New Roman" w:hAnsi="Times New Roman"/>
          <w:color w:val="auto"/>
          <w:highlight w:val="none"/>
          <w:u w:val="single"/>
          <w:shd w:val="clear"/>
        </w:rPr>
        <w:t xml:space="preserve">                              </w:t>
      </w:r>
      <w:r>
        <w:rPr>
          <w:rFonts w:ascii="Times New Roman" w:hAnsi="Times New Roman"/>
          <w:color w:val="auto"/>
          <w:highlight w:val="none"/>
          <w:shd w:val="clear"/>
        </w:rPr>
        <w:t xml:space="preserve"> (签字或盖章)</w:t>
      </w:r>
      <w:bookmarkEnd w:id="2323"/>
      <w:bookmarkEnd w:id="2324"/>
      <w:bookmarkEnd w:id="2325"/>
      <w:bookmarkEnd w:id="2326"/>
      <w:bookmarkEnd w:id="2327"/>
    </w:p>
    <w:p w14:paraId="3D811480">
      <w:pPr>
        <w:pStyle w:val="21"/>
        <w:jc w:val="left"/>
        <w:rPr>
          <w:rFonts w:ascii="Times New Roman" w:hAnsi="Times New Roman"/>
          <w:color w:val="auto"/>
          <w:highlight w:val="none"/>
          <w:shd w:val="clear"/>
        </w:rPr>
      </w:pPr>
      <w:bookmarkStart w:id="2328" w:name="_Toc170804253"/>
      <w:bookmarkStart w:id="2329" w:name="_Toc170805821"/>
      <w:bookmarkStart w:id="2330" w:name="_Toc170805441"/>
      <w:bookmarkStart w:id="2331" w:name="_Toc25017"/>
      <w:bookmarkStart w:id="2332" w:name="_Toc27591"/>
      <w:r>
        <w:rPr>
          <w:rFonts w:ascii="Times New Roman" w:hAnsi="Times New Roman"/>
          <w:color w:val="auto"/>
          <w:highlight w:val="none"/>
          <w:shd w:val="clear"/>
        </w:rPr>
        <w:t>编制人：</w:t>
      </w:r>
      <w:r>
        <w:rPr>
          <w:rFonts w:ascii="Times New Roman" w:hAnsi="Times New Roman"/>
          <w:color w:val="auto"/>
          <w:highlight w:val="none"/>
          <w:u w:val="single"/>
          <w:shd w:val="clear"/>
        </w:rPr>
        <w:t xml:space="preserve">    </w:t>
      </w:r>
      <w:r>
        <w:rPr>
          <w:rFonts w:ascii="Times New Roman" w:hAnsi="Times New Roman"/>
          <w:color w:val="auto"/>
          <w:highlight w:val="none"/>
          <w:shd w:val="clear"/>
        </w:rPr>
        <w:t>(盖二级及以上注册造价工程师执业专用章或电子执业章)</w:t>
      </w:r>
      <w:bookmarkEnd w:id="2328"/>
      <w:bookmarkEnd w:id="2329"/>
      <w:bookmarkEnd w:id="2330"/>
      <w:bookmarkEnd w:id="2331"/>
      <w:bookmarkEnd w:id="2332"/>
    </w:p>
    <w:p w14:paraId="1BFC4F57">
      <w:pPr>
        <w:pStyle w:val="21"/>
        <w:jc w:val="left"/>
        <w:rPr>
          <w:rFonts w:ascii="Times New Roman" w:hAnsi="Times New Roman"/>
          <w:color w:val="auto"/>
          <w:highlight w:val="none"/>
          <w:shd w:val="clear"/>
        </w:rPr>
      </w:pPr>
      <w:bookmarkStart w:id="2333" w:name="_Toc3467"/>
      <w:bookmarkStart w:id="2334" w:name="_Toc170804254"/>
      <w:bookmarkStart w:id="2335" w:name="_Toc170805822"/>
      <w:bookmarkStart w:id="2336" w:name="_Toc170805442"/>
      <w:bookmarkStart w:id="2337" w:name="_Toc13569"/>
      <w:r>
        <w:rPr>
          <w:rFonts w:ascii="Times New Roman" w:hAnsi="Times New Roman"/>
          <w:color w:val="auto"/>
          <w:highlight w:val="none"/>
          <w:shd w:val="clear"/>
        </w:rPr>
        <w:t>编制时间：</w:t>
      </w:r>
      <w:r>
        <w:rPr>
          <w:rFonts w:ascii="Times New Roman" w:hAnsi="Times New Roman"/>
          <w:color w:val="auto"/>
          <w:highlight w:val="none"/>
          <w:u w:val="single"/>
          <w:shd w:val="clear"/>
        </w:rPr>
        <w:t xml:space="preserve">         年      月      </w:t>
      </w:r>
      <w:r>
        <w:rPr>
          <w:rFonts w:ascii="Times New Roman" w:hAnsi="Times New Roman"/>
          <w:color w:val="auto"/>
          <w:highlight w:val="none"/>
          <w:shd w:val="clear"/>
        </w:rPr>
        <w:t>日</w:t>
      </w:r>
      <w:bookmarkEnd w:id="2333"/>
      <w:bookmarkEnd w:id="2334"/>
      <w:bookmarkEnd w:id="2335"/>
      <w:bookmarkEnd w:id="2336"/>
      <w:bookmarkEnd w:id="2337"/>
    </w:p>
    <w:p w14:paraId="397C721B">
      <w:pPr>
        <w:pStyle w:val="20"/>
        <w:rPr>
          <w:rFonts w:ascii="Times New Roman" w:hAnsi="Times New Roman"/>
          <w:color w:val="auto"/>
          <w:highlight w:val="none"/>
          <w:shd w:val="clear"/>
          <w:lang w:val="zh-CN"/>
        </w:rPr>
      </w:pPr>
      <w:bookmarkStart w:id="2338" w:name="_Toc460227123"/>
      <w:bookmarkStart w:id="2339" w:name="_Toc460660238"/>
      <w:r>
        <w:rPr>
          <w:rFonts w:ascii="Times New Roman" w:hAnsi="Times New Roman" w:cs="宋体"/>
          <w:color w:val="auto"/>
          <w:highlight w:val="none"/>
          <w:shd w:val="clear"/>
        </w:rPr>
        <w:br w:type="page"/>
      </w:r>
      <w:bookmarkStart w:id="2340" w:name="_Toc170805823"/>
      <w:bookmarkStart w:id="2341" w:name="_Toc26531"/>
      <w:bookmarkStart w:id="2342" w:name="_Toc170804255"/>
      <w:bookmarkStart w:id="2343" w:name="_Toc170805443"/>
      <w:bookmarkStart w:id="2344" w:name="_Toc23620"/>
      <w:r>
        <w:rPr>
          <w:rFonts w:ascii="Times New Roman" w:hAnsi="Times New Roman"/>
          <w:color w:val="auto"/>
          <w:highlight w:val="none"/>
          <w:shd w:val="clear"/>
          <w:lang w:val="zh-CN"/>
        </w:rPr>
        <w:t>(一)投标报价说明</w:t>
      </w:r>
      <w:bookmarkEnd w:id="2338"/>
      <w:bookmarkEnd w:id="2339"/>
      <w:bookmarkEnd w:id="2340"/>
      <w:bookmarkEnd w:id="2341"/>
      <w:bookmarkEnd w:id="2342"/>
      <w:bookmarkEnd w:id="2343"/>
      <w:bookmarkEnd w:id="2344"/>
    </w:p>
    <w:p w14:paraId="763243CE">
      <w:pPr>
        <w:pStyle w:val="30"/>
        <w:framePr w:hSpace="0" w:wrap="auto" w:vAnchor="margin" w:hAnchor="text" w:xAlign="left" w:yAlign="inline"/>
        <w:rPr>
          <w:rFonts w:ascii="Times New Roman" w:hAnsi="Times New Roman"/>
          <w:color w:val="auto"/>
          <w:highlight w:val="none"/>
          <w:shd w:val="clear"/>
        </w:rPr>
      </w:pPr>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3"/>
      </w:tblGrid>
      <w:tr w14:paraId="0611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9" w:hRule="atLeast"/>
          <w:jc w:val="center"/>
        </w:trPr>
        <w:tc>
          <w:tcPr>
            <w:tcW w:w="8873" w:type="dxa"/>
          </w:tcPr>
          <w:p w14:paraId="0160396A">
            <w:pPr>
              <w:pStyle w:val="30"/>
              <w:framePr w:wrap="around"/>
              <w:rPr>
                <w:rFonts w:ascii="Times New Roman" w:hAnsi="Times New Roman"/>
                <w:color w:val="auto"/>
                <w:highlight w:val="none"/>
                <w:shd w:val="clear"/>
              </w:rPr>
            </w:pPr>
          </w:p>
          <w:p w14:paraId="6387497C">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1.本报价依据本工程招标文件中投标须知、合同文件、计价依据及工程造价确定等有关条款进行编制。</w:t>
            </w:r>
          </w:p>
          <w:p w14:paraId="581AF9CE">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2.工程量清单报价表中所填入的综合单价和合价，均包括人工费、材料费、机械费、综合费、施工期内的风险金等全部费用。</w:t>
            </w:r>
          </w:p>
          <w:p w14:paraId="1DEE3E63">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3.措施项目报价表中所填入的措施项目报价，包括采用的各种措施的费用。</w:t>
            </w:r>
          </w:p>
          <w:p w14:paraId="57DC1AAE">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4.其他项目报价表中所填入的其他项目报价，包括工程量清单报价表和措施项目报价表以外的，为完成本工程项目的施工所必须发生的其他费用。</w:t>
            </w:r>
          </w:p>
          <w:p w14:paraId="31F86053">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5.本工程量清单报价表中的每一单项均应填写单价和合价，对没有填写单价和合价的项目费用，视为已包括在工程量清单的其他单价或合价之中。</w:t>
            </w:r>
          </w:p>
          <w:p w14:paraId="20942533">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6.本报价的币种为</w:t>
            </w:r>
            <w:r>
              <w:rPr>
                <w:rFonts w:hint="eastAsia" w:ascii="Times New Roman" w:hAnsi="Times New Roman"/>
                <w:color w:val="auto"/>
                <w:highlight w:val="none"/>
                <w:u w:val="single"/>
                <w:shd w:val="clear"/>
              </w:rPr>
              <w:t xml:space="preserve"> 人民币 </w:t>
            </w:r>
            <w:r>
              <w:rPr>
                <w:rFonts w:hint="eastAsia" w:ascii="Times New Roman" w:hAnsi="Times New Roman"/>
                <w:color w:val="auto"/>
                <w:highlight w:val="none"/>
                <w:shd w:val="clear"/>
              </w:rPr>
              <w:t>。</w:t>
            </w:r>
          </w:p>
          <w:p w14:paraId="6E63CF38">
            <w:pPr>
              <w:pStyle w:val="30"/>
              <w:framePr w:wrap="around"/>
              <w:rPr>
                <w:rFonts w:ascii="Times New Roman" w:hAnsi="Times New Roman"/>
                <w:color w:val="auto"/>
                <w:highlight w:val="none"/>
                <w:shd w:val="clear"/>
              </w:rPr>
            </w:pPr>
            <w:r>
              <w:rPr>
                <w:rFonts w:hint="eastAsia" w:ascii="Times New Roman" w:hAnsi="Times New Roman"/>
                <w:color w:val="auto"/>
                <w:highlight w:val="none"/>
                <w:shd w:val="clear"/>
              </w:rPr>
              <w:t>7.投标人应将投标报价需要说明的事项，用文字书写与投标报价表一并报送。</w:t>
            </w:r>
          </w:p>
        </w:tc>
      </w:tr>
    </w:tbl>
    <w:p w14:paraId="6B2670A8">
      <w:pPr>
        <w:rPr>
          <w:rFonts w:ascii="Times New Roman" w:hAnsi="Times New Roman"/>
          <w:color w:val="auto"/>
          <w:szCs w:val="24"/>
          <w:highlight w:val="none"/>
          <w:shd w:val="clear"/>
        </w:rPr>
      </w:pPr>
    </w:p>
    <w:p w14:paraId="3CBCD152">
      <w:pPr>
        <w:pStyle w:val="20"/>
        <w:rPr>
          <w:rFonts w:ascii="Times New Roman" w:hAnsi="Times New Roman"/>
          <w:color w:val="auto"/>
          <w:highlight w:val="none"/>
          <w:shd w:val="clear"/>
          <w:lang w:val="zh-CN"/>
        </w:rPr>
      </w:pPr>
      <w:bookmarkStart w:id="2345" w:name="_Toc460227124"/>
      <w:bookmarkStart w:id="2346" w:name="_Toc460660239"/>
      <w:r>
        <w:rPr>
          <w:rStyle w:val="38"/>
          <w:rFonts w:ascii="Times New Roman" w:hAnsi="Times New Roman"/>
          <w:bCs w:val="0"/>
          <w:color w:val="auto"/>
          <w:highlight w:val="none"/>
          <w:shd w:val="clear"/>
        </w:rPr>
        <w:br w:type="page"/>
      </w:r>
      <w:bookmarkStart w:id="2347" w:name="_Toc170805824"/>
      <w:bookmarkStart w:id="2348" w:name="_Toc23555"/>
      <w:bookmarkStart w:id="2349" w:name="_Toc170804256"/>
      <w:bookmarkStart w:id="2350" w:name="_Toc23612"/>
      <w:bookmarkStart w:id="2351" w:name="_Toc170805444"/>
      <w:r>
        <w:rPr>
          <w:rFonts w:ascii="Times New Roman" w:hAnsi="Times New Roman"/>
          <w:color w:val="auto"/>
          <w:highlight w:val="none"/>
          <w:shd w:val="clear"/>
          <w:lang w:val="zh-CN"/>
        </w:rPr>
        <w:t>（二）</w:t>
      </w:r>
      <w:bookmarkEnd w:id="2345"/>
      <w:bookmarkEnd w:id="2346"/>
      <w:r>
        <w:rPr>
          <w:rFonts w:ascii="Times New Roman" w:hAnsi="Times New Roman"/>
          <w:color w:val="auto"/>
          <w:highlight w:val="none"/>
          <w:shd w:val="clear"/>
          <w:lang w:val="zh-CN"/>
        </w:rPr>
        <w:t>建设项目投标报价汇总表</w:t>
      </w:r>
      <w:bookmarkEnd w:id="2347"/>
      <w:bookmarkEnd w:id="2348"/>
      <w:bookmarkEnd w:id="2349"/>
      <w:bookmarkEnd w:id="2350"/>
      <w:bookmarkEnd w:id="2351"/>
    </w:p>
    <w:p w14:paraId="32B70D08">
      <w:pPr>
        <w:pStyle w:val="34"/>
        <w:rPr>
          <w:rFonts w:hint="default" w:ascii="Times New Roman" w:hAnsi="Times New Roman"/>
          <w:color w:val="auto"/>
          <w:sz w:val="24"/>
          <w:highlight w:val="none"/>
          <w:shd w:val="clear"/>
        </w:rPr>
      </w:pPr>
      <w:r>
        <w:rPr>
          <w:rFonts w:ascii="Times New Roman" w:hAnsi="Times New Roman"/>
          <w:color w:val="auto"/>
          <w:highlight w:val="none"/>
          <w:shd w:val="clear"/>
        </w:rPr>
        <w:t>工程名称：                          标段：               第   页共   页</w:t>
      </w:r>
    </w:p>
    <w:tbl>
      <w:tblPr>
        <w:tblStyle w:val="12"/>
        <w:tblW w:w="5000" w:type="pct"/>
        <w:tblInd w:w="0" w:type="dxa"/>
        <w:tblLayout w:type="autofit"/>
        <w:tblCellMar>
          <w:top w:w="0" w:type="dxa"/>
          <w:left w:w="108" w:type="dxa"/>
          <w:bottom w:w="0" w:type="dxa"/>
          <w:right w:w="108" w:type="dxa"/>
        </w:tblCellMar>
      </w:tblPr>
      <w:tblGrid>
        <w:gridCol w:w="877"/>
        <w:gridCol w:w="3235"/>
        <w:gridCol w:w="1665"/>
        <w:gridCol w:w="1388"/>
        <w:gridCol w:w="2406"/>
      </w:tblGrid>
      <w:tr w14:paraId="5C4E0A9F">
        <w:tblPrEx>
          <w:tblCellMar>
            <w:top w:w="0" w:type="dxa"/>
            <w:left w:w="108" w:type="dxa"/>
            <w:bottom w:w="0" w:type="dxa"/>
            <w:right w:w="108" w:type="dxa"/>
          </w:tblCellMar>
        </w:tblPrEx>
        <w:trPr>
          <w:trHeight w:val="338" w:hRule="atLeast"/>
        </w:trPr>
        <w:tc>
          <w:tcPr>
            <w:tcW w:w="458"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37BC85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69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EC29D89">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单项工程名称</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224D0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c>
          <w:tcPr>
            <w:tcW w:w="1982" w:type="pct"/>
            <w:gridSpan w:val="2"/>
            <w:tcBorders>
              <w:top w:val="single" w:color="000000" w:sz="8" w:space="0"/>
              <w:left w:val="nil"/>
              <w:bottom w:val="single" w:color="000000" w:sz="4" w:space="0"/>
              <w:right w:val="single" w:color="000000" w:sz="8" w:space="0"/>
            </w:tcBorders>
            <w:shd w:val="clear" w:color="FFFFFF" w:fill="FFFFFF"/>
            <w:vAlign w:val="center"/>
          </w:tcPr>
          <w:p w14:paraId="6DF1476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其中：（元）</w:t>
            </w:r>
          </w:p>
        </w:tc>
      </w:tr>
      <w:tr w14:paraId="774D2B49">
        <w:tblPrEx>
          <w:tblCellMar>
            <w:top w:w="0" w:type="dxa"/>
            <w:left w:w="108" w:type="dxa"/>
            <w:bottom w:w="0" w:type="dxa"/>
            <w:right w:w="108" w:type="dxa"/>
          </w:tblCellMar>
        </w:tblPrEx>
        <w:trPr>
          <w:trHeight w:val="353" w:hRule="atLeast"/>
        </w:trPr>
        <w:tc>
          <w:tcPr>
            <w:tcW w:w="45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8FA5080">
            <w:pPr>
              <w:pStyle w:val="28"/>
              <w:spacing w:line="240" w:lineRule="auto"/>
              <w:rPr>
                <w:rFonts w:ascii="Times New Roman" w:hAnsi="Times New Roman"/>
                <w:color w:val="auto"/>
                <w:highlight w:val="none"/>
                <w:shd w:val="clear"/>
              </w:rPr>
            </w:pPr>
          </w:p>
        </w:tc>
        <w:tc>
          <w:tcPr>
            <w:tcW w:w="169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EF1710">
            <w:pPr>
              <w:pStyle w:val="28"/>
              <w:spacing w:line="240" w:lineRule="auto"/>
              <w:rPr>
                <w:rFonts w:ascii="Times New Roman" w:hAnsi="Times New Roman"/>
                <w:color w:val="auto"/>
                <w:highlight w:val="none"/>
                <w:shd w:val="clear"/>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54B579">
            <w:pPr>
              <w:pStyle w:val="28"/>
              <w:spacing w:line="240" w:lineRule="auto"/>
              <w:rPr>
                <w:rFonts w:ascii="Times New Roman" w:hAnsi="Times New Roman"/>
                <w:color w:val="auto"/>
                <w:highlight w:val="none"/>
                <w:shd w:val="clear"/>
              </w:rPr>
            </w:pPr>
          </w:p>
        </w:tc>
        <w:tc>
          <w:tcPr>
            <w:tcW w:w="725" w:type="pct"/>
            <w:tcBorders>
              <w:top w:val="single" w:color="000000" w:sz="4" w:space="0"/>
              <w:left w:val="nil"/>
              <w:bottom w:val="single" w:color="000000" w:sz="4" w:space="0"/>
              <w:right w:val="single" w:color="000000" w:sz="4" w:space="0"/>
            </w:tcBorders>
            <w:shd w:val="clear" w:color="FFFFFF" w:fill="FFFFFF"/>
            <w:vAlign w:val="center"/>
          </w:tcPr>
          <w:p w14:paraId="7CC2DC1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暂估价</w:t>
            </w:r>
          </w:p>
        </w:tc>
        <w:tc>
          <w:tcPr>
            <w:tcW w:w="1257" w:type="pct"/>
            <w:tcBorders>
              <w:top w:val="nil"/>
              <w:left w:val="nil"/>
              <w:bottom w:val="single" w:color="000000" w:sz="4" w:space="0"/>
              <w:right w:val="single" w:color="000000" w:sz="8" w:space="0"/>
            </w:tcBorders>
            <w:shd w:val="clear" w:color="FFFFFF" w:fill="FFFFFF"/>
            <w:vAlign w:val="center"/>
          </w:tcPr>
          <w:p w14:paraId="5A8339C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不可竞争费</w:t>
            </w:r>
          </w:p>
        </w:tc>
      </w:tr>
      <w:tr w14:paraId="188F454C">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vAlign w:val="center"/>
          </w:tcPr>
          <w:p w14:paraId="66828A1A">
            <w:pPr>
              <w:widowControl/>
              <w:jc w:val="center"/>
              <w:rPr>
                <w:rFonts w:ascii="Times New Roman" w:hAnsi="Times New Roman"/>
                <w:color w:val="auto"/>
                <w:kern w:val="0"/>
                <w:highlight w:val="none"/>
                <w:shd w:val="clear"/>
              </w:rPr>
            </w:pPr>
          </w:p>
        </w:tc>
        <w:tc>
          <w:tcPr>
            <w:tcW w:w="1690" w:type="pct"/>
            <w:tcBorders>
              <w:top w:val="single" w:color="000000" w:sz="4" w:space="0"/>
              <w:left w:val="nil"/>
              <w:bottom w:val="single" w:color="000000" w:sz="4" w:space="0"/>
              <w:right w:val="single" w:color="000000" w:sz="4" w:space="0"/>
            </w:tcBorders>
            <w:vAlign w:val="center"/>
          </w:tcPr>
          <w:p w14:paraId="38F8E794">
            <w:pPr>
              <w:widowControl/>
              <w:jc w:val="left"/>
              <w:rPr>
                <w:rFonts w:ascii="Times New Roman" w:hAnsi="Times New Roman"/>
                <w:color w:val="auto"/>
                <w:kern w:val="0"/>
                <w:highlight w:val="none"/>
                <w:shd w:val="clear"/>
              </w:rPr>
            </w:pPr>
          </w:p>
        </w:tc>
        <w:tc>
          <w:tcPr>
            <w:tcW w:w="870" w:type="pct"/>
            <w:tcBorders>
              <w:top w:val="single" w:color="000000" w:sz="4" w:space="0"/>
              <w:left w:val="nil"/>
              <w:bottom w:val="single" w:color="000000" w:sz="4" w:space="0"/>
              <w:right w:val="single" w:color="000000" w:sz="4" w:space="0"/>
            </w:tcBorders>
            <w:vAlign w:val="center"/>
          </w:tcPr>
          <w:p w14:paraId="3FD8F454">
            <w:pPr>
              <w:widowControl/>
              <w:jc w:val="right"/>
              <w:rPr>
                <w:rFonts w:ascii="Times New Roman" w:hAnsi="Times New Roman"/>
                <w:color w:val="auto"/>
                <w:kern w:val="0"/>
                <w:highlight w:val="none"/>
                <w:shd w:val="clear"/>
              </w:rPr>
            </w:pPr>
          </w:p>
        </w:tc>
        <w:tc>
          <w:tcPr>
            <w:tcW w:w="725" w:type="pct"/>
            <w:tcBorders>
              <w:top w:val="single" w:color="000000" w:sz="4" w:space="0"/>
              <w:left w:val="nil"/>
              <w:bottom w:val="single" w:color="000000" w:sz="4" w:space="0"/>
              <w:right w:val="single" w:color="000000" w:sz="4" w:space="0"/>
            </w:tcBorders>
            <w:vAlign w:val="center"/>
          </w:tcPr>
          <w:p w14:paraId="01221303">
            <w:pPr>
              <w:widowControl/>
              <w:jc w:val="right"/>
              <w:rPr>
                <w:rFonts w:ascii="Times New Roman" w:hAnsi="Times New Roman"/>
                <w:color w:val="auto"/>
                <w:kern w:val="0"/>
                <w:highlight w:val="none"/>
                <w:shd w:val="clear"/>
              </w:rPr>
            </w:pPr>
          </w:p>
        </w:tc>
        <w:tc>
          <w:tcPr>
            <w:tcW w:w="1257" w:type="pct"/>
            <w:tcBorders>
              <w:top w:val="nil"/>
              <w:left w:val="nil"/>
              <w:bottom w:val="single" w:color="000000" w:sz="4" w:space="0"/>
              <w:right w:val="single" w:color="000000" w:sz="8" w:space="0"/>
            </w:tcBorders>
            <w:vAlign w:val="center"/>
          </w:tcPr>
          <w:p w14:paraId="133FFB10">
            <w:pPr>
              <w:widowControl/>
              <w:jc w:val="right"/>
              <w:rPr>
                <w:rFonts w:ascii="Times New Roman" w:hAnsi="Times New Roman"/>
                <w:color w:val="auto"/>
                <w:kern w:val="0"/>
                <w:highlight w:val="none"/>
                <w:shd w:val="clear"/>
              </w:rPr>
            </w:pPr>
          </w:p>
        </w:tc>
      </w:tr>
      <w:tr w14:paraId="72B87788">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vAlign w:val="center"/>
          </w:tcPr>
          <w:p w14:paraId="4B62213B">
            <w:pPr>
              <w:widowControl/>
              <w:jc w:val="center"/>
              <w:rPr>
                <w:rFonts w:ascii="Times New Roman" w:hAnsi="Times New Roman"/>
                <w:color w:val="auto"/>
                <w:kern w:val="0"/>
                <w:highlight w:val="none"/>
                <w:shd w:val="clear"/>
              </w:rPr>
            </w:pPr>
          </w:p>
        </w:tc>
        <w:tc>
          <w:tcPr>
            <w:tcW w:w="1690" w:type="pct"/>
            <w:tcBorders>
              <w:top w:val="single" w:color="000000" w:sz="4" w:space="0"/>
              <w:left w:val="nil"/>
              <w:bottom w:val="single" w:color="000000" w:sz="4" w:space="0"/>
              <w:right w:val="single" w:color="000000" w:sz="4" w:space="0"/>
            </w:tcBorders>
            <w:vAlign w:val="center"/>
          </w:tcPr>
          <w:p w14:paraId="0EA1A180">
            <w:pPr>
              <w:widowControl/>
              <w:jc w:val="left"/>
              <w:rPr>
                <w:rFonts w:ascii="Times New Roman" w:hAnsi="Times New Roman"/>
                <w:color w:val="auto"/>
                <w:kern w:val="0"/>
                <w:highlight w:val="none"/>
                <w:shd w:val="clear"/>
              </w:rPr>
            </w:pPr>
          </w:p>
        </w:tc>
        <w:tc>
          <w:tcPr>
            <w:tcW w:w="870" w:type="pct"/>
            <w:tcBorders>
              <w:top w:val="single" w:color="000000" w:sz="4" w:space="0"/>
              <w:left w:val="nil"/>
              <w:bottom w:val="single" w:color="000000" w:sz="4" w:space="0"/>
              <w:right w:val="single" w:color="000000" w:sz="4" w:space="0"/>
            </w:tcBorders>
            <w:vAlign w:val="center"/>
          </w:tcPr>
          <w:p w14:paraId="69BD6B30">
            <w:pPr>
              <w:widowControl/>
              <w:jc w:val="right"/>
              <w:rPr>
                <w:rFonts w:ascii="Times New Roman" w:hAnsi="Times New Roman"/>
                <w:color w:val="auto"/>
                <w:kern w:val="0"/>
                <w:highlight w:val="none"/>
                <w:shd w:val="clear"/>
              </w:rPr>
            </w:pPr>
          </w:p>
        </w:tc>
        <w:tc>
          <w:tcPr>
            <w:tcW w:w="725" w:type="pct"/>
            <w:tcBorders>
              <w:top w:val="single" w:color="000000" w:sz="4" w:space="0"/>
              <w:left w:val="nil"/>
              <w:bottom w:val="single" w:color="000000" w:sz="4" w:space="0"/>
              <w:right w:val="single" w:color="000000" w:sz="4" w:space="0"/>
            </w:tcBorders>
            <w:vAlign w:val="center"/>
          </w:tcPr>
          <w:p w14:paraId="22C5F96A">
            <w:pPr>
              <w:widowControl/>
              <w:jc w:val="right"/>
              <w:rPr>
                <w:rFonts w:ascii="Times New Roman" w:hAnsi="Times New Roman"/>
                <w:color w:val="auto"/>
                <w:kern w:val="0"/>
                <w:highlight w:val="none"/>
                <w:shd w:val="clear"/>
              </w:rPr>
            </w:pPr>
          </w:p>
        </w:tc>
        <w:tc>
          <w:tcPr>
            <w:tcW w:w="1257" w:type="pct"/>
            <w:tcBorders>
              <w:top w:val="nil"/>
              <w:left w:val="nil"/>
              <w:bottom w:val="single" w:color="000000" w:sz="4" w:space="0"/>
              <w:right w:val="single" w:color="000000" w:sz="8" w:space="0"/>
            </w:tcBorders>
            <w:vAlign w:val="center"/>
          </w:tcPr>
          <w:p w14:paraId="1FFE1D58">
            <w:pPr>
              <w:widowControl/>
              <w:jc w:val="right"/>
              <w:rPr>
                <w:rFonts w:ascii="Times New Roman" w:hAnsi="Times New Roman"/>
                <w:color w:val="auto"/>
                <w:kern w:val="0"/>
                <w:highlight w:val="none"/>
                <w:shd w:val="clear"/>
              </w:rPr>
            </w:pPr>
          </w:p>
        </w:tc>
      </w:tr>
      <w:tr w14:paraId="78F9D8C1">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vAlign w:val="center"/>
          </w:tcPr>
          <w:p w14:paraId="29CE8FF3">
            <w:pPr>
              <w:widowControl/>
              <w:jc w:val="center"/>
              <w:rPr>
                <w:rFonts w:ascii="Times New Roman" w:hAnsi="Times New Roman"/>
                <w:color w:val="auto"/>
                <w:kern w:val="0"/>
                <w:highlight w:val="none"/>
                <w:shd w:val="clear"/>
              </w:rPr>
            </w:pPr>
          </w:p>
        </w:tc>
        <w:tc>
          <w:tcPr>
            <w:tcW w:w="1690" w:type="pct"/>
            <w:tcBorders>
              <w:top w:val="single" w:color="000000" w:sz="4" w:space="0"/>
              <w:left w:val="nil"/>
              <w:bottom w:val="single" w:color="000000" w:sz="4" w:space="0"/>
              <w:right w:val="single" w:color="000000" w:sz="4" w:space="0"/>
            </w:tcBorders>
            <w:vAlign w:val="center"/>
          </w:tcPr>
          <w:p w14:paraId="74751459">
            <w:pPr>
              <w:widowControl/>
              <w:jc w:val="left"/>
              <w:rPr>
                <w:rFonts w:ascii="Times New Roman" w:hAnsi="Times New Roman"/>
                <w:color w:val="auto"/>
                <w:kern w:val="0"/>
                <w:highlight w:val="none"/>
                <w:shd w:val="clear"/>
              </w:rPr>
            </w:pPr>
          </w:p>
        </w:tc>
        <w:tc>
          <w:tcPr>
            <w:tcW w:w="870" w:type="pct"/>
            <w:tcBorders>
              <w:top w:val="single" w:color="000000" w:sz="4" w:space="0"/>
              <w:left w:val="nil"/>
              <w:bottom w:val="single" w:color="000000" w:sz="4" w:space="0"/>
              <w:right w:val="single" w:color="000000" w:sz="4" w:space="0"/>
            </w:tcBorders>
            <w:vAlign w:val="center"/>
          </w:tcPr>
          <w:p w14:paraId="4A9A8794">
            <w:pPr>
              <w:widowControl/>
              <w:jc w:val="right"/>
              <w:rPr>
                <w:rFonts w:ascii="Times New Roman" w:hAnsi="Times New Roman"/>
                <w:color w:val="auto"/>
                <w:kern w:val="0"/>
                <w:highlight w:val="none"/>
                <w:shd w:val="clear"/>
              </w:rPr>
            </w:pPr>
          </w:p>
        </w:tc>
        <w:tc>
          <w:tcPr>
            <w:tcW w:w="725" w:type="pct"/>
            <w:tcBorders>
              <w:top w:val="single" w:color="000000" w:sz="4" w:space="0"/>
              <w:left w:val="nil"/>
              <w:bottom w:val="single" w:color="000000" w:sz="4" w:space="0"/>
              <w:right w:val="single" w:color="000000" w:sz="4" w:space="0"/>
            </w:tcBorders>
            <w:vAlign w:val="center"/>
          </w:tcPr>
          <w:p w14:paraId="25500C50">
            <w:pPr>
              <w:widowControl/>
              <w:jc w:val="right"/>
              <w:rPr>
                <w:rFonts w:ascii="Times New Roman" w:hAnsi="Times New Roman"/>
                <w:color w:val="auto"/>
                <w:kern w:val="0"/>
                <w:highlight w:val="none"/>
                <w:shd w:val="clear"/>
              </w:rPr>
            </w:pPr>
          </w:p>
        </w:tc>
        <w:tc>
          <w:tcPr>
            <w:tcW w:w="1257" w:type="pct"/>
            <w:tcBorders>
              <w:top w:val="nil"/>
              <w:left w:val="nil"/>
              <w:bottom w:val="single" w:color="000000" w:sz="4" w:space="0"/>
              <w:right w:val="single" w:color="000000" w:sz="8" w:space="0"/>
            </w:tcBorders>
            <w:vAlign w:val="center"/>
          </w:tcPr>
          <w:p w14:paraId="0AF520D9">
            <w:pPr>
              <w:widowControl/>
              <w:jc w:val="right"/>
              <w:rPr>
                <w:rFonts w:ascii="Times New Roman" w:hAnsi="Times New Roman"/>
                <w:color w:val="auto"/>
                <w:kern w:val="0"/>
                <w:highlight w:val="none"/>
                <w:shd w:val="clear"/>
              </w:rPr>
            </w:pPr>
          </w:p>
        </w:tc>
      </w:tr>
      <w:tr w14:paraId="1E9ACBA8">
        <w:tblPrEx>
          <w:tblCellMar>
            <w:top w:w="0" w:type="dxa"/>
            <w:left w:w="108" w:type="dxa"/>
            <w:bottom w:w="0" w:type="dxa"/>
            <w:right w:w="108" w:type="dxa"/>
          </w:tblCellMar>
        </w:tblPrEx>
        <w:trPr>
          <w:trHeight w:val="680" w:hRule="atLeast"/>
        </w:trPr>
        <w:tc>
          <w:tcPr>
            <w:tcW w:w="2148" w:type="pct"/>
            <w:gridSpan w:val="2"/>
            <w:tcBorders>
              <w:top w:val="nil"/>
              <w:left w:val="single" w:color="000000" w:sz="8" w:space="0"/>
              <w:bottom w:val="single" w:color="000000" w:sz="4" w:space="0"/>
              <w:right w:val="single" w:color="000000" w:sz="4" w:space="0"/>
            </w:tcBorders>
            <w:vAlign w:val="center"/>
          </w:tcPr>
          <w:p w14:paraId="23FD5F99">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合计</w:t>
            </w:r>
          </w:p>
        </w:tc>
        <w:tc>
          <w:tcPr>
            <w:tcW w:w="870" w:type="pct"/>
            <w:tcBorders>
              <w:top w:val="single" w:color="000000" w:sz="4" w:space="0"/>
              <w:left w:val="nil"/>
              <w:bottom w:val="single" w:color="000000" w:sz="4" w:space="0"/>
              <w:right w:val="single" w:color="000000" w:sz="4" w:space="0"/>
            </w:tcBorders>
            <w:vAlign w:val="center"/>
          </w:tcPr>
          <w:p w14:paraId="4A49313F">
            <w:pPr>
              <w:widowControl/>
              <w:jc w:val="right"/>
              <w:rPr>
                <w:rFonts w:ascii="Times New Roman" w:hAnsi="Times New Roman"/>
                <w:color w:val="auto"/>
                <w:kern w:val="0"/>
                <w:highlight w:val="none"/>
                <w:shd w:val="clear"/>
              </w:rPr>
            </w:pPr>
          </w:p>
        </w:tc>
        <w:tc>
          <w:tcPr>
            <w:tcW w:w="725" w:type="pct"/>
            <w:tcBorders>
              <w:top w:val="single" w:color="000000" w:sz="4" w:space="0"/>
              <w:left w:val="nil"/>
              <w:bottom w:val="single" w:color="000000" w:sz="4" w:space="0"/>
              <w:right w:val="single" w:color="000000" w:sz="4" w:space="0"/>
            </w:tcBorders>
            <w:vAlign w:val="center"/>
          </w:tcPr>
          <w:p w14:paraId="74F30E5B">
            <w:pPr>
              <w:widowControl/>
              <w:jc w:val="right"/>
              <w:rPr>
                <w:rFonts w:ascii="Times New Roman" w:hAnsi="Times New Roman"/>
                <w:color w:val="auto"/>
                <w:kern w:val="0"/>
                <w:highlight w:val="none"/>
                <w:shd w:val="clear"/>
              </w:rPr>
            </w:pPr>
          </w:p>
        </w:tc>
        <w:tc>
          <w:tcPr>
            <w:tcW w:w="1257" w:type="pct"/>
            <w:tcBorders>
              <w:top w:val="nil"/>
              <w:left w:val="nil"/>
              <w:bottom w:val="single" w:color="000000" w:sz="4" w:space="0"/>
              <w:right w:val="single" w:color="000000" w:sz="8" w:space="0"/>
            </w:tcBorders>
            <w:vAlign w:val="center"/>
          </w:tcPr>
          <w:p w14:paraId="2B7ABC69">
            <w:pPr>
              <w:widowControl/>
              <w:jc w:val="right"/>
              <w:rPr>
                <w:rFonts w:ascii="Times New Roman" w:hAnsi="Times New Roman"/>
                <w:color w:val="auto"/>
                <w:kern w:val="0"/>
                <w:highlight w:val="none"/>
                <w:shd w:val="clear"/>
              </w:rPr>
            </w:pPr>
          </w:p>
        </w:tc>
      </w:tr>
    </w:tbl>
    <w:p w14:paraId="3383B8C2">
      <w:pPr>
        <w:rPr>
          <w:rFonts w:ascii="Times New Roman" w:hAnsi="Times New Roman"/>
          <w:color w:val="auto"/>
          <w:sz w:val="24"/>
          <w:highlight w:val="none"/>
          <w:shd w:val="clear"/>
        </w:rPr>
      </w:pPr>
    </w:p>
    <w:p w14:paraId="5F53C450">
      <w:pPr>
        <w:pStyle w:val="20"/>
        <w:rPr>
          <w:rFonts w:ascii="Times New Roman" w:hAnsi="Times New Roman"/>
          <w:color w:val="auto"/>
          <w:highlight w:val="none"/>
          <w:shd w:val="clear"/>
          <w:lang w:val="zh-CN"/>
        </w:rPr>
      </w:pPr>
      <w:bookmarkStart w:id="2352" w:name="_Toc460660240"/>
      <w:bookmarkStart w:id="2353" w:name="_Toc460227125"/>
      <w:bookmarkStart w:id="2354" w:name="_Toc170805445"/>
      <w:bookmarkStart w:id="2355" w:name="_Toc170804257"/>
      <w:bookmarkStart w:id="2356" w:name="_Toc170805825"/>
      <w:bookmarkStart w:id="2357" w:name="_Toc16219"/>
      <w:bookmarkStart w:id="2358" w:name="_Toc25857"/>
      <w:r>
        <w:rPr>
          <w:rFonts w:ascii="Times New Roman" w:hAnsi="Times New Roman"/>
          <w:color w:val="auto"/>
          <w:highlight w:val="none"/>
          <w:shd w:val="clear"/>
          <w:lang w:val="zh-CN"/>
        </w:rPr>
        <w:t>（三）</w:t>
      </w:r>
      <w:bookmarkEnd w:id="2352"/>
      <w:bookmarkEnd w:id="2353"/>
      <w:r>
        <w:rPr>
          <w:rFonts w:ascii="Times New Roman" w:hAnsi="Times New Roman"/>
          <w:color w:val="auto"/>
          <w:highlight w:val="none"/>
          <w:shd w:val="clear"/>
          <w:lang w:val="zh-CN"/>
        </w:rPr>
        <w:t>单项工程投标报价汇总表</w:t>
      </w:r>
      <w:bookmarkEnd w:id="2354"/>
      <w:bookmarkEnd w:id="2355"/>
      <w:bookmarkEnd w:id="2356"/>
      <w:bookmarkEnd w:id="2357"/>
      <w:bookmarkEnd w:id="2358"/>
    </w:p>
    <w:p w14:paraId="2B9F2919">
      <w:pPr>
        <w:pStyle w:val="34"/>
        <w:rPr>
          <w:rFonts w:hint="default" w:ascii="Times New Roman" w:hAnsi="Times New Roman"/>
          <w:color w:val="auto"/>
          <w:highlight w:val="none"/>
          <w:shd w:val="clear"/>
        </w:rPr>
      </w:pPr>
      <w:bookmarkStart w:id="2359" w:name="_Toc460660241"/>
      <w:bookmarkStart w:id="2360" w:name="_Toc460227126"/>
      <w:r>
        <w:rPr>
          <w:rFonts w:ascii="Times New Roman" w:hAnsi="Times New Roman"/>
          <w:color w:val="auto"/>
          <w:highlight w:val="none"/>
          <w:shd w:val="clear"/>
        </w:rPr>
        <w:t>工程名称：                          标段：               第   页共   页</w:t>
      </w:r>
    </w:p>
    <w:tbl>
      <w:tblPr>
        <w:tblStyle w:val="12"/>
        <w:tblW w:w="8946" w:type="dxa"/>
        <w:tblInd w:w="93" w:type="dxa"/>
        <w:tblLayout w:type="autofit"/>
        <w:tblCellMar>
          <w:top w:w="0" w:type="dxa"/>
          <w:left w:w="108" w:type="dxa"/>
          <w:bottom w:w="0" w:type="dxa"/>
          <w:right w:w="108" w:type="dxa"/>
        </w:tblCellMar>
      </w:tblPr>
      <w:tblGrid>
        <w:gridCol w:w="820"/>
        <w:gridCol w:w="3023"/>
        <w:gridCol w:w="1557"/>
        <w:gridCol w:w="1298"/>
        <w:gridCol w:w="2248"/>
      </w:tblGrid>
      <w:tr w14:paraId="1498044F">
        <w:tblPrEx>
          <w:tblCellMar>
            <w:top w:w="0" w:type="dxa"/>
            <w:left w:w="108" w:type="dxa"/>
            <w:bottom w:w="0" w:type="dxa"/>
            <w:right w:w="108"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3F87D79">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F2592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542BD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c>
          <w:tcPr>
            <w:tcW w:w="3546" w:type="dxa"/>
            <w:gridSpan w:val="2"/>
            <w:tcBorders>
              <w:top w:val="single" w:color="000000" w:sz="8" w:space="0"/>
              <w:left w:val="nil"/>
              <w:bottom w:val="single" w:color="000000" w:sz="4" w:space="0"/>
              <w:right w:val="single" w:color="000000" w:sz="8" w:space="0"/>
            </w:tcBorders>
            <w:shd w:val="clear" w:color="FFFFFF" w:fill="FFFFFF"/>
            <w:vAlign w:val="center"/>
          </w:tcPr>
          <w:p w14:paraId="22222FF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其中：（元）</w:t>
            </w:r>
          </w:p>
        </w:tc>
      </w:tr>
      <w:tr w14:paraId="702B5F0D">
        <w:tblPrEx>
          <w:tblCellMar>
            <w:top w:w="0" w:type="dxa"/>
            <w:left w:w="108" w:type="dxa"/>
            <w:bottom w:w="0" w:type="dxa"/>
            <w:right w:w="108"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EA06CB">
            <w:pPr>
              <w:pStyle w:val="28"/>
              <w:spacing w:line="240" w:lineRule="auto"/>
              <w:rPr>
                <w:rFonts w:ascii="Times New Roman" w:hAnsi="Times New Roman"/>
                <w:color w:val="auto"/>
                <w:highlight w:val="none"/>
                <w:shd w:val="clear"/>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B136725">
            <w:pPr>
              <w:pStyle w:val="28"/>
              <w:spacing w:line="240" w:lineRule="auto"/>
              <w:rPr>
                <w:rFonts w:ascii="Times New Roman" w:hAnsi="Times New Roman"/>
                <w:color w:val="auto"/>
                <w:highlight w:val="none"/>
                <w:shd w:val="clear"/>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68E8A2">
            <w:pPr>
              <w:pStyle w:val="28"/>
              <w:spacing w:line="240" w:lineRule="auto"/>
              <w:rPr>
                <w:rFonts w:ascii="Times New Roman" w:hAnsi="Times New Roman"/>
                <w:color w:val="auto"/>
                <w:highlight w:val="none"/>
                <w:shd w:val="clear"/>
              </w:rPr>
            </w:pPr>
          </w:p>
        </w:tc>
        <w:tc>
          <w:tcPr>
            <w:tcW w:w="1298" w:type="dxa"/>
            <w:tcBorders>
              <w:top w:val="single" w:color="000000" w:sz="4" w:space="0"/>
              <w:left w:val="nil"/>
              <w:bottom w:val="single" w:color="000000" w:sz="4" w:space="0"/>
              <w:right w:val="single" w:color="000000" w:sz="4" w:space="0"/>
            </w:tcBorders>
            <w:shd w:val="clear" w:color="FFFFFF" w:fill="FFFFFF"/>
            <w:vAlign w:val="center"/>
          </w:tcPr>
          <w:p w14:paraId="7DB161C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暂估价</w:t>
            </w:r>
          </w:p>
        </w:tc>
        <w:tc>
          <w:tcPr>
            <w:tcW w:w="2248" w:type="dxa"/>
            <w:tcBorders>
              <w:top w:val="nil"/>
              <w:left w:val="nil"/>
              <w:bottom w:val="single" w:color="000000" w:sz="4" w:space="0"/>
              <w:right w:val="single" w:color="000000" w:sz="8" w:space="0"/>
            </w:tcBorders>
            <w:shd w:val="clear" w:color="FFFFFF" w:fill="FFFFFF"/>
            <w:vAlign w:val="center"/>
          </w:tcPr>
          <w:p w14:paraId="1901ABE0">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不可竞争费</w:t>
            </w:r>
          </w:p>
        </w:tc>
      </w:tr>
      <w:tr w14:paraId="41848D63">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4AEA7C25">
            <w:pPr>
              <w:widowControl/>
              <w:jc w:val="center"/>
              <w:rPr>
                <w:rFonts w:ascii="Times New Roman" w:hAnsi="Times New Roman"/>
                <w:color w:val="auto"/>
                <w:kern w:val="0"/>
                <w:highlight w:val="none"/>
                <w:shd w:val="clear"/>
              </w:rPr>
            </w:pPr>
          </w:p>
        </w:tc>
        <w:tc>
          <w:tcPr>
            <w:tcW w:w="3023" w:type="dxa"/>
            <w:tcBorders>
              <w:top w:val="single" w:color="000000" w:sz="4" w:space="0"/>
              <w:left w:val="nil"/>
              <w:bottom w:val="single" w:color="000000" w:sz="4" w:space="0"/>
              <w:right w:val="single" w:color="000000" w:sz="4" w:space="0"/>
            </w:tcBorders>
            <w:vAlign w:val="center"/>
          </w:tcPr>
          <w:p w14:paraId="20A96C30">
            <w:pPr>
              <w:widowControl/>
              <w:jc w:val="left"/>
              <w:rPr>
                <w:rFonts w:ascii="Times New Roman" w:hAnsi="Times New Roman"/>
                <w:color w:val="auto"/>
                <w:kern w:val="0"/>
                <w:highlight w:val="none"/>
                <w:shd w:val="clear"/>
              </w:rPr>
            </w:pPr>
          </w:p>
        </w:tc>
        <w:tc>
          <w:tcPr>
            <w:tcW w:w="1557" w:type="dxa"/>
            <w:tcBorders>
              <w:top w:val="single" w:color="000000" w:sz="4" w:space="0"/>
              <w:left w:val="nil"/>
              <w:bottom w:val="single" w:color="000000" w:sz="4" w:space="0"/>
              <w:right w:val="single" w:color="000000" w:sz="4" w:space="0"/>
            </w:tcBorders>
            <w:vAlign w:val="center"/>
          </w:tcPr>
          <w:p w14:paraId="1EA831A0">
            <w:pPr>
              <w:widowControl/>
              <w:jc w:val="right"/>
              <w:rPr>
                <w:rFonts w:ascii="Times New Roman" w:hAnsi="Times New Roman"/>
                <w:color w:val="auto"/>
                <w:kern w:val="0"/>
                <w:highlight w:val="none"/>
                <w:shd w:val="clear"/>
              </w:rPr>
            </w:pPr>
          </w:p>
        </w:tc>
        <w:tc>
          <w:tcPr>
            <w:tcW w:w="1298" w:type="dxa"/>
            <w:tcBorders>
              <w:top w:val="single" w:color="000000" w:sz="4" w:space="0"/>
              <w:left w:val="nil"/>
              <w:bottom w:val="single" w:color="000000" w:sz="4" w:space="0"/>
              <w:right w:val="single" w:color="000000" w:sz="4" w:space="0"/>
            </w:tcBorders>
            <w:vAlign w:val="center"/>
          </w:tcPr>
          <w:p w14:paraId="358485D7">
            <w:pPr>
              <w:widowControl/>
              <w:jc w:val="right"/>
              <w:rPr>
                <w:rFonts w:ascii="Times New Roman" w:hAnsi="Times New Roman"/>
                <w:color w:val="auto"/>
                <w:kern w:val="0"/>
                <w:highlight w:val="none"/>
                <w:shd w:val="clear"/>
              </w:rPr>
            </w:pPr>
          </w:p>
        </w:tc>
        <w:tc>
          <w:tcPr>
            <w:tcW w:w="2248" w:type="dxa"/>
            <w:tcBorders>
              <w:top w:val="nil"/>
              <w:left w:val="nil"/>
              <w:bottom w:val="single" w:color="000000" w:sz="4" w:space="0"/>
              <w:right w:val="single" w:color="000000" w:sz="8" w:space="0"/>
            </w:tcBorders>
            <w:vAlign w:val="center"/>
          </w:tcPr>
          <w:p w14:paraId="380F6438">
            <w:pPr>
              <w:widowControl/>
              <w:jc w:val="right"/>
              <w:rPr>
                <w:rFonts w:ascii="Times New Roman" w:hAnsi="Times New Roman"/>
                <w:color w:val="auto"/>
                <w:kern w:val="0"/>
                <w:highlight w:val="none"/>
                <w:shd w:val="clear"/>
              </w:rPr>
            </w:pPr>
          </w:p>
        </w:tc>
      </w:tr>
      <w:tr w14:paraId="69C674F3">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1530EF07">
            <w:pPr>
              <w:widowControl/>
              <w:jc w:val="center"/>
              <w:rPr>
                <w:rFonts w:ascii="Times New Roman" w:hAnsi="Times New Roman"/>
                <w:color w:val="auto"/>
                <w:kern w:val="0"/>
                <w:highlight w:val="none"/>
                <w:shd w:val="clear"/>
              </w:rPr>
            </w:pPr>
          </w:p>
        </w:tc>
        <w:tc>
          <w:tcPr>
            <w:tcW w:w="3023" w:type="dxa"/>
            <w:tcBorders>
              <w:top w:val="single" w:color="000000" w:sz="4" w:space="0"/>
              <w:left w:val="nil"/>
              <w:bottom w:val="single" w:color="000000" w:sz="4" w:space="0"/>
              <w:right w:val="single" w:color="000000" w:sz="4" w:space="0"/>
            </w:tcBorders>
            <w:vAlign w:val="center"/>
          </w:tcPr>
          <w:p w14:paraId="114E8DC7">
            <w:pPr>
              <w:widowControl/>
              <w:jc w:val="left"/>
              <w:rPr>
                <w:rFonts w:ascii="Times New Roman" w:hAnsi="Times New Roman"/>
                <w:color w:val="auto"/>
                <w:kern w:val="0"/>
                <w:highlight w:val="none"/>
                <w:shd w:val="clear"/>
              </w:rPr>
            </w:pPr>
          </w:p>
        </w:tc>
        <w:tc>
          <w:tcPr>
            <w:tcW w:w="1557" w:type="dxa"/>
            <w:tcBorders>
              <w:top w:val="single" w:color="000000" w:sz="4" w:space="0"/>
              <w:left w:val="nil"/>
              <w:bottom w:val="single" w:color="000000" w:sz="4" w:space="0"/>
              <w:right w:val="single" w:color="000000" w:sz="4" w:space="0"/>
            </w:tcBorders>
            <w:vAlign w:val="center"/>
          </w:tcPr>
          <w:p w14:paraId="0DA1C18B">
            <w:pPr>
              <w:widowControl/>
              <w:jc w:val="right"/>
              <w:rPr>
                <w:rFonts w:ascii="Times New Roman" w:hAnsi="Times New Roman"/>
                <w:color w:val="auto"/>
                <w:kern w:val="0"/>
                <w:highlight w:val="none"/>
                <w:shd w:val="clear"/>
              </w:rPr>
            </w:pPr>
          </w:p>
        </w:tc>
        <w:tc>
          <w:tcPr>
            <w:tcW w:w="1298" w:type="dxa"/>
            <w:tcBorders>
              <w:top w:val="single" w:color="000000" w:sz="4" w:space="0"/>
              <w:left w:val="nil"/>
              <w:bottom w:val="single" w:color="000000" w:sz="4" w:space="0"/>
              <w:right w:val="single" w:color="000000" w:sz="4" w:space="0"/>
            </w:tcBorders>
            <w:vAlign w:val="center"/>
          </w:tcPr>
          <w:p w14:paraId="118AB875">
            <w:pPr>
              <w:widowControl/>
              <w:jc w:val="right"/>
              <w:rPr>
                <w:rFonts w:ascii="Times New Roman" w:hAnsi="Times New Roman"/>
                <w:color w:val="auto"/>
                <w:kern w:val="0"/>
                <w:highlight w:val="none"/>
                <w:shd w:val="clear"/>
              </w:rPr>
            </w:pPr>
          </w:p>
        </w:tc>
        <w:tc>
          <w:tcPr>
            <w:tcW w:w="2248" w:type="dxa"/>
            <w:tcBorders>
              <w:top w:val="nil"/>
              <w:left w:val="nil"/>
              <w:bottom w:val="single" w:color="000000" w:sz="4" w:space="0"/>
              <w:right w:val="single" w:color="000000" w:sz="8" w:space="0"/>
            </w:tcBorders>
            <w:vAlign w:val="center"/>
          </w:tcPr>
          <w:p w14:paraId="11D31482">
            <w:pPr>
              <w:widowControl/>
              <w:jc w:val="right"/>
              <w:rPr>
                <w:rFonts w:ascii="Times New Roman" w:hAnsi="Times New Roman"/>
                <w:color w:val="auto"/>
                <w:kern w:val="0"/>
                <w:highlight w:val="none"/>
                <w:shd w:val="clear"/>
              </w:rPr>
            </w:pPr>
          </w:p>
        </w:tc>
      </w:tr>
      <w:tr w14:paraId="34A550A9">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7D81712E">
            <w:pPr>
              <w:widowControl/>
              <w:jc w:val="center"/>
              <w:rPr>
                <w:rFonts w:ascii="Times New Roman" w:hAnsi="Times New Roman"/>
                <w:color w:val="auto"/>
                <w:kern w:val="0"/>
                <w:highlight w:val="none"/>
                <w:shd w:val="clear"/>
              </w:rPr>
            </w:pPr>
          </w:p>
        </w:tc>
        <w:tc>
          <w:tcPr>
            <w:tcW w:w="3023" w:type="dxa"/>
            <w:tcBorders>
              <w:top w:val="single" w:color="000000" w:sz="4" w:space="0"/>
              <w:left w:val="nil"/>
              <w:bottom w:val="single" w:color="000000" w:sz="4" w:space="0"/>
              <w:right w:val="single" w:color="000000" w:sz="4" w:space="0"/>
            </w:tcBorders>
            <w:vAlign w:val="center"/>
          </w:tcPr>
          <w:p w14:paraId="69DFE8EB">
            <w:pPr>
              <w:widowControl/>
              <w:jc w:val="left"/>
              <w:rPr>
                <w:rFonts w:ascii="Times New Roman" w:hAnsi="Times New Roman"/>
                <w:color w:val="auto"/>
                <w:kern w:val="0"/>
                <w:highlight w:val="none"/>
                <w:shd w:val="clear"/>
              </w:rPr>
            </w:pPr>
          </w:p>
        </w:tc>
        <w:tc>
          <w:tcPr>
            <w:tcW w:w="1557" w:type="dxa"/>
            <w:tcBorders>
              <w:top w:val="single" w:color="000000" w:sz="4" w:space="0"/>
              <w:left w:val="nil"/>
              <w:bottom w:val="single" w:color="000000" w:sz="4" w:space="0"/>
              <w:right w:val="single" w:color="000000" w:sz="4" w:space="0"/>
            </w:tcBorders>
            <w:vAlign w:val="center"/>
          </w:tcPr>
          <w:p w14:paraId="4DF77F46">
            <w:pPr>
              <w:widowControl/>
              <w:jc w:val="right"/>
              <w:rPr>
                <w:rFonts w:ascii="Times New Roman" w:hAnsi="Times New Roman"/>
                <w:color w:val="auto"/>
                <w:kern w:val="0"/>
                <w:highlight w:val="none"/>
                <w:shd w:val="clear"/>
              </w:rPr>
            </w:pPr>
          </w:p>
        </w:tc>
        <w:tc>
          <w:tcPr>
            <w:tcW w:w="1298" w:type="dxa"/>
            <w:tcBorders>
              <w:top w:val="single" w:color="000000" w:sz="4" w:space="0"/>
              <w:left w:val="nil"/>
              <w:bottom w:val="single" w:color="000000" w:sz="4" w:space="0"/>
              <w:right w:val="single" w:color="000000" w:sz="4" w:space="0"/>
            </w:tcBorders>
            <w:vAlign w:val="center"/>
          </w:tcPr>
          <w:p w14:paraId="2ADA7C98">
            <w:pPr>
              <w:widowControl/>
              <w:jc w:val="right"/>
              <w:rPr>
                <w:rFonts w:ascii="Times New Roman" w:hAnsi="Times New Roman"/>
                <w:color w:val="auto"/>
                <w:kern w:val="0"/>
                <w:highlight w:val="none"/>
                <w:shd w:val="clear"/>
              </w:rPr>
            </w:pPr>
          </w:p>
        </w:tc>
        <w:tc>
          <w:tcPr>
            <w:tcW w:w="2248" w:type="dxa"/>
            <w:tcBorders>
              <w:top w:val="nil"/>
              <w:left w:val="nil"/>
              <w:bottom w:val="single" w:color="000000" w:sz="4" w:space="0"/>
              <w:right w:val="single" w:color="000000" w:sz="8" w:space="0"/>
            </w:tcBorders>
            <w:vAlign w:val="center"/>
          </w:tcPr>
          <w:p w14:paraId="1AEA96BB">
            <w:pPr>
              <w:widowControl/>
              <w:jc w:val="right"/>
              <w:rPr>
                <w:rFonts w:ascii="Times New Roman" w:hAnsi="Times New Roman"/>
                <w:color w:val="auto"/>
                <w:kern w:val="0"/>
                <w:highlight w:val="none"/>
                <w:shd w:val="clear"/>
              </w:rPr>
            </w:pPr>
          </w:p>
        </w:tc>
      </w:tr>
      <w:tr w14:paraId="0FFD70AF">
        <w:tblPrEx>
          <w:tblCellMar>
            <w:top w:w="0" w:type="dxa"/>
            <w:left w:w="108" w:type="dxa"/>
            <w:bottom w:w="0" w:type="dxa"/>
            <w:right w:w="108" w:type="dxa"/>
          </w:tblCellMar>
        </w:tblPrEx>
        <w:trPr>
          <w:trHeight w:val="680" w:hRule="atLeast"/>
        </w:trPr>
        <w:tc>
          <w:tcPr>
            <w:tcW w:w="3843" w:type="dxa"/>
            <w:gridSpan w:val="2"/>
            <w:tcBorders>
              <w:top w:val="nil"/>
              <w:left w:val="single" w:color="000000" w:sz="8" w:space="0"/>
              <w:bottom w:val="single" w:color="000000" w:sz="4" w:space="0"/>
              <w:right w:val="single" w:color="000000" w:sz="4" w:space="0"/>
            </w:tcBorders>
            <w:vAlign w:val="center"/>
          </w:tcPr>
          <w:p w14:paraId="45143D3C">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合计</w:t>
            </w:r>
          </w:p>
        </w:tc>
        <w:tc>
          <w:tcPr>
            <w:tcW w:w="1557" w:type="dxa"/>
            <w:tcBorders>
              <w:top w:val="single" w:color="000000" w:sz="4" w:space="0"/>
              <w:left w:val="nil"/>
              <w:bottom w:val="single" w:color="000000" w:sz="4" w:space="0"/>
              <w:right w:val="single" w:color="000000" w:sz="4" w:space="0"/>
            </w:tcBorders>
            <w:vAlign w:val="center"/>
          </w:tcPr>
          <w:p w14:paraId="347DF878">
            <w:pPr>
              <w:widowControl/>
              <w:jc w:val="right"/>
              <w:rPr>
                <w:rFonts w:ascii="Times New Roman" w:hAnsi="Times New Roman"/>
                <w:color w:val="auto"/>
                <w:kern w:val="0"/>
                <w:highlight w:val="none"/>
                <w:shd w:val="clear"/>
              </w:rPr>
            </w:pPr>
          </w:p>
        </w:tc>
        <w:tc>
          <w:tcPr>
            <w:tcW w:w="1298" w:type="dxa"/>
            <w:tcBorders>
              <w:top w:val="single" w:color="000000" w:sz="4" w:space="0"/>
              <w:left w:val="nil"/>
              <w:bottom w:val="single" w:color="000000" w:sz="4" w:space="0"/>
              <w:right w:val="single" w:color="000000" w:sz="4" w:space="0"/>
            </w:tcBorders>
            <w:vAlign w:val="center"/>
          </w:tcPr>
          <w:p w14:paraId="5FB1ECFB">
            <w:pPr>
              <w:widowControl/>
              <w:jc w:val="right"/>
              <w:rPr>
                <w:rFonts w:ascii="Times New Roman" w:hAnsi="Times New Roman"/>
                <w:color w:val="auto"/>
                <w:kern w:val="0"/>
                <w:highlight w:val="none"/>
                <w:shd w:val="clear"/>
              </w:rPr>
            </w:pPr>
          </w:p>
        </w:tc>
        <w:tc>
          <w:tcPr>
            <w:tcW w:w="2248" w:type="dxa"/>
            <w:tcBorders>
              <w:top w:val="nil"/>
              <w:left w:val="nil"/>
              <w:bottom w:val="single" w:color="000000" w:sz="4" w:space="0"/>
              <w:right w:val="single" w:color="000000" w:sz="8" w:space="0"/>
            </w:tcBorders>
            <w:vAlign w:val="center"/>
          </w:tcPr>
          <w:p w14:paraId="47DD4DC6">
            <w:pPr>
              <w:widowControl/>
              <w:jc w:val="right"/>
              <w:rPr>
                <w:rFonts w:ascii="Times New Roman" w:hAnsi="Times New Roman"/>
                <w:color w:val="auto"/>
                <w:kern w:val="0"/>
                <w:highlight w:val="none"/>
                <w:shd w:val="clear"/>
              </w:rPr>
            </w:pPr>
          </w:p>
        </w:tc>
      </w:tr>
    </w:tbl>
    <w:p w14:paraId="08D8B58E">
      <w:pPr>
        <w:jc w:val="center"/>
        <w:rPr>
          <w:rFonts w:ascii="Times New Roman" w:hAnsi="Times New Roman"/>
          <w:color w:val="auto"/>
          <w:sz w:val="32"/>
          <w:szCs w:val="32"/>
          <w:highlight w:val="none"/>
          <w:shd w:val="clear"/>
        </w:rPr>
      </w:pPr>
    </w:p>
    <w:p w14:paraId="7CB9C31A">
      <w:pPr>
        <w:pStyle w:val="20"/>
        <w:rPr>
          <w:rFonts w:ascii="Times New Roman" w:hAnsi="Times New Roman"/>
          <w:color w:val="auto"/>
          <w:highlight w:val="none"/>
          <w:shd w:val="clear"/>
        </w:rPr>
      </w:pPr>
    </w:p>
    <w:p w14:paraId="7D7EB753">
      <w:pPr>
        <w:pStyle w:val="20"/>
        <w:rPr>
          <w:rFonts w:ascii="Times New Roman" w:hAnsi="Times New Roman"/>
          <w:color w:val="auto"/>
          <w:highlight w:val="none"/>
          <w:shd w:val="clear"/>
          <w:lang w:val="zh-CN"/>
        </w:rPr>
      </w:pPr>
      <w:r>
        <w:rPr>
          <w:rFonts w:ascii="Times New Roman" w:hAnsi="Times New Roman" w:cs="宋体"/>
          <w:color w:val="auto"/>
          <w:highlight w:val="none"/>
          <w:shd w:val="clear"/>
        </w:rPr>
        <w:br w:type="page"/>
      </w:r>
      <w:bookmarkStart w:id="2361" w:name="_Toc170804258"/>
      <w:bookmarkStart w:id="2362" w:name="_Toc13978"/>
      <w:bookmarkStart w:id="2363" w:name="_Toc14044"/>
      <w:bookmarkStart w:id="2364" w:name="_Toc170805826"/>
      <w:bookmarkStart w:id="2365" w:name="_Toc170805446"/>
      <w:r>
        <w:rPr>
          <w:rFonts w:ascii="Times New Roman" w:hAnsi="Times New Roman"/>
          <w:color w:val="auto"/>
          <w:highlight w:val="none"/>
          <w:shd w:val="clear"/>
          <w:lang w:val="zh-CN"/>
        </w:rPr>
        <w:t>（四）</w:t>
      </w:r>
      <w:bookmarkEnd w:id="2359"/>
      <w:bookmarkEnd w:id="2360"/>
      <w:r>
        <w:rPr>
          <w:rFonts w:ascii="Times New Roman" w:hAnsi="Times New Roman"/>
          <w:color w:val="auto"/>
          <w:highlight w:val="none"/>
          <w:shd w:val="clear"/>
          <w:lang w:val="zh-CN"/>
        </w:rPr>
        <w:t>单位工程投标报价汇总表</w:t>
      </w:r>
      <w:bookmarkEnd w:id="2361"/>
      <w:bookmarkEnd w:id="2362"/>
      <w:bookmarkEnd w:id="2363"/>
      <w:bookmarkEnd w:id="2364"/>
      <w:bookmarkEnd w:id="2365"/>
    </w:p>
    <w:p w14:paraId="014BE72A">
      <w:pPr>
        <w:pStyle w:val="34"/>
        <w:rPr>
          <w:rFonts w:hint="default" w:ascii="Times New Roman" w:hAnsi="Times New Roman"/>
          <w:color w:val="auto"/>
          <w:highlight w:val="none"/>
          <w:shd w:val="clear"/>
        </w:rPr>
      </w:pPr>
      <w:bookmarkStart w:id="2366" w:name="_Toc460227127"/>
      <w:bookmarkStart w:id="2367" w:name="_Toc460660242"/>
      <w:r>
        <w:rPr>
          <w:rFonts w:ascii="Times New Roman" w:hAnsi="Times New Roman"/>
          <w:color w:val="auto"/>
          <w:highlight w:val="none"/>
          <w:shd w:val="clear"/>
        </w:rPr>
        <w:t>工程名称：                          标段：               第   页共   页</w:t>
      </w:r>
    </w:p>
    <w:tbl>
      <w:tblPr>
        <w:tblStyle w:val="12"/>
        <w:tblW w:w="8946" w:type="dxa"/>
        <w:tblInd w:w="93" w:type="dxa"/>
        <w:tblLayout w:type="autofit"/>
        <w:tblCellMar>
          <w:top w:w="0" w:type="dxa"/>
          <w:left w:w="108" w:type="dxa"/>
          <w:bottom w:w="0" w:type="dxa"/>
          <w:right w:w="108" w:type="dxa"/>
        </w:tblCellMar>
      </w:tblPr>
      <w:tblGrid>
        <w:gridCol w:w="820"/>
        <w:gridCol w:w="3448"/>
        <w:gridCol w:w="1701"/>
        <w:gridCol w:w="2977"/>
      </w:tblGrid>
      <w:tr w14:paraId="7CAD2A21">
        <w:tblPrEx>
          <w:tblCellMar>
            <w:top w:w="0" w:type="dxa"/>
            <w:left w:w="108" w:type="dxa"/>
            <w:bottom w:w="0" w:type="dxa"/>
            <w:right w:w="108"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7EFDB0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3448" w:type="dxa"/>
            <w:tcBorders>
              <w:top w:val="single" w:color="000000" w:sz="8" w:space="0"/>
              <w:left w:val="nil"/>
              <w:bottom w:val="single" w:color="000000" w:sz="4" w:space="0"/>
              <w:right w:val="single" w:color="000000" w:sz="4" w:space="0"/>
            </w:tcBorders>
            <w:shd w:val="clear" w:color="FFFFFF" w:fill="FFFFFF"/>
            <w:vAlign w:val="center"/>
          </w:tcPr>
          <w:p w14:paraId="27B33C5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汇总内容</w:t>
            </w:r>
          </w:p>
        </w:tc>
        <w:tc>
          <w:tcPr>
            <w:tcW w:w="1701" w:type="dxa"/>
            <w:tcBorders>
              <w:top w:val="single" w:color="000000" w:sz="8" w:space="0"/>
              <w:left w:val="nil"/>
              <w:bottom w:val="single" w:color="000000" w:sz="4" w:space="0"/>
              <w:right w:val="single" w:color="000000" w:sz="4" w:space="0"/>
            </w:tcBorders>
            <w:shd w:val="clear" w:color="FFFFFF" w:fill="FFFFFF"/>
            <w:vAlign w:val="center"/>
          </w:tcPr>
          <w:p w14:paraId="221DD66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c>
          <w:tcPr>
            <w:tcW w:w="2977" w:type="dxa"/>
            <w:tcBorders>
              <w:top w:val="single" w:color="000000" w:sz="8" w:space="0"/>
              <w:left w:val="nil"/>
              <w:bottom w:val="single" w:color="000000" w:sz="4" w:space="0"/>
              <w:right w:val="single" w:color="000000" w:sz="8" w:space="0"/>
            </w:tcBorders>
            <w:shd w:val="clear" w:color="FFFFFF" w:fill="FFFFFF"/>
            <w:vAlign w:val="center"/>
          </w:tcPr>
          <w:p w14:paraId="6DB610B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其中：材料、设备暂估价（元）</w:t>
            </w:r>
          </w:p>
        </w:tc>
      </w:tr>
      <w:tr w14:paraId="308131B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1A361D6A">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3448" w:type="dxa"/>
            <w:tcBorders>
              <w:top w:val="single" w:color="000000" w:sz="4" w:space="0"/>
              <w:left w:val="nil"/>
              <w:bottom w:val="single" w:color="000000" w:sz="4" w:space="0"/>
              <w:right w:val="single" w:color="000000" w:sz="4" w:space="0"/>
            </w:tcBorders>
            <w:vAlign w:val="center"/>
          </w:tcPr>
          <w:p w14:paraId="291334DD">
            <w:pPr>
              <w:pStyle w:val="30"/>
              <w:rPr>
                <w:rFonts w:ascii="Times New Roman" w:hAnsi="Times New Roman"/>
                <w:color w:val="auto"/>
                <w:highlight w:val="none"/>
                <w:shd w:val="clear"/>
              </w:rPr>
            </w:pPr>
            <w:r>
              <w:rPr>
                <w:rFonts w:hint="eastAsia" w:ascii="Times New Roman" w:hAnsi="Times New Roman"/>
                <w:color w:val="auto"/>
                <w:highlight w:val="none"/>
                <w:shd w:val="clear"/>
              </w:rPr>
              <w:t>分部分项工程费</w:t>
            </w:r>
          </w:p>
        </w:tc>
        <w:tc>
          <w:tcPr>
            <w:tcW w:w="1701" w:type="dxa"/>
            <w:tcBorders>
              <w:top w:val="single" w:color="000000" w:sz="4" w:space="0"/>
              <w:left w:val="nil"/>
              <w:bottom w:val="single" w:color="000000" w:sz="4" w:space="0"/>
              <w:right w:val="single" w:color="000000" w:sz="4" w:space="0"/>
            </w:tcBorders>
            <w:vAlign w:val="center"/>
          </w:tcPr>
          <w:p w14:paraId="60DFD574">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060CB4D0">
            <w:pPr>
              <w:widowControl/>
              <w:jc w:val="right"/>
              <w:rPr>
                <w:rFonts w:ascii="Times New Roman" w:hAnsi="Times New Roman"/>
                <w:color w:val="auto"/>
                <w:kern w:val="0"/>
                <w:highlight w:val="none"/>
                <w:shd w:val="clear"/>
              </w:rPr>
            </w:pPr>
          </w:p>
        </w:tc>
      </w:tr>
      <w:tr w14:paraId="78C7FDDF">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675DA62D">
            <w:pPr>
              <w:pStyle w:val="29"/>
              <w:rPr>
                <w:rFonts w:ascii="Times New Roman" w:hAnsi="Times New Roman"/>
                <w:color w:val="auto"/>
                <w:highlight w:val="none"/>
                <w:shd w:val="clear"/>
              </w:rPr>
            </w:pPr>
            <w:r>
              <w:rPr>
                <w:rFonts w:hint="eastAsia" w:ascii="Times New Roman" w:hAnsi="Times New Roman"/>
                <w:color w:val="auto"/>
                <w:highlight w:val="none"/>
                <w:shd w:val="clear"/>
              </w:rPr>
              <w:t>2</w:t>
            </w:r>
          </w:p>
        </w:tc>
        <w:tc>
          <w:tcPr>
            <w:tcW w:w="3448" w:type="dxa"/>
            <w:tcBorders>
              <w:top w:val="single" w:color="000000" w:sz="4" w:space="0"/>
              <w:left w:val="nil"/>
              <w:bottom w:val="single" w:color="000000" w:sz="4" w:space="0"/>
              <w:right w:val="single" w:color="000000" w:sz="4" w:space="0"/>
            </w:tcBorders>
            <w:vAlign w:val="center"/>
          </w:tcPr>
          <w:p w14:paraId="0EBD04FC">
            <w:pPr>
              <w:pStyle w:val="30"/>
              <w:rPr>
                <w:rFonts w:ascii="Times New Roman" w:hAnsi="Times New Roman"/>
                <w:color w:val="auto"/>
                <w:highlight w:val="none"/>
                <w:shd w:val="clear"/>
              </w:rPr>
            </w:pPr>
            <w:r>
              <w:rPr>
                <w:rFonts w:hint="eastAsia" w:ascii="Times New Roman" w:hAnsi="Times New Roman"/>
                <w:color w:val="auto"/>
                <w:highlight w:val="none"/>
                <w:shd w:val="clear"/>
              </w:rPr>
              <w:t>措施项目费</w:t>
            </w:r>
          </w:p>
        </w:tc>
        <w:tc>
          <w:tcPr>
            <w:tcW w:w="1701" w:type="dxa"/>
            <w:tcBorders>
              <w:top w:val="single" w:color="000000" w:sz="4" w:space="0"/>
              <w:left w:val="nil"/>
              <w:bottom w:val="single" w:color="000000" w:sz="4" w:space="0"/>
              <w:right w:val="single" w:color="000000" w:sz="4" w:space="0"/>
            </w:tcBorders>
            <w:vAlign w:val="center"/>
          </w:tcPr>
          <w:p w14:paraId="0474FBF6">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16F2B9A0">
            <w:pPr>
              <w:widowControl/>
              <w:jc w:val="right"/>
              <w:rPr>
                <w:rFonts w:ascii="Times New Roman" w:hAnsi="Times New Roman"/>
                <w:color w:val="auto"/>
                <w:kern w:val="0"/>
                <w:highlight w:val="none"/>
                <w:shd w:val="clear"/>
              </w:rPr>
            </w:pPr>
          </w:p>
        </w:tc>
      </w:tr>
      <w:tr w14:paraId="0F7D97EE">
        <w:tblPrEx>
          <w:tblCellMar>
            <w:top w:w="0" w:type="dxa"/>
            <w:left w:w="108" w:type="dxa"/>
            <w:bottom w:w="0" w:type="dxa"/>
            <w:right w:w="108" w:type="dxa"/>
          </w:tblCellMar>
        </w:tblPrEx>
        <w:trPr>
          <w:trHeight w:val="440" w:hRule="atLeast"/>
        </w:trPr>
        <w:tc>
          <w:tcPr>
            <w:tcW w:w="820" w:type="dxa"/>
            <w:tcBorders>
              <w:top w:val="nil"/>
              <w:left w:val="single" w:color="000000" w:sz="8" w:space="0"/>
              <w:bottom w:val="single" w:color="000000" w:sz="4" w:space="0"/>
              <w:right w:val="single" w:color="000000" w:sz="4" w:space="0"/>
            </w:tcBorders>
            <w:vAlign w:val="center"/>
          </w:tcPr>
          <w:p w14:paraId="2B63508B">
            <w:pPr>
              <w:pStyle w:val="29"/>
              <w:rPr>
                <w:rFonts w:ascii="Times New Roman" w:hAnsi="Times New Roman"/>
                <w:color w:val="auto"/>
                <w:highlight w:val="none"/>
                <w:shd w:val="clear"/>
              </w:rPr>
            </w:pPr>
          </w:p>
        </w:tc>
        <w:tc>
          <w:tcPr>
            <w:tcW w:w="3448" w:type="dxa"/>
            <w:tcBorders>
              <w:top w:val="single" w:color="000000" w:sz="4" w:space="0"/>
              <w:left w:val="nil"/>
              <w:bottom w:val="single" w:color="000000" w:sz="4" w:space="0"/>
              <w:right w:val="single" w:color="000000" w:sz="4" w:space="0"/>
            </w:tcBorders>
            <w:vAlign w:val="center"/>
          </w:tcPr>
          <w:p w14:paraId="1C15BA24">
            <w:pPr>
              <w:pStyle w:val="30"/>
              <w:rPr>
                <w:rFonts w:ascii="Times New Roman" w:hAnsi="Times New Roman"/>
                <w:color w:val="auto"/>
                <w:highlight w:val="none"/>
                <w:shd w:val="clear"/>
              </w:rPr>
            </w:pPr>
          </w:p>
        </w:tc>
        <w:tc>
          <w:tcPr>
            <w:tcW w:w="1701" w:type="dxa"/>
            <w:tcBorders>
              <w:top w:val="single" w:color="000000" w:sz="4" w:space="0"/>
              <w:left w:val="nil"/>
              <w:bottom w:val="single" w:color="000000" w:sz="4" w:space="0"/>
              <w:right w:val="single" w:color="000000" w:sz="4" w:space="0"/>
            </w:tcBorders>
            <w:vAlign w:val="center"/>
          </w:tcPr>
          <w:p w14:paraId="0892C229">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012F5286">
            <w:pPr>
              <w:widowControl/>
              <w:jc w:val="right"/>
              <w:rPr>
                <w:rFonts w:ascii="Times New Roman" w:hAnsi="Times New Roman"/>
                <w:color w:val="auto"/>
                <w:kern w:val="0"/>
                <w:highlight w:val="none"/>
                <w:shd w:val="clear"/>
              </w:rPr>
            </w:pPr>
          </w:p>
        </w:tc>
      </w:tr>
      <w:tr w14:paraId="3502A603">
        <w:tblPrEx>
          <w:tblCellMar>
            <w:top w:w="0" w:type="dxa"/>
            <w:left w:w="108" w:type="dxa"/>
            <w:bottom w:w="0" w:type="dxa"/>
            <w:right w:w="108" w:type="dxa"/>
          </w:tblCellMar>
        </w:tblPrEx>
        <w:trPr>
          <w:trHeight w:val="470" w:hRule="atLeast"/>
        </w:trPr>
        <w:tc>
          <w:tcPr>
            <w:tcW w:w="820" w:type="dxa"/>
            <w:tcBorders>
              <w:top w:val="nil"/>
              <w:left w:val="single" w:color="000000" w:sz="8" w:space="0"/>
              <w:bottom w:val="single" w:color="000000" w:sz="4" w:space="0"/>
              <w:right w:val="single" w:color="000000" w:sz="4" w:space="0"/>
            </w:tcBorders>
            <w:vAlign w:val="center"/>
          </w:tcPr>
          <w:p w14:paraId="603A303F">
            <w:pPr>
              <w:pStyle w:val="29"/>
              <w:rPr>
                <w:rFonts w:ascii="Times New Roman" w:hAnsi="Times New Roman"/>
                <w:color w:val="auto"/>
                <w:highlight w:val="none"/>
                <w:shd w:val="clear"/>
              </w:rPr>
            </w:pPr>
          </w:p>
        </w:tc>
        <w:tc>
          <w:tcPr>
            <w:tcW w:w="3448" w:type="dxa"/>
            <w:tcBorders>
              <w:top w:val="single" w:color="000000" w:sz="4" w:space="0"/>
              <w:left w:val="nil"/>
              <w:bottom w:val="single" w:color="000000" w:sz="4" w:space="0"/>
              <w:right w:val="single" w:color="000000" w:sz="4" w:space="0"/>
            </w:tcBorders>
            <w:vAlign w:val="center"/>
          </w:tcPr>
          <w:p w14:paraId="3359BB5D">
            <w:pPr>
              <w:pStyle w:val="30"/>
              <w:rPr>
                <w:rFonts w:ascii="Times New Roman" w:hAnsi="Times New Roman"/>
                <w:color w:val="auto"/>
                <w:highlight w:val="none"/>
                <w:shd w:val="clear"/>
              </w:rPr>
            </w:pPr>
          </w:p>
        </w:tc>
        <w:tc>
          <w:tcPr>
            <w:tcW w:w="1701" w:type="dxa"/>
            <w:tcBorders>
              <w:top w:val="single" w:color="000000" w:sz="4" w:space="0"/>
              <w:left w:val="nil"/>
              <w:bottom w:val="single" w:color="000000" w:sz="4" w:space="0"/>
              <w:right w:val="single" w:color="000000" w:sz="4" w:space="0"/>
            </w:tcBorders>
            <w:vAlign w:val="center"/>
          </w:tcPr>
          <w:p w14:paraId="1475B21C">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023E8F0D">
            <w:pPr>
              <w:widowControl/>
              <w:jc w:val="right"/>
              <w:rPr>
                <w:rFonts w:ascii="Times New Roman" w:hAnsi="Times New Roman"/>
                <w:color w:val="auto"/>
                <w:kern w:val="0"/>
                <w:highlight w:val="none"/>
                <w:shd w:val="clear"/>
              </w:rPr>
            </w:pPr>
          </w:p>
        </w:tc>
      </w:tr>
      <w:tr w14:paraId="3DC21C78">
        <w:tblPrEx>
          <w:tblCellMar>
            <w:top w:w="0" w:type="dxa"/>
            <w:left w:w="108" w:type="dxa"/>
            <w:bottom w:w="0" w:type="dxa"/>
            <w:right w:w="108" w:type="dxa"/>
          </w:tblCellMar>
        </w:tblPrEx>
        <w:trPr>
          <w:trHeight w:val="350" w:hRule="atLeast"/>
        </w:trPr>
        <w:tc>
          <w:tcPr>
            <w:tcW w:w="820" w:type="dxa"/>
            <w:tcBorders>
              <w:top w:val="nil"/>
              <w:left w:val="single" w:color="000000" w:sz="8" w:space="0"/>
              <w:bottom w:val="single" w:color="000000" w:sz="4" w:space="0"/>
              <w:right w:val="single" w:color="000000" w:sz="4" w:space="0"/>
            </w:tcBorders>
            <w:vAlign w:val="center"/>
          </w:tcPr>
          <w:p w14:paraId="41A79516">
            <w:pPr>
              <w:pStyle w:val="29"/>
              <w:rPr>
                <w:rFonts w:ascii="Times New Roman" w:hAnsi="Times New Roman"/>
                <w:color w:val="auto"/>
                <w:highlight w:val="none"/>
                <w:shd w:val="clear"/>
              </w:rPr>
            </w:pPr>
          </w:p>
        </w:tc>
        <w:tc>
          <w:tcPr>
            <w:tcW w:w="3448" w:type="dxa"/>
            <w:tcBorders>
              <w:top w:val="single" w:color="000000" w:sz="4" w:space="0"/>
              <w:left w:val="nil"/>
              <w:bottom w:val="single" w:color="000000" w:sz="4" w:space="0"/>
              <w:right w:val="single" w:color="000000" w:sz="4" w:space="0"/>
            </w:tcBorders>
            <w:vAlign w:val="center"/>
          </w:tcPr>
          <w:p w14:paraId="550F4F39">
            <w:pPr>
              <w:pStyle w:val="30"/>
              <w:rPr>
                <w:rFonts w:ascii="Times New Roman" w:hAnsi="Times New Roman"/>
                <w:color w:val="auto"/>
                <w:highlight w:val="none"/>
                <w:shd w:val="clear"/>
              </w:rPr>
            </w:pPr>
          </w:p>
        </w:tc>
        <w:tc>
          <w:tcPr>
            <w:tcW w:w="1701" w:type="dxa"/>
            <w:tcBorders>
              <w:top w:val="single" w:color="000000" w:sz="4" w:space="0"/>
              <w:left w:val="nil"/>
              <w:bottom w:val="single" w:color="000000" w:sz="4" w:space="0"/>
              <w:right w:val="single" w:color="000000" w:sz="4" w:space="0"/>
            </w:tcBorders>
            <w:vAlign w:val="center"/>
          </w:tcPr>
          <w:p w14:paraId="475F1C91">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26D7BEDE">
            <w:pPr>
              <w:widowControl/>
              <w:jc w:val="right"/>
              <w:rPr>
                <w:rFonts w:ascii="Times New Roman" w:hAnsi="Times New Roman"/>
                <w:color w:val="auto"/>
                <w:kern w:val="0"/>
                <w:highlight w:val="none"/>
                <w:shd w:val="clear"/>
              </w:rPr>
            </w:pPr>
          </w:p>
        </w:tc>
      </w:tr>
      <w:tr w14:paraId="641B91BC">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5ACB0EEB">
            <w:pPr>
              <w:pStyle w:val="29"/>
              <w:rPr>
                <w:rFonts w:ascii="Times New Roman" w:hAnsi="Times New Roman"/>
                <w:color w:val="auto"/>
                <w:highlight w:val="none"/>
                <w:shd w:val="clear"/>
              </w:rPr>
            </w:pPr>
            <w:r>
              <w:rPr>
                <w:rFonts w:hint="eastAsia" w:ascii="Times New Roman" w:hAnsi="Times New Roman"/>
                <w:color w:val="auto"/>
                <w:highlight w:val="none"/>
                <w:shd w:val="clear"/>
              </w:rPr>
              <w:t>3</w:t>
            </w:r>
          </w:p>
        </w:tc>
        <w:tc>
          <w:tcPr>
            <w:tcW w:w="3448" w:type="dxa"/>
            <w:tcBorders>
              <w:top w:val="single" w:color="000000" w:sz="4" w:space="0"/>
              <w:left w:val="nil"/>
              <w:bottom w:val="single" w:color="000000" w:sz="4" w:space="0"/>
              <w:right w:val="single" w:color="000000" w:sz="4" w:space="0"/>
            </w:tcBorders>
            <w:vAlign w:val="center"/>
          </w:tcPr>
          <w:p w14:paraId="3B0839B8">
            <w:pPr>
              <w:pStyle w:val="30"/>
              <w:rPr>
                <w:rFonts w:ascii="Times New Roman" w:hAnsi="Times New Roman"/>
                <w:color w:val="auto"/>
                <w:highlight w:val="none"/>
                <w:shd w:val="clear"/>
              </w:rPr>
            </w:pPr>
            <w:r>
              <w:rPr>
                <w:rFonts w:hint="eastAsia" w:ascii="Times New Roman" w:hAnsi="Times New Roman"/>
                <w:color w:val="auto"/>
                <w:highlight w:val="none"/>
                <w:shd w:val="clear"/>
              </w:rPr>
              <w:t>不可竞争费</w:t>
            </w:r>
          </w:p>
        </w:tc>
        <w:tc>
          <w:tcPr>
            <w:tcW w:w="1701" w:type="dxa"/>
            <w:tcBorders>
              <w:top w:val="single" w:color="000000" w:sz="4" w:space="0"/>
              <w:left w:val="nil"/>
              <w:bottom w:val="single" w:color="000000" w:sz="4" w:space="0"/>
              <w:right w:val="single" w:color="000000" w:sz="4" w:space="0"/>
            </w:tcBorders>
            <w:vAlign w:val="center"/>
          </w:tcPr>
          <w:p w14:paraId="459B1458">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69685F44">
            <w:pPr>
              <w:widowControl/>
              <w:jc w:val="right"/>
              <w:rPr>
                <w:rFonts w:ascii="Times New Roman" w:hAnsi="Times New Roman"/>
                <w:color w:val="auto"/>
                <w:kern w:val="0"/>
                <w:highlight w:val="none"/>
                <w:shd w:val="clear"/>
              </w:rPr>
            </w:pPr>
          </w:p>
        </w:tc>
      </w:tr>
      <w:tr w14:paraId="1CA8B574">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10B2D7EE">
            <w:pPr>
              <w:pStyle w:val="29"/>
              <w:rPr>
                <w:rFonts w:ascii="Times New Roman" w:hAnsi="Times New Roman"/>
                <w:color w:val="auto"/>
                <w:highlight w:val="none"/>
                <w:shd w:val="clear"/>
              </w:rPr>
            </w:pPr>
            <w:r>
              <w:rPr>
                <w:rFonts w:hint="eastAsia" w:ascii="Times New Roman" w:hAnsi="Times New Roman"/>
                <w:color w:val="auto"/>
                <w:highlight w:val="none"/>
                <w:shd w:val="clear"/>
              </w:rPr>
              <w:t>3.1</w:t>
            </w:r>
          </w:p>
        </w:tc>
        <w:tc>
          <w:tcPr>
            <w:tcW w:w="3448" w:type="dxa"/>
            <w:tcBorders>
              <w:top w:val="single" w:color="000000" w:sz="4" w:space="0"/>
              <w:left w:val="nil"/>
              <w:bottom w:val="single" w:color="000000" w:sz="4" w:space="0"/>
              <w:right w:val="single" w:color="000000" w:sz="4" w:space="0"/>
            </w:tcBorders>
            <w:vAlign w:val="center"/>
          </w:tcPr>
          <w:p w14:paraId="381277E3">
            <w:pPr>
              <w:pStyle w:val="30"/>
              <w:rPr>
                <w:rFonts w:ascii="Times New Roman" w:hAnsi="Times New Roman"/>
                <w:color w:val="auto"/>
                <w:highlight w:val="none"/>
                <w:shd w:val="clear"/>
              </w:rPr>
            </w:pPr>
            <w:r>
              <w:rPr>
                <w:rFonts w:hint="eastAsia" w:ascii="Times New Roman" w:hAnsi="Times New Roman"/>
                <w:color w:val="auto"/>
                <w:highlight w:val="none"/>
                <w:shd w:val="clear"/>
              </w:rPr>
              <w:t>安全文明施工费</w:t>
            </w:r>
          </w:p>
        </w:tc>
        <w:tc>
          <w:tcPr>
            <w:tcW w:w="1701" w:type="dxa"/>
            <w:tcBorders>
              <w:top w:val="single" w:color="000000" w:sz="4" w:space="0"/>
              <w:left w:val="nil"/>
              <w:bottom w:val="single" w:color="000000" w:sz="4" w:space="0"/>
              <w:right w:val="single" w:color="000000" w:sz="4" w:space="0"/>
            </w:tcBorders>
            <w:vAlign w:val="center"/>
          </w:tcPr>
          <w:p w14:paraId="378E22AC">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62D4E6D7">
            <w:pPr>
              <w:widowControl/>
              <w:jc w:val="right"/>
              <w:rPr>
                <w:rFonts w:ascii="Times New Roman" w:hAnsi="Times New Roman"/>
                <w:color w:val="auto"/>
                <w:kern w:val="0"/>
                <w:highlight w:val="none"/>
                <w:shd w:val="clear"/>
              </w:rPr>
            </w:pPr>
          </w:p>
        </w:tc>
      </w:tr>
      <w:tr w14:paraId="0E0EC23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0F45D379">
            <w:pPr>
              <w:pStyle w:val="29"/>
              <w:rPr>
                <w:rFonts w:ascii="Times New Roman" w:hAnsi="Times New Roman"/>
                <w:color w:val="auto"/>
                <w:highlight w:val="none"/>
                <w:shd w:val="clear"/>
              </w:rPr>
            </w:pPr>
            <w:r>
              <w:rPr>
                <w:rFonts w:hint="eastAsia" w:ascii="Times New Roman" w:hAnsi="Times New Roman"/>
                <w:color w:val="auto"/>
                <w:highlight w:val="none"/>
                <w:shd w:val="clear"/>
              </w:rPr>
              <w:t>3.2</w:t>
            </w:r>
          </w:p>
        </w:tc>
        <w:tc>
          <w:tcPr>
            <w:tcW w:w="3448" w:type="dxa"/>
            <w:tcBorders>
              <w:top w:val="single" w:color="000000" w:sz="4" w:space="0"/>
              <w:left w:val="nil"/>
              <w:bottom w:val="single" w:color="000000" w:sz="4" w:space="0"/>
              <w:right w:val="single" w:color="000000" w:sz="4" w:space="0"/>
            </w:tcBorders>
            <w:vAlign w:val="center"/>
          </w:tcPr>
          <w:p w14:paraId="04CE8282">
            <w:pPr>
              <w:pStyle w:val="30"/>
              <w:rPr>
                <w:rFonts w:ascii="Times New Roman" w:hAnsi="Times New Roman"/>
                <w:color w:val="auto"/>
                <w:highlight w:val="none"/>
                <w:shd w:val="clear"/>
              </w:rPr>
            </w:pPr>
            <w:r>
              <w:rPr>
                <w:rFonts w:hint="eastAsia" w:ascii="Times New Roman" w:hAnsi="Times New Roman"/>
                <w:color w:val="auto"/>
                <w:highlight w:val="none"/>
                <w:shd w:val="clear"/>
              </w:rPr>
              <w:t>环境保护税</w:t>
            </w:r>
          </w:p>
        </w:tc>
        <w:tc>
          <w:tcPr>
            <w:tcW w:w="1701" w:type="dxa"/>
            <w:tcBorders>
              <w:top w:val="single" w:color="000000" w:sz="4" w:space="0"/>
              <w:left w:val="nil"/>
              <w:bottom w:val="single" w:color="000000" w:sz="4" w:space="0"/>
              <w:right w:val="single" w:color="000000" w:sz="4" w:space="0"/>
            </w:tcBorders>
            <w:vAlign w:val="center"/>
          </w:tcPr>
          <w:p w14:paraId="01715586">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73EAB42B">
            <w:pPr>
              <w:widowControl/>
              <w:jc w:val="right"/>
              <w:rPr>
                <w:rFonts w:ascii="Times New Roman" w:hAnsi="Times New Roman"/>
                <w:color w:val="auto"/>
                <w:kern w:val="0"/>
                <w:highlight w:val="none"/>
                <w:shd w:val="clear"/>
              </w:rPr>
            </w:pPr>
          </w:p>
        </w:tc>
      </w:tr>
      <w:tr w14:paraId="1942CA0E">
        <w:tblPrEx>
          <w:tblCellMar>
            <w:top w:w="0" w:type="dxa"/>
            <w:left w:w="108" w:type="dxa"/>
            <w:bottom w:w="0" w:type="dxa"/>
            <w:right w:w="108" w:type="dxa"/>
          </w:tblCellMar>
        </w:tblPrEx>
        <w:trPr>
          <w:trHeight w:val="395" w:hRule="atLeast"/>
        </w:trPr>
        <w:tc>
          <w:tcPr>
            <w:tcW w:w="820" w:type="dxa"/>
            <w:tcBorders>
              <w:top w:val="nil"/>
              <w:left w:val="single" w:color="000000" w:sz="8" w:space="0"/>
              <w:bottom w:val="single" w:color="000000" w:sz="4" w:space="0"/>
              <w:right w:val="single" w:color="000000" w:sz="4" w:space="0"/>
            </w:tcBorders>
            <w:vAlign w:val="center"/>
          </w:tcPr>
          <w:p w14:paraId="673CBED2">
            <w:pPr>
              <w:pStyle w:val="29"/>
              <w:rPr>
                <w:rFonts w:ascii="Times New Roman" w:hAnsi="Times New Roman"/>
                <w:color w:val="auto"/>
                <w:highlight w:val="none"/>
                <w:shd w:val="clear"/>
              </w:rPr>
            </w:pPr>
          </w:p>
        </w:tc>
        <w:tc>
          <w:tcPr>
            <w:tcW w:w="3448" w:type="dxa"/>
            <w:tcBorders>
              <w:top w:val="single" w:color="000000" w:sz="4" w:space="0"/>
              <w:left w:val="nil"/>
              <w:bottom w:val="single" w:color="000000" w:sz="4" w:space="0"/>
              <w:right w:val="single" w:color="000000" w:sz="4" w:space="0"/>
            </w:tcBorders>
            <w:vAlign w:val="center"/>
          </w:tcPr>
          <w:p w14:paraId="20716325">
            <w:pPr>
              <w:pStyle w:val="30"/>
              <w:rPr>
                <w:rFonts w:ascii="Times New Roman" w:hAnsi="Times New Roman"/>
                <w:color w:val="auto"/>
                <w:highlight w:val="none"/>
                <w:shd w:val="clear"/>
              </w:rPr>
            </w:pPr>
          </w:p>
        </w:tc>
        <w:tc>
          <w:tcPr>
            <w:tcW w:w="1701" w:type="dxa"/>
            <w:tcBorders>
              <w:top w:val="single" w:color="000000" w:sz="4" w:space="0"/>
              <w:left w:val="nil"/>
              <w:bottom w:val="single" w:color="000000" w:sz="4" w:space="0"/>
              <w:right w:val="single" w:color="000000" w:sz="4" w:space="0"/>
            </w:tcBorders>
            <w:vAlign w:val="center"/>
          </w:tcPr>
          <w:p w14:paraId="38F548A6">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34F0E9B6">
            <w:pPr>
              <w:widowControl/>
              <w:jc w:val="right"/>
              <w:rPr>
                <w:rFonts w:ascii="Times New Roman" w:hAnsi="Times New Roman"/>
                <w:color w:val="auto"/>
                <w:kern w:val="0"/>
                <w:highlight w:val="none"/>
                <w:shd w:val="clear"/>
              </w:rPr>
            </w:pPr>
          </w:p>
        </w:tc>
      </w:tr>
      <w:tr w14:paraId="177FFD7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324E33E2">
            <w:pPr>
              <w:pStyle w:val="29"/>
              <w:rPr>
                <w:rFonts w:ascii="Times New Roman" w:hAnsi="Times New Roman"/>
                <w:color w:val="auto"/>
                <w:highlight w:val="none"/>
                <w:shd w:val="clear"/>
              </w:rPr>
            </w:pPr>
            <w:r>
              <w:rPr>
                <w:rFonts w:hint="eastAsia" w:ascii="Times New Roman" w:hAnsi="Times New Roman"/>
                <w:color w:val="auto"/>
                <w:highlight w:val="none"/>
                <w:shd w:val="clear"/>
              </w:rPr>
              <w:t>4</w:t>
            </w:r>
          </w:p>
        </w:tc>
        <w:tc>
          <w:tcPr>
            <w:tcW w:w="3448" w:type="dxa"/>
            <w:tcBorders>
              <w:top w:val="single" w:color="000000" w:sz="4" w:space="0"/>
              <w:left w:val="nil"/>
              <w:bottom w:val="single" w:color="000000" w:sz="4" w:space="0"/>
              <w:right w:val="single" w:color="000000" w:sz="4" w:space="0"/>
            </w:tcBorders>
            <w:vAlign w:val="center"/>
          </w:tcPr>
          <w:p w14:paraId="7D2932CC">
            <w:pPr>
              <w:pStyle w:val="30"/>
              <w:rPr>
                <w:rFonts w:ascii="Times New Roman" w:hAnsi="Times New Roman"/>
                <w:color w:val="auto"/>
                <w:highlight w:val="none"/>
                <w:shd w:val="clear"/>
              </w:rPr>
            </w:pPr>
            <w:r>
              <w:rPr>
                <w:rFonts w:hint="eastAsia" w:ascii="Times New Roman" w:hAnsi="Times New Roman"/>
                <w:color w:val="auto"/>
                <w:highlight w:val="none"/>
                <w:shd w:val="clear"/>
              </w:rPr>
              <w:t>其他项目</w:t>
            </w:r>
          </w:p>
        </w:tc>
        <w:tc>
          <w:tcPr>
            <w:tcW w:w="1701" w:type="dxa"/>
            <w:tcBorders>
              <w:top w:val="single" w:color="000000" w:sz="4" w:space="0"/>
              <w:left w:val="nil"/>
              <w:bottom w:val="single" w:color="000000" w:sz="4" w:space="0"/>
              <w:right w:val="single" w:color="000000" w:sz="4" w:space="0"/>
            </w:tcBorders>
            <w:vAlign w:val="center"/>
          </w:tcPr>
          <w:p w14:paraId="308ECA2D">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70EEE2CE">
            <w:pPr>
              <w:widowControl/>
              <w:jc w:val="right"/>
              <w:rPr>
                <w:rFonts w:ascii="Times New Roman" w:hAnsi="Times New Roman"/>
                <w:color w:val="auto"/>
                <w:kern w:val="0"/>
                <w:highlight w:val="none"/>
                <w:shd w:val="clear"/>
              </w:rPr>
            </w:pPr>
          </w:p>
        </w:tc>
      </w:tr>
      <w:tr w14:paraId="2557F57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242B5ED4">
            <w:pPr>
              <w:pStyle w:val="29"/>
              <w:rPr>
                <w:rFonts w:ascii="Times New Roman" w:hAnsi="Times New Roman"/>
                <w:color w:val="auto"/>
                <w:highlight w:val="none"/>
                <w:shd w:val="clear"/>
              </w:rPr>
            </w:pPr>
            <w:r>
              <w:rPr>
                <w:rFonts w:hint="eastAsia" w:ascii="Times New Roman" w:hAnsi="Times New Roman"/>
                <w:color w:val="auto"/>
                <w:highlight w:val="none"/>
                <w:shd w:val="clear"/>
              </w:rPr>
              <w:t>4.1</w:t>
            </w:r>
          </w:p>
        </w:tc>
        <w:tc>
          <w:tcPr>
            <w:tcW w:w="3448" w:type="dxa"/>
            <w:tcBorders>
              <w:top w:val="single" w:color="000000" w:sz="4" w:space="0"/>
              <w:left w:val="nil"/>
              <w:bottom w:val="single" w:color="000000" w:sz="4" w:space="0"/>
              <w:right w:val="single" w:color="000000" w:sz="4" w:space="0"/>
            </w:tcBorders>
            <w:vAlign w:val="center"/>
          </w:tcPr>
          <w:p w14:paraId="2EE19F04">
            <w:pPr>
              <w:pStyle w:val="30"/>
              <w:rPr>
                <w:rFonts w:ascii="Times New Roman" w:hAnsi="Times New Roman"/>
                <w:color w:val="auto"/>
                <w:highlight w:val="none"/>
                <w:shd w:val="clear"/>
              </w:rPr>
            </w:pPr>
            <w:r>
              <w:rPr>
                <w:rFonts w:hint="eastAsia" w:ascii="Times New Roman" w:hAnsi="Times New Roman"/>
                <w:color w:val="auto"/>
                <w:highlight w:val="none"/>
                <w:shd w:val="clear"/>
              </w:rPr>
              <w:t>暂列金额</w:t>
            </w:r>
          </w:p>
        </w:tc>
        <w:tc>
          <w:tcPr>
            <w:tcW w:w="1701" w:type="dxa"/>
            <w:tcBorders>
              <w:top w:val="single" w:color="000000" w:sz="4" w:space="0"/>
              <w:left w:val="nil"/>
              <w:bottom w:val="single" w:color="000000" w:sz="4" w:space="0"/>
              <w:right w:val="single" w:color="000000" w:sz="4" w:space="0"/>
            </w:tcBorders>
            <w:vAlign w:val="center"/>
          </w:tcPr>
          <w:p w14:paraId="209E388B">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70EBE909">
            <w:pPr>
              <w:widowControl/>
              <w:jc w:val="right"/>
              <w:rPr>
                <w:rFonts w:ascii="Times New Roman" w:hAnsi="Times New Roman"/>
                <w:color w:val="auto"/>
                <w:kern w:val="0"/>
                <w:highlight w:val="none"/>
                <w:shd w:val="clear"/>
              </w:rPr>
            </w:pPr>
          </w:p>
        </w:tc>
      </w:tr>
      <w:tr w14:paraId="54A2E19F">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3A714939">
            <w:pPr>
              <w:pStyle w:val="29"/>
              <w:rPr>
                <w:rFonts w:ascii="Times New Roman" w:hAnsi="Times New Roman"/>
                <w:color w:val="auto"/>
                <w:highlight w:val="none"/>
                <w:shd w:val="clear"/>
              </w:rPr>
            </w:pPr>
            <w:r>
              <w:rPr>
                <w:rFonts w:hint="eastAsia" w:ascii="Times New Roman" w:hAnsi="Times New Roman"/>
                <w:color w:val="auto"/>
                <w:highlight w:val="none"/>
                <w:shd w:val="clear"/>
              </w:rPr>
              <w:t>4.2</w:t>
            </w:r>
          </w:p>
        </w:tc>
        <w:tc>
          <w:tcPr>
            <w:tcW w:w="3448" w:type="dxa"/>
            <w:tcBorders>
              <w:top w:val="single" w:color="000000" w:sz="4" w:space="0"/>
              <w:left w:val="nil"/>
              <w:bottom w:val="single" w:color="000000" w:sz="4" w:space="0"/>
              <w:right w:val="single" w:color="000000" w:sz="4" w:space="0"/>
            </w:tcBorders>
            <w:vAlign w:val="center"/>
          </w:tcPr>
          <w:p w14:paraId="2712EBDF">
            <w:pPr>
              <w:pStyle w:val="30"/>
              <w:rPr>
                <w:rFonts w:ascii="Times New Roman" w:hAnsi="Times New Roman"/>
                <w:color w:val="auto"/>
                <w:highlight w:val="none"/>
                <w:shd w:val="clear"/>
              </w:rPr>
            </w:pPr>
            <w:r>
              <w:rPr>
                <w:rFonts w:hint="eastAsia" w:ascii="Times New Roman" w:hAnsi="Times New Roman"/>
                <w:color w:val="auto"/>
                <w:highlight w:val="none"/>
                <w:shd w:val="clear"/>
              </w:rPr>
              <w:t>专业工程暂估价</w:t>
            </w:r>
          </w:p>
        </w:tc>
        <w:tc>
          <w:tcPr>
            <w:tcW w:w="1701" w:type="dxa"/>
            <w:tcBorders>
              <w:top w:val="single" w:color="000000" w:sz="4" w:space="0"/>
              <w:left w:val="nil"/>
              <w:bottom w:val="single" w:color="000000" w:sz="4" w:space="0"/>
              <w:right w:val="single" w:color="000000" w:sz="4" w:space="0"/>
            </w:tcBorders>
            <w:vAlign w:val="center"/>
          </w:tcPr>
          <w:p w14:paraId="1BEF8D86">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50151A68">
            <w:pPr>
              <w:widowControl/>
              <w:jc w:val="right"/>
              <w:rPr>
                <w:rFonts w:ascii="Times New Roman" w:hAnsi="Times New Roman"/>
                <w:color w:val="auto"/>
                <w:kern w:val="0"/>
                <w:highlight w:val="none"/>
                <w:shd w:val="clear"/>
              </w:rPr>
            </w:pPr>
          </w:p>
        </w:tc>
      </w:tr>
      <w:tr w14:paraId="0EE9993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07B66270">
            <w:pPr>
              <w:pStyle w:val="29"/>
              <w:rPr>
                <w:rFonts w:ascii="Times New Roman" w:hAnsi="Times New Roman"/>
                <w:color w:val="auto"/>
                <w:highlight w:val="none"/>
                <w:shd w:val="clear"/>
              </w:rPr>
            </w:pPr>
            <w:r>
              <w:rPr>
                <w:rFonts w:hint="eastAsia" w:ascii="Times New Roman" w:hAnsi="Times New Roman"/>
                <w:color w:val="auto"/>
                <w:highlight w:val="none"/>
                <w:shd w:val="clear"/>
              </w:rPr>
              <w:t>4.3</w:t>
            </w:r>
          </w:p>
        </w:tc>
        <w:tc>
          <w:tcPr>
            <w:tcW w:w="3448" w:type="dxa"/>
            <w:tcBorders>
              <w:top w:val="single" w:color="000000" w:sz="4" w:space="0"/>
              <w:left w:val="nil"/>
              <w:bottom w:val="single" w:color="000000" w:sz="4" w:space="0"/>
              <w:right w:val="single" w:color="000000" w:sz="4" w:space="0"/>
            </w:tcBorders>
            <w:vAlign w:val="center"/>
          </w:tcPr>
          <w:p w14:paraId="7AEB15B6">
            <w:pPr>
              <w:pStyle w:val="30"/>
              <w:rPr>
                <w:rFonts w:ascii="Times New Roman" w:hAnsi="Times New Roman"/>
                <w:color w:val="auto"/>
                <w:highlight w:val="none"/>
                <w:shd w:val="clear"/>
              </w:rPr>
            </w:pPr>
            <w:r>
              <w:rPr>
                <w:rFonts w:hint="eastAsia" w:ascii="Times New Roman" w:hAnsi="Times New Roman"/>
                <w:color w:val="auto"/>
                <w:highlight w:val="none"/>
                <w:shd w:val="clear"/>
              </w:rPr>
              <w:t>计日工</w:t>
            </w:r>
          </w:p>
        </w:tc>
        <w:tc>
          <w:tcPr>
            <w:tcW w:w="1701" w:type="dxa"/>
            <w:tcBorders>
              <w:top w:val="single" w:color="000000" w:sz="4" w:space="0"/>
              <w:left w:val="nil"/>
              <w:bottom w:val="single" w:color="000000" w:sz="4" w:space="0"/>
              <w:right w:val="single" w:color="000000" w:sz="4" w:space="0"/>
            </w:tcBorders>
            <w:vAlign w:val="center"/>
          </w:tcPr>
          <w:p w14:paraId="27ACDBB5">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2D757A82">
            <w:pPr>
              <w:widowControl/>
              <w:jc w:val="right"/>
              <w:rPr>
                <w:rFonts w:ascii="Times New Roman" w:hAnsi="Times New Roman"/>
                <w:color w:val="auto"/>
                <w:kern w:val="0"/>
                <w:highlight w:val="none"/>
                <w:shd w:val="clear"/>
              </w:rPr>
            </w:pPr>
          </w:p>
        </w:tc>
      </w:tr>
      <w:tr w14:paraId="4F03C20D">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32A740C6">
            <w:pPr>
              <w:pStyle w:val="29"/>
              <w:rPr>
                <w:rFonts w:ascii="Times New Roman" w:hAnsi="Times New Roman"/>
                <w:color w:val="auto"/>
                <w:highlight w:val="none"/>
                <w:shd w:val="clear"/>
              </w:rPr>
            </w:pPr>
            <w:r>
              <w:rPr>
                <w:rFonts w:hint="eastAsia" w:ascii="Times New Roman" w:hAnsi="Times New Roman"/>
                <w:color w:val="auto"/>
                <w:highlight w:val="none"/>
                <w:shd w:val="clear"/>
              </w:rPr>
              <w:t>4.4</w:t>
            </w:r>
          </w:p>
        </w:tc>
        <w:tc>
          <w:tcPr>
            <w:tcW w:w="3448" w:type="dxa"/>
            <w:tcBorders>
              <w:top w:val="single" w:color="000000" w:sz="4" w:space="0"/>
              <w:left w:val="nil"/>
              <w:bottom w:val="single" w:color="000000" w:sz="4" w:space="0"/>
              <w:right w:val="single" w:color="000000" w:sz="4" w:space="0"/>
            </w:tcBorders>
            <w:vAlign w:val="center"/>
          </w:tcPr>
          <w:p w14:paraId="556CC073">
            <w:pPr>
              <w:pStyle w:val="30"/>
              <w:rPr>
                <w:rFonts w:ascii="Times New Roman" w:hAnsi="Times New Roman"/>
                <w:color w:val="auto"/>
                <w:highlight w:val="none"/>
                <w:shd w:val="clear"/>
              </w:rPr>
            </w:pPr>
            <w:r>
              <w:rPr>
                <w:rFonts w:hint="eastAsia" w:ascii="Times New Roman" w:hAnsi="Times New Roman"/>
                <w:color w:val="auto"/>
                <w:highlight w:val="none"/>
                <w:shd w:val="clear"/>
              </w:rPr>
              <w:t>总承包服务费</w:t>
            </w:r>
          </w:p>
        </w:tc>
        <w:tc>
          <w:tcPr>
            <w:tcW w:w="1701" w:type="dxa"/>
            <w:tcBorders>
              <w:top w:val="single" w:color="000000" w:sz="4" w:space="0"/>
              <w:left w:val="nil"/>
              <w:bottom w:val="single" w:color="000000" w:sz="4" w:space="0"/>
              <w:right w:val="single" w:color="000000" w:sz="4" w:space="0"/>
            </w:tcBorders>
            <w:vAlign w:val="center"/>
          </w:tcPr>
          <w:p w14:paraId="481FD16C">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07B1E751">
            <w:pPr>
              <w:widowControl/>
              <w:jc w:val="right"/>
              <w:rPr>
                <w:rFonts w:ascii="Times New Roman" w:hAnsi="Times New Roman"/>
                <w:color w:val="auto"/>
                <w:kern w:val="0"/>
                <w:highlight w:val="none"/>
                <w:shd w:val="clear"/>
              </w:rPr>
            </w:pPr>
          </w:p>
        </w:tc>
      </w:tr>
      <w:tr w14:paraId="490AA1BF">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14:paraId="5E384C54">
            <w:pPr>
              <w:pStyle w:val="29"/>
              <w:rPr>
                <w:rFonts w:ascii="Times New Roman" w:hAnsi="Times New Roman"/>
                <w:color w:val="auto"/>
                <w:highlight w:val="none"/>
                <w:shd w:val="clear"/>
              </w:rPr>
            </w:pPr>
            <w:r>
              <w:rPr>
                <w:rFonts w:hint="eastAsia" w:ascii="Times New Roman" w:hAnsi="Times New Roman"/>
                <w:color w:val="auto"/>
                <w:highlight w:val="none"/>
                <w:shd w:val="clear"/>
              </w:rPr>
              <w:t>5</w:t>
            </w:r>
          </w:p>
        </w:tc>
        <w:tc>
          <w:tcPr>
            <w:tcW w:w="3448" w:type="dxa"/>
            <w:tcBorders>
              <w:top w:val="single" w:color="000000" w:sz="4" w:space="0"/>
              <w:left w:val="nil"/>
              <w:bottom w:val="single" w:color="000000" w:sz="4" w:space="0"/>
              <w:right w:val="single" w:color="000000" w:sz="4" w:space="0"/>
            </w:tcBorders>
            <w:vAlign w:val="center"/>
          </w:tcPr>
          <w:p w14:paraId="30D52A07">
            <w:pPr>
              <w:pStyle w:val="30"/>
              <w:rPr>
                <w:rFonts w:ascii="Times New Roman" w:hAnsi="Times New Roman"/>
                <w:color w:val="auto"/>
                <w:highlight w:val="none"/>
                <w:shd w:val="clear"/>
              </w:rPr>
            </w:pPr>
            <w:r>
              <w:rPr>
                <w:rFonts w:hint="eastAsia" w:ascii="Times New Roman" w:hAnsi="Times New Roman"/>
                <w:color w:val="auto"/>
                <w:highlight w:val="none"/>
                <w:shd w:val="clear"/>
              </w:rPr>
              <w:t>税金</w:t>
            </w:r>
          </w:p>
        </w:tc>
        <w:tc>
          <w:tcPr>
            <w:tcW w:w="1701" w:type="dxa"/>
            <w:tcBorders>
              <w:top w:val="single" w:color="000000" w:sz="4" w:space="0"/>
              <w:left w:val="nil"/>
              <w:bottom w:val="single" w:color="000000" w:sz="4" w:space="0"/>
              <w:right w:val="single" w:color="000000" w:sz="4" w:space="0"/>
            </w:tcBorders>
            <w:vAlign w:val="center"/>
          </w:tcPr>
          <w:p w14:paraId="7CBA1D84">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4" w:space="0"/>
              <w:right w:val="single" w:color="000000" w:sz="8" w:space="0"/>
            </w:tcBorders>
            <w:vAlign w:val="center"/>
          </w:tcPr>
          <w:p w14:paraId="0B0B3C07">
            <w:pPr>
              <w:widowControl/>
              <w:jc w:val="right"/>
              <w:rPr>
                <w:rFonts w:ascii="Times New Roman" w:hAnsi="Times New Roman"/>
                <w:color w:val="auto"/>
                <w:kern w:val="0"/>
                <w:highlight w:val="none"/>
                <w:shd w:val="clear"/>
              </w:rPr>
            </w:pPr>
          </w:p>
        </w:tc>
      </w:tr>
      <w:tr w14:paraId="7D9A9AEF">
        <w:tblPrEx>
          <w:tblCellMar>
            <w:top w:w="0" w:type="dxa"/>
            <w:left w:w="108" w:type="dxa"/>
            <w:bottom w:w="0" w:type="dxa"/>
            <w:right w:w="108"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vAlign w:val="center"/>
          </w:tcPr>
          <w:p w14:paraId="37EC07FC">
            <w:pPr>
              <w:pStyle w:val="29"/>
              <w:rPr>
                <w:rFonts w:ascii="Times New Roman" w:hAnsi="Times New Roman"/>
                <w:color w:val="auto"/>
                <w:highlight w:val="none"/>
                <w:shd w:val="clear"/>
              </w:rPr>
            </w:pPr>
            <w:r>
              <w:rPr>
                <w:rFonts w:hint="eastAsia" w:ascii="Times New Roman" w:hAnsi="Times New Roman"/>
                <w:color w:val="auto"/>
                <w:highlight w:val="none"/>
                <w:shd w:val="clear"/>
              </w:rPr>
              <w:t>工程造价=1+2+3+4+5</w:t>
            </w:r>
          </w:p>
        </w:tc>
        <w:tc>
          <w:tcPr>
            <w:tcW w:w="1701" w:type="dxa"/>
            <w:tcBorders>
              <w:top w:val="single" w:color="000000" w:sz="4" w:space="0"/>
              <w:left w:val="nil"/>
              <w:bottom w:val="single" w:color="000000" w:sz="8" w:space="0"/>
              <w:right w:val="single" w:color="000000" w:sz="4" w:space="0"/>
            </w:tcBorders>
            <w:vAlign w:val="center"/>
          </w:tcPr>
          <w:p w14:paraId="74FB2217">
            <w:pPr>
              <w:widowControl/>
              <w:jc w:val="right"/>
              <w:rPr>
                <w:rFonts w:ascii="Times New Roman" w:hAnsi="Times New Roman"/>
                <w:color w:val="auto"/>
                <w:kern w:val="0"/>
                <w:highlight w:val="none"/>
                <w:shd w:val="clear"/>
              </w:rPr>
            </w:pPr>
          </w:p>
        </w:tc>
        <w:tc>
          <w:tcPr>
            <w:tcW w:w="2977" w:type="dxa"/>
            <w:tcBorders>
              <w:top w:val="single" w:color="000000" w:sz="4" w:space="0"/>
              <w:left w:val="nil"/>
              <w:bottom w:val="single" w:color="000000" w:sz="8" w:space="0"/>
              <w:right w:val="single" w:color="000000" w:sz="8" w:space="0"/>
            </w:tcBorders>
            <w:vAlign w:val="center"/>
          </w:tcPr>
          <w:p w14:paraId="6157BA80">
            <w:pPr>
              <w:widowControl/>
              <w:jc w:val="right"/>
              <w:rPr>
                <w:rFonts w:ascii="Times New Roman" w:hAnsi="Times New Roman"/>
                <w:color w:val="auto"/>
                <w:kern w:val="0"/>
                <w:highlight w:val="none"/>
                <w:shd w:val="clear"/>
              </w:rPr>
            </w:pPr>
          </w:p>
        </w:tc>
      </w:tr>
    </w:tbl>
    <w:p w14:paraId="2F36CC3E">
      <w:pPr>
        <w:jc w:val="center"/>
        <w:rPr>
          <w:rFonts w:ascii="Times New Roman" w:hAnsi="Times New Roman"/>
          <w:color w:val="auto"/>
          <w:sz w:val="28"/>
          <w:szCs w:val="28"/>
          <w:highlight w:val="none"/>
          <w:shd w:val="clear"/>
        </w:rPr>
      </w:pPr>
    </w:p>
    <w:p w14:paraId="64464575">
      <w:pPr>
        <w:pStyle w:val="20"/>
        <w:rPr>
          <w:rStyle w:val="25"/>
          <w:rFonts w:ascii="Times New Roman" w:hAnsi="Times New Roman"/>
          <w:bCs w:val="0"/>
          <w:color w:val="auto"/>
          <w:highlight w:val="none"/>
          <w:shd w:val="clear"/>
          <w:lang w:val="zh-CN"/>
        </w:rPr>
      </w:pPr>
      <w:r>
        <w:rPr>
          <w:rFonts w:ascii="Times New Roman" w:hAnsi="Times New Roman" w:cs="宋体"/>
          <w:color w:val="auto"/>
          <w:highlight w:val="none"/>
          <w:shd w:val="clear"/>
        </w:rPr>
        <w:br w:type="page"/>
      </w:r>
      <w:bookmarkStart w:id="2368" w:name="_Toc20986"/>
      <w:bookmarkStart w:id="2369" w:name="_Toc170805447"/>
      <w:bookmarkStart w:id="2370" w:name="_Toc170804259"/>
      <w:bookmarkStart w:id="2371" w:name="_Toc170805827"/>
      <w:bookmarkStart w:id="2372" w:name="_Toc23864"/>
      <w:r>
        <w:rPr>
          <w:rStyle w:val="25"/>
          <w:rFonts w:ascii="Times New Roman" w:hAnsi="Times New Roman"/>
          <w:bCs w:val="0"/>
          <w:color w:val="auto"/>
          <w:highlight w:val="none"/>
          <w:shd w:val="clear"/>
          <w:lang w:val="zh-CN"/>
        </w:rPr>
        <w:t>（五）</w:t>
      </w:r>
      <w:bookmarkEnd w:id="2366"/>
      <w:bookmarkEnd w:id="2367"/>
      <w:r>
        <w:rPr>
          <w:rStyle w:val="25"/>
          <w:rFonts w:ascii="Times New Roman" w:hAnsi="Times New Roman"/>
          <w:bCs w:val="0"/>
          <w:color w:val="auto"/>
          <w:highlight w:val="none"/>
          <w:shd w:val="clear"/>
          <w:lang w:val="zh-CN"/>
        </w:rPr>
        <w:t>分部分项工程量清单计价表</w:t>
      </w:r>
      <w:bookmarkEnd w:id="2368"/>
      <w:bookmarkEnd w:id="2369"/>
      <w:bookmarkEnd w:id="2370"/>
      <w:bookmarkEnd w:id="2371"/>
      <w:bookmarkEnd w:id="2372"/>
    </w:p>
    <w:p w14:paraId="76E378A9">
      <w:pPr>
        <w:pStyle w:val="30"/>
        <w:framePr w:hSpace="0" w:wrap="auto" w:vAnchor="margin" w:hAnchor="text" w:xAlign="left" w:yAlign="inline"/>
        <w:rPr>
          <w:rFonts w:ascii="Times New Roman" w:hAnsi="Times New Roman"/>
          <w:color w:val="auto"/>
          <w:highlight w:val="none"/>
          <w:shd w:val="clear"/>
        </w:rPr>
      </w:pPr>
      <w:bookmarkStart w:id="2373" w:name="_Toc460660243"/>
      <w:bookmarkStart w:id="2374" w:name="_Toc460227128"/>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4986" w:type="pct"/>
        <w:tblInd w:w="0" w:type="dxa"/>
        <w:tblLayout w:type="autofit"/>
        <w:tblCellMar>
          <w:top w:w="0" w:type="dxa"/>
          <w:left w:w="108" w:type="dxa"/>
          <w:bottom w:w="0" w:type="dxa"/>
          <w:right w:w="108" w:type="dxa"/>
        </w:tblCellMar>
      </w:tblPr>
      <w:tblGrid>
        <w:gridCol w:w="449"/>
        <w:gridCol w:w="1105"/>
        <w:gridCol w:w="1105"/>
        <w:gridCol w:w="964"/>
        <w:gridCol w:w="783"/>
        <w:gridCol w:w="827"/>
        <w:gridCol w:w="758"/>
        <w:gridCol w:w="910"/>
        <w:gridCol w:w="952"/>
        <w:gridCol w:w="884"/>
        <w:gridCol w:w="807"/>
      </w:tblGrid>
      <w:tr w14:paraId="1E255AC6">
        <w:tblPrEx>
          <w:tblCellMar>
            <w:top w:w="0" w:type="dxa"/>
            <w:left w:w="108" w:type="dxa"/>
            <w:bottom w:w="0" w:type="dxa"/>
            <w:right w:w="108" w:type="dxa"/>
          </w:tblCellMar>
        </w:tblPrEx>
        <w:trPr>
          <w:trHeight w:val="263" w:hRule="atLeast"/>
        </w:trPr>
        <w:tc>
          <w:tcPr>
            <w:tcW w:w="23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F98DF7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C1734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项目编码</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705A9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5006A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1B3C1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计量单位</w:t>
            </w:r>
          </w:p>
        </w:tc>
        <w:tc>
          <w:tcPr>
            <w:tcW w:w="4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DDCE0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工程量</w:t>
            </w:r>
          </w:p>
        </w:tc>
        <w:tc>
          <w:tcPr>
            <w:tcW w:w="2260" w:type="pct"/>
            <w:gridSpan w:val="5"/>
            <w:tcBorders>
              <w:top w:val="single" w:color="000000" w:sz="8" w:space="0"/>
              <w:left w:val="nil"/>
              <w:bottom w:val="single" w:color="000000" w:sz="4" w:space="0"/>
              <w:right w:val="single" w:color="000000" w:sz="8" w:space="0"/>
            </w:tcBorders>
            <w:shd w:val="clear" w:color="FFFFFF" w:fill="FFFFFF"/>
            <w:vAlign w:val="center"/>
          </w:tcPr>
          <w:p w14:paraId="17366DF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r>
      <w:tr w14:paraId="45745CCF">
        <w:tblPrEx>
          <w:tblCellMar>
            <w:top w:w="0" w:type="dxa"/>
            <w:left w:w="108" w:type="dxa"/>
            <w:bottom w:w="0" w:type="dxa"/>
            <w:right w:w="108" w:type="dxa"/>
          </w:tblCellMar>
        </w:tblPrEx>
        <w:trPr>
          <w:trHeight w:val="263" w:hRule="atLeast"/>
        </w:trPr>
        <w:tc>
          <w:tcPr>
            <w:tcW w:w="23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A1820B2">
            <w:pPr>
              <w:pStyle w:val="28"/>
              <w:spacing w:line="240" w:lineRule="auto"/>
              <w:rPr>
                <w:rFonts w:ascii="Times New Roman" w:hAnsi="Times New Roman"/>
                <w:color w:val="auto"/>
                <w:highlight w:val="none"/>
                <w:shd w:val="clear"/>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AAFA12">
            <w:pPr>
              <w:pStyle w:val="28"/>
              <w:spacing w:line="240" w:lineRule="auto"/>
              <w:rPr>
                <w:rFonts w:ascii="Times New Roman" w:hAnsi="Times New Roman"/>
                <w:color w:val="auto"/>
                <w:highlight w:val="none"/>
                <w:shd w:val="clear"/>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486139">
            <w:pPr>
              <w:pStyle w:val="28"/>
              <w:spacing w:line="240" w:lineRule="auto"/>
              <w:rPr>
                <w:rFonts w:ascii="Times New Roman" w:hAnsi="Times New Roman"/>
                <w:color w:val="auto"/>
                <w:highlight w:val="none"/>
                <w:shd w:val="clear"/>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C6BBFE">
            <w:pPr>
              <w:pStyle w:val="28"/>
              <w:spacing w:line="240" w:lineRule="auto"/>
              <w:rPr>
                <w:rFonts w:ascii="Times New Roman" w:hAnsi="Times New Roman"/>
                <w:color w:val="auto"/>
                <w:highlight w:val="none"/>
                <w:shd w:val="clear"/>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26FBE2">
            <w:pPr>
              <w:pStyle w:val="28"/>
              <w:spacing w:line="240" w:lineRule="auto"/>
              <w:rPr>
                <w:rFonts w:ascii="Times New Roman" w:hAnsi="Times New Roman"/>
                <w:color w:val="auto"/>
                <w:highlight w:val="none"/>
                <w:shd w:val="clear"/>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99C347">
            <w:pPr>
              <w:pStyle w:val="28"/>
              <w:spacing w:line="240" w:lineRule="auto"/>
              <w:rPr>
                <w:rFonts w:ascii="Times New Roman" w:hAnsi="Times New Roman"/>
                <w:color w:val="auto"/>
                <w:highlight w:val="none"/>
                <w:shd w:val="clear"/>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5E53AC8">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综合单价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60CE92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合价</w:t>
            </w:r>
          </w:p>
        </w:tc>
        <w:tc>
          <w:tcPr>
            <w:tcW w:w="1386" w:type="pct"/>
            <w:gridSpan w:val="3"/>
            <w:tcBorders>
              <w:top w:val="single" w:color="000000" w:sz="4" w:space="0"/>
              <w:left w:val="nil"/>
              <w:bottom w:val="single" w:color="000000" w:sz="4" w:space="0"/>
              <w:right w:val="single" w:color="000000" w:sz="8" w:space="0"/>
            </w:tcBorders>
            <w:shd w:val="clear" w:color="FFFFFF" w:fill="FFFFFF"/>
            <w:vAlign w:val="center"/>
          </w:tcPr>
          <w:p w14:paraId="3858E5C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其中</w:t>
            </w:r>
          </w:p>
        </w:tc>
      </w:tr>
      <w:tr w14:paraId="3794967C">
        <w:tblPrEx>
          <w:tblCellMar>
            <w:top w:w="0" w:type="dxa"/>
            <w:left w:w="108" w:type="dxa"/>
            <w:bottom w:w="0" w:type="dxa"/>
            <w:right w:w="108" w:type="dxa"/>
          </w:tblCellMar>
        </w:tblPrEx>
        <w:trPr>
          <w:trHeight w:val="499" w:hRule="atLeast"/>
        </w:trPr>
        <w:tc>
          <w:tcPr>
            <w:tcW w:w="23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C1956A8">
            <w:pPr>
              <w:pStyle w:val="28"/>
              <w:spacing w:line="240" w:lineRule="auto"/>
              <w:rPr>
                <w:rFonts w:ascii="Times New Roman" w:hAnsi="Times New Roman"/>
                <w:color w:val="auto"/>
                <w:highlight w:val="none"/>
                <w:shd w:val="clear"/>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1E1C43">
            <w:pPr>
              <w:pStyle w:val="28"/>
              <w:spacing w:line="240" w:lineRule="auto"/>
              <w:rPr>
                <w:rFonts w:ascii="Times New Roman" w:hAnsi="Times New Roman"/>
                <w:color w:val="auto"/>
                <w:highlight w:val="none"/>
                <w:shd w:val="clear"/>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2EF6C8">
            <w:pPr>
              <w:pStyle w:val="28"/>
              <w:spacing w:line="240" w:lineRule="auto"/>
              <w:rPr>
                <w:rFonts w:ascii="Times New Roman" w:hAnsi="Times New Roman"/>
                <w:color w:val="auto"/>
                <w:highlight w:val="none"/>
                <w:shd w:val="clear"/>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BE1239">
            <w:pPr>
              <w:pStyle w:val="28"/>
              <w:spacing w:line="240" w:lineRule="auto"/>
              <w:rPr>
                <w:rFonts w:ascii="Times New Roman" w:hAnsi="Times New Roman"/>
                <w:color w:val="auto"/>
                <w:highlight w:val="none"/>
                <w:shd w:val="clear"/>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CDFE0F">
            <w:pPr>
              <w:pStyle w:val="28"/>
              <w:spacing w:line="240" w:lineRule="auto"/>
              <w:rPr>
                <w:rFonts w:ascii="Times New Roman" w:hAnsi="Times New Roman"/>
                <w:color w:val="auto"/>
                <w:highlight w:val="none"/>
                <w:shd w:val="clear"/>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9847E9">
            <w:pPr>
              <w:pStyle w:val="28"/>
              <w:spacing w:line="240" w:lineRule="auto"/>
              <w:rPr>
                <w:rFonts w:ascii="Times New Roman" w:hAnsi="Times New Roman"/>
                <w:color w:val="auto"/>
                <w:highlight w:val="none"/>
                <w:shd w:val="clear"/>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93E7">
            <w:pPr>
              <w:pStyle w:val="28"/>
              <w:spacing w:line="240" w:lineRule="auto"/>
              <w:rPr>
                <w:rFonts w:ascii="Times New Roman" w:hAnsi="Times New Roman"/>
                <w:color w:val="auto"/>
                <w:highlight w:val="none"/>
                <w:shd w:val="clear"/>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F216">
            <w:pPr>
              <w:pStyle w:val="28"/>
              <w:spacing w:line="240" w:lineRule="auto"/>
              <w:rPr>
                <w:rFonts w:ascii="Times New Roman" w:hAnsi="Times New Roman"/>
                <w:color w:val="auto"/>
                <w:highlight w:val="none"/>
                <w:shd w:val="clear"/>
              </w:rPr>
            </w:pPr>
          </w:p>
        </w:tc>
        <w:tc>
          <w:tcPr>
            <w:tcW w:w="499" w:type="pct"/>
            <w:tcBorders>
              <w:top w:val="nil"/>
              <w:left w:val="nil"/>
              <w:bottom w:val="single" w:color="000000" w:sz="4" w:space="0"/>
              <w:right w:val="single" w:color="000000" w:sz="4" w:space="0"/>
            </w:tcBorders>
            <w:shd w:val="clear" w:color="FFFFFF" w:fill="FFFFFF"/>
            <w:vAlign w:val="center"/>
          </w:tcPr>
          <w:p w14:paraId="049528D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定额人工费</w:t>
            </w:r>
          </w:p>
        </w:tc>
        <w:tc>
          <w:tcPr>
            <w:tcW w:w="463" w:type="pct"/>
            <w:tcBorders>
              <w:top w:val="nil"/>
              <w:left w:val="nil"/>
              <w:bottom w:val="single" w:color="000000" w:sz="4" w:space="0"/>
              <w:right w:val="single" w:color="000000" w:sz="4" w:space="0"/>
            </w:tcBorders>
            <w:shd w:val="clear" w:color="FFFFFF" w:fill="FFFFFF"/>
            <w:vAlign w:val="center"/>
          </w:tcPr>
          <w:p w14:paraId="694D44D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定额机械费</w:t>
            </w:r>
          </w:p>
        </w:tc>
        <w:tc>
          <w:tcPr>
            <w:tcW w:w="424" w:type="pct"/>
            <w:tcBorders>
              <w:top w:val="nil"/>
              <w:left w:val="nil"/>
              <w:bottom w:val="single" w:color="000000" w:sz="4" w:space="0"/>
              <w:right w:val="single" w:color="000000" w:sz="8" w:space="0"/>
            </w:tcBorders>
            <w:shd w:val="clear" w:color="FFFFFF" w:fill="FFFFFF"/>
            <w:vAlign w:val="center"/>
          </w:tcPr>
          <w:p w14:paraId="54576398">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暂估价</w:t>
            </w:r>
          </w:p>
        </w:tc>
      </w:tr>
      <w:tr w14:paraId="2AD3309C">
        <w:tblPrEx>
          <w:tblCellMar>
            <w:top w:w="0" w:type="dxa"/>
            <w:left w:w="108" w:type="dxa"/>
            <w:bottom w:w="0" w:type="dxa"/>
            <w:right w:w="108" w:type="dxa"/>
          </w:tblCellMar>
        </w:tblPrEx>
        <w:trPr>
          <w:trHeight w:val="567" w:hRule="atLeast"/>
        </w:trPr>
        <w:tc>
          <w:tcPr>
            <w:tcW w:w="235" w:type="pct"/>
            <w:tcBorders>
              <w:top w:val="nil"/>
              <w:left w:val="single" w:color="000000" w:sz="8" w:space="0"/>
              <w:bottom w:val="single" w:color="000000" w:sz="4" w:space="0"/>
              <w:right w:val="single" w:color="000000" w:sz="4" w:space="0"/>
            </w:tcBorders>
            <w:vAlign w:val="center"/>
          </w:tcPr>
          <w:p w14:paraId="5A5DEBD6">
            <w:pPr>
              <w:pStyle w:val="29"/>
              <w:rPr>
                <w:rFonts w:ascii="Times New Roman" w:hAnsi="Times New Roman"/>
                <w:color w:val="auto"/>
                <w:highlight w:val="none"/>
                <w:shd w:val="clear"/>
              </w:rPr>
            </w:pPr>
          </w:p>
        </w:tc>
        <w:tc>
          <w:tcPr>
            <w:tcW w:w="579" w:type="pct"/>
            <w:tcBorders>
              <w:top w:val="nil"/>
              <w:left w:val="nil"/>
              <w:bottom w:val="single" w:color="000000" w:sz="4" w:space="0"/>
              <w:right w:val="single" w:color="000000" w:sz="4" w:space="0"/>
            </w:tcBorders>
            <w:vAlign w:val="center"/>
          </w:tcPr>
          <w:p w14:paraId="602D53F2">
            <w:pPr>
              <w:pStyle w:val="29"/>
              <w:rPr>
                <w:rFonts w:ascii="Times New Roman" w:hAnsi="Times New Roman"/>
                <w:color w:val="auto"/>
                <w:highlight w:val="none"/>
                <w:shd w:val="clear"/>
              </w:rPr>
            </w:pPr>
          </w:p>
        </w:tc>
        <w:tc>
          <w:tcPr>
            <w:tcW w:w="579" w:type="pct"/>
            <w:tcBorders>
              <w:top w:val="nil"/>
              <w:left w:val="nil"/>
              <w:bottom w:val="single" w:color="000000" w:sz="4" w:space="0"/>
              <w:right w:val="single" w:color="000000" w:sz="4" w:space="0"/>
            </w:tcBorders>
            <w:vAlign w:val="center"/>
          </w:tcPr>
          <w:p w14:paraId="45FA57A3">
            <w:pPr>
              <w:pStyle w:val="29"/>
              <w:rPr>
                <w:rFonts w:ascii="Times New Roman" w:hAnsi="Times New Roman"/>
                <w:color w:val="auto"/>
                <w:highlight w:val="none"/>
                <w:shd w:val="clear"/>
              </w:rPr>
            </w:pPr>
          </w:p>
        </w:tc>
        <w:tc>
          <w:tcPr>
            <w:tcW w:w="505" w:type="pct"/>
            <w:tcBorders>
              <w:top w:val="single" w:color="000000" w:sz="4" w:space="0"/>
              <w:left w:val="nil"/>
              <w:bottom w:val="single" w:color="000000" w:sz="4" w:space="0"/>
              <w:right w:val="single" w:color="000000" w:sz="4" w:space="0"/>
            </w:tcBorders>
            <w:vAlign w:val="center"/>
          </w:tcPr>
          <w:p w14:paraId="3000D132">
            <w:pPr>
              <w:pStyle w:val="29"/>
              <w:rPr>
                <w:rFonts w:ascii="Times New Roman" w:hAnsi="Times New Roman"/>
                <w:color w:val="auto"/>
                <w:highlight w:val="none"/>
                <w:shd w:val="clear"/>
              </w:rPr>
            </w:pPr>
          </w:p>
        </w:tc>
        <w:tc>
          <w:tcPr>
            <w:tcW w:w="410" w:type="pct"/>
            <w:tcBorders>
              <w:top w:val="nil"/>
              <w:left w:val="nil"/>
              <w:bottom w:val="single" w:color="000000" w:sz="4" w:space="0"/>
              <w:right w:val="single" w:color="000000" w:sz="4" w:space="0"/>
            </w:tcBorders>
            <w:vAlign w:val="center"/>
          </w:tcPr>
          <w:p w14:paraId="2A6641DC">
            <w:pPr>
              <w:pStyle w:val="29"/>
              <w:rPr>
                <w:rFonts w:ascii="Times New Roman" w:hAnsi="Times New Roman"/>
                <w:color w:val="auto"/>
                <w:highlight w:val="none"/>
                <w:shd w:val="clear"/>
              </w:rPr>
            </w:pPr>
          </w:p>
        </w:tc>
        <w:tc>
          <w:tcPr>
            <w:tcW w:w="433" w:type="pct"/>
            <w:tcBorders>
              <w:top w:val="nil"/>
              <w:left w:val="nil"/>
              <w:bottom w:val="single" w:color="000000" w:sz="4" w:space="0"/>
              <w:right w:val="single" w:color="000000" w:sz="4" w:space="0"/>
            </w:tcBorders>
            <w:vAlign w:val="center"/>
          </w:tcPr>
          <w:p w14:paraId="2FF94E78">
            <w:pPr>
              <w:pStyle w:val="29"/>
              <w:rPr>
                <w:rFonts w:ascii="Times New Roman" w:hAnsi="Times New Roman"/>
                <w:color w:val="auto"/>
                <w:highlight w:val="none"/>
                <w:shd w:val="clear"/>
              </w:rPr>
            </w:pPr>
          </w:p>
        </w:tc>
        <w:tc>
          <w:tcPr>
            <w:tcW w:w="397" w:type="pct"/>
            <w:tcBorders>
              <w:top w:val="single" w:color="000000" w:sz="4" w:space="0"/>
              <w:left w:val="nil"/>
              <w:bottom w:val="single" w:color="000000" w:sz="4" w:space="0"/>
              <w:right w:val="single" w:color="000000" w:sz="4" w:space="0"/>
            </w:tcBorders>
            <w:vAlign w:val="center"/>
          </w:tcPr>
          <w:p w14:paraId="0A441841">
            <w:pPr>
              <w:pStyle w:val="29"/>
              <w:rPr>
                <w:rFonts w:ascii="Times New Roman" w:hAnsi="Times New Roman"/>
                <w:color w:val="auto"/>
                <w:highlight w:val="none"/>
                <w:shd w:val="clear"/>
              </w:rPr>
            </w:pPr>
          </w:p>
        </w:tc>
        <w:tc>
          <w:tcPr>
            <w:tcW w:w="477" w:type="pct"/>
            <w:tcBorders>
              <w:top w:val="single" w:color="000000" w:sz="4" w:space="0"/>
              <w:left w:val="nil"/>
              <w:bottom w:val="single" w:color="000000" w:sz="4" w:space="0"/>
              <w:right w:val="single" w:color="000000" w:sz="4" w:space="0"/>
            </w:tcBorders>
            <w:vAlign w:val="center"/>
          </w:tcPr>
          <w:p w14:paraId="7163341A">
            <w:pPr>
              <w:pStyle w:val="29"/>
              <w:rPr>
                <w:rFonts w:ascii="Times New Roman" w:hAnsi="Times New Roman"/>
                <w:color w:val="auto"/>
                <w:highlight w:val="none"/>
                <w:shd w:val="clear"/>
              </w:rPr>
            </w:pPr>
          </w:p>
        </w:tc>
        <w:tc>
          <w:tcPr>
            <w:tcW w:w="499" w:type="pct"/>
            <w:tcBorders>
              <w:top w:val="nil"/>
              <w:left w:val="nil"/>
              <w:bottom w:val="single" w:color="000000" w:sz="4" w:space="0"/>
              <w:right w:val="single" w:color="000000" w:sz="4" w:space="0"/>
            </w:tcBorders>
            <w:vAlign w:val="center"/>
          </w:tcPr>
          <w:p w14:paraId="05D2B605">
            <w:pPr>
              <w:pStyle w:val="29"/>
              <w:rPr>
                <w:rFonts w:ascii="Times New Roman" w:hAnsi="Times New Roman"/>
                <w:color w:val="auto"/>
                <w:highlight w:val="none"/>
                <w:shd w:val="clear"/>
              </w:rPr>
            </w:pPr>
          </w:p>
        </w:tc>
        <w:tc>
          <w:tcPr>
            <w:tcW w:w="463" w:type="pct"/>
            <w:tcBorders>
              <w:top w:val="nil"/>
              <w:left w:val="nil"/>
              <w:bottom w:val="single" w:color="000000" w:sz="4" w:space="0"/>
              <w:right w:val="single" w:color="000000" w:sz="4" w:space="0"/>
            </w:tcBorders>
            <w:vAlign w:val="center"/>
          </w:tcPr>
          <w:p w14:paraId="7F9D98EE">
            <w:pPr>
              <w:pStyle w:val="29"/>
              <w:rPr>
                <w:rFonts w:ascii="Times New Roman" w:hAnsi="Times New Roman"/>
                <w:color w:val="auto"/>
                <w:highlight w:val="none"/>
                <w:shd w:val="clear"/>
              </w:rPr>
            </w:pPr>
          </w:p>
        </w:tc>
        <w:tc>
          <w:tcPr>
            <w:tcW w:w="424" w:type="pct"/>
            <w:tcBorders>
              <w:top w:val="nil"/>
              <w:left w:val="nil"/>
              <w:bottom w:val="single" w:color="000000" w:sz="4" w:space="0"/>
              <w:right w:val="single" w:color="000000" w:sz="8" w:space="0"/>
            </w:tcBorders>
            <w:vAlign w:val="center"/>
          </w:tcPr>
          <w:p w14:paraId="5C00EEBA">
            <w:pPr>
              <w:pStyle w:val="29"/>
              <w:rPr>
                <w:rFonts w:ascii="Times New Roman" w:hAnsi="Times New Roman"/>
                <w:color w:val="auto"/>
                <w:highlight w:val="none"/>
                <w:shd w:val="clear"/>
              </w:rPr>
            </w:pPr>
          </w:p>
        </w:tc>
      </w:tr>
      <w:tr w14:paraId="63AF368F">
        <w:tblPrEx>
          <w:tblCellMar>
            <w:top w:w="0" w:type="dxa"/>
            <w:left w:w="108" w:type="dxa"/>
            <w:bottom w:w="0" w:type="dxa"/>
            <w:right w:w="108" w:type="dxa"/>
          </w:tblCellMar>
        </w:tblPrEx>
        <w:trPr>
          <w:trHeight w:val="567" w:hRule="atLeast"/>
        </w:trPr>
        <w:tc>
          <w:tcPr>
            <w:tcW w:w="235" w:type="pct"/>
            <w:tcBorders>
              <w:top w:val="nil"/>
              <w:left w:val="single" w:color="000000" w:sz="8" w:space="0"/>
              <w:bottom w:val="single" w:color="000000" w:sz="4" w:space="0"/>
              <w:right w:val="single" w:color="000000" w:sz="4" w:space="0"/>
            </w:tcBorders>
            <w:vAlign w:val="center"/>
          </w:tcPr>
          <w:p w14:paraId="02FC9EC0">
            <w:pPr>
              <w:pStyle w:val="29"/>
              <w:rPr>
                <w:rFonts w:ascii="Times New Roman" w:hAnsi="Times New Roman"/>
                <w:color w:val="auto"/>
                <w:highlight w:val="none"/>
                <w:shd w:val="clear"/>
              </w:rPr>
            </w:pPr>
          </w:p>
        </w:tc>
        <w:tc>
          <w:tcPr>
            <w:tcW w:w="579" w:type="pct"/>
            <w:tcBorders>
              <w:top w:val="nil"/>
              <w:left w:val="nil"/>
              <w:bottom w:val="single" w:color="000000" w:sz="4" w:space="0"/>
              <w:right w:val="single" w:color="000000" w:sz="4" w:space="0"/>
            </w:tcBorders>
            <w:vAlign w:val="center"/>
          </w:tcPr>
          <w:p w14:paraId="3062E991">
            <w:pPr>
              <w:pStyle w:val="29"/>
              <w:rPr>
                <w:rFonts w:ascii="Times New Roman" w:hAnsi="Times New Roman"/>
                <w:color w:val="auto"/>
                <w:highlight w:val="none"/>
                <w:shd w:val="clear"/>
              </w:rPr>
            </w:pPr>
          </w:p>
        </w:tc>
        <w:tc>
          <w:tcPr>
            <w:tcW w:w="579" w:type="pct"/>
            <w:tcBorders>
              <w:top w:val="nil"/>
              <w:left w:val="nil"/>
              <w:bottom w:val="single" w:color="000000" w:sz="4" w:space="0"/>
              <w:right w:val="single" w:color="000000" w:sz="4" w:space="0"/>
            </w:tcBorders>
            <w:vAlign w:val="center"/>
          </w:tcPr>
          <w:p w14:paraId="5DA733E5">
            <w:pPr>
              <w:pStyle w:val="29"/>
              <w:rPr>
                <w:rFonts w:ascii="Times New Roman" w:hAnsi="Times New Roman"/>
                <w:color w:val="auto"/>
                <w:highlight w:val="none"/>
                <w:shd w:val="clear"/>
              </w:rPr>
            </w:pPr>
          </w:p>
        </w:tc>
        <w:tc>
          <w:tcPr>
            <w:tcW w:w="505" w:type="pct"/>
            <w:tcBorders>
              <w:top w:val="single" w:color="000000" w:sz="4" w:space="0"/>
              <w:left w:val="nil"/>
              <w:bottom w:val="single" w:color="000000" w:sz="4" w:space="0"/>
              <w:right w:val="single" w:color="000000" w:sz="4" w:space="0"/>
            </w:tcBorders>
            <w:vAlign w:val="center"/>
          </w:tcPr>
          <w:p w14:paraId="727ECF53">
            <w:pPr>
              <w:pStyle w:val="29"/>
              <w:rPr>
                <w:rFonts w:ascii="Times New Roman" w:hAnsi="Times New Roman"/>
                <w:color w:val="auto"/>
                <w:highlight w:val="none"/>
                <w:shd w:val="clear"/>
              </w:rPr>
            </w:pPr>
          </w:p>
        </w:tc>
        <w:tc>
          <w:tcPr>
            <w:tcW w:w="410" w:type="pct"/>
            <w:tcBorders>
              <w:top w:val="nil"/>
              <w:left w:val="nil"/>
              <w:bottom w:val="single" w:color="000000" w:sz="4" w:space="0"/>
              <w:right w:val="single" w:color="000000" w:sz="4" w:space="0"/>
            </w:tcBorders>
            <w:vAlign w:val="center"/>
          </w:tcPr>
          <w:p w14:paraId="05E49C04">
            <w:pPr>
              <w:pStyle w:val="29"/>
              <w:rPr>
                <w:rFonts w:ascii="Times New Roman" w:hAnsi="Times New Roman"/>
                <w:color w:val="auto"/>
                <w:highlight w:val="none"/>
                <w:shd w:val="clear"/>
              </w:rPr>
            </w:pPr>
          </w:p>
        </w:tc>
        <w:tc>
          <w:tcPr>
            <w:tcW w:w="433" w:type="pct"/>
            <w:tcBorders>
              <w:top w:val="nil"/>
              <w:left w:val="nil"/>
              <w:bottom w:val="single" w:color="000000" w:sz="4" w:space="0"/>
              <w:right w:val="single" w:color="000000" w:sz="4" w:space="0"/>
            </w:tcBorders>
            <w:vAlign w:val="center"/>
          </w:tcPr>
          <w:p w14:paraId="2E41F87B">
            <w:pPr>
              <w:pStyle w:val="29"/>
              <w:rPr>
                <w:rFonts w:ascii="Times New Roman" w:hAnsi="Times New Roman"/>
                <w:color w:val="auto"/>
                <w:highlight w:val="none"/>
                <w:shd w:val="clear"/>
              </w:rPr>
            </w:pPr>
          </w:p>
        </w:tc>
        <w:tc>
          <w:tcPr>
            <w:tcW w:w="397" w:type="pct"/>
            <w:tcBorders>
              <w:top w:val="single" w:color="000000" w:sz="4" w:space="0"/>
              <w:left w:val="nil"/>
              <w:bottom w:val="single" w:color="000000" w:sz="4" w:space="0"/>
              <w:right w:val="single" w:color="000000" w:sz="4" w:space="0"/>
            </w:tcBorders>
            <w:vAlign w:val="center"/>
          </w:tcPr>
          <w:p w14:paraId="33E654E9">
            <w:pPr>
              <w:pStyle w:val="29"/>
              <w:rPr>
                <w:rFonts w:ascii="Times New Roman" w:hAnsi="Times New Roman"/>
                <w:color w:val="auto"/>
                <w:highlight w:val="none"/>
                <w:shd w:val="clear"/>
              </w:rPr>
            </w:pPr>
          </w:p>
        </w:tc>
        <w:tc>
          <w:tcPr>
            <w:tcW w:w="477" w:type="pct"/>
            <w:tcBorders>
              <w:top w:val="single" w:color="000000" w:sz="4" w:space="0"/>
              <w:left w:val="nil"/>
              <w:bottom w:val="single" w:color="000000" w:sz="4" w:space="0"/>
              <w:right w:val="single" w:color="000000" w:sz="4" w:space="0"/>
            </w:tcBorders>
            <w:vAlign w:val="center"/>
          </w:tcPr>
          <w:p w14:paraId="26543A66">
            <w:pPr>
              <w:pStyle w:val="29"/>
              <w:rPr>
                <w:rFonts w:ascii="Times New Roman" w:hAnsi="Times New Roman"/>
                <w:color w:val="auto"/>
                <w:highlight w:val="none"/>
                <w:shd w:val="clear"/>
              </w:rPr>
            </w:pPr>
          </w:p>
        </w:tc>
        <w:tc>
          <w:tcPr>
            <w:tcW w:w="499" w:type="pct"/>
            <w:tcBorders>
              <w:top w:val="nil"/>
              <w:left w:val="nil"/>
              <w:bottom w:val="single" w:color="000000" w:sz="4" w:space="0"/>
              <w:right w:val="single" w:color="000000" w:sz="4" w:space="0"/>
            </w:tcBorders>
            <w:vAlign w:val="center"/>
          </w:tcPr>
          <w:p w14:paraId="08512709">
            <w:pPr>
              <w:pStyle w:val="29"/>
              <w:rPr>
                <w:rFonts w:ascii="Times New Roman" w:hAnsi="Times New Roman"/>
                <w:color w:val="auto"/>
                <w:highlight w:val="none"/>
                <w:shd w:val="clear"/>
              </w:rPr>
            </w:pPr>
          </w:p>
        </w:tc>
        <w:tc>
          <w:tcPr>
            <w:tcW w:w="463" w:type="pct"/>
            <w:tcBorders>
              <w:top w:val="nil"/>
              <w:left w:val="nil"/>
              <w:bottom w:val="single" w:color="000000" w:sz="4" w:space="0"/>
              <w:right w:val="single" w:color="000000" w:sz="4" w:space="0"/>
            </w:tcBorders>
            <w:vAlign w:val="center"/>
          </w:tcPr>
          <w:p w14:paraId="2C533ECA">
            <w:pPr>
              <w:pStyle w:val="29"/>
              <w:rPr>
                <w:rFonts w:ascii="Times New Roman" w:hAnsi="Times New Roman"/>
                <w:color w:val="auto"/>
                <w:highlight w:val="none"/>
                <w:shd w:val="clear"/>
              </w:rPr>
            </w:pPr>
          </w:p>
        </w:tc>
        <w:tc>
          <w:tcPr>
            <w:tcW w:w="424" w:type="pct"/>
            <w:tcBorders>
              <w:top w:val="nil"/>
              <w:left w:val="nil"/>
              <w:bottom w:val="single" w:color="000000" w:sz="4" w:space="0"/>
              <w:right w:val="single" w:color="000000" w:sz="8" w:space="0"/>
            </w:tcBorders>
            <w:vAlign w:val="center"/>
          </w:tcPr>
          <w:p w14:paraId="109C9FE8">
            <w:pPr>
              <w:pStyle w:val="29"/>
              <w:rPr>
                <w:rFonts w:ascii="Times New Roman" w:hAnsi="Times New Roman"/>
                <w:color w:val="auto"/>
                <w:highlight w:val="none"/>
                <w:shd w:val="clear"/>
              </w:rPr>
            </w:pPr>
          </w:p>
        </w:tc>
      </w:tr>
      <w:tr w14:paraId="5EFD1E83">
        <w:tblPrEx>
          <w:tblCellMar>
            <w:top w:w="0" w:type="dxa"/>
            <w:left w:w="108" w:type="dxa"/>
            <w:bottom w:w="0" w:type="dxa"/>
            <w:right w:w="108" w:type="dxa"/>
          </w:tblCellMar>
        </w:tblPrEx>
        <w:trPr>
          <w:trHeight w:val="567" w:hRule="atLeast"/>
        </w:trPr>
        <w:tc>
          <w:tcPr>
            <w:tcW w:w="235" w:type="pct"/>
            <w:tcBorders>
              <w:top w:val="nil"/>
              <w:left w:val="single" w:color="000000" w:sz="8" w:space="0"/>
              <w:bottom w:val="single" w:color="000000" w:sz="4" w:space="0"/>
              <w:right w:val="single" w:color="000000" w:sz="4" w:space="0"/>
            </w:tcBorders>
            <w:vAlign w:val="center"/>
          </w:tcPr>
          <w:p w14:paraId="53CCFD64">
            <w:pPr>
              <w:pStyle w:val="29"/>
              <w:rPr>
                <w:rFonts w:ascii="Times New Roman" w:hAnsi="Times New Roman"/>
                <w:color w:val="auto"/>
                <w:highlight w:val="none"/>
                <w:shd w:val="clear"/>
              </w:rPr>
            </w:pPr>
          </w:p>
        </w:tc>
        <w:tc>
          <w:tcPr>
            <w:tcW w:w="579" w:type="pct"/>
            <w:tcBorders>
              <w:top w:val="nil"/>
              <w:left w:val="nil"/>
              <w:bottom w:val="single" w:color="000000" w:sz="4" w:space="0"/>
              <w:right w:val="single" w:color="000000" w:sz="4" w:space="0"/>
            </w:tcBorders>
            <w:vAlign w:val="center"/>
          </w:tcPr>
          <w:p w14:paraId="7A21BF50">
            <w:pPr>
              <w:pStyle w:val="29"/>
              <w:rPr>
                <w:rFonts w:ascii="Times New Roman" w:hAnsi="Times New Roman"/>
                <w:color w:val="auto"/>
                <w:highlight w:val="none"/>
                <w:shd w:val="clear"/>
              </w:rPr>
            </w:pPr>
          </w:p>
        </w:tc>
        <w:tc>
          <w:tcPr>
            <w:tcW w:w="579" w:type="pct"/>
            <w:tcBorders>
              <w:top w:val="nil"/>
              <w:left w:val="nil"/>
              <w:bottom w:val="single" w:color="000000" w:sz="4" w:space="0"/>
              <w:right w:val="single" w:color="000000" w:sz="4" w:space="0"/>
            </w:tcBorders>
            <w:vAlign w:val="center"/>
          </w:tcPr>
          <w:p w14:paraId="7BB56608">
            <w:pPr>
              <w:pStyle w:val="29"/>
              <w:rPr>
                <w:rFonts w:ascii="Times New Roman" w:hAnsi="Times New Roman"/>
                <w:color w:val="auto"/>
                <w:highlight w:val="none"/>
                <w:shd w:val="clear"/>
              </w:rPr>
            </w:pPr>
          </w:p>
        </w:tc>
        <w:tc>
          <w:tcPr>
            <w:tcW w:w="505" w:type="pct"/>
            <w:tcBorders>
              <w:top w:val="single" w:color="000000" w:sz="4" w:space="0"/>
              <w:left w:val="nil"/>
              <w:bottom w:val="single" w:color="000000" w:sz="4" w:space="0"/>
              <w:right w:val="single" w:color="000000" w:sz="4" w:space="0"/>
            </w:tcBorders>
            <w:vAlign w:val="center"/>
          </w:tcPr>
          <w:p w14:paraId="7918386A">
            <w:pPr>
              <w:pStyle w:val="29"/>
              <w:rPr>
                <w:rFonts w:ascii="Times New Roman" w:hAnsi="Times New Roman"/>
                <w:color w:val="auto"/>
                <w:highlight w:val="none"/>
                <w:shd w:val="clear"/>
              </w:rPr>
            </w:pPr>
          </w:p>
        </w:tc>
        <w:tc>
          <w:tcPr>
            <w:tcW w:w="410" w:type="pct"/>
            <w:tcBorders>
              <w:top w:val="nil"/>
              <w:left w:val="nil"/>
              <w:bottom w:val="single" w:color="000000" w:sz="4" w:space="0"/>
              <w:right w:val="single" w:color="000000" w:sz="4" w:space="0"/>
            </w:tcBorders>
            <w:vAlign w:val="center"/>
          </w:tcPr>
          <w:p w14:paraId="31392FEC">
            <w:pPr>
              <w:pStyle w:val="29"/>
              <w:rPr>
                <w:rFonts w:ascii="Times New Roman" w:hAnsi="Times New Roman"/>
                <w:color w:val="auto"/>
                <w:highlight w:val="none"/>
                <w:shd w:val="clear"/>
              </w:rPr>
            </w:pPr>
          </w:p>
        </w:tc>
        <w:tc>
          <w:tcPr>
            <w:tcW w:w="433" w:type="pct"/>
            <w:tcBorders>
              <w:top w:val="nil"/>
              <w:left w:val="nil"/>
              <w:bottom w:val="single" w:color="000000" w:sz="4" w:space="0"/>
              <w:right w:val="single" w:color="000000" w:sz="4" w:space="0"/>
            </w:tcBorders>
            <w:vAlign w:val="center"/>
          </w:tcPr>
          <w:p w14:paraId="79F03C7C">
            <w:pPr>
              <w:pStyle w:val="29"/>
              <w:rPr>
                <w:rFonts w:ascii="Times New Roman" w:hAnsi="Times New Roman"/>
                <w:color w:val="auto"/>
                <w:highlight w:val="none"/>
                <w:shd w:val="clear"/>
              </w:rPr>
            </w:pPr>
          </w:p>
        </w:tc>
        <w:tc>
          <w:tcPr>
            <w:tcW w:w="397" w:type="pct"/>
            <w:tcBorders>
              <w:top w:val="single" w:color="000000" w:sz="4" w:space="0"/>
              <w:left w:val="nil"/>
              <w:bottom w:val="single" w:color="000000" w:sz="4" w:space="0"/>
              <w:right w:val="single" w:color="000000" w:sz="4" w:space="0"/>
            </w:tcBorders>
            <w:vAlign w:val="center"/>
          </w:tcPr>
          <w:p w14:paraId="104D5364">
            <w:pPr>
              <w:pStyle w:val="29"/>
              <w:rPr>
                <w:rFonts w:ascii="Times New Roman" w:hAnsi="Times New Roman"/>
                <w:color w:val="auto"/>
                <w:highlight w:val="none"/>
                <w:shd w:val="clear"/>
              </w:rPr>
            </w:pPr>
          </w:p>
        </w:tc>
        <w:tc>
          <w:tcPr>
            <w:tcW w:w="477" w:type="pct"/>
            <w:tcBorders>
              <w:top w:val="single" w:color="000000" w:sz="4" w:space="0"/>
              <w:left w:val="nil"/>
              <w:bottom w:val="single" w:color="000000" w:sz="4" w:space="0"/>
              <w:right w:val="single" w:color="000000" w:sz="4" w:space="0"/>
            </w:tcBorders>
            <w:vAlign w:val="center"/>
          </w:tcPr>
          <w:p w14:paraId="0184DE00">
            <w:pPr>
              <w:pStyle w:val="29"/>
              <w:rPr>
                <w:rFonts w:ascii="Times New Roman" w:hAnsi="Times New Roman"/>
                <w:color w:val="auto"/>
                <w:highlight w:val="none"/>
                <w:shd w:val="clear"/>
              </w:rPr>
            </w:pPr>
          </w:p>
        </w:tc>
        <w:tc>
          <w:tcPr>
            <w:tcW w:w="499" w:type="pct"/>
            <w:tcBorders>
              <w:top w:val="nil"/>
              <w:left w:val="nil"/>
              <w:bottom w:val="single" w:color="000000" w:sz="4" w:space="0"/>
              <w:right w:val="single" w:color="000000" w:sz="4" w:space="0"/>
            </w:tcBorders>
            <w:vAlign w:val="center"/>
          </w:tcPr>
          <w:p w14:paraId="61456217">
            <w:pPr>
              <w:pStyle w:val="29"/>
              <w:rPr>
                <w:rFonts w:ascii="Times New Roman" w:hAnsi="Times New Roman"/>
                <w:color w:val="auto"/>
                <w:highlight w:val="none"/>
                <w:shd w:val="clear"/>
              </w:rPr>
            </w:pPr>
          </w:p>
        </w:tc>
        <w:tc>
          <w:tcPr>
            <w:tcW w:w="463" w:type="pct"/>
            <w:tcBorders>
              <w:top w:val="nil"/>
              <w:left w:val="nil"/>
              <w:bottom w:val="single" w:color="000000" w:sz="4" w:space="0"/>
              <w:right w:val="single" w:color="000000" w:sz="4" w:space="0"/>
            </w:tcBorders>
            <w:vAlign w:val="center"/>
          </w:tcPr>
          <w:p w14:paraId="3DD1001F">
            <w:pPr>
              <w:pStyle w:val="29"/>
              <w:rPr>
                <w:rFonts w:ascii="Times New Roman" w:hAnsi="Times New Roman"/>
                <w:color w:val="auto"/>
                <w:highlight w:val="none"/>
                <w:shd w:val="clear"/>
              </w:rPr>
            </w:pPr>
          </w:p>
        </w:tc>
        <w:tc>
          <w:tcPr>
            <w:tcW w:w="424" w:type="pct"/>
            <w:tcBorders>
              <w:top w:val="nil"/>
              <w:left w:val="nil"/>
              <w:bottom w:val="single" w:color="000000" w:sz="4" w:space="0"/>
              <w:right w:val="single" w:color="000000" w:sz="8" w:space="0"/>
            </w:tcBorders>
            <w:vAlign w:val="center"/>
          </w:tcPr>
          <w:p w14:paraId="15FE7C8E">
            <w:pPr>
              <w:pStyle w:val="29"/>
              <w:rPr>
                <w:rFonts w:ascii="Times New Roman" w:hAnsi="Times New Roman"/>
                <w:color w:val="auto"/>
                <w:highlight w:val="none"/>
                <w:shd w:val="clear"/>
              </w:rPr>
            </w:pPr>
          </w:p>
        </w:tc>
      </w:tr>
    </w:tbl>
    <w:p w14:paraId="2F887A02">
      <w:pPr>
        <w:jc w:val="center"/>
        <w:rPr>
          <w:rFonts w:ascii="Times New Roman" w:hAnsi="Times New Roman"/>
          <w:color w:val="auto"/>
          <w:sz w:val="28"/>
          <w:szCs w:val="28"/>
          <w:highlight w:val="none"/>
          <w:shd w:val="clear"/>
        </w:rPr>
      </w:pPr>
    </w:p>
    <w:p w14:paraId="21BD6037">
      <w:pPr>
        <w:pStyle w:val="20"/>
        <w:rPr>
          <w:rFonts w:ascii="Times New Roman" w:hAnsi="Times New Roman"/>
          <w:color w:val="auto"/>
          <w:highlight w:val="none"/>
          <w:shd w:val="clear"/>
          <w:lang w:val="zh-CN"/>
        </w:rPr>
      </w:pPr>
      <w:bookmarkStart w:id="2375" w:name="_Toc5045"/>
      <w:bookmarkStart w:id="2376" w:name="_Toc12041"/>
      <w:bookmarkStart w:id="2377" w:name="_Toc170804260"/>
      <w:bookmarkStart w:id="2378" w:name="_Toc170805448"/>
      <w:bookmarkStart w:id="2379" w:name="_Toc170805828"/>
      <w:r>
        <w:rPr>
          <w:rFonts w:ascii="Times New Roman" w:hAnsi="Times New Roman"/>
          <w:color w:val="auto"/>
          <w:highlight w:val="none"/>
          <w:shd w:val="clear"/>
          <w:lang w:val="zh-CN"/>
        </w:rPr>
        <w:t>（六）</w:t>
      </w:r>
      <w:bookmarkEnd w:id="2373"/>
      <w:bookmarkEnd w:id="2374"/>
      <w:r>
        <w:rPr>
          <w:rFonts w:ascii="Times New Roman" w:hAnsi="Times New Roman"/>
          <w:color w:val="auto"/>
          <w:highlight w:val="none"/>
          <w:shd w:val="clear"/>
          <w:lang w:val="zh-CN"/>
        </w:rPr>
        <w:t>分部分项工程量清单综合单价分析表</w:t>
      </w:r>
      <w:bookmarkEnd w:id="2375"/>
      <w:bookmarkEnd w:id="2376"/>
      <w:bookmarkEnd w:id="2377"/>
      <w:bookmarkEnd w:id="2378"/>
      <w:bookmarkEnd w:id="2379"/>
    </w:p>
    <w:p w14:paraId="6FD0A928">
      <w:pPr>
        <w:pStyle w:val="30"/>
        <w:framePr w:hSpace="0" w:wrap="auto" w:vAnchor="margin" w:hAnchor="text" w:xAlign="left" w:yAlign="inline"/>
        <w:ind w:left="1260" w:hanging="420"/>
        <w:rPr>
          <w:rFonts w:ascii="Times New Roman" w:hAnsi="Times New Roman"/>
          <w:color w:val="auto"/>
          <w:highlight w:val="none"/>
          <w:shd w:val="clear"/>
        </w:rPr>
      </w:pPr>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421"/>
        <w:gridCol w:w="22"/>
        <w:gridCol w:w="321"/>
        <w:gridCol w:w="1105"/>
        <w:gridCol w:w="421"/>
        <w:gridCol w:w="626"/>
        <w:gridCol w:w="831"/>
        <w:gridCol w:w="598"/>
        <w:gridCol w:w="233"/>
        <w:gridCol w:w="617"/>
        <w:gridCol w:w="214"/>
        <w:gridCol w:w="805"/>
        <w:gridCol w:w="26"/>
        <w:gridCol w:w="17"/>
        <w:gridCol w:w="788"/>
        <w:gridCol w:w="26"/>
        <w:gridCol w:w="225"/>
        <w:gridCol w:w="581"/>
        <w:gridCol w:w="29"/>
        <w:gridCol w:w="804"/>
        <w:gridCol w:w="29"/>
        <w:gridCol w:w="832"/>
      </w:tblGrid>
      <w:tr w14:paraId="7D89B14A">
        <w:tblPrEx>
          <w:tblCellMar>
            <w:top w:w="0" w:type="dxa"/>
            <w:left w:w="108" w:type="dxa"/>
            <w:bottom w:w="0" w:type="dxa"/>
            <w:right w:w="108" w:type="dxa"/>
          </w:tblCellMar>
        </w:tblPrEx>
        <w:trPr>
          <w:trHeight w:val="515" w:hRule="atLeast"/>
        </w:trPr>
        <w:tc>
          <w:tcPr>
            <w:tcW w:w="396" w:type="pct"/>
            <w:gridSpan w:val="3"/>
            <w:tcBorders>
              <w:top w:val="single" w:color="000000" w:sz="8" w:space="0"/>
              <w:left w:val="single" w:color="000000" w:sz="8" w:space="0"/>
              <w:bottom w:val="single" w:color="000000" w:sz="4" w:space="0"/>
              <w:right w:val="single" w:color="000000" w:sz="4" w:space="0"/>
            </w:tcBorders>
            <w:vAlign w:val="center"/>
          </w:tcPr>
          <w:p w14:paraId="7F65D54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项目编码</w:t>
            </w:r>
          </w:p>
        </w:tc>
        <w:tc>
          <w:tcPr>
            <w:tcW w:w="576" w:type="pct"/>
            <w:tcBorders>
              <w:top w:val="single" w:color="000000" w:sz="8" w:space="0"/>
              <w:left w:val="nil"/>
              <w:bottom w:val="single" w:color="000000" w:sz="4" w:space="0"/>
              <w:right w:val="single" w:color="000000" w:sz="4" w:space="0"/>
            </w:tcBorders>
            <w:vAlign w:val="center"/>
          </w:tcPr>
          <w:p w14:paraId="00B30C8A">
            <w:pPr>
              <w:pStyle w:val="28"/>
              <w:spacing w:line="240" w:lineRule="auto"/>
              <w:rPr>
                <w:rFonts w:ascii="Times New Roman" w:hAnsi="Times New Roman"/>
                <w:color w:val="auto"/>
                <w:highlight w:val="none"/>
                <w:shd w:val="clear"/>
              </w:rPr>
            </w:pPr>
          </w:p>
        </w:tc>
        <w:tc>
          <w:tcPr>
            <w:tcW w:w="540" w:type="pct"/>
            <w:gridSpan w:val="2"/>
            <w:tcBorders>
              <w:top w:val="single" w:color="000000" w:sz="8" w:space="0"/>
              <w:left w:val="nil"/>
              <w:bottom w:val="single" w:color="000000" w:sz="4" w:space="0"/>
              <w:right w:val="single" w:color="000000" w:sz="4" w:space="0"/>
            </w:tcBorders>
            <w:vAlign w:val="center"/>
          </w:tcPr>
          <w:p w14:paraId="6FF4A93A">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1731" w:type="pct"/>
            <w:gridSpan w:val="7"/>
            <w:tcBorders>
              <w:top w:val="single" w:color="000000" w:sz="8" w:space="0"/>
              <w:left w:val="nil"/>
              <w:bottom w:val="single" w:color="000000" w:sz="4" w:space="0"/>
              <w:right w:val="single" w:color="000000" w:sz="4" w:space="0"/>
            </w:tcBorders>
            <w:vAlign w:val="center"/>
          </w:tcPr>
          <w:p w14:paraId="180CFE86">
            <w:pPr>
              <w:pStyle w:val="28"/>
              <w:spacing w:line="240" w:lineRule="auto"/>
              <w:rPr>
                <w:rFonts w:ascii="Times New Roman" w:hAnsi="Times New Roman"/>
                <w:color w:val="auto"/>
                <w:highlight w:val="none"/>
                <w:shd w:val="clear"/>
              </w:rPr>
            </w:pPr>
          </w:p>
        </w:tc>
        <w:tc>
          <w:tcPr>
            <w:tcW w:w="568" w:type="pct"/>
            <w:gridSpan w:val="4"/>
            <w:tcBorders>
              <w:top w:val="single" w:color="000000" w:sz="8" w:space="0"/>
              <w:left w:val="nil"/>
              <w:bottom w:val="single" w:color="000000" w:sz="4" w:space="0"/>
              <w:right w:val="single" w:color="000000" w:sz="4" w:space="0"/>
            </w:tcBorders>
            <w:vAlign w:val="center"/>
          </w:tcPr>
          <w:p w14:paraId="458D21A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计量单位</w:t>
            </w:r>
          </w:p>
        </w:tc>
        <w:tc>
          <w:tcPr>
            <w:tcW w:w="327" w:type="pct"/>
            <w:gridSpan w:val="2"/>
            <w:tcBorders>
              <w:top w:val="single" w:color="000000" w:sz="8" w:space="0"/>
              <w:left w:val="nil"/>
              <w:bottom w:val="single" w:color="000000" w:sz="4" w:space="0"/>
              <w:right w:val="single" w:color="000000" w:sz="4" w:space="0"/>
            </w:tcBorders>
            <w:vAlign w:val="center"/>
          </w:tcPr>
          <w:p w14:paraId="52504494">
            <w:pPr>
              <w:pStyle w:val="28"/>
              <w:spacing w:line="240" w:lineRule="auto"/>
              <w:rPr>
                <w:rFonts w:ascii="Times New Roman" w:hAnsi="Times New Roman"/>
                <w:color w:val="auto"/>
                <w:highlight w:val="none"/>
                <w:shd w:val="clear"/>
              </w:rPr>
            </w:pPr>
          </w:p>
        </w:tc>
        <w:tc>
          <w:tcPr>
            <w:tcW w:w="437" w:type="pct"/>
            <w:gridSpan w:val="2"/>
            <w:tcBorders>
              <w:top w:val="single" w:color="000000" w:sz="8" w:space="0"/>
              <w:left w:val="nil"/>
              <w:bottom w:val="single" w:color="000000" w:sz="4" w:space="0"/>
              <w:right w:val="single" w:color="000000" w:sz="4" w:space="0"/>
            </w:tcBorders>
            <w:vAlign w:val="center"/>
          </w:tcPr>
          <w:p w14:paraId="6C63BDDA">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工程量</w:t>
            </w:r>
          </w:p>
        </w:tc>
        <w:tc>
          <w:tcPr>
            <w:tcW w:w="425" w:type="pct"/>
            <w:tcBorders>
              <w:top w:val="single" w:color="000000" w:sz="8" w:space="0"/>
              <w:left w:val="nil"/>
              <w:bottom w:val="single" w:color="000000" w:sz="4" w:space="0"/>
              <w:right w:val="single" w:color="000000" w:sz="8" w:space="0"/>
            </w:tcBorders>
            <w:vAlign w:val="center"/>
          </w:tcPr>
          <w:p w14:paraId="4977371A">
            <w:pPr>
              <w:widowControl/>
              <w:jc w:val="center"/>
              <w:rPr>
                <w:rFonts w:ascii="Times New Roman" w:hAnsi="Times New Roman"/>
                <w:color w:val="auto"/>
                <w:kern w:val="0"/>
                <w:highlight w:val="none"/>
                <w:shd w:val="clear"/>
              </w:rPr>
            </w:pPr>
          </w:p>
        </w:tc>
      </w:tr>
      <w:tr w14:paraId="4DF51276">
        <w:tblPrEx>
          <w:tblCellMar>
            <w:top w:w="0" w:type="dxa"/>
            <w:left w:w="108" w:type="dxa"/>
            <w:bottom w:w="0" w:type="dxa"/>
            <w:right w:w="108" w:type="dxa"/>
          </w:tblCellMar>
        </w:tblPrEx>
        <w:trPr>
          <w:trHeight w:val="567" w:hRule="atLeast"/>
        </w:trPr>
        <w:tc>
          <w:tcPr>
            <w:tcW w:w="5000" w:type="pct"/>
            <w:gridSpan w:val="22"/>
            <w:tcBorders>
              <w:top w:val="single" w:color="000000" w:sz="4" w:space="0"/>
              <w:left w:val="single" w:color="000000" w:sz="8" w:space="0"/>
              <w:bottom w:val="single" w:color="000000" w:sz="4" w:space="0"/>
              <w:right w:val="single" w:color="000000" w:sz="8" w:space="0"/>
            </w:tcBorders>
            <w:noWrap/>
            <w:vAlign w:val="center"/>
          </w:tcPr>
          <w:p w14:paraId="266363B6">
            <w:pPr>
              <w:pStyle w:val="29"/>
              <w:rPr>
                <w:rFonts w:ascii="Times New Roman" w:hAnsi="Times New Roman"/>
                <w:b/>
                <w:bCs w:val="0"/>
                <w:color w:val="auto"/>
                <w:kern w:val="0"/>
                <w:highlight w:val="none"/>
                <w:shd w:val="clear"/>
              </w:rPr>
            </w:pPr>
            <w:r>
              <w:rPr>
                <w:rFonts w:hint="eastAsia" w:ascii="Times New Roman" w:hAnsi="Times New Roman"/>
                <w:b/>
                <w:bCs w:val="0"/>
                <w:color w:val="auto"/>
                <w:highlight w:val="none"/>
                <w:shd w:val="clear"/>
              </w:rPr>
              <w:t>清单综合单价组成明细</w:t>
            </w:r>
          </w:p>
        </w:tc>
      </w:tr>
      <w:tr w14:paraId="6F3A8D01">
        <w:tblPrEx>
          <w:tblCellMar>
            <w:top w:w="0" w:type="dxa"/>
            <w:left w:w="108" w:type="dxa"/>
            <w:bottom w:w="0" w:type="dxa"/>
            <w:right w:w="108" w:type="dxa"/>
          </w:tblCellMar>
        </w:tblPrEx>
        <w:trPr>
          <w:trHeight w:val="343" w:hRule="atLeast"/>
        </w:trPr>
        <w:tc>
          <w:tcPr>
            <w:tcW w:w="218" w:type="pct"/>
            <w:vMerge w:val="restart"/>
            <w:tcBorders>
              <w:top w:val="nil"/>
              <w:left w:val="single" w:color="000000" w:sz="8" w:space="0"/>
              <w:bottom w:val="single" w:color="000000" w:sz="4" w:space="0"/>
              <w:right w:val="single" w:color="000000" w:sz="4" w:space="0"/>
            </w:tcBorders>
            <w:vAlign w:val="center"/>
          </w:tcPr>
          <w:p w14:paraId="4DD20E6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定额编码</w:t>
            </w:r>
          </w:p>
        </w:tc>
        <w:tc>
          <w:tcPr>
            <w:tcW w:w="754"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0E80A2C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定额项目名称</w:t>
            </w:r>
          </w:p>
        </w:tc>
        <w:tc>
          <w:tcPr>
            <w:tcW w:w="219" w:type="pct"/>
            <w:vMerge w:val="restart"/>
            <w:tcBorders>
              <w:top w:val="nil"/>
              <w:left w:val="single" w:color="000000" w:sz="4" w:space="0"/>
              <w:bottom w:val="single" w:color="000000" w:sz="4" w:space="0"/>
              <w:right w:val="single" w:color="000000" w:sz="4" w:space="0"/>
            </w:tcBorders>
            <w:vAlign w:val="center"/>
          </w:tcPr>
          <w:p w14:paraId="77F24A3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定额单位</w:t>
            </w:r>
          </w:p>
        </w:tc>
        <w:tc>
          <w:tcPr>
            <w:tcW w:w="322" w:type="pct"/>
            <w:vMerge w:val="restart"/>
            <w:tcBorders>
              <w:top w:val="nil"/>
              <w:left w:val="single" w:color="000000" w:sz="4" w:space="0"/>
              <w:bottom w:val="single" w:color="000000" w:sz="4" w:space="0"/>
              <w:right w:val="single" w:color="000000" w:sz="4" w:space="0"/>
            </w:tcBorders>
            <w:noWrap/>
            <w:vAlign w:val="center"/>
          </w:tcPr>
          <w:p w14:paraId="25162594">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1731" w:type="pct"/>
            <w:gridSpan w:val="7"/>
            <w:tcBorders>
              <w:top w:val="single" w:color="000000" w:sz="4" w:space="0"/>
              <w:left w:val="nil"/>
              <w:bottom w:val="single" w:color="000000" w:sz="4" w:space="0"/>
              <w:right w:val="single" w:color="000000" w:sz="4" w:space="0"/>
            </w:tcBorders>
            <w:noWrap/>
            <w:vAlign w:val="center"/>
          </w:tcPr>
          <w:p w14:paraId="5DAC738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单价</w:t>
            </w:r>
          </w:p>
        </w:tc>
        <w:tc>
          <w:tcPr>
            <w:tcW w:w="1756" w:type="pct"/>
            <w:gridSpan w:val="9"/>
            <w:tcBorders>
              <w:top w:val="single" w:color="000000" w:sz="4" w:space="0"/>
              <w:left w:val="nil"/>
              <w:bottom w:val="single" w:color="000000" w:sz="4" w:space="0"/>
              <w:right w:val="single" w:color="000000" w:sz="8" w:space="0"/>
            </w:tcBorders>
            <w:noWrap/>
            <w:vAlign w:val="center"/>
          </w:tcPr>
          <w:p w14:paraId="3BD82CC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合价</w:t>
            </w:r>
          </w:p>
        </w:tc>
      </w:tr>
      <w:tr w14:paraId="2A277602">
        <w:tblPrEx>
          <w:tblCellMar>
            <w:top w:w="0" w:type="dxa"/>
            <w:left w:w="108" w:type="dxa"/>
            <w:bottom w:w="0" w:type="dxa"/>
            <w:right w:w="108" w:type="dxa"/>
          </w:tblCellMar>
        </w:tblPrEx>
        <w:trPr>
          <w:trHeight w:val="567" w:hRule="atLeast"/>
        </w:trPr>
        <w:tc>
          <w:tcPr>
            <w:tcW w:w="218" w:type="pct"/>
            <w:vMerge w:val="continue"/>
            <w:tcBorders>
              <w:top w:val="nil"/>
              <w:left w:val="single" w:color="000000" w:sz="8" w:space="0"/>
              <w:bottom w:val="single" w:color="000000" w:sz="4" w:space="0"/>
              <w:right w:val="single" w:color="000000" w:sz="4" w:space="0"/>
            </w:tcBorders>
            <w:vAlign w:val="center"/>
          </w:tcPr>
          <w:p w14:paraId="344060D7">
            <w:pPr>
              <w:pStyle w:val="28"/>
              <w:spacing w:line="240" w:lineRule="auto"/>
              <w:rPr>
                <w:rFonts w:ascii="Times New Roman" w:hAnsi="Times New Roman"/>
                <w:color w:val="auto"/>
                <w:highlight w:val="none"/>
                <w:shd w:val="clear"/>
              </w:rPr>
            </w:pPr>
          </w:p>
        </w:tc>
        <w:tc>
          <w:tcPr>
            <w:tcW w:w="754"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4CFED27">
            <w:pPr>
              <w:pStyle w:val="28"/>
              <w:spacing w:line="240" w:lineRule="auto"/>
              <w:rPr>
                <w:rFonts w:ascii="Times New Roman" w:hAnsi="Times New Roman"/>
                <w:color w:val="auto"/>
                <w:highlight w:val="none"/>
                <w:shd w:val="clear"/>
              </w:rPr>
            </w:pPr>
          </w:p>
        </w:tc>
        <w:tc>
          <w:tcPr>
            <w:tcW w:w="219" w:type="pct"/>
            <w:vMerge w:val="continue"/>
            <w:tcBorders>
              <w:top w:val="nil"/>
              <w:left w:val="single" w:color="000000" w:sz="4" w:space="0"/>
              <w:bottom w:val="single" w:color="000000" w:sz="4" w:space="0"/>
              <w:right w:val="single" w:color="000000" w:sz="4" w:space="0"/>
            </w:tcBorders>
            <w:vAlign w:val="center"/>
          </w:tcPr>
          <w:p w14:paraId="57C9AADD">
            <w:pPr>
              <w:pStyle w:val="28"/>
              <w:spacing w:line="240" w:lineRule="auto"/>
              <w:rPr>
                <w:rFonts w:ascii="Times New Roman" w:hAnsi="Times New Roman"/>
                <w:color w:val="auto"/>
                <w:highlight w:val="none"/>
                <w:shd w:val="clear"/>
              </w:rPr>
            </w:pPr>
          </w:p>
        </w:tc>
        <w:tc>
          <w:tcPr>
            <w:tcW w:w="322" w:type="pct"/>
            <w:vMerge w:val="continue"/>
            <w:tcBorders>
              <w:top w:val="nil"/>
              <w:left w:val="single" w:color="000000" w:sz="4" w:space="0"/>
              <w:bottom w:val="single" w:color="000000" w:sz="4" w:space="0"/>
              <w:right w:val="single" w:color="000000" w:sz="4" w:space="0"/>
            </w:tcBorders>
            <w:vAlign w:val="center"/>
          </w:tcPr>
          <w:p w14:paraId="6EACB4E0">
            <w:pPr>
              <w:pStyle w:val="28"/>
              <w:spacing w:line="240" w:lineRule="auto"/>
              <w:rPr>
                <w:rFonts w:ascii="Times New Roman" w:hAnsi="Times New Roman"/>
                <w:color w:val="auto"/>
                <w:highlight w:val="none"/>
                <w:shd w:val="clear"/>
              </w:rPr>
            </w:pPr>
          </w:p>
        </w:tc>
        <w:tc>
          <w:tcPr>
            <w:tcW w:w="425" w:type="pct"/>
            <w:tcBorders>
              <w:top w:val="nil"/>
              <w:left w:val="nil"/>
              <w:bottom w:val="single" w:color="000000" w:sz="4" w:space="0"/>
              <w:right w:val="single" w:color="000000" w:sz="4" w:space="0"/>
            </w:tcBorders>
            <w:noWrap/>
            <w:vAlign w:val="center"/>
          </w:tcPr>
          <w:p w14:paraId="72A3F859">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人工费</w:t>
            </w:r>
          </w:p>
        </w:tc>
        <w:tc>
          <w:tcPr>
            <w:tcW w:w="435" w:type="pct"/>
            <w:gridSpan w:val="2"/>
            <w:tcBorders>
              <w:top w:val="single" w:color="000000" w:sz="4" w:space="0"/>
              <w:left w:val="nil"/>
              <w:bottom w:val="single" w:color="000000" w:sz="4" w:space="0"/>
              <w:right w:val="single" w:color="000000" w:sz="4" w:space="0"/>
            </w:tcBorders>
            <w:noWrap/>
            <w:vAlign w:val="center"/>
          </w:tcPr>
          <w:p w14:paraId="177B5BA8">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材料费</w:t>
            </w:r>
          </w:p>
        </w:tc>
        <w:tc>
          <w:tcPr>
            <w:tcW w:w="435" w:type="pct"/>
            <w:gridSpan w:val="2"/>
            <w:tcBorders>
              <w:top w:val="single" w:color="000000" w:sz="4" w:space="0"/>
              <w:left w:val="nil"/>
              <w:bottom w:val="single" w:color="000000" w:sz="4" w:space="0"/>
              <w:right w:val="single" w:color="000000" w:sz="4" w:space="0"/>
            </w:tcBorders>
            <w:noWrap/>
            <w:vAlign w:val="center"/>
          </w:tcPr>
          <w:p w14:paraId="7277F01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机械费</w:t>
            </w:r>
          </w:p>
        </w:tc>
        <w:tc>
          <w:tcPr>
            <w:tcW w:w="437" w:type="pct"/>
            <w:gridSpan w:val="2"/>
            <w:tcBorders>
              <w:top w:val="nil"/>
              <w:left w:val="nil"/>
              <w:bottom w:val="single" w:color="000000" w:sz="4" w:space="0"/>
              <w:right w:val="single" w:color="000000" w:sz="4" w:space="0"/>
            </w:tcBorders>
            <w:noWrap/>
            <w:vAlign w:val="center"/>
          </w:tcPr>
          <w:p w14:paraId="7E431ED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综合费</w:t>
            </w:r>
          </w:p>
        </w:tc>
        <w:tc>
          <w:tcPr>
            <w:tcW w:w="447" w:type="pct"/>
            <w:gridSpan w:val="3"/>
            <w:tcBorders>
              <w:top w:val="single" w:color="000000" w:sz="4" w:space="0"/>
              <w:left w:val="nil"/>
              <w:bottom w:val="single" w:color="000000" w:sz="4" w:space="0"/>
              <w:right w:val="single" w:color="000000" w:sz="4" w:space="0"/>
            </w:tcBorders>
            <w:noWrap/>
            <w:vAlign w:val="center"/>
          </w:tcPr>
          <w:p w14:paraId="7003E33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人工费</w:t>
            </w:r>
          </w:p>
        </w:tc>
        <w:tc>
          <w:tcPr>
            <w:tcW w:w="447" w:type="pct"/>
            <w:gridSpan w:val="3"/>
            <w:tcBorders>
              <w:top w:val="single" w:color="000000" w:sz="4" w:space="0"/>
              <w:left w:val="nil"/>
              <w:bottom w:val="single" w:color="000000" w:sz="4" w:space="0"/>
              <w:right w:val="single" w:color="000000" w:sz="4" w:space="0"/>
            </w:tcBorders>
            <w:noWrap/>
            <w:vAlign w:val="center"/>
          </w:tcPr>
          <w:p w14:paraId="6030BA9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材料费</w:t>
            </w:r>
          </w:p>
        </w:tc>
        <w:tc>
          <w:tcPr>
            <w:tcW w:w="437" w:type="pct"/>
            <w:gridSpan w:val="2"/>
            <w:tcBorders>
              <w:top w:val="nil"/>
              <w:left w:val="nil"/>
              <w:bottom w:val="single" w:color="000000" w:sz="4" w:space="0"/>
              <w:right w:val="single" w:color="000000" w:sz="4" w:space="0"/>
            </w:tcBorders>
            <w:noWrap/>
            <w:vAlign w:val="center"/>
          </w:tcPr>
          <w:p w14:paraId="4872948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机械费</w:t>
            </w:r>
          </w:p>
        </w:tc>
        <w:tc>
          <w:tcPr>
            <w:tcW w:w="425" w:type="pct"/>
            <w:tcBorders>
              <w:top w:val="nil"/>
              <w:left w:val="nil"/>
              <w:bottom w:val="single" w:color="000000" w:sz="4" w:space="0"/>
              <w:right w:val="single" w:color="000000" w:sz="8" w:space="0"/>
            </w:tcBorders>
            <w:noWrap/>
            <w:vAlign w:val="center"/>
          </w:tcPr>
          <w:p w14:paraId="6EB829C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综合费</w:t>
            </w:r>
          </w:p>
        </w:tc>
      </w:tr>
      <w:tr w14:paraId="3556A7D7">
        <w:tblPrEx>
          <w:tblCellMar>
            <w:top w:w="0" w:type="dxa"/>
            <w:left w:w="108" w:type="dxa"/>
            <w:bottom w:w="0" w:type="dxa"/>
            <w:right w:w="108" w:type="dxa"/>
          </w:tblCellMar>
        </w:tblPrEx>
        <w:trPr>
          <w:trHeight w:val="567" w:hRule="atLeast"/>
        </w:trPr>
        <w:tc>
          <w:tcPr>
            <w:tcW w:w="218" w:type="pct"/>
            <w:tcBorders>
              <w:top w:val="nil"/>
              <w:left w:val="single" w:color="000000" w:sz="8" w:space="0"/>
              <w:bottom w:val="single" w:color="000000" w:sz="4" w:space="0"/>
              <w:right w:val="single" w:color="000000" w:sz="4" w:space="0"/>
            </w:tcBorders>
            <w:vAlign w:val="center"/>
          </w:tcPr>
          <w:p w14:paraId="46E705EA">
            <w:pPr>
              <w:widowControl/>
              <w:jc w:val="center"/>
              <w:rPr>
                <w:rFonts w:ascii="Times New Roman" w:hAnsi="Times New Roman"/>
                <w:color w:val="auto"/>
                <w:kern w:val="0"/>
                <w:highlight w:val="none"/>
                <w:shd w:val="clear"/>
              </w:rPr>
            </w:pPr>
          </w:p>
        </w:tc>
        <w:tc>
          <w:tcPr>
            <w:tcW w:w="754" w:type="pct"/>
            <w:gridSpan w:val="3"/>
            <w:tcBorders>
              <w:top w:val="single" w:color="000000" w:sz="4" w:space="0"/>
              <w:left w:val="nil"/>
              <w:bottom w:val="single" w:color="000000" w:sz="4" w:space="0"/>
              <w:right w:val="single" w:color="000000" w:sz="4" w:space="0"/>
            </w:tcBorders>
            <w:vAlign w:val="center"/>
          </w:tcPr>
          <w:p w14:paraId="27DABE06">
            <w:pPr>
              <w:widowControl/>
              <w:jc w:val="left"/>
              <w:rPr>
                <w:rFonts w:ascii="Times New Roman" w:hAnsi="Times New Roman"/>
                <w:color w:val="auto"/>
                <w:kern w:val="0"/>
                <w:highlight w:val="none"/>
                <w:shd w:val="clear"/>
              </w:rPr>
            </w:pPr>
          </w:p>
        </w:tc>
        <w:tc>
          <w:tcPr>
            <w:tcW w:w="219" w:type="pct"/>
            <w:tcBorders>
              <w:top w:val="nil"/>
              <w:left w:val="nil"/>
              <w:bottom w:val="single" w:color="000000" w:sz="4" w:space="0"/>
              <w:right w:val="single" w:color="000000" w:sz="4" w:space="0"/>
            </w:tcBorders>
            <w:vAlign w:val="center"/>
          </w:tcPr>
          <w:p w14:paraId="0DB8A1C2">
            <w:pPr>
              <w:widowControl/>
              <w:jc w:val="center"/>
              <w:rPr>
                <w:rFonts w:ascii="Times New Roman" w:hAnsi="Times New Roman"/>
                <w:color w:val="auto"/>
                <w:kern w:val="0"/>
                <w:highlight w:val="none"/>
                <w:shd w:val="clear"/>
              </w:rPr>
            </w:pPr>
          </w:p>
        </w:tc>
        <w:tc>
          <w:tcPr>
            <w:tcW w:w="322" w:type="pct"/>
            <w:tcBorders>
              <w:top w:val="nil"/>
              <w:left w:val="nil"/>
              <w:bottom w:val="single" w:color="000000" w:sz="4" w:space="0"/>
              <w:right w:val="single" w:color="000000" w:sz="4" w:space="0"/>
            </w:tcBorders>
            <w:vAlign w:val="center"/>
          </w:tcPr>
          <w:p w14:paraId="7F223E14">
            <w:pPr>
              <w:widowControl/>
              <w:jc w:val="right"/>
              <w:rPr>
                <w:rFonts w:ascii="Times New Roman" w:hAnsi="Times New Roman"/>
                <w:color w:val="auto"/>
                <w:kern w:val="0"/>
                <w:highlight w:val="none"/>
                <w:shd w:val="clear"/>
              </w:rPr>
            </w:pPr>
          </w:p>
        </w:tc>
        <w:tc>
          <w:tcPr>
            <w:tcW w:w="425" w:type="pct"/>
            <w:tcBorders>
              <w:top w:val="nil"/>
              <w:left w:val="nil"/>
              <w:bottom w:val="single" w:color="000000" w:sz="4" w:space="0"/>
              <w:right w:val="single" w:color="000000" w:sz="4" w:space="0"/>
            </w:tcBorders>
            <w:vAlign w:val="center"/>
          </w:tcPr>
          <w:p w14:paraId="5FB484B8">
            <w:pPr>
              <w:widowControl/>
              <w:jc w:val="right"/>
              <w:rPr>
                <w:rFonts w:ascii="Times New Roman" w:hAnsi="Times New Roman"/>
                <w:color w:val="auto"/>
                <w:kern w:val="0"/>
                <w:highlight w:val="none"/>
                <w:shd w:val="clear"/>
              </w:rPr>
            </w:pPr>
          </w:p>
        </w:tc>
        <w:tc>
          <w:tcPr>
            <w:tcW w:w="435" w:type="pct"/>
            <w:gridSpan w:val="2"/>
            <w:tcBorders>
              <w:top w:val="single" w:color="000000" w:sz="4" w:space="0"/>
              <w:left w:val="nil"/>
              <w:bottom w:val="single" w:color="000000" w:sz="4" w:space="0"/>
              <w:right w:val="single" w:color="000000" w:sz="4" w:space="0"/>
            </w:tcBorders>
            <w:vAlign w:val="center"/>
          </w:tcPr>
          <w:p w14:paraId="2B545FA3">
            <w:pPr>
              <w:widowControl/>
              <w:jc w:val="right"/>
              <w:rPr>
                <w:rFonts w:ascii="Times New Roman" w:hAnsi="Times New Roman"/>
                <w:color w:val="auto"/>
                <w:kern w:val="0"/>
                <w:highlight w:val="none"/>
                <w:shd w:val="clear"/>
              </w:rPr>
            </w:pPr>
          </w:p>
        </w:tc>
        <w:tc>
          <w:tcPr>
            <w:tcW w:w="435" w:type="pct"/>
            <w:gridSpan w:val="2"/>
            <w:tcBorders>
              <w:top w:val="single" w:color="000000" w:sz="4" w:space="0"/>
              <w:left w:val="nil"/>
              <w:bottom w:val="single" w:color="000000" w:sz="4" w:space="0"/>
              <w:right w:val="single" w:color="000000" w:sz="4" w:space="0"/>
            </w:tcBorders>
            <w:vAlign w:val="center"/>
          </w:tcPr>
          <w:p w14:paraId="5EE5AD0E">
            <w:pPr>
              <w:widowControl/>
              <w:jc w:val="right"/>
              <w:rPr>
                <w:rFonts w:ascii="Times New Roman" w:hAnsi="Times New Roman"/>
                <w:color w:val="auto"/>
                <w:kern w:val="0"/>
                <w:highlight w:val="none"/>
                <w:shd w:val="clear"/>
              </w:rPr>
            </w:pPr>
          </w:p>
        </w:tc>
        <w:tc>
          <w:tcPr>
            <w:tcW w:w="437" w:type="pct"/>
            <w:gridSpan w:val="2"/>
            <w:tcBorders>
              <w:top w:val="nil"/>
              <w:left w:val="nil"/>
              <w:bottom w:val="single" w:color="000000" w:sz="4" w:space="0"/>
              <w:right w:val="single" w:color="000000" w:sz="4" w:space="0"/>
            </w:tcBorders>
            <w:vAlign w:val="center"/>
          </w:tcPr>
          <w:p w14:paraId="2C2CDECF">
            <w:pPr>
              <w:widowControl/>
              <w:jc w:val="right"/>
              <w:rPr>
                <w:rFonts w:ascii="Times New Roman" w:hAnsi="Times New Roman"/>
                <w:color w:val="auto"/>
                <w:kern w:val="0"/>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506C742E">
            <w:pPr>
              <w:widowControl/>
              <w:jc w:val="right"/>
              <w:rPr>
                <w:rFonts w:ascii="Times New Roman" w:hAnsi="Times New Roman"/>
                <w:color w:val="auto"/>
                <w:kern w:val="0"/>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6BB1DF67">
            <w:pPr>
              <w:widowControl/>
              <w:jc w:val="right"/>
              <w:rPr>
                <w:rFonts w:ascii="Times New Roman" w:hAnsi="Times New Roman"/>
                <w:color w:val="auto"/>
                <w:kern w:val="0"/>
                <w:highlight w:val="none"/>
                <w:shd w:val="clear"/>
              </w:rPr>
            </w:pPr>
          </w:p>
        </w:tc>
        <w:tc>
          <w:tcPr>
            <w:tcW w:w="437" w:type="pct"/>
            <w:gridSpan w:val="2"/>
            <w:tcBorders>
              <w:top w:val="nil"/>
              <w:left w:val="nil"/>
              <w:bottom w:val="single" w:color="000000" w:sz="4" w:space="0"/>
              <w:right w:val="single" w:color="000000" w:sz="4" w:space="0"/>
            </w:tcBorders>
            <w:vAlign w:val="center"/>
          </w:tcPr>
          <w:p w14:paraId="21D45254">
            <w:pPr>
              <w:widowControl/>
              <w:jc w:val="right"/>
              <w:rPr>
                <w:rFonts w:ascii="Times New Roman" w:hAnsi="Times New Roman"/>
                <w:color w:val="auto"/>
                <w:kern w:val="0"/>
                <w:highlight w:val="none"/>
                <w:shd w:val="clear"/>
              </w:rPr>
            </w:pPr>
          </w:p>
        </w:tc>
        <w:tc>
          <w:tcPr>
            <w:tcW w:w="425" w:type="pct"/>
            <w:tcBorders>
              <w:top w:val="nil"/>
              <w:left w:val="nil"/>
              <w:bottom w:val="single" w:color="000000" w:sz="4" w:space="0"/>
              <w:right w:val="single" w:color="000000" w:sz="8" w:space="0"/>
            </w:tcBorders>
            <w:vAlign w:val="center"/>
          </w:tcPr>
          <w:p w14:paraId="6967272C">
            <w:pPr>
              <w:widowControl/>
              <w:jc w:val="right"/>
              <w:rPr>
                <w:rFonts w:ascii="Times New Roman" w:hAnsi="Times New Roman"/>
                <w:color w:val="auto"/>
                <w:kern w:val="0"/>
                <w:highlight w:val="none"/>
                <w:shd w:val="clear"/>
              </w:rPr>
            </w:pPr>
          </w:p>
        </w:tc>
      </w:tr>
      <w:tr w14:paraId="42F07369">
        <w:tblPrEx>
          <w:tblCellMar>
            <w:top w:w="0" w:type="dxa"/>
            <w:left w:w="108" w:type="dxa"/>
            <w:bottom w:w="0" w:type="dxa"/>
            <w:right w:w="108" w:type="dxa"/>
          </w:tblCellMar>
        </w:tblPrEx>
        <w:trPr>
          <w:trHeight w:val="567" w:hRule="atLeast"/>
        </w:trPr>
        <w:tc>
          <w:tcPr>
            <w:tcW w:w="972" w:type="pct"/>
            <w:gridSpan w:val="4"/>
            <w:tcBorders>
              <w:top w:val="single" w:color="000000" w:sz="4" w:space="0"/>
              <w:left w:val="single" w:color="000000" w:sz="8" w:space="0"/>
              <w:bottom w:val="single" w:color="000000" w:sz="4" w:space="0"/>
              <w:right w:val="single" w:color="000000" w:sz="4" w:space="0"/>
            </w:tcBorders>
            <w:noWrap/>
            <w:vAlign w:val="center"/>
          </w:tcPr>
          <w:p w14:paraId="5871A950">
            <w:pPr>
              <w:pStyle w:val="29"/>
              <w:rPr>
                <w:rFonts w:ascii="Times New Roman" w:hAnsi="Times New Roman"/>
                <w:color w:val="auto"/>
                <w:highlight w:val="none"/>
                <w:shd w:val="clear"/>
              </w:rPr>
            </w:pPr>
            <w:r>
              <w:rPr>
                <w:rFonts w:hint="eastAsia" w:ascii="Times New Roman" w:hAnsi="Times New Roman"/>
                <w:color w:val="auto"/>
                <w:highlight w:val="none"/>
                <w:shd w:val="clear"/>
              </w:rPr>
              <w:t>人工单价</w:t>
            </w:r>
          </w:p>
        </w:tc>
        <w:tc>
          <w:tcPr>
            <w:tcW w:w="2272" w:type="pct"/>
            <w:gridSpan w:val="9"/>
            <w:tcBorders>
              <w:top w:val="single" w:color="000000" w:sz="4" w:space="0"/>
              <w:left w:val="nil"/>
              <w:bottom w:val="single" w:color="000000" w:sz="4" w:space="0"/>
              <w:right w:val="single" w:color="000000" w:sz="4" w:space="0"/>
            </w:tcBorders>
            <w:noWrap/>
            <w:vAlign w:val="center"/>
          </w:tcPr>
          <w:p w14:paraId="1B794379">
            <w:pPr>
              <w:pStyle w:val="29"/>
              <w:rPr>
                <w:rFonts w:ascii="Times New Roman" w:hAnsi="Times New Roman"/>
                <w:color w:val="auto"/>
                <w:highlight w:val="none"/>
                <w:shd w:val="clear"/>
              </w:rPr>
            </w:pPr>
            <w:r>
              <w:rPr>
                <w:rFonts w:hint="eastAsia" w:ascii="Times New Roman" w:hAnsi="Times New Roman"/>
                <w:color w:val="auto"/>
                <w:highlight w:val="none"/>
                <w:shd w:val="clear"/>
              </w:rPr>
              <w:t>小计</w:t>
            </w:r>
          </w:p>
        </w:tc>
        <w:tc>
          <w:tcPr>
            <w:tcW w:w="447" w:type="pct"/>
            <w:gridSpan w:val="3"/>
            <w:tcBorders>
              <w:top w:val="single" w:color="000000" w:sz="4" w:space="0"/>
              <w:left w:val="nil"/>
              <w:bottom w:val="single" w:color="000000" w:sz="4" w:space="0"/>
              <w:right w:val="single" w:color="000000" w:sz="4" w:space="0"/>
            </w:tcBorders>
            <w:vAlign w:val="center"/>
          </w:tcPr>
          <w:p w14:paraId="161E3188">
            <w:pPr>
              <w:widowControl/>
              <w:jc w:val="right"/>
              <w:rPr>
                <w:rFonts w:ascii="Times New Roman" w:hAnsi="Times New Roman"/>
                <w:color w:val="auto"/>
                <w:kern w:val="0"/>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1F5EE734">
            <w:pPr>
              <w:widowControl/>
              <w:jc w:val="right"/>
              <w:rPr>
                <w:rFonts w:ascii="Times New Roman" w:hAnsi="Times New Roman"/>
                <w:color w:val="auto"/>
                <w:kern w:val="0"/>
                <w:highlight w:val="none"/>
                <w:shd w:val="clear"/>
              </w:rPr>
            </w:pPr>
          </w:p>
        </w:tc>
        <w:tc>
          <w:tcPr>
            <w:tcW w:w="437" w:type="pct"/>
            <w:gridSpan w:val="2"/>
            <w:tcBorders>
              <w:top w:val="nil"/>
              <w:left w:val="nil"/>
              <w:bottom w:val="single" w:color="000000" w:sz="4" w:space="0"/>
              <w:right w:val="single" w:color="000000" w:sz="4" w:space="0"/>
            </w:tcBorders>
            <w:vAlign w:val="center"/>
          </w:tcPr>
          <w:p w14:paraId="16D88398">
            <w:pPr>
              <w:widowControl/>
              <w:jc w:val="right"/>
              <w:rPr>
                <w:rFonts w:ascii="Times New Roman" w:hAnsi="Times New Roman"/>
                <w:color w:val="auto"/>
                <w:kern w:val="0"/>
                <w:highlight w:val="none"/>
                <w:shd w:val="clear"/>
              </w:rPr>
            </w:pPr>
          </w:p>
        </w:tc>
        <w:tc>
          <w:tcPr>
            <w:tcW w:w="425" w:type="pct"/>
            <w:tcBorders>
              <w:top w:val="nil"/>
              <w:left w:val="nil"/>
              <w:bottom w:val="single" w:color="000000" w:sz="4" w:space="0"/>
              <w:right w:val="single" w:color="000000" w:sz="8" w:space="0"/>
            </w:tcBorders>
            <w:vAlign w:val="center"/>
          </w:tcPr>
          <w:p w14:paraId="0B3D1F8F">
            <w:pPr>
              <w:widowControl/>
              <w:jc w:val="right"/>
              <w:rPr>
                <w:rFonts w:ascii="Times New Roman" w:hAnsi="Times New Roman"/>
                <w:color w:val="auto"/>
                <w:kern w:val="0"/>
                <w:highlight w:val="none"/>
                <w:shd w:val="clear"/>
              </w:rPr>
            </w:pPr>
          </w:p>
        </w:tc>
      </w:tr>
      <w:tr w14:paraId="28C6687D">
        <w:tblPrEx>
          <w:tblCellMar>
            <w:top w:w="0" w:type="dxa"/>
            <w:left w:w="108" w:type="dxa"/>
            <w:bottom w:w="0" w:type="dxa"/>
            <w:right w:w="108" w:type="dxa"/>
          </w:tblCellMar>
        </w:tblPrEx>
        <w:trPr>
          <w:trHeight w:val="567" w:hRule="atLeast"/>
        </w:trPr>
        <w:tc>
          <w:tcPr>
            <w:tcW w:w="972" w:type="pct"/>
            <w:gridSpan w:val="4"/>
            <w:tcBorders>
              <w:top w:val="single" w:color="000000" w:sz="4" w:space="0"/>
              <w:left w:val="single" w:color="000000" w:sz="8" w:space="0"/>
              <w:bottom w:val="single" w:color="000000" w:sz="4" w:space="0"/>
              <w:right w:val="single" w:color="000000" w:sz="4" w:space="0"/>
            </w:tcBorders>
            <w:noWrap/>
            <w:vAlign w:val="center"/>
          </w:tcPr>
          <w:p w14:paraId="1D886168">
            <w:pPr>
              <w:pStyle w:val="29"/>
              <w:rPr>
                <w:rFonts w:ascii="Times New Roman" w:hAnsi="Times New Roman"/>
                <w:color w:val="auto"/>
                <w:highlight w:val="none"/>
                <w:shd w:val="clear"/>
              </w:rPr>
            </w:pPr>
            <w:r>
              <w:rPr>
                <w:rFonts w:hint="eastAsia" w:ascii="Times New Roman" w:hAnsi="Times New Roman"/>
                <w:color w:val="auto"/>
                <w:highlight w:val="none"/>
                <w:shd w:val="clear"/>
              </w:rPr>
              <w:t>（    ）元/工日</w:t>
            </w:r>
          </w:p>
        </w:tc>
        <w:tc>
          <w:tcPr>
            <w:tcW w:w="2272" w:type="pct"/>
            <w:gridSpan w:val="9"/>
            <w:tcBorders>
              <w:top w:val="single" w:color="000000" w:sz="4" w:space="0"/>
              <w:left w:val="nil"/>
              <w:bottom w:val="single" w:color="000000" w:sz="4" w:space="0"/>
              <w:right w:val="single" w:color="000000" w:sz="4" w:space="0"/>
            </w:tcBorders>
            <w:noWrap/>
            <w:vAlign w:val="center"/>
          </w:tcPr>
          <w:p w14:paraId="140D9997">
            <w:pPr>
              <w:pStyle w:val="29"/>
              <w:rPr>
                <w:rFonts w:ascii="Times New Roman" w:hAnsi="Times New Roman"/>
                <w:color w:val="auto"/>
                <w:highlight w:val="none"/>
                <w:shd w:val="clear"/>
              </w:rPr>
            </w:pPr>
            <w:r>
              <w:rPr>
                <w:rFonts w:hint="eastAsia" w:ascii="Times New Roman" w:hAnsi="Times New Roman"/>
                <w:color w:val="auto"/>
                <w:highlight w:val="none"/>
                <w:shd w:val="clear"/>
              </w:rPr>
              <w:t>未计价材料费</w:t>
            </w:r>
          </w:p>
        </w:tc>
        <w:tc>
          <w:tcPr>
            <w:tcW w:w="1756" w:type="pct"/>
            <w:gridSpan w:val="9"/>
            <w:tcBorders>
              <w:top w:val="single" w:color="000000" w:sz="4" w:space="0"/>
              <w:left w:val="nil"/>
              <w:bottom w:val="single" w:color="000000" w:sz="4" w:space="0"/>
              <w:right w:val="single" w:color="000000" w:sz="8" w:space="0"/>
            </w:tcBorders>
            <w:vAlign w:val="center"/>
          </w:tcPr>
          <w:p w14:paraId="68CA0248">
            <w:pPr>
              <w:widowControl/>
              <w:jc w:val="center"/>
              <w:rPr>
                <w:rFonts w:ascii="Times New Roman" w:hAnsi="Times New Roman"/>
                <w:color w:val="auto"/>
                <w:kern w:val="0"/>
                <w:highlight w:val="none"/>
                <w:shd w:val="clear"/>
              </w:rPr>
            </w:pPr>
          </w:p>
        </w:tc>
      </w:tr>
      <w:tr w14:paraId="566525F8">
        <w:tblPrEx>
          <w:tblCellMar>
            <w:top w:w="0" w:type="dxa"/>
            <w:left w:w="108" w:type="dxa"/>
            <w:bottom w:w="0" w:type="dxa"/>
            <w:right w:w="108" w:type="dxa"/>
          </w:tblCellMar>
        </w:tblPrEx>
        <w:trPr>
          <w:trHeight w:val="567" w:hRule="atLeast"/>
        </w:trPr>
        <w:tc>
          <w:tcPr>
            <w:tcW w:w="3254" w:type="pct"/>
            <w:gridSpan w:val="14"/>
            <w:tcBorders>
              <w:top w:val="single" w:color="000000" w:sz="4" w:space="0"/>
              <w:left w:val="single" w:color="000000" w:sz="8" w:space="0"/>
              <w:bottom w:val="single" w:color="000000" w:sz="4" w:space="0"/>
              <w:right w:val="single" w:color="000000" w:sz="4" w:space="0"/>
            </w:tcBorders>
            <w:vAlign w:val="center"/>
          </w:tcPr>
          <w:p w14:paraId="5EA33F34">
            <w:pPr>
              <w:pStyle w:val="29"/>
              <w:rPr>
                <w:rFonts w:ascii="Times New Roman" w:hAnsi="Times New Roman"/>
                <w:color w:val="auto"/>
                <w:highlight w:val="none"/>
                <w:shd w:val="clear"/>
              </w:rPr>
            </w:pPr>
            <w:r>
              <w:rPr>
                <w:rFonts w:hint="eastAsia" w:ascii="Times New Roman" w:hAnsi="Times New Roman"/>
                <w:color w:val="auto"/>
                <w:highlight w:val="none"/>
                <w:shd w:val="clear"/>
              </w:rPr>
              <w:t>清单项目综合单价</w:t>
            </w:r>
          </w:p>
        </w:tc>
        <w:tc>
          <w:tcPr>
            <w:tcW w:w="1746" w:type="pct"/>
            <w:gridSpan w:val="8"/>
            <w:tcBorders>
              <w:top w:val="single" w:color="000000" w:sz="4" w:space="0"/>
              <w:left w:val="nil"/>
              <w:bottom w:val="single" w:color="000000" w:sz="4" w:space="0"/>
              <w:right w:val="single" w:color="000000" w:sz="8" w:space="0"/>
            </w:tcBorders>
            <w:vAlign w:val="center"/>
          </w:tcPr>
          <w:p w14:paraId="37BC85C8">
            <w:pPr>
              <w:widowControl/>
              <w:jc w:val="center"/>
              <w:rPr>
                <w:rFonts w:ascii="Times New Roman" w:hAnsi="Times New Roman"/>
                <w:color w:val="auto"/>
                <w:kern w:val="0"/>
                <w:highlight w:val="none"/>
                <w:shd w:val="clear"/>
              </w:rPr>
            </w:pPr>
          </w:p>
        </w:tc>
      </w:tr>
      <w:tr w14:paraId="3BD1270E">
        <w:tblPrEx>
          <w:tblCellMar>
            <w:top w:w="0" w:type="dxa"/>
            <w:left w:w="108" w:type="dxa"/>
            <w:bottom w:w="0" w:type="dxa"/>
            <w:right w:w="108" w:type="dxa"/>
          </w:tblCellMar>
        </w:tblPrEx>
        <w:trPr>
          <w:trHeight w:val="567" w:hRule="atLeast"/>
        </w:trPr>
        <w:tc>
          <w:tcPr>
            <w:tcW w:w="229" w:type="pct"/>
            <w:gridSpan w:val="2"/>
            <w:vMerge w:val="restart"/>
            <w:tcBorders>
              <w:top w:val="nil"/>
              <w:left w:val="single" w:color="000000" w:sz="8" w:space="0"/>
              <w:bottom w:val="single" w:color="000000" w:sz="8" w:space="0"/>
              <w:right w:val="single" w:color="000000" w:sz="4" w:space="0"/>
            </w:tcBorders>
            <w:vAlign w:val="center"/>
          </w:tcPr>
          <w:p w14:paraId="016E6C8C">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材料费明细</w:t>
            </w:r>
          </w:p>
        </w:tc>
        <w:tc>
          <w:tcPr>
            <w:tcW w:w="2022" w:type="pct"/>
            <w:gridSpan w:val="6"/>
            <w:tcBorders>
              <w:top w:val="single" w:color="000000" w:sz="4" w:space="0"/>
              <w:left w:val="nil"/>
              <w:bottom w:val="single" w:color="000000" w:sz="4" w:space="0"/>
              <w:right w:val="single" w:color="000000" w:sz="4" w:space="0"/>
            </w:tcBorders>
            <w:noWrap/>
            <w:vAlign w:val="center"/>
          </w:tcPr>
          <w:p w14:paraId="0446D4F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主要材料名称、规格、型号</w:t>
            </w:r>
          </w:p>
        </w:tc>
        <w:tc>
          <w:tcPr>
            <w:tcW w:w="445" w:type="pct"/>
            <w:gridSpan w:val="2"/>
            <w:tcBorders>
              <w:top w:val="single" w:color="000000" w:sz="4" w:space="0"/>
              <w:left w:val="nil"/>
              <w:bottom w:val="single" w:color="000000" w:sz="4" w:space="0"/>
              <w:right w:val="single" w:color="000000" w:sz="4" w:space="0"/>
            </w:tcBorders>
            <w:noWrap/>
            <w:vAlign w:val="center"/>
          </w:tcPr>
          <w:p w14:paraId="2C657BC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单位</w:t>
            </w:r>
          </w:p>
        </w:tc>
        <w:tc>
          <w:tcPr>
            <w:tcW w:w="535" w:type="pct"/>
            <w:gridSpan w:val="2"/>
            <w:tcBorders>
              <w:top w:val="single" w:color="000000" w:sz="4" w:space="0"/>
              <w:left w:val="nil"/>
              <w:bottom w:val="single" w:color="000000" w:sz="4" w:space="0"/>
              <w:right w:val="single" w:color="000000" w:sz="4" w:space="0"/>
            </w:tcBorders>
            <w:noWrap/>
            <w:vAlign w:val="center"/>
          </w:tcPr>
          <w:p w14:paraId="4C4A310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447" w:type="pct"/>
            <w:gridSpan w:val="3"/>
            <w:tcBorders>
              <w:top w:val="single" w:color="000000" w:sz="4" w:space="0"/>
              <w:left w:val="nil"/>
              <w:bottom w:val="single" w:color="000000" w:sz="4" w:space="0"/>
              <w:right w:val="single" w:color="000000" w:sz="4" w:space="0"/>
            </w:tcBorders>
            <w:vAlign w:val="center"/>
          </w:tcPr>
          <w:p w14:paraId="5548C3A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单价（元）</w:t>
            </w:r>
          </w:p>
        </w:tc>
        <w:tc>
          <w:tcPr>
            <w:tcW w:w="447" w:type="pct"/>
            <w:gridSpan w:val="3"/>
            <w:tcBorders>
              <w:top w:val="single" w:color="000000" w:sz="4" w:space="0"/>
              <w:left w:val="nil"/>
              <w:bottom w:val="single" w:color="000000" w:sz="4" w:space="0"/>
              <w:right w:val="single" w:color="000000" w:sz="4" w:space="0"/>
            </w:tcBorders>
            <w:vAlign w:val="center"/>
          </w:tcPr>
          <w:p w14:paraId="6386026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合价（元）</w:t>
            </w:r>
          </w:p>
        </w:tc>
        <w:tc>
          <w:tcPr>
            <w:tcW w:w="437" w:type="pct"/>
            <w:gridSpan w:val="2"/>
            <w:tcBorders>
              <w:top w:val="nil"/>
              <w:left w:val="nil"/>
              <w:bottom w:val="single" w:color="000000" w:sz="4" w:space="0"/>
              <w:right w:val="single" w:color="000000" w:sz="4" w:space="0"/>
            </w:tcBorders>
            <w:vAlign w:val="center"/>
          </w:tcPr>
          <w:p w14:paraId="2717207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暂估单价（元）</w:t>
            </w:r>
          </w:p>
        </w:tc>
        <w:tc>
          <w:tcPr>
            <w:tcW w:w="438" w:type="pct"/>
            <w:gridSpan w:val="2"/>
            <w:tcBorders>
              <w:top w:val="nil"/>
              <w:left w:val="nil"/>
              <w:bottom w:val="single" w:color="000000" w:sz="4" w:space="0"/>
              <w:right w:val="single" w:color="000000" w:sz="8" w:space="0"/>
            </w:tcBorders>
            <w:vAlign w:val="center"/>
          </w:tcPr>
          <w:p w14:paraId="3D45DA3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暂估合价（元）</w:t>
            </w:r>
          </w:p>
        </w:tc>
      </w:tr>
      <w:tr w14:paraId="7AE01407">
        <w:tblPrEx>
          <w:tblCellMar>
            <w:top w:w="0" w:type="dxa"/>
            <w:left w:w="108" w:type="dxa"/>
            <w:bottom w:w="0" w:type="dxa"/>
            <w:right w:w="108" w:type="dxa"/>
          </w:tblCellMar>
        </w:tblPrEx>
        <w:trPr>
          <w:trHeight w:val="567" w:hRule="atLeast"/>
        </w:trPr>
        <w:tc>
          <w:tcPr>
            <w:tcW w:w="229" w:type="pct"/>
            <w:gridSpan w:val="2"/>
            <w:vMerge w:val="continue"/>
            <w:tcBorders>
              <w:top w:val="nil"/>
              <w:left w:val="single" w:color="000000" w:sz="8" w:space="0"/>
              <w:bottom w:val="single" w:color="000000" w:sz="8" w:space="0"/>
              <w:right w:val="single" w:color="000000" w:sz="4" w:space="0"/>
            </w:tcBorders>
            <w:vAlign w:val="center"/>
          </w:tcPr>
          <w:p w14:paraId="61D40AF7">
            <w:pPr>
              <w:widowControl/>
              <w:jc w:val="left"/>
              <w:rPr>
                <w:rFonts w:ascii="Times New Roman" w:hAnsi="Times New Roman"/>
                <w:color w:val="auto"/>
                <w:kern w:val="0"/>
                <w:highlight w:val="none"/>
                <w:shd w:val="clear"/>
              </w:rPr>
            </w:pPr>
          </w:p>
        </w:tc>
        <w:tc>
          <w:tcPr>
            <w:tcW w:w="2022" w:type="pct"/>
            <w:gridSpan w:val="6"/>
            <w:tcBorders>
              <w:top w:val="single" w:color="000000" w:sz="4" w:space="0"/>
              <w:left w:val="nil"/>
              <w:bottom w:val="single" w:color="000000" w:sz="4" w:space="0"/>
              <w:right w:val="single" w:color="000000" w:sz="4" w:space="0"/>
            </w:tcBorders>
            <w:vAlign w:val="center"/>
          </w:tcPr>
          <w:p w14:paraId="1EB59F7E">
            <w:pPr>
              <w:widowControl/>
              <w:jc w:val="left"/>
              <w:rPr>
                <w:rFonts w:ascii="Times New Roman" w:hAnsi="Times New Roman"/>
                <w:color w:val="auto"/>
                <w:kern w:val="0"/>
                <w:highlight w:val="none"/>
                <w:shd w:val="clear"/>
              </w:rPr>
            </w:pPr>
          </w:p>
        </w:tc>
        <w:tc>
          <w:tcPr>
            <w:tcW w:w="445" w:type="pct"/>
            <w:gridSpan w:val="2"/>
            <w:tcBorders>
              <w:top w:val="single" w:color="000000" w:sz="4" w:space="0"/>
              <w:left w:val="nil"/>
              <w:bottom w:val="single" w:color="000000" w:sz="4" w:space="0"/>
              <w:right w:val="single" w:color="000000" w:sz="4" w:space="0"/>
            </w:tcBorders>
            <w:vAlign w:val="center"/>
          </w:tcPr>
          <w:p w14:paraId="38B45E9E">
            <w:pPr>
              <w:pStyle w:val="29"/>
              <w:rPr>
                <w:rFonts w:ascii="Times New Roman" w:hAnsi="Times New Roman"/>
                <w:color w:val="auto"/>
                <w:highlight w:val="none"/>
                <w:shd w:val="clear"/>
              </w:rPr>
            </w:pPr>
          </w:p>
        </w:tc>
        <w:tc>
          <w:tcPr>
            <w:tcW w:w="535" w:type="pct"/>
            <w:gridSpan w:val="2"/>
            <w:tcBorders>
              <w:top w:val="single" w:color="000000" w:sz="4" w:space="0"/>
              <w:left w:val="nil"/>
              <w:bottom w:val="single" w:color="000000" w:sz="4" w:space="0"/>
              <w:right w:val="single" w:color="000000" w:sz="4" w:space="0"/>
            </w:tcBorders>
            <w:vAlign w:val="center"/>
          </w:tcPr>
          <w:p w14:paraId="7A9EB5ED">
            <w:pPr>
              <w:pStyle w:val="29"/>
              <w:rPr>
                <w:rFonts w:ascii="Times New Roman" w:hAnsi="Times New Roman"/>
                <w:color w:val="auto"/>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35B63FD5">
            <w:pPr>
              <w:pStyle w:val="29"/>
              <w:rPr>
                <w:rFonts w:ascii="Times New Roman" w:hAnsi="Times New Roman"/>
                <w:color w:val="auto"/>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2BBB963D">
            <w:pPr>
              <w:pStyle w:val="29"/>
              <w:rPr>
                <w:rFonts w:ascii="Times New Roman" w:hAnsi="Times New Roman"/>
                <w:color w:val="auto"/>
                <w:highlight w:val="none"/>
                <w:shd w:val="clear"/>
              </w:rPr>
            </w:pPr>
          </w:p>
        </w:tc>
        <w:tc>
          <w:tcPr>
            <w:tcW w:w="437" w:type="pct"/>
            <w:gridSpan w:val="2"/>
            <w:tcBorders>
              <w:top w:val="nil"/>
              <w:left w:val="nil"/>
              <w:bottom w:val="single" w:color="000000" w:sz="4" w:space="0"/>
              <w:right w:val="single" w:color="000000" w:sz="4" w:space="0"/>
            </w:tcBorders>
            <w:vAlign w:val="center"/>
          </w:tcPr>
          <w:p w14:paraId="567F5D0E">
            <w:pPr>
              <w:pStyle w:val="29"/>
              <w:rPr>
                <w:rFonts w:ascii="Times New Roman" w:hAnsi="Times New Roman"/>
                <w:color w:val="auto"/>
                <w:highlight w:val="none"/>
                <w:shd w:val="clear"/>
              </w:rPr>
            </w:pPr>
          </w:p>
        </w:tc>
        <w:tc>
          <w:tcPr>
            <w:tcW w:w="438" w:type="pct"/>
            <w:gridSpan w:val="2"/>
            <w:tcBorders>
              <w:top w:val="nil"/>
              <w:left w:val="nil"/>
              <w:bottom w:val="single" w:color="000000" w:sz="4" w:space="0"/>
              <w:right w:val="single" w:color="000000" w:sz="8" w:space="0"/>
            </w:tcBorders>
            <w:vAlign w:val="center"/>
          </w:tcPr>
          <w:p w14:paraId="6F21B315">
            <w:pPr>
              <w:pStyle w:val="29"/>
              <w:rPr>
                <w:rFonts w:ascii="Times New Roman" w:hAnsi="Times New Roman"/>
                <w:color w:val="auto"/>
                <w:highlight w:val="none"/>
                <w:shd w:val="clear"/>
              </w:rPr>
            </w:pPr>
          </w:p>
        </w:tc>
      </w:tr>
      <w:tr w14:paraId="78624921">
        <w:tblPrEx>
          <w:tblCellMar>
            <w:top w:w="0" w:type="dxa"/>
            <w:left w:w="108" w:type="dxa"/>
            <w:bottom w:w="0" w:type="dxa"/>
            <w:right w:w="108" w:type="dxa"/>
          </w:tblCellMar>
        </w:tblPrEx>
        <w:trPr>
          <w:trHeight w:val="567" w:hRule="atLeast"/>
        </w:trPr>
        <w:tc>
          <w:tcPr>
            <w:tcW w:w="229" w:type="pct"/>
            <w:gridSpan w:val="2"/>
            <w:vMerge w:val="continue"/>
            <w:tcBorders>
              <w:top w:val="nil"/>
              <w:left w:val="single" w:color="000000" w:sz="8" w:space="0"/>
              <w:bottom w:val="single" w:color="000000" w:sz="8" w:space="0"/>
              <w:right w:val="single" w:color="000000" w:sz="4" w:space="0"/>
            </w:tcBorders>
            <w:vAlign w:val="center"/>
          </w:tcPr>
          <w:p w14:paraId="016D43DD">
            <w:pPr>
              <w:widowControl/>
              <w:jc w:val="left"/>
              <w:rPr>
                <w:rFonts w:ascii="Times New Roman" w:hAnsi="Times New Roman"/>
                <w:color w:val="auto"/>
                <w:kern w:val="0"/>
                <w:highlight w:val="none"/>
                <w:shd w:val="clear"/>
              </w:rPr>
            </w:pPr>
          </w:p>
        </w:tc>
        <w:tc>
          <w:tcPr>
            <w:tcW w:w="2022" w:type="pct"/>
            <w:gridSpan w:val="6"/>
            <w:tcBorders>
              <w:top w:val="single" w:color="000000" w:sz="4" w:space="0"/>
              <w:left w:val="nil"/>
              <w:bottom w:val="single" w:color="000000" w:sz="4" w:space="0"/>
              <w:right w:val="single" w:color="000000" w:sz="4" w:space="0"/>
            </w:tcBorders>
            <w:vAlign w:val="center"/>
          </w:tcPr>
          <w:p w14:paraId="57D11760">
            <w:pPr>
              <w:widowControl/>
              <w:jc w:val="left"/>
              <w:rPr>
                <w:rFonts w:ascii="Times New Roman" w:hAnsi="Times New Roman"/>
                <w:color w:val="auto"/>
                <w:kern w:val="0"/>
                <w:highlight w:val="none"/>
                <w:shd w:val="clear"/>
              </w:rPr>
            </w:pPr>
          </w:p>
        </w:tc>
        <w:tc>
          <w:tcPr>
            <w:tcW w:w="445" w:type="pct"/>
            <w:gridSpan w:val="2"/>
            <w:tcBorders>
              <w:top w:val="single" w:color="000000" w:sz="4" w:space="0"/>
              <w:left w:val="nil"/>
              <w:bottom w:val="single" w:color="000000" w:sz="4" w:space="0"/>
              <w:right w:val="single" w:color="000000" w:sz="4" w:space="0"/>
            </w:tcBorders>
            <w:vAlign w:val="center"/>
          </w:tcPr>
          <w:p w14:paraId="0B7AB085">
            <w:pPr>
              <w:pStyle w:val="29"/>
              <w:rPr>
                <w:rFonts w:ascii="Times New Roman" w:hAnsi="Times New Roman"/>
                <w:color w:val="auto"/>
                <w:highlight w:val="none"/>
                <w:shd w:val="clear"/>
              </w:rPr>
            </w:pPr>
          </w:p>
        </w:tc>
        <w:tc>
          <w:tcPr>
            <w:tcW w:w="535" w:type="pct"/>
            <w:gridSpan w:val="2"/>
            <w:tcBorders>
              <w:top w:val="single" w:color="000000" w:sz="4" w:space="0"/>
              <w:left w:val="nil"/>
              <w:bottom w:val="single" w:color="000000" w:sz="4" w:space="0"/>
              <w:right w:val="single" w:color="000000" w:sz="4" w:space="0"/>
            </w:tcBorders>
            <w:vAlign w:val="center"/>
          </w:tcPr>
          <w:p w14:paraId="7CD299CE">
            <w:pPr>
              <w:pStyle w:val="29"/>
              <w:rPr>
                <w:rFonts w:ascii="Times New Roman" w:hAnsi="Times New Roman"/>
                <w:color w:val="auto"/>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36637C95">
            <w:pPr>
              <w:pStyle w:val="29"/>
              <w:rPr>
                <w:rFonts w:ascii="Times New Roman" w:hAnsi="Times New Roman"/>
                <w:color w:val="auto"/>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21AF26A3">
            <w:pPr>
              <w:pStyle w:val="29"/>
              <w:rPr>
                <w:rFonts w:ascii="Times New Roman" w:hAnsi="Times New Roman"/>
                <w:color w:val="auto"/>
                <w:highlight w:val="none"/>
                <w:shd w:val="clear"/>
              </w:rPr>
            </w:pPr>
          </w:p>
        </w:tc>
        <w:tc>
          <w:tcPr>
            <w:tcW w:w="437" w:type="pct"/>
            <w:gridSpan w:val="2"/>
            <w:tcBorders>
              <w:top w:val="nil"/>
              <w:left w:val="nil"/>
              <w:bottom w:val="single" w:color="000000" w:sz="4" w:space="0"/>
              <w:right w:val="single" w:color="000000" w:sz="4" w:space="0"/>
            </w:tcBorders>
            <w:vAlign w:val="center"/>
          </w:tcPr>
          <w:p w14:paraId="576A1221">
            <w:pPr>
              <w:pStyle w:val="29"/>
              <w:rPr>
                <w:rFonts w:ascii="Times New Roman" w:hAnsi="Times New Roman"/>
                <w:color w:val="auto"/>
                <w:highlight w:val="none"/>
                <w:shd w:val="clear"/>
              </w:rPr>
            </w:pPr>
          </w:p>
        </w:tc>
        <w:tc>
          <w:tcPr>
            <w:tcW w:w="438" w:type="pct"/>
            <w:gridSpan w:val="2"/>
            <w:tcBorders>
              <w:top w:val="nil"/>
              <w:left w:val="nil"/>
              <w:bottom w:val="single" w:color="000000" w:sz="4" w:space="0"/>
              <w:right w:val="single" w:color="000000" w:sz="8" w:space="0"/>
            </w:tcBorders>
            <w:vAlign w:val="center"/>
          </w:tcPr>
          <w:p w14:paraId="1B4670CE">
            <w:pPr>
              <w:pStyle w:val="29"/>
              <w:rPr>
                <w:rFonts w:ascii="Times New Roman" w:hAnsi="Times New Roman"/>
                <w:color w:val="auto"/>
                <w:highlight w:val="none"/>
                <w:shd w:val="clear"/>
              </w:rPr>
            </w:pPr>
          </w:p>
        </w:tc>
      </w:tr>
      <w:tr w14:paraId="020FE040">
        <w:tblPrEx>
          <w:tblCellMar>
            <w:top w:w="0" w:type="dxa"/>
            <w:left w:w="108" w:type="dxa"/>
            <w:bottom w:w="0" w:type="dxa"/>
            <w:right w:w="108" w:type="dxa"/>
          </w:tblCellMar>
        </w:tblPrEx>
        <w:trPr>
          <w:trHeight w:val="567" w:hRule="atLeast"/>
        </w:trPr>
        <w:tc>
          <w:tcPr>
            <w:tcW w:w="229" w:type="pct"/>
            <w:gridSpan w:val="2"/>
            <w:vMerge w:val="continue"/>
            <w:tcBorders>
              <w:top w:val="nil"/>
              <w:left w:val="single" w:color="000000" w:sz="8" w:space="0"/>
              <w:bottom w:val="single" w:color="000000" w:sz="8" w:space="0"/>
              <w:right w:val="single" w:color="000000" w:sz="4" w:space="0"/>
            </w:tcBorders>
            <w:vAlign w:val="center"/>
          </w:tcPr>
          <w:p w14:paraId="6D9C5CF7">
            <w:pPr>
              <w:widowControl/>
              <w:jc w:val="left"/>
              <w:rPr>
                <w:rFonts w:ascii="Times New Roman" w:hAnsi="Times New Roman"/>
                <w:color w:val="auto"/>
                <w:kern w:val="0"/>
                <w:highlight w:val="none"/>
                <w:shd w:val="clear"/>
              </w:rPr>
            </w:pPr>
          </w:p>
        </w:tc>
        <w:tc>
          <w:tcPr>
            <w:tcW w:w="3002" w:type="pct"/>
            <w:gridSpan w:val="10"/>
            <w:tcBorders>
              <w:top w:val="single" w:color="000000" w:sz="4" w:space="0"/>
              <w:left w:val="nil"/>
              <w:bottom w:val="single" w:color="000000" w:sz="4" w:space="0"/>
              <w:right w:val="single" w:color="000000" w:sz="4" w:space="0"/>
            </w:tcBorders>
            <w:vAlign w:val="center"/>
          </w:tcPr>
          <w:p w14:paraId="22A751D0">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其他材料费</w:t>
            </w:r>
          </w:p>
        </w:tc>
        <w:tc>
          <w:tcPr>
            <w:tcW w:w="447" w:type="pct"/>
            <w:gridSpan w:val="3"/>
            <w:tcBorders>
              <w:top w:val="single" w:color="000000" w:sz="4" w:space="0"/>
              <w:left w:val="nil"/>
              <w:bottom w:val="single" w:color="000000" w:sz="4" w:space="0"/>
              <w:right w:val="single" w:color="000000" w:sz="4" w:space="0"/>
            </w:tcBorders>
            <w:noWrap/>
            <w:vAlign w:val="center"/>
          </w:tcPr>
          <w:p w14:paraId="07FA6990">
            <w:pPr>
              <w:pStyle w:val="29"/>
              <w:rPr>
                <w:rFonts w:ascii="Times New Roman" w:hAnsi="Times New Roman"/>
                <w:color w:val="auto"/>
                <w:highlight w:val="none"/>
                <w:shd w:val="clear"/>
              </w:rPr>
            </w:pPr>
          </w:p>
        </w:tc>
        <w:tc>
          <w:tcPr>
            <w:tcW w:w="447" w:type="pct"/>
            <w:gridSpan w:val="3"/>
            <w:tcBorders>
              <w:top w:val="single" w:color="000000" w:sz="4" w:space="0"/>
              <w:left w:val="nil"/>
              <w:bottom w:val="single" w:color="000000" w:sz="4" w:space="0"/>
              <w:right w:val="single" w:color="000000" w:sz="4" w:space="0"/>
            </w:tcBorders>
            <w:vAlign w:val="center"/>
          </w:tcPr>
          <w:p w14:paraId="2CB07A5A">
            <w:pPr>
              <w:pStyle w:val="29"/>
              <w:rPr>
                <w:rFonts w:ascii="Times New Roman" w:hAnsi="Times New Roman"/>
                <w:color w:val="auto"/>
                <w:highlight w:val="none"/>
                <w:shd w:val="clear"/>
              </w:rPr>
            </w:pPr>
          </w:p>
        </w:tc>
        <w:tc>
          <w:tcPr>
            <w:tcW w:w="437" w:type="pct"/>
            <w:gridSpan w:val="2"/>
            <w:tcBorders>
              <w:top w:val="nil"/>
              <w:left w:val="nil"/>
              <w:bottom w:val="single" w:color="000000" w:sz="4" w:space="0"/>
              <w:right w:val="single" w:color="000000" w:sz="4" w:space="0"/>
            </w:tcBorders>
            <w:noWrap/>
            <w:vAlign w:val="center"/>
          </w:tcPr>
          <w:p w14:paraId="09529BA6">
            <w:pPr>
              <w:pStyle w:val="29"/>
              <w:rPr>
                <w:rFonts w:ascii="Times New Roman" w:hAnsi="Times New Roman"/>
                <w:color w:val="auto"/>
                <w:highlight w:val="none"/>
                <w:shd w:val="clear"/>
              </w:rPr>
            </w:pPr>
          </w:p>
        </w:tc>
        <w:tc>
          <w:tcPr>
            <w:tcW w:w="438" w:type="pct"/>
            <w:gridSpan w:val="2"/>
            <w:tcBorders>
              <w:top w:val="nil"/>
              <w:left w:val="nil"/>
              <w:bottom w:val="single" w:color="000000" w:sz="4" w:space="0"/>
              <w:right w:val="single" w:color="000000" w:sz="8" w:space="0"/>
            </w:tcBorders>
            <w:vAlign w:val="center"/>
          </w:tcPr>
          <w:p w14:paraId="4129F7B0">
            <w:pPr>
              <w:pStyle w:val="29"/>
              <w:rPr>
                <w:rFonts w:ascii="Times New Roman" w:hAnsi="Times New Roman"/>
                <w:color w:val="auto"/>
                <w:highlight w:val="none"/>
                <w:shd w:val="clear"/>
              </w:rPr>
            </w:pPr>
          </w:p>
        </w:tc>
      </w:tr>
      <w:tr w14:paraId="5063DC15">
        <w:tblPrEx>
          <w:tblCellMar>
            <w:top w:w="0" w:type="dxa"/>
            <w:left w:w="108" w:type="dxa"/>
            <w:bottom w:w="0" w:type="dxa"/>
            <w:right w:w="108" w:type="dxa"/>
          </w:tblCellMar>
        </w:tblPrEx>
        <w:trPr>
          <w:trHeight w:val="567" w:hRule="atLeast"/>
        </w:trPr>
        <w:tc>
          <w:tcPr>
            <w:tcW w:w="229" w:type="pct"/>
            <w:gridSpan w:val="2"/>
            <w:vMerge w:val="continue"/>
            <w:tcBorders>
              <w:top w:val="nil"/>
              <w:left w:val="single" w:color="000000" w:sz="8" w:space="0"/>
              <w:bottom w:val="single" w:color="000000" w:sz="8" w:space="0"/>
              <w:right w:val="single" w:color="000000" w:sz="4" w:space="0"/>
            </w:tcBorders>
            <w:vAlign w:val="center"/>
          </w:tcPr>
          <w:p w14:paraId="361AAB67">
            <w:pPr>
              <w:widowControl/>
              <w:jc w:val="left"/>
              <w:rPr>
                <w:rFonts w:ascii="Times New Roman" w:hAnsi="Times New Roman"/>
                <w:color w:val="auto"/>
                <w:kern w:val="0"/>
                <w:highlight w:val="none"/>
                <w:shd w:val="clear"/>
              </w:rPr>
            </w:pPr>
          </w:p>
        </w:tc>
        <w:tc>
          <w:tcPr>
            <w:tcW w:w="3002" w:type="pct"/>
            <w:gridSpan w:val="10"/>
            <w:tcBorders>
              <w:top w:val="single" w:color="000000" w:sz="4" w:space="0"/>
              <w:left w:val="nil"/>
              <w:bottom w:val="single" w:color="000000" w:sz="8" w:space="0"/>
              <w:right w:val="single" w:color="000000" w:sz="4" w:space="0"/>
            </w:tcBorders>
            <w:vAlign w:val="center"/>
          </w:tcPr>
          <w:p w14:paraId="382E5215">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材料费小计</w:t>
            </w:r>
          </w:p>
        </w:tc>
        <w:tc>
          <w:tcPr>
            <w:tcW w:w="447" w:type="pct"/>
            <w:gridSpan w:val="3"/>
            <w:tcBorders>
              <w:top w:val="single" w:color="000000" w:sz="4" w:space="0"/>
              <w:left w:val="nil"/>
              <w:bottom w:val="single" w:color="000000" w:sz="8" w:space="0"/>
              <w:right w:val="single" w:color="000000" w:sz="4" w:space="0"/>
            </w:tcBorders>
            <w:noWrap/>
            <w:vAlign w:val="center"/>
          </w:tcPr>
          <w:p w14:paraId="640FBAEE">
            <w:pPr>
              <w:pStyle w:val="29"/>
              <w:rPr>
                <w:rFonts w:ascii="Times New Roman" w:hAnsi="Times New Roman"/>
                <w:color w:val="auto"/>
                <w:highlight w:val="none"/>
                <w:shd w:val="clear"/>
              </w:rPr>
            </w:pPr>
          </w:p>
        </w:tc>
        <w:tc>
          <w:tcPr>
            <w:tcW w:w="447" w:type="pct"/>
            <w:gridSpan w:val="3"/>
            <w:tcBorders>
              <w:top w:val="single" w:color="000000" w:sz="4" w:space="0"/>
              <w:left w:val="nil"/>
              <w:bottom w:val="single" w:color="000000" w:sz="8" w:space="0"/>
              <w:right w:val="single" w:color="000000" w:sz="4" w:space="0"/>
            </w:tcBorders>
            <w:vAlign w:val="center"/>
          </w:tcPr>
          <w:p w14:paraId="4A832B5B">
            <w:pPr>
              <w:pStyle w:val="29"/>
              <w:rPr>
                <w:rFonts w:ascii="Times New Roman" w:hAnsi="Times New Roman"/>
                <w:color w:val="auto"/>
                <w:highlight w:val="none"/>
                <w:shd w:val="clear"/>
              </w:rPr>
            </w:pPr>
          </w:p>
        </w:tc>
        <w:tc>
          <w:tcPr>
            <w:tcW w:w="437" w:type="pct"/>
            <w:gridSpan w:val="2"/>
            <w:tcBorders>
              <w:top w:val="nil"/>
              <w:left w:val="nil"/>
              <w:bottom w:val="single" w:color="000000" w:sz="8" w:space="0"/>
              <w:right w:val="single" w:color="000000" w:sz="4" w:space="0"/>
            </w:tcBorders>
            <w:noWrap/>
            <w:vAlign w:val="center"/>
          </w:tcPr>
          <w:p w14:paraId="2523154E">
            <w:pPr>
              <w:pStyle w:val="29"/>
              <w:rPr>
                <w:rFonts w:ascii="Times New Roman" w:hAnsi="Times New Roman"/>
                <w:color w:val="auto"/>
                <w:highlight w:val="none"/>
                <w:shd w:val="clear"/>
              </w:rPr>
            </w:pPr>
          </w:p>
        </w:tc>
        <w:tc>
          <w:tcPr>
            <w:tcW w:w="438" w:type="pct"/>
            <w:gridSpan w:val="2"/>
            <w:tcBorders>
              <w:top w:val="nil"/>
              <w:left w:val="nil"/>
              <w:bottom w:val="single" w:color="000000" w:sz="8" w:space="0"/>
              <w:right w:val="single" w:color="000000" w:sz="8" w:space="0"/>
            </w:tcBorders>
            <w:vAlign w:val="center"/>
          </w:tcPr>
          <w:p w14:paraId="4DF5239B">
            <w:pPr>
              <w:pStyle w:val="29"/>
              <w:rPr>
                <w:rFonts w:ascii="Times New Roman" w:hAnsi="Times New Roman"/>
                <w:color w:val="auto"/>
                <w:highlight w:val="none"/>
                <w:shd w:val="clear"/>
              </w:rPr>
            </w:pPr>
          </w:p>
        </w:tc>
      </w:tr>
    </w:tbl>
    <w:p w14:paraId="21FEE540">
      <w:pPr>
        <w:pStyle w:val="20"/>
        <w:rPr>
          <w:rStyle w:val="25"/>
          <w:rFonts w:ascii="Times New Roman" w:hAnsi="Times New Roman"/>
          <w:bCs w:val="0"/>
          <w:color w:val="auto"/>
          <w:highlight w:val="none"/>
          <w:shd w:val="clear"/>
          <w:lang w:val="zh-CN"/>
        </w:rPr>
      </w:pPr>
      <w:r>
        <w:rPr>
          <w:rFonts w:ascii="Times New Roman" w:hAnsi="Times New Roman" w:cs="宋体"/>
          <w:color w:val="auto"/>
          <w:szCs w:val="21"/>
          <w:highlight w:val="none"/>
          <w:shd w:val="clear"/>
        </w:rPr>
        <w:br w:type="page"/>
      </w:r>
      <w:bookmarkStart w:id="2380" w:name="_Toc460227129"/>
      <w:bookmarkStart w:id="2381" w:name="_Toc460660244"/>
      <w:bookmarkStart w:id="2382" w:name="_Toc170805829"/>
      <w:bookmarkStart w:id="2383" w:name="_Toc170804261"/>
      <w:bookmarkStart w:id="2384" w:name="_Toc3424"/>
      <w:bookmarkStart w:id="2385" w:name="_Toc170805449"/>
      <w:bookmarkStart w:id="2386" w:name="_Toc24793"/>
      <w:r>
        <w:rPr>
          <w:rStyle w:val="25"/>
          <w:rFonts w:ascii="Times New Roman" w:hAnsi="Times New Roman"/>
          <w:bCs w:val="0"/>
          <w:color w:val="auto"/>
          <w:highlight w:val="none"/>
          <w:shd w:val="clear"/>
          <w:lang w:val="zh-CN"/>
        </w:rPr>
        <w:t>（七）</w:t>
      </w:r>
      <w:bookmarkEnd w:id="2380"/>
      <w:bookmarkEnd w:id="2381"/>
      <w:r>
        <w:rPr>
          <w:rStyle w:val="25"/>
          <w:rFonts w:ascii="Times New Roman" w:hAnsi="Times New Roman"/>
          <w:bCs w:val="0"/>
          <w:color w:val="auto"/>
          <w:highlight w:val="none"/>
          <w:shd w:val="clear"/>
          <w:lang w:val="zh-CN"/>
        </w:rPr>
        <w:t>措施项目清单与计价表</w:t>
      </w:r>
      <w:bookmarkEnd w:id="2382"/>
      <w:bookmarkEnd w:id="2383"/>
      <w:bookmarkEnd w:id="2384"/>
      <w:bookmarkEnd w:id="2385"/>
      <w:bookmarkEnd w:id="2386"/>
    </w:p>
    <w:p w14:paraId="2640B217">
      <w:pPr>
        <w:pStyle w:val="30"/>
        <w:framePr w:hSpace="0" w:wrap="auto" w:vAnchor="margin" w:hAnchor="text" w:xAlign="left" w:yAlign="inline"/>
        <w:ind w:left="1260" w:hanging="420"/>
        <w:rPr>
          <w:rFonts w:ascii="Times New Roman" w:hAnsi="Times New Roman"/>
          <w:color w:val="auto"/>
          <w:highlight w:val="none"/>
          <w:shd w:val="clear"/>
        </w:rPr>
      </w:pPr>
      <w:bookmarkStart w:id="2387" w:name="_Toc460660245"/>
      <w:bookmarkStart w:id="2388" w:name="_Toc460227130"/>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796"/>
        <w:gridCol w:w="1843"/>
        <w:gridCol w:w="2408"/>
        <w:gridCol w:w="1612"/>
        <w:gridCol w:w="1302"/>
        <w:gridCol w:w="1610"/>
      </w:tblGrid>
      <w:tr w14:paraId="5D3F88B2">
        <w:tblPrEx>
          <w:tblCellMar>
            <w:top w:w="0" w:type="dxa"/>
            <w:left w:w="108" w:type="dxa"/>
            <w:bottom w:w="0" w:type="dxa"/>
            <w:right w:w="108" w:type="dxa"/>
          </w:tblCellMar>
        </w:tblPrEx>
        <w:trPr>
          <w:trHeight w:val="690" w:hRule="atLeast"/>
        </w:trPr>
        <w:tc>
          <w:tcPr>
            <w:tcW w:w="41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0086B12C">
            <w:pPr>
              <w:pStyle w:val="28"/>
              <w:spacing w:line="240" w:lineRule="auto"/>
              <w:rPr>
                <w:rFonts w:ascii="Times New Roman" w:hAnsi="Times New Roman"/>
                <w:color w:val="auto"/>
                <w:highlight w:val="none"/>
                <w:shd w:val="clear"/>
              </w:rPr>
            </w:pPr>
            <w:bookmarkStart w:id="2389" w:name="_Toc13266"/>
            <w:bookmarkStart w:id="2390" w:name="_Toc170804262"/>
            <w:bookmarkStart w:id="2391" w:name="_Toc170805450"/>
            <w:bookmarkStart w:id="2392" w:name="_Toc170805830"/>
            <w:bookmarkStart w:id="2393" w:name="_Toc13435"/>
            <w:r>
              <w:rPr>
                <w:rFonts w:hint="eastAsia" w:ascii="Times New Roman" w:hAnsi="Times New Roman"/>
                <w:color w:val="auto"/>
                <w:highlight w:val="none"/>
                <w:shd w:val="clear"/>
              </w:rPr>
              <w:t>序号</w:t>
            </w:r>
          </w:p>
        </w:tc>
        <w:tc>
          <w:tcPr>
            <w:tcW w:w="963" w:type="pct"/>
            <w:tcBorders>
              <w:top w:val="single" w:color="000000" w:sz="8" w:space="0"/>
              <w:left w:val="nil"/>
              <w:bottom w:val="single" w:color="000000" w:sz="4" w:space="0"/>
              <w:right w:val="single" w:color="000000" w:sz="4" w:space="0"/>
            </w:tcBorders>
            <w:shd w:val="clear" w:color="FFFFFF" w:fill="FFFFFF"/>
            <w:vAlign w:val="center"/>
          </w:tcPr>
          <w:p w14:paraId="4A47941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项目编码</w:t>
            </w:r>
          </w:p>
        </w:tc>
        <w:tc>
          <w:tcPr>
            <w:tcW w:w="1258" w:type="pct"/>
            <w:tcBorders>
              <w:top w:val="single" w:color="000000" w:sz="8" w:space="0"/>
              <w:left w:val="nil"/>
              <w:bottom w:val="single" w:color="000000" w:sz="4" w:space="0"/>
              <w:right w:val="single" w:color="000000" w:sz="4" w:space="0"/>
            </w:tcBorders>
            <w:shd w:val="clear" w:color="FFFFFF" w:fill="FFFFFF"/>
            <w:vAlign w:val="center"/>
          </w:tcPr>
          <w:p w14:paraId="370A000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842" w:type="pct"/>
            <w:tcBorders>
              <w:top w:val="single" w:color="000000" w:sz="8" w:space="0"/>
              <w:left w:val="nil"/>
              <w:bottom w:val="single" w:color="000000" w:sz="4" w:space="0"/>
              <w:right w:val="single" w:color="000000" w:sz="4" w:space="0"/>
            </w:tcBorders>
            <w:shd w:val="clear" w:color="FFFFFF" w:fill="FFFFFF"/>
            <w:vAlign w:val="center"/>
          </w:tcPr>
          <w:p w14:paraId="15B06D5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计算基础</w:t>
            </w:r>
          </w:p>
        </w:tc>
        <w:tc>
          <w:tcPr>
            <w:tcW w:w="680" w:type="pct"/>
            <w:tcBorders>
              <w:top w:val="single" w:color="000000" w:sz="8" w:space="0"/>
              <w:left w:val="nil"/>
              <w:bottom w:val="single" w:color="000000" w:sz="4" w:space="0"/>
              <w:right w:val="single" w:color="000000" w:sz="4" w:space="0"/>
            </w:tcBorders>
            <w:shd w:val="clear" w:color="FFFFFF" w:fill="FFFFFF"/>
            <w:vAlign w:val="center"/>
          </w:tcPr>
          <w:p w14:paraId="2C5F065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费率（%）</w:t>
            </w:r>
          </w:p>
        </w:tc>
        <w:tc>
          <w:tcPr>
            <w:tcW w:w="841" w:type="pct"/>
            <w:tcBorders>
              <w:top w:val="single" w:color="000000" w:sz="8" w:space="0"/>
              <w:left w:val="nil"/>
              <w:bottom w:val="single" w:color="000000" w:sz="4" w:space="0"/>
              <w:right w:val="single" w:color="000000" w:sz="8" w:space="0"/>
            </w:tcBorders>
            <w:shd w:val="clear" w:color="FFFFFF" w:fill="FFFFFF"/>
            <w:vAlign w:val="center"/>
          </w:tcPr>
          <w:p w14:paraId="5483BEE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r>
      <w:tr w14:paraId="607D9B7F">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vAlign w:val="center"/>
          </w:tcPr>
          <w:p w14:paraId="696BFA44">
            <w:pPr>
              <w:pStyle w:val="29"/>
              <w:rPr>
                <w:rFonts w:ascii="Times New Roman" w:hAnsi="Times New Roman"/>
                <w:color w:val="auto"/>
                <w:highlight w:val="none"/>
                <w:shd w:val="clear"/>
              </w:rPr>
            </w:pPr>
          </w:p>
        </w:tc>
        <w:tc>
          <w:tcPr>
            <w:tcW w:w="963" w:type="pct"/>
            <w:tcBorders>
              <w:top w:val="nil"/>
              <w:left w:val="nil"/>
              <w:bottom w:val="single" w:color="000000" w:sz="4" w:space="0"/>
              <w:right w:val="single" w:color="000000" w:sz="4" w:space="0"/>
            </w:tcBorders>
            <w:vAlign w:val="center"/>
          </w:tcPr>
          <w:p w14:paraId="6E6CE83A">
            <w:pPr>
              <w:pStyle w:val="29"/>
              <w:rPr>
                <w:rFonts w:ascii="Times New Roman" w:hAnsi="Times New Roman"/>
                <w:color w:val="auto"/>
                <w:highlight w:val="none"/>
                <w:shd w:val="clear"/>
              </w:rPr>
            </w:pPr>
          </w:p>
        </w:tc>
        <w:tc>
          <w:tcPr>
            <w:tcW w:w="1258" w:type="pct"/>
            <w:tcBorders>
              <w:top w:val="single" w:color="000000" w:sz="4" w:space="0"/>
              <w:left w:val="nil"/>
              <w:bottom w:val="single" w:color="000000" w:sz="4" w:space="0"/>
              <w:right w:val="single" w:color="000000" w:sz="4" w:space="0"/>
            </w:tcBorders>
            <w:vAlign w:val="center"/>
          </w:tcPr>
          <w:p w14:paraId="6315FDFE">
            <w:pPr>
              <w:pStyle w:val="29"/>
              <w:rPr>
                <w:rFonts w:ascii="Times New Roman" w:hAnsi="Times New Roman"/>
                <w:color w:val="auto"/>
                <w:highlight w:val="none"/>
                <w:shd w:val="clear"/>
              </w:rPr>
            </w:pPr>
          </w:p>
        </w:tc>
        <w:tc>
          <w:tcPr>
            <w:tcW w:w="842" w:type="pct"/>
            <w:tcBorders>
              <w:top w:val="single" w:color="000000" w:sz="4" w:space="0"/>
              <w:left w:val="nil"/>
              <w:bottom w:val="single" w:color="000000" w:sz="4" w:space="0"/>
              <w:right w:val="single" w:color="000000" w:sz="4" w:space="0"/>
            </w:tcBorders>
            <w:vAlign w:val="center"/>
          </w:tcPr>
          <w:p w14:paraId="5DBDDC1A">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57B1C1B0">
            <w:pPr>
              <w:pStyle w:val="29"/>
              <w:rPr>
                <w:rFonts w:ascii="Times New Roman" w:hAnsi="Times New Roman"/>
                <w:color w:val="auto"/>
                <w:highlight w:val="none"/>
                <w:shd w:val="clear"/>
              </w:rPr>
            </w:pPr>
          </w:p>
        </w:tc>
        <w:tc>
          <w:tcPr>
            <w:tcW w:w="841" w:type="pct"/>
            <w:tcBorders>
              <w:top w:val="nil"/>
              <w:left w:val="nil"/>
              <w:bottom w:val="single" w:color="000000" w:sz="4" w:space="0"/>
              <w:right w:val="single" w:color="000000" w:sz="8" w:space="0"/>
            </w:tcBorders>
            <w:vAlign w:val="center"/>
          </w:tcPr>
          <w:p w14:paraId="59605A86">
            <w:pPr>
              <w:pStyle w:val="29"/>
              <w:rPr>
                <w:rFonts w:ascii="Times New Roman" w:hAnsi="Times New Roman"/>
                <w:color w:val="auto"/>
                <w:highlight w:val="none"/>
                <w:shd w:val="clear"/>
              </w:rPr>
            </w:pPr>
          </w:p>
        </w:tc>
      </w:tr>
      <w:tr w14:paraId="732D2CEE">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vAlign w:val="center"/>
          </w:tcPr>
          <w:p w14:paraId="4DC348A7">
            <w:pPr>
              <w:pStyle w:val="29"/>
              <w:rPr>
                <w:rFonts w:ascii="Times New Roman" w:hAnsi="Times New Roman"/>
                <w:color w:val="auto"/>
                <w:highlight w:val="none"/>
                <w:shd w:val="clear"/>
              </w:rPr>
            </w:pPr>
          </w:p>
        </w:tc>
        <w:tc>
          <w:tcPr>
            <w:tcW w:w="963" w:type="pct"/>
            <w:tcBorders>
              <w:top w:val="nil"/>
              <w:left w:val="nil"/>
              <w:bottom w:val="single" w:color="000000" w:sz="4" w:space="0"/>
              <w:right w:val="single" w:color="000000" w:sz="4" w:space="0"/>
            </w:tcBorders>
            <w:vAlign w:val="center"/>
          </w:tcPr>
          <w:p w14:paraId="57C70FA0">
            <w:pPr>
              <w:pStyle w:val="29"/>
              <w:rPr>
                <w:rFonts w:ascii="Times New Roman" w:hAnsi="Times New Roman"/>
                <w:color w:val="auto"/>
                <w:highlight w:val="none"/>
                <w:shd w:val="clear"/>
              </w:rPr>
            </w:pPr>
          </w:p>
        </w:tc>
        <w:tc>
          <w:tcPr>
            <w:tcW w:w="1258" w:type="pct"/>
            <w:tcBorders>
              <w:top w:val="single" w:color="000000" w:sz="4" w:space="0"/>
              <w:left w:val="nil"/>
              <w:bottom w:val="single" w:color="000000" w:sz="4" w:space="0"/>
              <w:right w:val="single" w:color="000000" w:sz="4" w:space="0"/>
            </w:tcBorders>
            <w:vAlign w:val="center"/>
          </w:tcPr>
          <w:p w14:paraId="0AAF489E">
            <w:pPr>
              <w:pStyle w:val="29"/>
              <w:rPr>
                <w:rFonts w:ascii="Times New Roman" w:hAnsi="Times New Roman"/>
                <w:color w:val="auto"/>
                <w:highlight w:val="none"/>
                <w:shd w:val="clear"/>
              </w:rPr>
            </w:pPr>
          </w:p>
        </w:tc>
        <w:tc>
          <w:tcPr>
            <w:tcW w:w="842" w:type="pct"/>
            <w:tcBorders>
              <w:top w:val="single" w:color="000000" w:sz="4" w:space="0"/>
              <w:left w:val="nil"/>
              <w:bottom w:val="single" w:color="000000" w:sz="4" w:space="0"/>
              <w:right w:val="single" w:color="000000" w:sz="4" w:space="0"/>
            </w:tcBorders>
            <w:vAlign w:val="center"/>
          </w:tcPr>
          <w:p w14:paraId="01818090">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602DB966">
            <w:pPr>
              <w:pStyle w:val="29"/>
              <w:rPr>
                <w:rFonts w:ascii="Times New Roman" w:hAnsi="Times New Roman"/>
                <w:color w:val="auto"/>
                <w:highlight w:val="none"/>
                <w:shd w:val="clear"/>
              </w:rPr>
            </w:pPr>
          </w:p>
        </w:tc>
        <w:tc>
          <w:tcPr>
            <w:tcW w:w="841" w:type="pct"/>
            <w:tcBorders>
              <w:top w:val="nil"/>
              <w:left w:val="nil"/>
              <w:bottom w:val="single" w:color="000000" w:sz="4" w:space="0"/>
              <w:right w:val="single" w:color="000000" w:sz="8" w:space="0"/>
            </w:tcBorders>
            <w:vAlign w:val="center"/>
          </w:tcPr>
          <w:p w14:paraId="552E7AE3">
            <w:pPr>
              <w:pStyle w:val="29"/>
              <w:rPr>
                <w:rFonts w:ascii="Times New Roman" w:hAnsi="Times New Roman"/>
                <w:color w:val="auto"/>
                <w:highlight w:val="none"/>
                <w:shd w:val="clear"/>
              </w:rPr>
            </w:pPr>
          </w:p>
        </w:tc>
      </w:tr>
      <w:tr w14:paraId="7A32132B">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vAlign w:val="center"/>
          </w:tcPr>
          <w:p w14:paraId="272197D4">
            <w:pPr>
              <w:pStyle w:val="29"/>
              <w:rPr>
                <w:rFonts w:ascii="Times New Roman" w:hAnsi="Times New Roman"/>
                <w:color w:val="auto"/>
                <w:highlight w:val="none"/>
                <w:shd w:val="clear"/>
              </w:rPr>
            </w:pPr>
          </w:p>
        </w:tc>
        <w:tc>
          <w:tcPr>
            <w:tcW w:w="963" w:type="pct"/>
            <w:tcBorders>
              <w:top w:val="nil"/>
              <w:left w:val="nil"/>
              <w:bottom w:val="single" w:color="000000" w:sz="4" w:space="0"/>
              <w:right w:val="single" w:color="000000" w:sz="4" w:space="0"/>
            </w:tcBorders>
            <w:vAlign w:val="center"/>
          </w:tcPr>
          <w:p w14:paraId="4ECA731C">
            <w:pPr>
              <w:pStyle w:val="29"/>
              <w:rPr>
                <w:rFonts w:ascii="Times New Roman" w:hAnsi="Times New Roman"/>
                <w:color w:val="auto"/>
                <w:highlight w:val="none"/>
                <w:shd w:val="clear"/>
              </w:rPr>
            </w:pPr>
          </w:p>
        </w:tc>
        <w:tc>
          <w:tcPr>
            <w:tcW w:w="1258" w:type="pct"/>
            <w:tcBorders>
              <w:top w:val="single" w:color="000000" w:sz="4" w:space="0"/>
              <w:left w:val="nil"/>
              <w:bottom w:val="single" w:color="000000" w:sz="4" w:space="0"/>
              <w:right w:val="single" w:color="000000" w:sz="4" w:space="0"/>
            </w:tcBorders>
            <w:vAlign w:val="center"/>
          </w:tcPr>
          <w:p w14:paraId="47AEE3DF">
            <w:pPr>
              <w:pStyle w:val="29"/>
              <w:rPr>
                <w:rFonts w:ascii="Times New Roman" w:hAnsi="Times New Roman"/>
                <w:color w:val="auto"/>
                <w:highlight w:val="none"/>
                <w:shd w:val="clear"/>
              </w:rPr>
            </w:pPr>
          </w:p>
        </w:tc>
        <w:tc>
          <w:tcPr>
            <w:tcW w:w="842" w:type="pct"/>
            <w:tcBorders>
              <w:top w:val="single" w:color="000000" w:sz="4" w:space="0"/>
              <w:left w:val="nil"/>
              <w:bottom w:val="single" w:color="000000" w:sz="4" w:space="0"/>
              <w:right w:val="single" w:color="000000" w:sz="4" w:space="0"/>
            </w:tcBorders>
            <w:vAlign w:val="center"/>
          </w:tcPr>
          <w:p w14:paraId="1B68AEAA">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1A0182A2">
            <w:pPr>
              <w:pStyle w:val="29"/>
              <w:rPr>
                <w:rFonts w:ascii="Times New Roman" w:hAnsi="Times New Roman"/>
                <w:color w:val="auto"/>
                <w:highlight w:val="none"/>
                <w:shd w:val="clear"/>
              </w:rPr>
            </w:pPr>
          </w:p>
        </w:tc>
        <w:tc>
          <w:tcPr>
            <w:tcW w:w="841" w:type="pct"/>
            <w:tcBorders>
              <w:top w:val="nil"/>
              <w:left w:val="nil"/>
              <w:bottom w:val="single" w:color="000000" w:sz="4" w:space="0"/>
              <w:right w:val="single" w:color="000000" w:sz="8" w:space="0"/>
            </w:tcBorders>
            <w:vAlign w:val="center"/>
          </w:tcPr>
          <w:p w14:paraId="46FD3048">
            <w:pPr>
              <w:pStyle w:val="29"/>
              <w:rPr>
                <w:rFonts w:ascii="Times New Roman" w:hAnsi="Times New Roman"/>
                <w:color w:val="auto"/>
                <w:highlight w:val="none"/>
                <w:shd w:val="clear"/>
              </w:rPr>
            </w:pPr>
          </w:p>
        </w:tc>
      </w:tr>
      <w:tr w14:paraId="23AF454C">
        <w:tblPrEx>
          <w:tblCellMar>
            <w:top w:w="0" w:type="dxa"/>
            <w:left w:w="108" w:type="dxa"/>
            <w:bottom w:w="0" w:type="dxa"/>
            <w:right w:w="108" w:type="dxa"/>
          </w:tblCellMar>
        </w:tblPrEx>
        <w:trPr>
          <w:trHeight w:val="680" w:hRule="atLeast"/>
        </w:trPr>
        <w:tc>
          <w:tcPr>
            <w:tcW w:w="4159" w:type="pct"/>
            <w:gridSpan w:val="5"/>
            <w:tcBorders>
              <w:top w:val="single" w:color="000000" w:sz="4" w:space="0"/>
              <w:left w:val="single" w:color="000000" w:sz="8" w:space="0"/>
              <w:bottom w:val="single" w:color="000000" w:sz="8" w:space="0"/>
              <w:right w:val="single" w:color="000000" w:sz="4" w:space="0"/>
            </w:tcBorders>
            <w:vAlign w:val="center"/>
          </w:tcPr>
          <w:p w14:paraId="6E1650BB">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   计</w:t>
            </w:r>
          </w:p>
        </w:tc>
        <w:tc>
          <w:tcPr>
            <w:tcW w:w="841" w:type="pct"/>
            <w:tcBorders>
              <w:top w:val="nil"/>
              <w:left w:val="nil"/>
              <w:bottom w:val="single" w:color="000000" w:sz="8" w:space="0"/>
              <w:right w:val="single" w:color="000000" w:sz="8" w:space="0"/>
            </w:tcBorders>
            <w:vAlign w:val="center"/>
          </w:tcPr>
          <w:p w14:paraId="6923F65D">
            <w:pPr>
              <w:widowControl/>
              <w:jc w:val="right"/>
              <w:rPr>
                <w:rFonts w:ascii="Times New Roman" w:hAnsi="Times New Roman"/>
                <w:color w:val="auto"/>
                <w:kern w:val="0"/>
                <w:highlight w:val="none"/>
                <w:shd w:val="clear"/>
              </w:rPr>
            </w:pPr>
          </w:p>
        </w:tc>
      </w:tr>
    </w:tbl>
    <w:p w14:paraId="16024396">
      <w:pPr>
        <w:rPr>
          <w:rFonts w:ascii="Times New Roman" w:hAnsi="Times New Roman" w:eastAsia="黑体" w:cs="仿宋"/>
          <w:snapToGrid w:val="0"/>
          <w:color w:val="auto"/>
          <w:sz w:val="28"/>
          <w:szCs w:val="28"/>
          <w:highlight w:val="none"/>
          <w:shd w:val="clear"/>
        </w:rPr>
      </w:pPr>
    </w:p>
    <w:p w14:paraId="6FE79633">
      <w:pPr>
        <w:pStyle w:val="20"/>
        <w:rPr>
          <w:rStyle w:val="25"/>
          <w:rFonts w:ascii="Times New Roman" w:hAnsi="Times New Roman"/>
          <w:bCs w:val="0"/>
          <w:color w:val="auto"/>
          <w:highlight w:val="none"/>
          <w:shd w:val="clear"/>
          <w:lang w:val="zh-CN"/>
        </w:rPr>
      </w:pPr>
      <w:r>
        <w:rPr>
          <w:rStyle w:val="25"/>
          <w:rFonts w:ascii="Times New Roman" w:hAnsi="Times New Roman"/>
          <w:bCs w:val="0"/>
          <w:color w:val="auto"/>
          <w:highlight w:val="none"/>
          <w:shd w:val="clear"/>
          <w:lang w:val="zh-CN"/>
        </w:rPr>
        <w:t>（八）</w:t>
      </w:r>
      <w:bookmarkEnd w:id="2387"/>
      <w:bookmarkEnd w:id="2388"/>
      <w:r>
        <w:rPr>
          <w:rStyle w:val="25"/>
          <w:rFonts w:ascii="Times New Roman" w:hAnsi="Times New Roman"/>
          <w:bCs w:val="0"/>
          <w:color w:val="auto"/>
          <w:highlight w:val="none"/>
          <w:shd w:val="clear"/>
          <w:lang w:val="zh-CN"/>
        </w:rPr>
        <w:t>不可竞争项目清单与计价表</w:t>
      </w:r>
      <w:bookmarkEnd w:id="2389"/>
      <w:bookmarkEnd w:id="2390"/>
      <w:bookmarkEnd w:id="2391"/>
      <w:bookmarkEnd w:id="2392"/>
      <w:bookmarkEnd w:id="2393"/>
    </w:p>
    <w:p w14:paraId="2E7A6522">
      <w:pPr>
        <w:pStyle w:val="30"/>
        <w:framePr w:hSpace="0" w:wrap="auto" w:vAnchor="margin" w:hAnchor="text" w:xAlign="left" w:yAlign="inline"/>
        <w:ind w:left="1260" w:hanging="420"/>
        <w:rPr>
          <w:rFonts w:ascii="Times New Roman" w:hAnsi="Times New Roman"/>
          <w:color w:val="auto"/>
          <w:highlight w:val="none"/>
          <w:shd w:val="clear"/>
        </w:rPr>
      </w:pPr>
      <w:bookmarkStart w:id="2394" w:name="_Toc460660246"/>
      <w:bookmarkStart w:id="2395" w:name="_Toc460227131"/>
      <w:bookmarkStart w:id="2396" w:name="_Toc170804263"/>
      <w:bookmarkStart w:id="2397" w:name="_Toc20681"/>
      <w:bookmarkStart w:id="2398" w:name="_Toc10007"/>
      <w:bookmarkStart w:id="2399" w:name="_Toc170805451"/>
      <w:bookmarkStart w:id="2400" w:name="_Toc170805831"/>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835"/>
        <w:gridCol w:w="1650"/>
        <w:gridCol w:w="2465"/>
        <w:gridCol w:w="1650"/>
        <w:gridCol w:w="1302"/>
        <w:gridCol w:w="1669"/>
      </w:tblGrid>
      <w:tr w14:paraId="4C851A0B">
        <w:tblPrEx>
          <w:tblCellMar>
            <w:top w:w="0" w:type="dxa"/>
            <w:left w:w="108" w:type="dxa"/>
            <w:bottom w:w="0" w:type="dxa"/>
            <w:right w:w="108" w:type="dxa"/>
          </w:tblCellMar>
        </w:tblPrEx>
        <w:trPr>
          <w:trHeight w:val="69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40122E7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862" w:type="pct"/>
            <w:tcBorders>
              <w:top w:val="single" w:color="000000" w:sz="8" w:space="0"/>
              <w:left w:val="nil"/>
              <w:bottom w:val="single" w:color="000000" w:sz="4" w:space="0"/>
              <w:right w:val="single" w:color="000000" w:sz="4" w:space="0"/>
            </w:tcBorders>
            <w:shd w:val="clear" w:color="FFFFFF" w:fill="FFFFFF"/>
            <w:vAlign w:val="center"/>
          </w:tcPr>
          <w:p w14:paraId="148CA31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项目编码</w:t>
            </w:r>
          </w:p>
        </w:tc>
        <w:tc>
          <w:tcPr>
            <w:tcW w:w="1288" w:type="pct"/>
            <w:tcBorders>
              <w:top w:val="single" w:color="000000" w:sz="8" w:space="0"/>
              <w:left w:val="nil"/>
              <w:bottom w:val="single" w:color="000000" w:sz="4" w:space="0"/>
              <w:right w:val="single" w:color="000000" w:sz="4" w:space="0"/>
            </w:tcBorders>
            <w:shd w:val="clear" w:color="FFFFFF" w:fill="FFFFFF"/>
            <w:vAlign w:val="center"/>
          </w:tcPr>
          <w:p w14:paraId="72592408">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862" w:type="pct"/>
            <w:tcBorders>
              <w:top w:val="single" w:color="000000" w:sz="8" w:space="0"/>
              <w:left w:val="nil"/>
              <w:bottom w:val="single" w:color="000000" w:sz="4" w:space="0"/>
              <w:right w:val="single" w:color="000000" w:sz="4" w:space="0"/>
            </w:tcBorders>
            <w:shd w:val="clear" w:color="FFFFFF" w:fill="FFFFFF"/>
            <w:vAlign w:val="center"/>
          </w:tcPr>
          <w:p w14:paraId="60C84B14">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计算基础</w:t>
            </w:r>
          </w:p>
        </w:tc>
        <w:tc>
          <w:tcPr>
            <w:tcW w:w="680" w:type="pct"/>
            <w:tcBorders>
              <w:top w:val="single" w:color="000000" w:sz="8" w:space="0"/>
              <w:left w:val="nil"/>
              <w:bottom w:val="single" w:color="000000" w:sz="4" w:space="0"/>
              <w:right w:val="single" w:color="000000" w:sz="4" w:space="0"/>
            </w:tcBorders>
            <w:shd w:val="clear" w:color="FFFFFF" w:fill="FFFFFF"/>
            <w:vAlign w:val="center"/>
          </w:tcPr>
          <w:p w14:paraId="7EF527F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费率（%）</w:t>
            </w:r>
          </w:p>
        </w:tc>
        <w:tc>
          <w:tcPr>
            <w:tcW w:w="872" w:type="pct"/>
            <w:tcBorders>
              <w:top w:val="single" w:color="000000" w:sz="8" w:space="0"/>
              <w:left w:val="nil"/>
              <w:bottom w:val="single" w:color="000000" w:sz="4" w:space="0"/>
              <w:right w:val="single" w:color="000000" w:sz="8" w:space="0"/>
            </w:tcBorders>
            <w:shd w:val="clear" w:color="FFFFFF" w:fill="FFFFFF"/>
            <w:vAlign w:val="center"/>
          </w:tcPr>
          <w:p w14:paraId="1E0BFA1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r>
      <w:tr w14:paraId="1AA8D07F">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14:paraId="2944F6DB">
            <w:pPr>
              <w:pStyle w:val="29"/>
              <w:rPr>
                <w:rFonts w:ascii="Times New Roman" w:hAnsi="Times New Roman"/>
                <w:color w:val="auto"/>
                <w:highlight w:val="none"/>
                <w:shd w:val="clear"/>
              </w:rPr>
            </w:pPr>
          </w:p>
        </w:tc>
        <w:tc>
          <w:tcPr>
            <w:tcW w:w="862" w:type="pct"/>
            <w:tcBorders>
              <w:top w:val="nil"/>
              <w:left w:val="nil"/>
              <w:bottom w:val="single" w:color="000000" w:sz="4" w:space="0"/>
              <w:right w:val="single" w:color="000000" w:sz="4" w:space="0"/>
            </w:tcBorders>
            <w:vAlign w:val="center"/>
          </w:tcPr>
          <w:p w14:paraId="55BF07C0">
            <w:pPr>
              <w:pStyle w:val="29"/>
              <w:rPr>
                <w:rFonts w:ascii="Times New Roman" w:hAnsi="Times New Roman"/>
                <w:color w:val="auto"/>
                <w:highlight w:val="none"/>
                <w:shd w:val="clear"/>
              </w:rPr>
            </w:pPr>
          </w:p>
        </w:tc>
        <w:tc>
          <w:tcPr>
            <w:tcW w:w="1288" w:type="pct"/>
            <w:tcBorders>
              <w:top w:val="single" w:color="000000" w:sz="4" w:space="0"/>
              <w:left w:val="nil"/>
              <w:bottom w:val="single" w:color="000000" w:sz="4" w:space="0"/>
              <w:right w:val="single" w:color="000000" w:sz="4" w:space="0"/>
            </w:tcBorders>
            <w:vAlign w:val="center"/>
          </w:tcPr>
          <w:p w14:paraId="1C992293">
            <w:pPr>
              <w:pStyle w:val="29"/>
              <w:rPr>
                <w:rFonts w:ascii="Times New Roman" w:hAnsi="Times New Roman"/>
                <w:color w:val="auto"/>
                <w:highlight w:val="none"/>
                <w:shd w:val="clear"/>
              </w:rPr>
            </w:pPr>
          </w:p>
        </w:tc>
        <w:tc>
          <w:tcPr>
            <w:tcW w:w="862" w:type="pct"/>
            <w:tcBorders>
              <w:top w:val="single" w:color="000000" w:sz="4" w:space="0"/>
              <w:left w:val="nil"/>
              <w:bottom w:val="single" w:color="000000" w:sz="4" w:space="0"/>
              <w:right w:val="single" w:color="000000" w:sz="4" w:space="0"/>
            </w:tcBorders>
            <w:vAlign w:val="center"/>
          </w:tcPr>
          <w:p w14:paraId="39D0225E">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00C33623">
            <w:pPr>
              <w:pStyle w:val="29"/>
              <w:rPr>
                <w:rFonts w:ascii="Times New Roman" w:hAnsi="Times New Roman"/>
                <w:color w:val="auto"/>
                <w:highlight w:val="none"/>
                <w:shd w:val="clear"/>
              </w:rPr>
            </w:pPr>
          </w:p>
        </w:tc>
        <w:tc>
          <w:tcPr>
            <w:tcW w:w="872" w:type="pct"/>
            <w:tcBorders>
              <w:top w:val="nil"/>
              <w:left w:val="nil"/>
              <w:bottom w:val="single" w:color="000000" w:sz="4" w:space="0"/>
              <w:right w:val="single" w:color="000000" w:sz="8" w:space="0"/>
            </w:tcBorders>
            <w:vAlign w:val="center"/>
          </w:tcPr>
          <w:p w14:paraId="5C0082DA">
            <w:pPr>
              <w:pStyle w:val="29"/>
              <w:rPr>
                <w:rFonts w:ascii="Times New Roman" w:hAnsi="Times New Roman"/>
                <w:color w:val="auto"/>
                <w:highlight w:val="none"/>
                <w:shd w:val="clear"/>
              </w:rPr>
            </w:pPr>
          </w:p>
        </w:tc>
      </w:tr>
      <w:tr w14:paraId="67C5E54E">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14:paraId="59535B45">
            <w:pPr>
              <w:pStyle w:val="29"/>
              <w:rPr>
                <w:rFonts w:ascii="Times New Roman" w:hAnsi="Times New Roman"/>
                <w:color w:val="auto"/>
                <w:highlight w:val="none"/>
                <w:shd w:val="clear"/>
              </w:rPr>
            </w:pPr>
          </w:p>
        </w:tc>
        <w:tc>
          <w:tcPr>
            <w:tcW w:w="862" w:type="pct"/>
            <w:tcBorders>
              <w:top w:val="nil"/>
              <w:left w:val="nil"/>
              <w:bottom w:val="single" w:color="000000" w:sz="4" w:space="0"/>
              <w:right w:val="single" w:color="000000" w:sz="4" w:space="0"/>
            </w:tcBorders>
            <w:vAlign w:val="center"/>
          </w:tcPr>
          <w:p w14:paraId="6DE15CAD">
            <w:pPr>
              <w:pStyle w:val="29"/>
              <w:rPr>
                <w:rFonts w:ascii="Times New Roman" w:hAnsi="Times New Roman"/>
                <w:color w:val="auto"/>
                <w:highlight w:val="none"/>
                <w:shd w:val="clear"/>
              </w:rPr>
            </w:pPr>
          </w:p>
        </w:tc>
        <w:tc>
          <w:tcPr>
            <w:tcW w:w="1288" w:type="pct"/>
            <w:tcBorders>
              <w:top w:val="single" w:color="000000" w:sz="4" w:space="0"/>
              <w:left w:val="nil"/>
              <w:bottom w:val="single" w:color="000000" w:sz="4" w:space="0"/>
              <w:right w:val="single" w:color="000000" w:sz="4" w:space="0"/>
            </w:tcBorders>
            <w:vAlign w:val="center"/>
          </w:tcPr>
          <w:p w14:paraId="79AD474A">
            <w:pPr>
              <w:pStyle w:val="29"/>
              <w:rPr>
                <w:rFonts w:ascii="Times New Roman" w:hAnsi="Times New Roman"/>
                <w:color w:val="auto"/>
                <w:highlight w:val="none"/>
                <w:shd w:val="clear"/>
              </w:rPr>
            </w:pPr>
          </w:p>
        </w:tc>
        <w:tc>
          <w:tcPr>
            <w:tcW w:w="862" w:type="pct"/>
            <w:tcBorders>
              <w:top w:val="single" w:color="000000" w:sz="4" w:space="0"/>
              <w:left w:val="nil"/>
              <w:bottom w:val="single" w:color="000000" w:sz="4" w:space="0"/>
              <w:right w:val="single" w:color="000000" w:sz="4" w:space="0"/>
            </w:tcBorders>
            <w:vAlign w:val="center"/>
          </w:tcPr>
          <w:p w14:paraId="0794D833">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7436C8CF">
            <w:pPr>
              <w:pStyle w:val="29"/>
              <w:rPr>
                <w:rFonts w:ascii="Times New Roman" w:hAnsi="Times New Roman"/>
                <w:color w:val="auto"/>
                <w:highlight w:val="none"/>
                <w:shd w:val="clear"/>
              </w:rPr>
            </w:pPr>
          </w:p>
        </w:tc>
        <w:tc>
          <w:tcPr>
            <w:tcW w:w="872" w:type="pct"/>
            <w:tcBorders>
              <w:top w:val="nil"/>
              <w:left w:val="nil"/>
              <w:bottom w:val="single" w:color="000000" w:sz="4" w:space="0"/>
              <w:right w:val="single" w:color="000000" w:sz="8" w:space="0"/>
            </w:tcBorders>
            <w:vAlign w:val="center"/>
          </w:tcPr>
          <w:p w14:paraId="74C29473">
            <w:pPr>
              <w:pStyle w:val="29"/>
              <w:rPr>
                <w:rFonts w:ascii="Times New Roman" w:hAnsi="Times New Roman"/>
                <w:color w:val="auto"/>
                <w:highlight w:val="none"/>
                <w:shd w:val="clear"/>
              </w:rPr>
            </w:pPr>
          </w:p>
        </w:tc>
      </w:tr>
      <w:tr w14:paraId="40F4E987">
        <w:trPr>
          <w:trHeight w:val="680" w:hRule="atLeast"/>
        </w:trPr>
        <w:tc>
          <w:tcPr>
            <w:tcW w:w="436" w:type="pct"/>
            <w:tcBorders>
              <w:top w:val="nil"/>
              <w:left w:val="single" w:color="000000" w:sz="8" w:space="0"/>
              <w:bottom w:val="single" w:color="000000" w:sz="4" w:space="0"/>
              <w:right w:val="single" w:color="000000" w:sz="4" w:space="0"/>
            </w:tcBorders>
            <w:vAlign w:val="center"/>
          </w:tcPr>
          <w:p w14:paraId="2DFABFF9">
            <w:pPr>
              <w:pStyle w:val="29"/>
              <w:rPr>
                <w:rFonts w:ascii="Times New Roman" w:hAnsi="Times New Roman"/>
                <w:color w:val="auto"/>
                <w:highlight w:val="none"/>
                <w:shd w:val="clear"/>
              </w:rPr>
            </w:pPr>
          </w:p>
        </w:tc>
        <w:tc>
          <w:tcPr>
            <w:tcW w:w="862" w:type="pct"/>
            <w:tcBorders>
              <w:top w:val="nil"/>
              <w:left w:val="nil"/>
              <w:bottom w:val="single" w:color="000000" w:sz="4" w:space="0"/>
              <w:right w:val="single" w:color="000000" w:sz="4" w:space="0"/>
            </w:tcBorders>
            <w:vAlign w:val="center"/>
          </w:tcPr>
          <w:p w14:paraId="07A376BF">
            <w:pPr>
              <w:pStyle w:val="29"/>
              <w:rPr>
                <w:rFonts w:ascii="Times New Roman" w:hAnsi="Times New Roman"/>
                <w:color w:val="auto"/>
                <w:highlight w:val="none"/>
                <w:shd w:val="clear"/>
              </w:rPr>
            </w:pPr>
          </w:p>
        </w:tc>
        <w:tc>
          <w:tcPr>
            <w:tcW w:w="1288" w:type="pct"/>
            <w:tcBorders>
              <w:top w:val="single" w:color="000000" w:sz="4" w:space="0"/>
              <w:left w:val="nil"/>
              <w:bottom w:val="single" w:color="000000" w:sz="4" w:space="0"/>
              <w:right w:val="single" w:color="000000" w:sz="4" w:space="0"/>
            </w:tcBorders>
            <w:vAlign w:val="center"/>
          </w:tcPr>
          <w:p w14:paraId="250F3536">
            <w:pPr>
              <w:pStyle w:val="29"/>
              <w:rPr>
                <w:rFonts w:ascii="Times New Roman" w:hAnsi="Times New Roman"/>
                <w:color w:val="auto"/>
                <w:highlight w:val="none"/>
                <w:shd w:val="clear"/>
              </w:rPr>
            </w:pPr>
          </w:p>
        </w:tc>
        <w:tc>
          <w:tcPr>
            <w:tcW w:w="862" w:type="pct"/>
            <w:tcBorders>
              <w:top w:val="single" w:color="000000" w:sz="4" w:space="0"/>
              <w:left w:val="nil"/>
              <w:bottom w:val="single" w:color="000000" w:sz="4" w:space="0"/>
              <w:right w:val="single" w:color="000000" w:sz="4" w:space="0"/>
            </w:tcBorders>
            <w:vAlign w:val="center"/>
          </w:tcPr>
          <w:p w14:paraId="53791875">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67AC110D">
            <w:pPr>
              <w:pStyle w:val="29"/>
              <w:rPr>
                <w:rFonts w:ascii="Times New Roman" w:hAnsi="Times New Roman"/>
                <w:color w:val="auto"/>
                <w:highlight w:val="none"/>
                <w:shd w:val="clear"/>
              </w:rPr>
            </w:pPr>
          </w:p>
        </w:tc>
        <w:tc>
          <w:tcPr>
            <w:tcW w:w="872" w:type="pct"/>
            <w:tcBorders>
              <w:top w:val="nil"/>
              <w:left w:val="nil"/>
              <w:bottom w:val="single" w:color="000000" w:sz="4" w:space="0"/>
              <w:right w:val="single" w:color="000000" w:sz="8" w:space="0"/>
            </w:tcBorders>
            <w:vAlign w:val="center"/>
          </w:tcPr>
          <w:p w14:paraId="4F1703AD">
            <w:pPr>
              <w:pStyle w:val="29"/>
              <w:rPr>
                <w:rFonts w:ascii="Times New Roman" w:hAnsi="Times New Roman"/>
                <w:color w:val="auto"/>
                <w:highlight w:val="none"/>
                <w:shd w:val="clear"/>
              </w:rPr>
            </w:pPr>
          </w:p>
        </w:tc>
      </w:tr>
      <w:tr w14:paraId="1A1C66B2">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14:paraId="0EAFA62E">
            <w:pPr>
              <w:pStyle w:val="29"/>
              <w:rPr>
                <w:rFonts w:ascii="Times New Roman" w:hAnsi="Times New Roman"/>
                <w:color w:val="auto"/>
                <w:highlight w:val="none"/>
                <w:shd w:val="clear"/>
              </w:rPr>
            </w:pPr>
          </w:p>
        </w:tc>
        <w:tc>
          <w:tcPr>
            <w:tcW w:w="862" w:type="pct"/>
            <w:tcBorders>
              <w:top w:val="nil"/>
              <w:left w:val="nil"/>
              <w:bottom w:val="single" w:color="000000" w:sz="4" w:space="0"/>
              <w:right w:val="single" w:color="000000" w:sz="4" w:space="0"/>
            </w:tcBorders>
            <w:vAlign w:val="center"/>
          </w:tcPr>
          <w:p w14:paraId="0386E6CA">
            <w:pPr>
              <w:pStyle w:val="29"/>
              <w:rPr>
                <w:rFonts w:ascii="Times New Roman" w:hAnsi="Times New Roman"/>
                <w:color w:val="auto"/>
                <w:highlight w:val="none"/>
                <w:shd w:val="clear"/>
              </w:rPr>
            </w:pPr>
          </w:p>
        </w:tc>
        <w:tc>
          <w:tcPr>
            <w:tcW w:w="1288" w:type="pct"/>
            <w:tcBorders>
              <w:top w:val="single" w:color="000000" w:sz="4" w:space="0"/>
              <w:left w:val="nil"/>
              <w:bottom w:val="single" w:color="000000" w:sz="4" w:space="0"/>
              <w:right w:val="single" w:color="000000" w:sz="4" w:space="0"/>
            </w:tcBorders>
            <w:vAlign w:val="center"/>
          </w:tcPr>
          <w:p w14:paraId="69509013">
            <w:pPr>
              <w:pStyle w:val="29"/>
              <w:rPr>
                <w:rFonts w:ascii="Times New Roman" w:hAnsi="Times New Roman"/>
                <w:color w:val="auto"/>
                <w:highlight w:val="none"/>
                <w:shd w:val="clear"/>
              </w:rPr>
            </w:pPr>
          </w:p>
        </w:tc>
        <w:tc>
          <w:tcPr>
            <w:tcW w:w="862" w:type="pct"/>
            <w:tcBorders>
              <w:top w:val="single" w:color="000000" w:sz="4" w:space="0"/>
              <w:left w:val="nil"/>
              <w:bottom w:val="single" w:color="000000" w:sz="4" w:space="0"/>
              <w:right w:val="single" w:color="000000" w:sz="4" w:space="0"/>
            </w:tcBorders>
            <w:vAlign w:val="center"/>
          </w:tcPr>
          <w:p w14:paraId="52B407B0">
            <w:pPr>
              <w:pStyle w:val="29"/>
              <w:rPr>
                <w:rFonts w:ascii="Times New Roman" w:hAnsi="Times New Roman"/>
                <w:color w:val="auto"/>
                <w:highlight w:val="none"/>
                <w:shd w:val="clear"/>
              </w:rPr>
            </w:pPr>
          </w:p>
        </w:tc>
        <w:tc>
          <w:tcPr>
            <w:tcW w:w="680" w:type="pct"/>
            <w:tcBorders>
              <w:top w:val="single" w:color="000000" w:sz="4" w:space="0"/>
              <w:left w:val="nil"/>
              <w:bottom w:val="single" w:color="000000" w:sz="4" w:space="0"/>
              <w:right w:val="single" w:color="000000" w:sz="4" w:space="0"/>
            </w:tcBorders>
            <w:vAlign w:val="center"/>
          </w:tcPr>
          <w:p w14:paraId="5F97BC28">
            <w:pPr>
              <w:pStyle w:val="29"/>
              <w:rPr>
                <w:rFonts w:ascii="Times New Roman" w:hAnsi="Times New Roman"/>
                <w:color w:val="auto"/>
                <w:highlight w:val="none"/>
                <w:shd w:val="clear"/>
              </w:rPr>
            </w:pPr>
          </w:p>
        </w:tc>
        <w:tc>
          <w:tcPr>
            <w:tcW w:w="872" w:type="pct"/>
            <w:tcBorders>
              <w:top w:val="nil"/>
              <w:left w:val="nil"/>
              <w:bottom w:val="single" w:color="000000" w:sz="4" w:space="0"/>
              <w:right w:val="single" w:color="000000" w:sz="8" w:space="0"/>
            </w:tcBorders>
            <w:vAlign w:val="center"/>
          </w:tcPr>
          <w:p w14:paraId="5B1A46D6">
            <w:pPr>
              <w:pStyle w:val="29"/>
              <w:rPr>
                <w:rFonts w:ascii="Times New Roman" w:hAnsi="Times New Roman"/>
                <w:color w:val="auto"/>
                <w:highlight w:val="none"/>
                <w:shd w:val="clear"/>
              </w:rPr>
            </w:pPr>
          </w:p>
        </w:tc>
      </w:tr>
      <w:tr w14:paraId="11B136FF">
        <w:tblPrEx>
          <w:tblCellMar>
            <w:top w:w="0" w:type="dxa"/>
            <w:left w:w="108" w:type="dxa"/>
            <w:bottom w:w="0" w:type="dxa"/>
            <w:right w:w="108" w:type="dxa"/>
          </w:tblCellMar>
        </w:tblPrEx>
        <w:trPr>
          <w:trHeight w:val="680" w:hRule="atLeast"/>
        </w:trPr>
        <w:tc>
          <w:tcPr>
            <w:tcW w:w="4128" w:type="pct"/>
            <w:gridSpan w:val="5"/>
            <w:tcBorders>
              <w:top w:val="single" w:color="000000" w:sz="4" w:space="0"/>
              <w:left w:val="single" w:color="000000" w:sz="8" w:space="0"/>
              <w:bottom w:val="single" w:color="000000" w:sz="8" w:space="0"/>
              <w:right w:val="single" w:color="000000" w:sz="4" w:space="0"/>
            </w:tcBorders>
            <w:vAlign w:val="center"/>
          </w:tcPr>
          <w:p w14:paraId="4E9C842B">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   计</w:t>
            </w:r>
          </w:p>
        </w:tc>
        <w:tc>
          <w:tcPr>
            <w:tcW w:w="872" w:type="pct"/>
            <w:tcBorders>
              <w:top w:val="nil"/>
              <w:left w:val="nil"/>
              <w:bottom w:val="single" w:color="000000" w:sz="8" w:space="0"/>
              <w:right w:val="single" w:color="000000" w:sz="8" w:space="0"/>
            </w:tcBorders>
            <w:vAlign w:val="center"/>
          </w:tcPr>
          <w:p w14:paraId="658746BA">
            <w:pPr>
              <w:widowControl/>
              <w:jc w:val="right"/>
              <w:rPr>
                <w:rFonts w:ascii="Times New Roman" w:hAnsi="Times New Roman"/>
                <w:color w:val="auto"/>
                <w:kern w:val="0"/>
                <w:highlight w:val="none"/>
                <w:shd w:val="clear"/>
              </w:rPr>
            </w:pPr>
          </w:p>
        </w:tc>
      </w:tr>
    </w:tbl>
    <w:p w14:paraId="56979DEA">
      <w:pPr>
        <w:rPr>
          <w:rFonts w:ascii="Times New Roman" w:hAnsi="Times New Roman"/>
          <w:color w:val="auto"/>
          <w:sz w:val="28"/>
          <w:szCs w:val="28"/>
          <w:highlight w:val="none"/>
          <w:shd w:val="clear"/>
        </w:rPr>
      </w:pPr>
    </w:p>
    <w:p w14:paraId="11920C94">
      <w:pPr>
        <w:pStyle w:val="20"/>
        <w:rPr>
          <w:rStyle w:val="25"/>
          <w:rFonts w:ascii="Times New Roman" w:hAnsi="Times New Roman"/>
          <w:bCs w:val="0"/>
          <w:color w:val="auto"/>
          <w:highlight w:val="none"/>
          <w:shd w:val="clear"/>
          <w:lang w:val="zh-CN"/>
        </w:rPr>
      </w:pPr>
      <w:r>
        <w:rPr>
          <w:rStyle w:val="25"/>
          <w:rFonts w:ascii="Times New Roman" w:hAnsi="Times New Roman"/>
          <w:bCs w:val="0"/>
          <w:color w:val="auto"/>
          <w:highlight w:val="none"/>
          <w:shd w:val="clear"/>
          <w:lang w:val="zh-CN"/>
        </w:rPr>
        <w:t>（九）</w:t>
      </w:r>
      <w:bookmarkEnd w:id="2394"/>
      <w:bookmarkEnd w:id="2395"/>
      <w:r>
        <w:rPr>
          <w:rStyle w:val="25"/>
          <w:rFonts w:ascii="Times New Roman" w:hAnsi="Times New Roman"/>
          <w:bCs w:val="0"/>
          <w:color w:val="auto"/>
          <w:highlight w:val="none"/>
          <w:shd w:val="clear"/>
          <w:lang w:val="zh-CN"/>
        </w:rPr>
        <w:t>其他项目清单与计价汇总表</w:t>
      </w:r>
      <w:bookmarkEnd w:id="2396"/>
      <w:bookmarkEnd w:id="2397"/>
      <w:bookmarkEnd w:id="2398"/>
      <w:bookmarkEnd w:id="2399"/>
      <w:bookmarkEnd w:id="2400"/>
    </w:p>
    <w:p w14:paraId="21A97109">
      <w:pPr>
        <w:pStyle w:val="30"/>
        <w:framePr w:hSpace="0" w:wrap="auto" w:vAnchor="margin" w:hAnchor="text" w:xAlign="left" w:yAlign="inline"/>
        <w:ind w:left="1260" w:hanging="420"/>
        <w:rPr>
          <w:rFonts w:ascii="Times New Roman" w:hAnsi="Times New Roman"/>
          <w:color w:val="auto"/>
          <w:highlight w:val="none"/>
          <w:shd w:val="clear"/>
        </w:rPr>
      </w:pPr>
      <w:bookmarkStart w:id="2401" w:name="_Toc460660247"/>
      <w:bookmarkStart w:id="2402" w:name="_Toc460227132"/>
      <w:bookmarkStart w:id="2403" w:name="_Toc535241136"/>
      <w:bookmarkStart w:id="2404" w:name="_Toc22632"/>
      <w:bookmarkStart w:id="2405" w:name="_Toc7473"/>
      <w:bookmarkStart w:id="2406" w:name="_Toc170805832"/>
      <w:bookmarkStart w:id="2407" w:name="_Toc170805452"/>
      <w:bookmarkStart w:id="2408" w:name="_Toc170804264"/>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1734"/>
        <w:gridCol w:w="4347"/>
        <w:gridCol w:w="3490"/>
      </w:tblGrid>
      <w:tr w14:paraId="7ADE5005">
        <w:tblPrEx>
          <w:tblCellMar>
            <w:top w:w="0" w:type="dxa"/>
            <w:left w:w="108" w:type="dxa"/>
            <w:bottom w:w="0" w:type="dxa"/>
            <w:right w:w="108" w:type="dxa"/>
          </w:tblCellMar>
        </w:tblPrEx>
        <w:trPr>
          <w:trHeight w:val="690" w:hRule="atLeast"/>
        </w:trPr>
        <w:tc>
          <w:tcPr>
            <w:tcW w:w="90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351FB72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2271" w:type="pct"/>
            <w:tcBorders>
              <w:top w:val="single" w:color="000000" w:sz="8" w:space="0"/>
              <w:left w:val="nil"/>
              <w:bottom w:val="single" w:color="000000" w:sz="4" w:space="0"/>
              <w:right w:val="single" w:color="000000" w:sz="4" w:space="0"/>
            </w:tcBorders>
            <w:shd w:val="clear" w:color="FFFFFF" w:fill="FFFFFF"/>
            <w:vAlign w:val="center"/>
          </w:tcPr>
          <w:p w14:paraId="1CC2E9C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1823" w:type="pct"/>
            <w:tcBorders>
              <w:top w:val="single" w:color="000000" w:sz="8" w:space="0"/>
              <w:left w:val="nil"/>
              <w:bottom w:val="single" w:color="000000" w:sz="4" w:space="0"/>
              <w:right w:val="single" w:color="000000" w:sz="8" w:space="0"/>
            </w:tcBorders>
            <w:shd w:val="clear" w:color="FFFFFF" w:fill="FFFFFF"/>
            <w:vAlign w:val="center"/>
          </w:tcPr>
          <w:p w14:paraId="7C8E51A0">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r>
      <w:tr w14:paraId="40DA3C69">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vAlign w:val="center"/>
          </w:tcPr>
          <w:p w14:paraId="3DB0DB69">
            <w:pPr>
              <w:pStyle w:val="29"/>
              <w:rPr>
                <w:rFonts w:ascii="Times New Roman" w:hAnsi="Times New Roman"/>
                <w:color w:val="auto"/>
                <w:highlight w:val="none"/>
                <w:shd w:val="clear"/>
              </w:rPr>
            </w:pPr>
          </w:p>
        </w:tc>
        <w:tc>
          <w:tcPr>
            <w:tcW w:w="2271" w:type="pct"/>
            <w:tcBorders>
              <w:top w:val="single" w:color="000000" w:sz="4" w:space="0"/>
              <w:left w:val="nil"/>
              <w:bottom w:val="single" w:color="000000" w:sz="4" w:space="0"/>
              <w:right w:val="single" w:color="000000" w:sz="4" w:space="0"/>
            </w:tcBorders>
            <w:vAlign w:val="center"/>
          </w:tcPr>
          <w:p w14:paraId="44DE0DE8">
            <w:pPr>
              <w:pStyle w:val="29"/>
              <w:rPr>
                <w:rFonts w:ascii="Times New Roman" w:hAnsi="Times New Roman"/>
                <w:color w:val="auto"/>
                <w:highlight w:val="none"/>
                <w:shd w:val="clear"/>
              </w:rPr>
            </w:pPr>
          </w:p>
        </w:tc>
        <w:tc>
          <w:tcPr>
            <w:tcW w:w="1823" w:type="pct"/>
            <w:tcBorders>
              <w:top w:val="single" w:color="000000" w:sz="4" w:space="0"/>
              <w:left w:val="nil"/>
              <w:bottom w:val="single" w:color="000000" w:sz="4" w:space="0"/>
              <w:right w:val="single" w:color="000000" w:sz="8" w:space="0"/>
            </w:tcBorders>
            <w:vAlign w:val="center"/>
          </w:tcPr>
          <w:p w14:paraId="15C8510E">
            <w:pPr>
              <w:pStyle w:val="29"/>
              <w:rPr>
                <w:rFonts w:ascii="Times New Roman" w:hAnsi="Times New Roman"/>
                <w:color w:val="auto"/>
                <w:highlight w:val="none"/>
                <w:shd w:val="clear"/>
              </w:rPr>
            </w:pPr>
          </w:p>
        </w:tc>
      </w:tr>
      <w:tr w14:paraId="5586356E">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vAlign w:val="center"/>
          </w:tcPr>
          <w:p w14:paraId="0F4C5613">
            <w:pPr>
              <w:pStyle w:val="29"/>
              <w:rPr>
                <w:rFonts w:ascii="Times New Roman" w:hAnsi="Times New Roman"/>
                <w:color w:val="auto"/>
                <w:highlight w:val="none"/>
                <w:shd w:val="clear"/>
              </w:rPr>
            </w:pPr>
          </w:p>
        </w:tc>
        <w:tc>
          <w:tcPr>
            <w:tcW w:w="2271" w:type="pct"/>
            <w:tcBorders>
              <w:top w:val="single" w:color="000000" w:sz="4" w:space="0"/>
              <w:left w:val="nil"/>
              <w:bottom w:val="single" w:color="000000" w:sz="4" w:space="0"/>
              <w:right w:val="single" w:color="000000" w:sz="4" w:space="0"/>
            </w:tcBorders>
            <w:vAlign w:val="center"/>
          </w:tcPr>
          <w:p w14:paraId="7E8EC6C7">
            <w:pPr>
              <w:pStyle w:val="29"/>
              <w:rPr>
                <w:rFonts w:ascii="Times New Roman" w:hAnsi="Times New Roman"/>
                <w:color w:val="auto"/>
                <w:highlight w:val="none"/>
                <w:shd w:val="clear"/>
              </w:rPr>
            </w:pPr>
          </w:p>
        </w:tc>
        <w:tc>
          <w:tcPr>
            <w:tcW w:w="1823" w:type="pct"/>
            <w:tcBorders>
              <w:top w:val="single" w:color="000000" w:sz="4" w:space="0"/>
              <w:left w:val="nil"/>
              <w:bottom w:val="single" w:color="000000" w:sz="4" w:space="0"/>
              <w:right w:val="single" w:color="000000" w:sz="8" w:space="0"/>
            </w:tcBorders>
            <w:vAlign w:val="center"/>
          </w:tcPr>
          <w:p w14:paraId="466CC31E">
            <w:pPr>
              <w:pStyle w:val="29"/>
              <w:rPr>
                <w:rFonts w:ascii="Times New Roman" w:hAnsi="Times New Roman"/>
                <w:color w:val="auto"/>
                <w:highlight w:val="none"/>
                <w:shd w:val="clear"/>
              </w:rPr>
            </w:pPr>
          </w:p>
        </w:tc>
      </w:tr>
      <w:tr w14:paraId="75F6430A">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vAlign w:val="center"/>
          </w:tcPr>
          <w:p w14:paraId="18BCAD82">
            <w:pPr>
              <w:pStyle w:val="29"/>
              <w:rPr>
                <w:rFonts w:ascii="Times New Roman" w:hAnsi="Times New Roman"/>
                <w:color w:val="auto"/>
                <w:highlight w:val="none"/>
                <w:shd w:val="clear"/>
              </w:rPr>
            </w:pPr>
          </w:p>
        </w:tc>
        <w:tc>
          <w:tcPr>
            <w:tcW w:w="2271" w:type="pct"/>
            <w:tcBorders>
              <w:top w:val="single" w:color="000000" w:sz="4" w:space="0"/>
              <w:left w:val="nil"/>
              <w:bottom w:val="single" w:color="000000" w:sz="4" w:space="0"/>
              <w:right w:val="single" w:color="000000" w:sz="4" w:space="0"/>
            </w:tcBorders>
            <w:vAlign w:val="center"/>
          </w:tcPr>
          <w:p w14:paraId="195900F6">
            <w:pPr>
              <w:pStyle w:val="29"/>
              <w:rPr>
                <w:rFonts w:ascii="Times New Roman" w:hAnsi="Times New Roman"/>
                <w:color w:val="auto"/>
                <w:highlight w:val="none"/>
                <w:shd w:val="clear"/>
              </w:rPr>
            </w:pPr>
          </w:p>
        </w:tc>
        <w:tc>
          <w:tcPr>
            <w:tcW w:w="1823" w:type="pct"/>
            <w:tcBorders>
              <w:top w:val="single" w:color="000000" w:sz="4" w:space="0"/>
              <w:left w:val="nil"/>
              <w:bottom w:val="single" w:color="000000" w:sz="4" w:space="0"/>
              <w:right w:val="single" w:color="000000" w:sz="8" w:space="0"/>
            </w:tcBorders>
            <w:vAlign w:val="center"/>
          </w:tcPr>
          <w:p w14:paraId="0686A1B5">
            <w:pPr>
              <w:pStyle w:val="29"/>
              <w:rPr>
                <w:rFonts w:ascii="Times New Roman" w:hAnsi="Times New Roman"/>
                <w:color w:val="auto"/>
                <w:highlight w:val="none"/>
                <w:shd w:val="clear"/>
              </w:rPr>
            </w:pPr>
          </w:p>
        </w:tc>
      </w:tr>
      <w:tr w14:paraId="32DA80CF">
        <w:tblPrEx>
          <w:tblCellMar>
            <w:top w:w="0" w:type="dxa"/>
            <w:left w:w="108" w:type="dxa"/>
            <w:bottom w:w="0" w:type="dxa"/>
            <w:right w:w="108" w:type="dxa"/>
          </w:tblCellMar>
        </w:tblPrEx>
        <w:trPr>
          <w:trHeight w:val="680" w:hRule="atLeast"/>
        </w:trPr>
        <w:tc>
          <w:tcPr>
            <w:tcW w:w="3177" w:type="pct"/>
            <w:gridSpan w:val="2"/>
            <w:tcBorders>
              <w:top w:val="single" w:color="000000" w:sz="4" w:space="0"/>
              <w:left w:val="single" w:color="000000" w:sz="8" w:space="0"/>
              <w:bottom w:val="single" w:color="000000" w:sz="8" w:space="0"/>
              <w:right w:val="single" w:color="000000" w:sz="4" w:space="0"/>
            </w:tcBorders>
            <w:vAlign w:val="center"/>
          </w:tcPr>
          <w:p w14:paraId="0376CFDF">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  计</w:t>
            </w:r>
          </w:p>
        </w:tc>
        <w:tc>
          <w:tcPr>
            <w:tcW w:w="1823" w:type="pct"/>
            <w:tcBorders>
              <w:top w:val="single" w:color="000000" w:sz="4" w:space="0"/>
              <w:left w:val="nil"/>
              <w:bottom w:val="single" w:color="000000" w:sz="8" w:space="0"/>
              <w:right w:val="single" w:color="000000" w:sz="8" w:space="0"/>
            </w:tcBorders>
            <w:vAlign w:val="center"/>
          </w:tcPr>
          <w:p w14:paraId="00114D98">
            <w:pPr>
              <w:widowControl/>
              <w:jc w:val="right"/>
              <w:rPr>
                <w:rFonts w:ascii="Times New Roman" w:hAnsi="Times New Roman"/>
                <w:color w:val="auto"/>
                <w:kern w:val="0"/>
                <w:highlight w:val="none"/>
                <w:shd w:val="clear"/>
              </w:rPr>
            </w:pPr>
          </w:p>
        </w:tc>
      </w:tr>
    </w:tbl>
    <w:p w14:paraId="038C4EB6">
      <w:pPr>
        <w:rPr>
          <w:rFonts w:ascii="Times New Roman" w:hAnsi="Times New Roman" w:eastAsia="黑体" w:cs="仿宋"/>
          <w:snapToGrid w:val="0"/>
          <w:color w:val="auto"/>
          <w:sz w:val="28"/>
          <w:szCs w:val="28"/>
          <w:highlight w:val="none"/>
          <w:shd w:val="clear"/>
        </w:rPr>
      </w:pPr>
    </w:p>
    <w:p w14:paraId="38B43E23">
      <w:pPr>
        <w:pStyle w:val="20"/>
        <w:rPr>
          <w:rStyle w:val="25"/>
          <w:rFonts w:ascii="Times New Roman" w:hAnsi="Times New Roman"/>
          <w:bCs w:val="0"/>
          <w:color w:val="auto"/>
          <w:highlight w:val="none"/>
          <w:shd w:val="clear"/>
          <w:lang w:val="zh-CN"/>
        </w:rPr>
      </w:pPr>
      <w:r>
        <w:rPr>
          <w:rStyle w:val="25"/>
          <w:rFonts w:ascii="Times New Roman" w:hAnsi="Times New Roman"/>
          <w:bCs w:val="0"/>
          <w:color w:val="auto"/>
          <w:highlight w:val="none"/>
          <w:shd w:val="clear"/>
          <w:lang w:val="zh-CN"/>
        </w:rPr>
        <w:t>（十）</w:t>
      </w:r>
      <w:bookmarkEnd w:id="2401"/>
      <w:bookmarkEnd w:id="2402"/>
      <w:r>
        <w:rPr>
          <w:rStyle w:val="25"/>
          <w:rFonts w:ascii="Times New Roman" w:hAnsi="Times New Roman"/>
          <w:bCs w:val="0"/>
          <w:color w:val="auto"/>
          <w:highlight w:val="none"/>
          <w:shd w:val="clear"/>
          <w:lang w:val="zh-CN"/>
        </w:rPr>
        <w:t>暂列金额明细表</w:t>
      </w:r>
      <w:bookmarkEnd w:id="2403"/>
      <w:bookmarkEnd w:id="2404"/>
      <w:bookmarkEnd w:id="2405"/>
      <w:bookmarkEnd w:id="2406"/>
      <w:bookmarkEnd w:id="2407"/>
      <w:bookmarkEnd w:id="2408"/>
    </w:p>
    <w:p w14:paraId="75C08A05">
      <w:pPr>
        <w:pStyle w:val="30"/>
        <w:framePr w:hSpace="0" w:wrap="auto" w:vAnchor="margin" w:hAnchor="text" w:xAlign="left" w:yAlign="inline"/>
        <w:rPr>
          <w:rStyle w:val="25"/>
          <w:rFonts w:ascii="Times New Roman" w:hAnsi="Times New Roman" w:eastAsia="宋体"/>
          <w:bCs w:val="0"/>
          <w:snapToGrid/>
          <w:color w:val="auto"/>
          <w:sz w:val="21"/>
          <w:szCs w:val="24"/>
          <w:highlight w:val="none"/>
          <w:shd w:val="clear"/>
        </w:rPr>
      </w:pPr>
      <w:bookmarkStart w:id="2409" w:name="_Toc171581372"/>
      <w:bookmarkStart w:id="2410" w:name="_Toc171581552"/>
      <w:bookmarkStart w:id="2411" w:name="_Toc460660248"/>
      <w:bookmarkStart w:id="2412" w:name="_Toc171741995"/>
      <w:bookmarkStart w:id="2413" w:name="_Toc44996377"/>
      <w:bookmarkStart w:id="2414" w:name="_Toc17215715"/>
      <w:bookmarkStart w:id="2415" w:name="_Toc460227133"/>
      <w:bookmarkStart w:id="2416" w:name="_Toc170805833"/>
      <w:bookmarkStart w:id="2417" w:name="_Toc535241137"/>
      <w:bookmarkStart w:id="2418" w:name="_Toc170805453"/>
      <w:bookmarkStart w:id="2419" w:name="_Toc4471"/>
      <w:bookmarkStart w:id="2420" w:name="_Toc170804265"/>
      <w:bookmarkStart w:id="2421" w:name="_Toc29703"/>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976"/>
        <w:gridCol w:w="3380"/>
        <w:gridCol w:w="1447"/>
        <w:gridCol w:w="1954"/>
        <w:gridCol w:w="1814"/>
      </w:tblGrid>
      <w:tr w14:paraId="7B5849BB">
        <w:tblPrEx>
          <w:tblCellMar>
            <w:top w:w="0" w:type="dxa"/>
            <w:left w:w="108" w:type="dxa"/>
            <w:bottom w:w="0" w:type="dxa"/>
            <w:right w:w="108" w:type="dxa"/>
          </w:tblCellMar>
        </w:tblPrEx>
        <w:trPr>
          <w:trHeight w:val="690"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767BE2B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766" w:type="pct"/>
            <w:tcBorders>
              <w:top w:val="single" w:color="000000" w:sz="8" w:space="0"/>
              <w:left w:val="nil"/>
              <w:bottom w:val="single" w:color="000000" w:sz="4" w:space="0"/>
              <w:right w:val="single" w:color="000000" w:sz="4" w:space="0"/>
            </w:tcBorders>
            <w:shd w:val="clear" w:color="FFFFFF" w:fill="FFFFFF"/>
            <w:vAlign w:val="center"/>
          </w:tcPr>
          <w:p w14:paraId="09B48A54">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756" w:type="pct"/>
            <w:tcBorders>
              <w:top w:val="single" w:color="000000" w:sz="8" w:space="0"/>
              <w:left w:val="nil"/>
              <w:bottom w:val="single" w:color="000000" w:sz="4" w:space="0"/>
              <w:right w:val="single" w:color="000000" w:sz="4" w:space="0"/>
            </w:tcBorders>
            <w:shd w:val="clear" w:color="FFFFFF" w:fill="FFFFFF"/>
            <w:vAlign w:val="center"/>
          </w:tcPr>
          <w:p w14:paraId="6E2B6CE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计量单位</w:t>
            </w:r>
          </w:p>
        </w:tc>
        <w:tc>
          <w:tcPr>
            <w:tcW w:w="1021" w:type="pct"/>
            <w:tcBorders>
              <w:top w:val="single" w:color="000000" w:sz="8" w:space="0"/>
              <w:left w:val="nil"/>
              <w:bottom w:val="single" w:color="000000" w:sz="4" w:space="0"/>
              <w:right w:val="single" w:color="000000" w:sz="4" w:space="0"/>
            </w:tcBorders>
            <w:shd w:val="clear" w:color="FFFFFF" w:fill="FFFFFF"/>
            <w:vAlign w:val="center"/>
          </w:tcPr>
          <w:p w14:paraId="12FD3F6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暂定金额(元)</w:t>
            </w:r>
          </w:p>
        </w:tc>
        <w:tc>
          <w:tcPr>
            <w:tcW w:w="947" w:type="pct"/>
            <w:tcBorders>
              <w:top w:val="single" w:color="000000" w:sz="8" w:space="0"/>
              <w:left w:val="nil"/>
              <w:bottom w:val="single" w:color="000000" w:sz="4" w:space="0"/>
              <w:right w:val="single" w:color="000000" w:sz="8" w:space="0"/>
            </w:tcBorders>
            <w:shd w:val="clear" w:color="FFFFFF" w:fill="FFFFFF"/>
            <w:vAlign w:val="center"/>
          </w:tcPr>
          <w:p w14:paraId="1875D42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3CE8A6C5">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vAlign w:val="center"/>
          </w:tcPr>
          <w:p w14:paraId="05119747">
            <w:pPr>
              <w:pStyle w:val="29"/>
              <w:rPr>
                <w:rFonts w:ascii="Times New Roman" w:hAnsi="Times New Roman"/>
                <w:color w:val="auto"/>
                <w:highlight w:val="none"/>
                <w:shd w:val="clear"/>
              </w:rPr>
            </w:pPr>
          </w:p>
        </w:tc>
        <w:tc>
          <w:tcPr>
            <w:tcW w:w="1766" w:type="pct"/>
            <w:tcBorders>
              <w:top w:val="single" w:color="000000" w:sz="4" w:space="0"/>
              <w:left w:val="nil"/>
              <w:bottom w:val="single" w:color="000000" w:sz="4" w:space="0"/>
              <w:right w:val="single" w:color="000000" w:sz="4" w:space="0"/>
            </w:tcBorders>
            <w:vAlign w:val="center"/>
          </w:tcPr>
          <w:p w14:paraId="0EE53A84">
            <w:pPr>
              <w:pStyle w:val="29"/>
              <w:rPr>
                <w:rFonts w:ascii="Times New Roman" w:hAnsi="Times New Roman"/>
                <w:color w:val="auto"/>
                <w:highlight w:val="none"/>
                <w:shd w:val="clear"/>
              </w:rPr>
            </w:pPr>
          </w:p>
        </w:tc>
        <w:tc>
          <w:tcPr>
            <w:tcW w:w="756" w:type="pct"/>
            <w:tcBorders>
              <w:top w:val="nil"/>
              <w:left w:val="nil"/>
              <w:bottom w:val="single" w:color="000000" w:sz="4" w:space="0"/>
              <w:right w:val="single" w:color="000000" w:sz="4" w:space="0"/>
            </w:tcBorders>
            <w:vAlign w:val="center"/>
          </w:tcPr>
          <w:p w14:paraId="0B028484">
            <w:pPr>
              <w:pStyle w:val="29"/>
              <w:rPr>
                <w:rFonts w:ascii="Times New Roman" w:hAnsi="Times New Roman"/>
                <w:color w:val="auto"/>
                <w:highlight w:val="none"/>
                <w:shd w:val="clear"/>
              </w:rPr>
            </w:pPr>
          </w:p>
        </w:tc>
        <w:tc>
          <w:tcPr>
            <w:tcW w:w="1021" w:type="pct"/>
            <w:tcBorders>
              <w:top w:val="single" w:color="000000" w:sz="4" w:space="0"/>
              <w:left w:val="nil"/>
              <w:bottom w:val="single" w:color="000000" w:sz="4" w:space="0"/>
              <w:right w:val="single" w:color="000000" w:sz="4" w:space="0"/>
            </w:tcBorders>
            <w:vAlign w:val="center"/>
          </w:tcPr>
          <w:p w14:paraId="7AA27605">
            <w:pPr>
              <w:pStyle w:val="29"/>
              <w:rPr>
                <w:rFonts w:ascii="Times New Roman" w:hAnsi="Times New Roman"/>
                <w:color w:val="auto"/>
                <w:highlight w:val="none"/>
                <w:shd w:val="clear"/>
              </w:rPr>
            </w:pPr>
          </w:p>
        </w:tc>
        <w:tc>
          <w:tcPr>
            <w:tcW w:w="947" w:type="pct"/>
            <w:tcBorders>
              <w:top w:val="nil"/>
              <w:left w:val="nil"/>
              <w:bottom w:val="single" w:color="000000" w:sz="4" w:space="0"/>
              <w:right w:val="single" w:color="000000" w:sz="8" w:space="0"/>
            </w:tcBorders>
            <w:vAlign w:val="center"/>
          </w:tcPr>
          <w:p w14:paraId="45969541">
            <w:pPr>
              <w:pStyle w:val="29"/>
              <w:rPr>
                <w:rFonts w:ascii="Times New Roman" w:hAnsi="Times New Roman"/>
                <w:color w:val="auto"/>
                <w:highlight w:val="none"/>
                <w:shd w:val="clear"/>
              </w:rPr>
            </w:pPr>
          </w:p>
        </w:tc>
      </w:tr>
      <w:tr w14:paraId="018E2720">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vAlign w:val="center"/>
          </w:tcPr>
          <w:p w14:paraId="4452AA55">
            <w:pPr>
              <w:pStyle w:val="29"/>
              <w:rPr>
                <w:rFonts w:ascii="Times New Roman" w:hAnsi="Times New Roman"/>
                <w:color w:val="auto"/>
                <w:highlight w:val="none"/>
                <w:shd w:val="clear"/>
              </w:rPr>
            </w:pPr>
          </w:p>
        </w:tc>
        <w:tc>
          <w:tcPr>
            <w:tcW w:w="1766" w:type="pct"/>
            <w:tcBorders>
              <w:top w:val="single" w:color="000000" w:sz="4" w:space="0"/>
              <w:left w:val="nil"/>
              <w:bottom w:val="single" w:color="000000" w:sz="4" w:space="0"/>
              <w:right w:val="single" w:color="000000" w:sz="4" w:space="0"/>
            </w:tcBorders>
            <w:vAlign w:val="center"/>
          </w:tcPr>
          <w:p w14:paraId="325D65C2">
            <w:pPr>
              <w:pStyle w:val="29"/>
              <w:rPr>
                <w:rFonts w:ascii="Times New Roman" w:hAnsi="Times New Roman"/>
                <w:color w:val="auto"/>
                <w:highlight w:val="none"/>
                <w:shd w:val="clear"/>
              </w:rPr>
            </w:pPr>
          </w:p>
        </w:tc>
        <w:tc>
          <w:tcPr>
            <w:tcW w:w="756" w:type="pct"/>
            <w:tcBorders>
              <w:top w:val="nil"/>
              <w:left w:val="nil"/>
              <w:bottom w:val="single" w:color="000000" w:sz="4" w:space="0"/>
              <w:right w:val="single" w:color="000000" w:sz="4" w:space="0"/>
            </w:tcBorders>
            <w:vAlign w:val="center"/>
          </w:tcPr>
          <w:p w14:paraId="44158603">
            <w:pPr>
              <w:pStyle w:val="29"/>
              <w:rPr>
                <w:rFonts w:ascii="Times New Roman" w:hAnsi="Times New Roman"/>
                <w:color w:val="auto"/>
                <w:highlight w:val="none"/>
                <w:shd w:val="clear"/>
              </w:rPr>
            </w:pPr>
          </w:p>
        </w:tc>
        <w:tc>
          <w:tcPr>
            <w:tcW w:w="1021" w:type="pct"/>
            <w:tcBorders>
              <w:top w:val="single" w:color="000000" w:sz="4" w:space="0"/>
              <w:left w:val="nil"/>
              <w:bottom w:val="single" w:color="000000" w:sz="4" w:space="0"/>
              <w:right w:val="single" w:color="000000" w:sz="4" w:space="0"/>
            </w:tcBorders>
            <w:vAlign w:val="center"/>
          </w:tcPr>
          <w:p w14:paraId="08C30652">
            <w:pPr>
              <w:pStyle w:val="29"/>
              <w:rPr>
                <w:rFonts w:ascii="Times New Roman" w:hAnsi="Times New Roman"/>
                <w:color w:val="auto"/>
                <w:highlight w:val="none"/>
                <w:shd w:val="clear"/>
              </w:rPr>
            </w:pPr>
          </w:p>
        </w:tc>
        <w:tc>
          <w:tcPr>
            <w:tcW w:w="947" w:type="pct"/>
            <w:tcBorders>
              <w:top w:val="nil"/>
              <w:left w:val="nil"/>
              <w:bottom w:val="single" w:color="000000" w:sz="4" w:space="0"/>
              <w:right w:val="single" w:color="000000" w:sz="8" w:space="0"/>
            </w:tcBorders>
            <w:vAlign w:val="center"/>
          </w:tcPr>
          <w:p w14:paraId="3CD63A7A">
            <w:pPr>
              <w:pStyle w:val="29"/>
              <w:rPr>
                <w:rFonts w:ascii="Times New Roman" w:hAnsi="Times New Roman"/>
                <w:color w:val="auto"/>
                <w:highlight w:val="none"/>
                <w:shd w:val="clear"/>
              </w:rPr>
            </w:pPr>
          </w:p>
        </w:tc>
      </w:tr>
      <w:tr w14:paraId="72E5C465">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vAlign w:val="center"/>
          </w:tcPr>
          <w:p w14:paraId="457FB112">
            <w:pPr>
              <w:pStyle w:val="29"/>
              <w:rPr>
                <w:rFonts w:ascii="Times New Roman" w:hAnsi="Times New Roman"/>
                <w:color w:val="auto"/>
                <w:highlight w:val="none"/>
                <w:shd w:val="clear"/>
              </w:rPr>
            </w:pPr>
          </w:p>
        </w:tc>
        <w:tc>
          <w:tcPr>
            <w:tcW w:w="1766" w:type="pct"/>
            <w:tcBorders>
              <w:top w:val="single" w:color="000000" w:sz="4" w:space="0"/>
              <w:left w:val="nil"/>
              <w:bottom w:val="single" w:color="000000" w:sz="4" w:space="0"/>
              <w:right w:val="single" w:color="000000" w:sz="4" w:space="0"/>
            </w:tcBorders>
            <w:vAlign w:val="center"/>
          </w:tcPr>
          <w:p w14:paraId="4EB8CD17">
            <w:pPr>
              <w:pStyle w:val="29"/>
              <w:rPr>
                <w:rFonts w:ascii="Times New Roman" w:hAnsi="Times New Roman"/>
                <w:color w:val="auto"/>
                <w:highlight w:val="none"/>
                <w:shd w:val="clear"/>
              </w:rPr>
            </w:pPr>
          </w:p>
        </w:tc>
        <w:tc>
          <w:tcPr>
            <w:tcW w:w="756" w:type="pct"/>
            <w:tcBorders>
              <w:top w:val="nil"/>
              <w:left w:val="nil"/>
              <w:bottom w:val="single" w:color="000000" w:sz="4" w:space="0"/>
              <w:right w:val="single" w:color="000000" w:sz="4" w:space="0"/>
            </w:tcBorders>
            <w:vAlign w:val="center"/>
          </w:tcPr>
          <w:p w14:paraId="22A0D096">
            <w:pPr>
              <w:pStyle w:val="29"/>
              <w:rPr>
                <w:rFonts w:ascii="Times New Roman" w:hAnsi="Times New Roman"/>
                <w:color w:val="auto"/>
                <w:highlight w:val="none"/>
                <w:shd w:val="clear"/>
              </w:rPr>
            </w:pPr>
          </w:p>
        </w:tc>
        <w:tc>
          <w:tcPr>
            <w:tcW w:w="1021" w:type="pct"/>
            <w:tcBorders>
              <w:top w:val="single" w:color="000000" w:sz="4" w:space="0"/>
              <w:left w:val="nil"/>
              <w:bottom w:val="single" w:color="000000" w:sz="4" w:space="0"/>
              <w:right w:val="single" w:color="000000" w:sz="4" w:space="0"/>
            </w:tcBorders>
            <w:vAlign w:val="center"/>
          </w:tcPr>
          <w:p w14:paraId="0E6ECD2F">
            <w:pPr>
              <w:pStyle w:val="29"/>
              <w:rPr>
                <w:rFonts w:ascii="Times New Roman" w:hAnsi="Times New Roman"/>
                <w:color w:val="auto"/>
                <w:highlight w:val="none"/>
                <w:shd w:val="clear"/>
              </w:rPr>
            </w:pPr>
          </w:p>
        </w:tc>
        <w:tc>
          <w:tcPr>
            <w:tcW w:w="947" w:type="pct"/>
            <w:tcBorders>
              <w:top w:val="nil"/>
              <w:left w:val="nil"/>
              <w:bottom w:val="single" w:color="000000" w:sz="4" w:space="0"/>
              <w:right w:val="single" w:color="000000" w:sz="8" w:space="0"/>
            </w:tcBorders>
            <w:vAlign w:val="center"/>
          </w:tcPr>
          <w:p w14:paraId="4BC22A83">
            <w:pPr>
              <w:pStyle w:val="29"/>
              <w:rPr>
                <w:rFonts w:ascii="Times New Roman" w:hAnsi="Times New Roman"/>
                <w:color w:val="auto"/>
                <w:highlight w:val="none"/>
                <w:shd w:val="clear"/>
              </w:rPr>
            </w:pPr>
          </w:p>
        </w:tc>
      </w:tr>
      <w:tr w14:paraId="6892BE94">
        <w:tblPrEx>
          <w:tblCellMar>
            <w:top w:w="0" w:type="dxa"/>
            <w:left w:w="108" w:type="dxa"/>
            <w:bottom w:w="0" w:type="dxa"/>
            <w:right w:w="108" w:type="dxa"/>
          </w:tblCellMar>
        </w:tblPrEx>
        <w:trPr>
          <w:trHeight w:val="680" w:hRule="atLeast"/>
        </w:trPr>
        <w:tc>
          <w:tcPr>
            <w:tcW w:w="3032" w:type="pct"/>
            <w:gridSpan w:val="3"/>
            <w:tcBorders>
              <w:top w:val="nil"/>
              <w:left w:val="single" w:color="000000" w:sz="8" w:space="0"/>
              <w:bottom w:val="single" w:color="000000" w:sz="4" w:space="0"/>
              <w:right w:val="single" w:color="000000" w:sz="4" w:space="0"/>
            </w:tcBorders>
            <w:vAlign w:val="center"/>
          </w:tcPr>
          <w:p w14:paraId="73AC4A9A">
            <w:pPr>
              <w:pStyle w:val="29"/>
              <w:rPr>
                <w:rFonts w:ascii="Times New Roman" w:hAnsi="Times New Roman"/>
                <w:color w:val="auto"/>
                <w:highlight w:val="none"/>
                <w:shd w:val="clear"/>
              </w:rPr>
            </w:pPr>
            <w:r>
              <w:rPr>
                <w:rFonts w:hint="eastAsia" w:ascii="Times New Roman" w:hAnsi="Times New Roman"/>
                <w:color w:val="auto"/>
                <w:highlight w:val="none"/>
                <w:shd w:val="clear"/>
              </w:rPr>
              <w:t>合  计</w:t>
            </w:r>
          </w:p>
        </w:tc>
        <w:tc>
          <w:tcPr>
            <w:tcW w:w="1021" w:type="pct"/>
            <w:tcBorders>
              <w:top w:val="single" w:color="000000" w:sz="4" w:space="0"/>
              <w:left w:val="nil"/>
              <w:bottom w:val="single" w:color="000000" w:sz="4" w:space="0"/>
              <w:right w:val="single" w:color="000000" w:sz="4" w:space="0"/>
            </w:tcBorders>
            <w:vAlign w:val="center"/>
          </w:tcPr>
          <w:p w14:paraId="33B6F626">
            <w:pPr>
              <w:pStyle w:val="29"/>
              <w:rPr>
                <w:rFonts w:ascii="Times New Roman" w:hAnsi="Times New Roman"/>
                <w:color w:val="auto"/>
                <w:highlight w:val="none"/>
                <w:shd w:val="clear"/>
              </w:rPr>
            </w:pPr>
          </w:p>
        </w:tc>
        <w:tc>
          <w:tcPr>
            <w:tcW w:w="947" w:type="pct"/>
            <w:tcBorders>
              <w:top w:val="nil"/>
              <w:left w:val="nil"/>
              <w:bottom w:val="single" w:color="000000" w:sz="4" w:space="0"/>
              <w:right w:val="single" w:color="000000" w:sz="8" w:space="0"/>
            </w:tcBorders>
            <w:vAlign w:val="center"/>
          </w:tcPr>
          <w:p w14:paraId="0D0DE18E">
            <w:pPr>
              <w:pStyle w:val="29"/>
              <w:rPr>
                <w:rFonts w:ascii="Times New Roman" w:hAnsi="Times New Roman"/>
                <w:color w:val="auto"/>
                <w:highlight w:val="none"/>
                <w:shd w:val="clear"/>
              </w:rPr>
            </w:pPr>
          </w:p>
        </w:tc>
      </w:tr>
    </w:tbl>
    <w:p w14:paraId="60A6243B">
      <w:pPr>
        <w:pStyle w:val="20"/>
        <w:rPr>
          <w:rStyle w:val="25"/>
          <w:rFonts w:ascii="Times New Roman" w:hAnsi="Times New Roman"/>
          <w:bCs w:val="0"/>
          <w:color w:val="auto"/>
          <w:highlight w:val="none"/>
          <w:shd w:val="clear"/>
        </w:rPr>
      </w:pPr>
    </w:p>
    <w:p w14:paraId="60C8DDEC">
      <w:pPr>
        <w:widowControl/>
        <w:jc w:val="left"/>
        <w:rPr>
          <w:rStyle w:val="25"/>
          <w:rFonts w:ascii="Times New Roman" w:hAnsi="Times New Roman"/>
          <w:bCs w:val="0"/>
          <w:snapToGrid/>
          <w:color w:val="auto"/>
          <w:highlight w:val="none"/>
          <w:shd w:val="clear"/>
          <w:lang w:val="zh-CN"/>
        </w:rPr>
      </w:pPr>
      <w:r>
        <w:rPr>
          <w:rStyle w:val="25"/>
          <w:rFonts w:ascii="Times New Roman" w:hAnsi="Times New Roman"/>
          <w:bCs w:val="0"/>
          <w:color w:val="auto"/>
          <w:highlight w:val="none"/>
          <w:shd w:val="clear"/>
          <w:lang w:val="zh-CN"/>
        </w:rPr>
        <w:br w:type="page"/>
      </w:r>
    </w:p>
    <w:p w14:paraId="14F6958E">
      <w:pPr>
        <w:pStyle w:val="20"/>
        <w:rPr>
          <w:rStyle w:val="25"/>
          <w:rFonts w:ascii="Times New Roman" w:hAnsi="Times New Roman"/>
          <w:bCs w:val="0"/>
          <w:color w:val="auto"/>
          <w:highlight w:val="none"/>
          <w:shd w:val="clear"/>
          <w:lang w:val="zh-CN"/>
        </w:rPr>
      </w:pPr>
      <w:r>
        <w:rPr>
          <w:rStyle w:val="25"/>
          <w:rFonts w:ascii="Times New Roman" w:hAnsi="Times New Roman"/>
          <w:bCs w:val="0"/>
          <w:color w:val="auto"/>
          <w:highlight w:val="none"/>
          <w:shd w:val="clear"/>
          <w:lang w:val="zh-CN"/>
        </w:rPr>
        <w:t>（十一）</w:t>
      </w:r>
      <w:bookmarkEnd w:id="2409"/>
      <w:bookmarkEnd w:id="2410"/>
      <w:bookmarkEnd w:id="2411"/>
      <w:bookmarkEnd w:id="2412"/>
      <w:bookmarkEnd w:id="2413"/>
      <w:bookmarkEnd w:id="2414"/>
      <w:bookmarkEnd w:id="2415"/>
      <w:r>
        <w:rPr>
          <w:rStyle w:val="25"/>
          <w:rFonts w:ascii="Times New Roman" w:hAnsi="Times New Roman"/>
          <w:bCs w:val="0"/>
          <w:color w:val="auto"/>
          <w:highlight w:val="none"/>
          <w:shd w:val="clear"/>
          <w:lang w:val="zh-CN"/>
        </w:rPr>
        <w:t>专业工程暂估价计价表</w:t>
      </w:r>
      <w:bookmarkEnd w:id="2416"/>
      <w:bookmarkEnd w:id="2417"/>
      <w:bookmarkEnd w:id="2418"/>
      <w:bookmarkEnd w:id="2419"/>
      <w:bookmarkEnd w:id="2420"/>
      <w:bookmarkEnd w:id="2421"/>
    </w:p>
    <w:p w14:paraId="52D434DD">
      <w:pPr>
        <w:pStyle w:val="30"/>
        <w:framePr w:hSpace="0" w:wrap="auto" w:vAnchor="margin" w:hAnchor="text" w:xAlign="left" w:yAlign="inline"/>
        <w:rPr>
          <w:rFonts w:ascii="Times New Roman" w:hAnsi="Times New Roman"/>
          <w:color w:val="auto"/>
          <w:highlight w:val="none"/>
          <w:shd w:val="clear"/>
        </w:rPr>
      </w:pPr>
      <w:bookmarkStart w:id="2422" w:name="_Toc171581553"/>
      <w:bookmarkStart w:id="2423" w:name="_Toc171581373"/>
      <w:bookmarkStart w:id="2424" w:name="_Toc171741996"/>
      <w:bookmarkStart w:id="2425" w:name="_Toc460227134"/>
      <w:bookmarkStart w:id="2426" w:name="_Toc460660249"/>
      <w:bookmarkStart w:id="2427" w:name="_Toc535241138"/>
      <w:bookmarkStart w:id="2428" w:name="_Toc170804266"/>
      <w:bookmarkStart w:id="2429" w:name="_Toc170805834"/>
      <w:bookmarkStart w:id="2430" w:name="_Toc24485"/>
      <w:bookmarkStart w:id="2431" w:name="_Toc170805454"/>
      <w:bookmarkStart w:id="2432" w:name="_Toc12250"/>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969"/>
        <w:gridCol w:w="2867"/>
        <w:gridCol w:w="2383"/>
        <w:gridCol w:w="1918"/>
        <w:gridCol w:w="1434"/>
      </w:tblGrid>
      <w:tr w14:paraId="117B38F0">
        <w:tblPrEx>
          <w:tblCellMar>
            <w:top w:w="0" w:type="dxa"/>
            <w:left w:w="108" w:type="dxa"/>
            <w:bottom w:w="0" w:type="dxa"/>
            <w:right w:w="108" w:type="dxa"/>
          </w:tblCellMar>
        </w:tblPrEx>
        <w:trPr>
          <w:trHeight w:val="690" w:hRule="atLeast"/>
        </w:trPr>
        <w:tc>
          <w:tcPr>
            <w:tcW w:w="50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31FCD8A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498" w:type="pct"/>
            <w:tcBorders>
              <w:top w:val="single" w:color="000000" w:sz="8" w:space="0"/>
              <w:left w:val="nil"/>
              <w:bottom w:val="single" w:color="000000" w:sz="4" w:space="0"/>
              <w:right w:val="single" w:color="000000" w:sz="4" w:space="0"/>
            </w:tcBorders>
            <w:shd w:val="clear" w:color="FFFFFF" w:fill="FFFFFF"/>
            <w:vAlign w:val="center"/>
          </w:tcPr>
          <w:p w14:paraId="4C114F3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工程名称</w:t>
            </w:r>
          </w:p>
        </w:tc>
        <w:tc>
          <w:tcPr>
            <w:tcW w:w="1245" w:type="pct"/>
            <w:tcBorders>
              <w:top w:val="single" w:color="000000" w:sz="8" w:space="0"/>
              <w:left w:val="nil"/>
              <w:bottom w:val="single" w:color="000000" w:sz="4" w:space="0"/>
              <w:right w:val="single" w:color="000000" w:sz="4" w:space="0"/>
            </w:tcBorders>
            <w:shd w:val="clear" w:color="FFFFFF" w:fill="FFFFFF"/>
            <w:vAlign w:val="center"/>
          </w:tcPr>
          <w:p w14:paraId="4F19FB0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工程内容</w:t>
            </w:r>
          </w:p>
        </w:tc>
        <w:tc>
          <w:tcPr>
            <w:tcW w:w="1002" w:type="pct"/>
            <w:tcBorders>
              <w:top w:val="single" w:color="000000" w:sz="8" w:space="0"/>
              <w:left w:val="nil"/>
              <w:bottom w:val="single" w:color="000000" w:sz="4" w:space="0"/>
              <w:right w:val="single" w:color="000000" w:sz="4" w:space="0"/>
            </w:tcBorders>
            <w:shd w:val="clear" w:color="FFFFFF" w:fill="FFFFFF"/>
            <w:vAlign w:val="center"/>
          </w:tcPr>
          <w:p w14:paraId="32C01EE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c>
          <w:tcPr>
            <w:tcW w:w="749" w:type="pct"/>
            <w:tcBorders>
              <w:top w:val="single" w:color="000000" w:sz="8" w:space="0"/>
              <w:left w:val="nil"/>
              <w:bottom w:val="single" w:color="000000" w:sz="4" w:space="0"/>
              <w:right w:val="single" w:color="000000" w:sz="8" w:space="0"/>
            </w:tcBorders>
            <w:shd w:val="clear" w:color="FFFFFF" w:fill="FFFFFF"/>
            <w:vAlign w:val="center"/>
          </w:tcPr>
          <w:p w14:paraId="0F6E31DA">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4E0AE775">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vAlign w:val="center"/>
          </w:tcPr>
          <w:p w14:paraId="3F440044">
            <w:pPr>
              <w:pStyle w:val="29"/>
              <w:rPr>
                <w:rFonts w:ascii="Times New Roman" w:hAnsi="Times New Roman"/>
                <w:color w:val="auto"/>
                <w:highlight w:val="none"/>
                <w:shd w:val="clear"/>
              </w:rPr>
            </w:pPr>
          </w:p>
        </w:tc>
        <w:tc>
          <w:tcPr>
            <w:tcW w:w="1498" w:type="pct"/>
            <w:tcBorders>
              <w:top w:val="single" w:color="000000" w:sz="4" w:space="0"/>
              <w:left w:val="nil"/>
              <w:bottom w:val="single" w:color="000000" w:sz="4" w:space="0"/>
              <w:right w:val="single" w:color="000000" w:sz="4" w:space="0"/>
            </w:tcBorders>
            <w:vAlign w:val="center"/>
          </w:tcPr>
          <w:p w14:paraId="2ECB0992">
            <w:pPr>
              <w:pStyle w:val="29"/>
              <w:rPr>
                <w:rFonts w:ascii="Times New Roman" w:hAnsi="Times New Roman"/>
                <w:color w:val="auto"/>
                <w:highlight w:val="none"/>
                <w:shd w:val="clear"/>
              </w:rPr>
            </w:pPr>
          </w:p>
        </w:tc>
        <w:tc>
          <w:tcPr>
            <w:tcW w:w="1245" w:type="pct"/>
            <w:tcBorders>
              <w:top w:val="single" w:color="000000" w:sz="4" w:space="0"/>
              <w:left w:val="nil"/>
              <w:bottom w:val="single" w:color="000000" w:sz="4" w:space="0"/>
              <w:right w:val="single" w:color="000000" w:sz="4" w:space="0"/>
            </w:tcBorders>
            <w:vAlign w:val="center"/>
          </w:tcPr>
          <w:p w14:paraId="3E3AE9D9">
            <w:pPr>
              <w:pStyle w:val="29"/>
              <w:rPr>
                <w:rFonts w:ascii="Times New Roman" w:hAnsi="Times New Roman"/>
                <w:color w:val="auto"/>
                <w:highlight w:val="none"/>
                <w:shd w:val="clear"/>
              </w:rPr>
            </w:pPr>
          </w:p>
        </w:tc>
        <w:tc>
          <w:tcPr>
            <w:tcW w:w="1002" w:type="pct"/>
            <w:tcBorders>
              <w:top w:val="single" w:color="000000" w:sz="4" w:space="0"/>
              <w:left w:val="nil"/>
              <w:bottom w:val="single" w:color="000000" w:sz="4" w:space="0"/>
              <w:right w:val="single" w:color="000000" w:sz="4" w:space="0"/>
            </w:tcBorders>
            <w:vAlign w:val="center"/>
          </w:tcPr>
          <w:p w14:paraId="752A126E">
            <w:pPr>
              <w:pStyle w:val="29"/>
              <w:rPr>
                <w:rFonts w:ascii="Times New Roman" w:hAnsi="Times New Roman"/>
                <w:color w:val="auto"/>
                <w:highlight w:val="none"/>
                <w:shd w:val="clear"/>
              </w:rPr>
            </w:pPr>
          </w:p>
        </w:tc>
        <w:tc>
          <w:tcPr>
            <w:tcW w:w="749" w:type="pct"/>
            <w:tcBorders>
              <w:top w:val="nil"/>
              <w:left w:val="nil"/>
              <w:bottom w:val="single" w:color="000000" w:sz="4" w:space="0"/>
              <w:right w:val="single" w:color="000000" w:sz="8" w:space="0"/>
            </w:tcBorders>
            <w:vAlign w:val="center"/>
          </w:tcPr>
          <w:p w14:paraId="6A11F5AD">
            <w:pPr>
              <w:pStyle w:val="29"/>
              <w:rPr>
                <w:rFonts w:ascii="Times New Roman" w:hAnsi="Times New Roman"/>
                <w:color w:val="auto"/>
                <w:highlight w:val="none"/>
                <w:shd w:val="clear"/>
              </w:rPr>
            </w:pPr>
          </w:p>
        </w:tc>
      </w:tr>
      <w:tr w14:paraId="65EDCA12">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vAlign w:val="center"/>
          </w:tcPr>
          <w:p w14:paraId="135E45C7">
            <w:pPr>
              <w:pStyle w:val="29"/>
              <w:rPr>
                <w:rFonts w:ascii="Times New Roman" w:hAnsi="Times New Roman"/>
                <w:color w:val="auto"/>
                <w:highlight w:val="none"/>
                <w:shd w:val="clear"/>
              </w:rPr>
            </w:pPr>
          </w:p>
        </w:tc>
        <w:tc>
          <w:tcPr>
            <w:tcW w:w="1498" w:type="pct"/>
            <w:tcBorders>
              <w:top w:val="single" w:color="000000" w:sz="4" w:space="0"/>
              <w:left w:val="nil"/>
              <w:bottom w:val="single" w:color="000000" w:sz="4" w:space="0"/>
              <w:right w:val="single" w:color="000000" w:sz="4" w:space="0"/>
            </w:tcBorders>
            <w:vAlign w:val="center"/>
          </w:tcPr>
          <w:p w14:paraId="22A7A7B4">
            <w:pPr>
              <w:pStyle w:val="29"/>
              <w:rPr>
                <w:rFonts w:ascii="Times New Roman" w:hAnsi="Times New Roman"/>
                <w:color w:val="auto"/>
                <w:highlight w:val="none"/>
                <w:shd w:val="clear"/>
              </w:rPr>
            </w:pPr>
          </w:p>
        </w:tc>
        <w:tc>
          <w:tcPr>
            <w:tcW w:w="1245" w:type="pct"/>
            <w:tcBorders>
              <w:top w:val="single" w:color="000000" w:sz="4" w:space="0"/>
              <w:left w:val="nil"/>
              <w:bottom w:val="single" w:color="000000" w:sz="4" w:space="0"/>
              <w:right w:val="single" w:color="000000" w:sz="4" w:space="0"/>
            </w:tcBorders>
            <w:vAlign w:val="center"/>
          </w:tcPr>
          <w:p w14:paraId="14D97803">
            <w:pPr>
              <w:pStyle w:val="29"/>
              <w:rPr>
                <w:rFonts w:ascii="Times New Roman" w:hAnsi="Times New Roman"/>
                <w:color w:val="auto"/>
                <w:highlight w:val="none"/>
                <w:shd w:val="clear"/>
              </w:rPr>
            </w:pPr>
          </w:p>
        </w:tc>
        <w:tc>
          <w:tcPr>
            <w:tcW w:w="1002" w:type="pct"/>
            <w:tcBorders>
              <w:top w:val="single" w:color="000000" w:sz="4" w:space="0"/>
              <w:left w:val="nil"/>
              <w:bottom w:val="single" w:color="000000" w:sz="4" w:space="0"/>
              <w:right w:val="single" w:color="000000" w:sz="4" w:space="0"/>
            </w:tcBorders>
            <w:vAlign w:val="center"/>
          </w:tcPr>
          <w:p w14:paraId="75DDD9D6">
            <w:pPr>
              <w:pStyle w:val="29"/>
              <w:rPr>
                <w:rFonts w:ascii="Times New Roman" w:hAnsi="Times New Roman"/>
                <w:color w:val="auto"/>
                <w:highlight w:val="none"/>
                <w:shd w:val="clear"/>
              </w:rPr>
            </w:pPr>
          </w:p>
        </w:tc>
        <w:tc>
          <w:tcPr>
            <w:tcW w:w="749" w:type="pct"/>
            <w:tcBorders>
              <w:top w:val="nil"/>
              <w:left w:val="nil"/>
              <w:bottom w:val="single" w:color="000000" w:sz="4" w:space="0"/>
              <w:right w:val="single" w:color="000000" w:sz="8" w:space="0"/>
            </w:tcBorders>
            <w:vAlign w:val="center"/>
          </w:tcPr>
          <w:p w14:paraId="5AFAE346">
            <w:pPr>
              <w:pStyle w:val="29"/>
              <w:rPr>
                <w:rFonts w:ascii="Times New Roman" w:hAnsi="Times New Roman"/>
                <w:color w:val="auto"/>
                <w:highlight w:val="none"/>
                <w:shd w:val="clear"/>
              </w:rPr>
            </w:pPr>
          </w:p>
        </w:tc>
      </w:tr>
      <w:tr w14:paraId="143F849D">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vAlign w:val="center"/>
          </w:tcPr>
          <w:p w14:paraId="6E6E05FA">
            <w:pPr>
              <w:pStyle w:val="29"/>
              <w:rPr>
                <w:rFonts w:ascii="Times New Roman" w:hAnsi="Times New Roman"/>
                <w:color w:val="auto"/>
                <w:highlight w:val="none"/>
                <w:shd w:val="clear"/>
              </w:rPr>
            </w:pPr>
          </w:p>
        </w:tc>
        <w:tc>
          <w:tcPr>
            <w:tcW w:w="1498" w:type="pct"/>
            <w:tcBorders>
              <w:top w:val="single" w:color="000000" w:sz="4" w:space="0"/>
              <w:left w:val="nil"/>
              <w:bottom w:val="single" w:color="000000" w:sz="4" w:space="0"/>
              <w:right w:val="single" w:color="000000" w:sz="4" w:space="0"/>
            </w:tcBorders>
            <w:vAlign w:val="center"/>
          </w:tcPr>
          <w:p w14:paraId="0DE8482D">
            <w:pPr>
              <w:pStyle w:val="29"/>
              <w:rPr>
                <w:rFonts w:ascii="Times New Roman" w:hAnsi="Times New Roman"/>
                <w:color w:val="auto"/>
                <w:highlight w:val="none"/>
                <w:shd w:val="clear"/>
              </w:rPr>
            </w:pPr>
          </w:p>
        </w:tc>
        <w:tc>
          <w:tcPr>
            <w:tcW w:w="1245" w:type="pct"/>
            <w:tcBorders>
              <w:top w:val="single" w:color="000000" w:sz="4" w:space="0"/>
              <w:left w:val="nil"/>
              <w:bottom w:val="single" w:color="000000" w:sz="4" w:space="0"/>
              <w:right w:val="single" w:color="000000" w:sz="4" w:space="0"/>
            </w:tcBorders>
            <w:vAlign w:val="center"/>
          </w:tcPr>
          <w:p w14:paraId="23259FAB">
            <w:pPr>
              <w:pStyle w:val="29"/>
              <w:rPr>
                <w:rFonts w:ascii="Times New Roman" w:hAnsi="Times New Roman"/>
                <w:color w:val="auto"/>
                <w:highlight w:val="none"/>
                <w:shd w:val="clear"/>
              </w:rPr>
            </w:pPr>
          </w:p>
        </w:tc>
        <w:tc>
          <w:tcPr>
            <w:tcW w:w="1002" w:type="pct"/>
            <w:tcBorders>
              <w:top w:val="single" w:color="000000" w:sz="4" w:space="0"/>
              <w:left w:val="nil"/>
              <w:bottom w:val="single" w:color="000000" w:sz="4" w:space="0"/>
              <w:right w:val="single" w:color="000000" w:sz="4" w:space="0"/>
            </w:tcBorders>
            <w:vAlign w:val="center"/>
          </w:tcPr>
          <w:p w14:paraId="756B3B3C">
            <w:pPr>
              <w:pStyle w:val="29"/>
              <w:rPr>
                <w:rFonts w:ascii="Times New Roman" w:hAnsi="Times New Roman"/>
                <w:color w:val="auto"/>
                <w:highlight w:val="none"/>
                <w:shd w:val="clear"/>
              </w:rPr>
            </w:pPr>
          </w:p>
        </w:tc>
        <w:tc>
          <w:tcPr>
            <w:tcW w:w="749" w:type="pct"/>
            <w:tcBorders>
              <w:top w:val="nil"/>
              <w:left w:val="nil"/>
              <w:bottom w:val="single" w:color="000000" w:sz="4" w:space="0"/>
              <w:right w:val="single" w:color="000000" w:sz="8" w:space="0"/>
            </w:tcBorders>
            <w:vAlign w:val="center"/>
          </w:tcPr>
          <w:p w14:paraId="2DCC5E04">
            <w:pPr>
              <w:pStyle w:val="29"/>
              <w:rPr>
                <w:rFonts w:ascii="Times New Roman" w:hAnsi="Times New Roman"/>
                <w:color w:val="auto"/>
                <w:highlight w:val="none"/>
                <w:shd w:val="clear"/>
              </w:rPr>
            </w:pPr>
          </w:p>
        </w:tc>
      </w:tr>
      <w:tr w14:paraId="70657015">
        <w:tblPrEx>
          <w:tblCellMar>
            <w:top w:w="0" w:type="dxa"/>
            <w:left w:w="108" w:type="dxa"/>
            <w:bottom w:w="0" w:type="dxa"/>
            <w:right w:w="108" w:type="dxa"/>
          </w:tblCellMar>
        </w:tblPrEx>
        <w:trPr>
          <w:trHeight w:val="680" w:hRule="atLeast"/>
        </w:trPr>
        <w:tc>
          <w:tcPr>
            <w:tcW w:w="3249" w:type="pct"/>
            <w:gridSpan w:val="3"/>
            <w:tcBorders>
              <w:top w:val="nil"/>
              <w:left w:val="single" w:color="000000" w:sz="8" w:space="0"/>
              <w:bottom w:val="single" w:color="000000" w:sz="4" w:space="0"/>
              <w:right w:val="single" w:color="000000" w:sz="4" w:space="0"/>
            </w:tcBorders>
            <w:vAlign w:val="center"/>
          </w:tcPr>
          <w:p w14:paraId="63CF479C">
            <w:pPr>
              <w:pStyle w:val="29"/>
              <w:rPr>
                <w:rFonts w:ascii="Times New Roman" w:hAnsi="Times New Roman"/>
                <w:color w:val="auto"/>
                <w:highlight w:val="none"/>
                <w:shd w:val="clear"/>
              </w:rPr>
            </w:pPr>
            <w:r>
              <w:rPr>
                <w:rFonts w:hint="eastAsia" w:ascii="Times New Roman" w:hAnsi="Times New Roman"/>
                <w:color w:val="auto"/>
                <w:highlight w:val="none"/>
                <w:shd w:val="clear"/>
              </w:rPr>
              <w:t>合  计</w:t>
            </w:r>
          </w:p>
        </w:tc>
        <w:tc>
          <w:tcPr>
            <w:tcW w:w="1002" w:type="pct"/>
            <w:tcBorders>
              <w:top w:val="single" w:color="000000" w:sz="4" w:space="0"/>
              <w:left w:val="nil"/>
              <w:bottom w:val="single" w:color="000000" w:sz="4" w:space="0"/>
              <w:right w:val="single" w:color="000000" w:sz="4" w:space="0"/>
            </w:tcBorders>
            <w:vAlign w:val="center"/>
          </w:tcPr>
          <w:p w14:paraId="21FB1DF1">
            <w:pPr>
              <w:pStyle w:val="29"/>
              <w:rPr>
                <w:rFonts w:ascii="Times New Roman" w:hAnsi="Times New Roman"/>
                <w:color w:val="auto"/>
                <w:highlight w:val="none"/>
                <w:shd w:val="clear"/>
              </w:rPr>
            </w:pPr>
          </w:p>
        </w:tc>
        <w:tc>
          <w:tcPr>
            <w:tcW w:w="749" w:type="pct"/>
            <w:tcBorders>
              <w:top w:val="nil"/>
              <w:left w:val="nil"/>
              <w:bottom w:val="single" w:color="000000" w:sz="4" w:space="0"/>
              <w:right w:val="single" w:color="000000" w:sz="8" w:space="0"/>
            </w:tcBorders>
            <w:vAlign w:val="center"/>
          </w:tcPr>
          <w:p w14:paraId="39B85A1A">
            <w:pPr>
              <w:pStyle w:val="29"/>
              <w:rPr>
                <w:rFonts w:ascii="Times New Roman" w:hAnsi="Times New Roman"/>
                <w:color w:val="auto"/>
                <w:highlight w:val="none"/>
                <w:shd w:val="clear"/>
              </w:rPr>
            </w:pPr>
          </w:p>
        </w:tc>
      </w:tr>
    </w:tbl>
    <w:p w14:paraId="7E89D142">
      <w:pPr>
        <w:rPr>
          <w:rStyle w:val="25"/>
          <w:rFonts w:ascii="Times New Roman" w:hAnsi="Times New Roman"/>
          <w:bCs w:val="0"/>
          <w:color w:val="auto"/>
          <w:highlight w:val="none"/>
          <w:shd w:val="clear"/>
        </w:rPr>
      </w:pPr>
    </w:p>
    <w:p w14:paraId="082DC618">
      <w:pPr>
        <w:pStyle w:val="20"/>
        <w:rPr>
          <w:rStyle w:val="25"/>
          <w:rFonts w:ascii="Times New Roman" w:hAnsi="Times New Roman"/>
          <w:bCs w:val="0"/>
          <w:color w:val="auto"/>
          <w:highlight w:val="none"/>
          <w:shd w:val="clear"/>
          <w:lang w:val="zh-CN"/>
        </w:rPr>
      </w:pPr>
      <w:r>
        <w:rPr>
          <w:rStyle w:val="25"/>
          <w:rFonts w:ascii="Times New Roman" w:hAnsi="Times New Roman"/>
          <w:bCs w:val="0"/>
          <w:color w:val="auto"/>
          <w:highlight w:val="none"/>
          <w:shd w:val="clear"/>
          <w:lang w:val="zh-CN"/>
        </w:rPr>
        <w:t>（十二）</w:t>
      </w:r>
      <w:bookmarkEnd w:id="2422"/>
      <w:bookmarkEnd w:id="2423"/>
      <w:bookmarkEnd w:id="2424"/>
      <w:bookmarkEnd w:id="2425"/>
      <w:bookmarkEnd w:id="2426"/>
      <w:r>
        <w:rPr>
          <w:rStyle w:val="25"/>
          <w:rFonts w:ascii="Times New Roman" w:hAnsi="Times New Roman"/>
          <w:bCs w:val="0"/>
          <w:color w:val="auto"/>
          <w:highlight w:val="none"/>
          <w:shd w:val="clear"/>
          <w:lang w:val="zh-CN"/>
        </w:rPr>
        <w:t>计日工表</w:t>
      </w:r>
      <w:bookmarkEnd w:id="2427"/>
      <w:bookmarkEnd w:id="2428"/>
      <w:bookmarkEnd w:id="2429"/>
      <w:bookmarkEnd w:id="2430"/>
      <w:bookmarkEnd w:id="2431"/>
      <w:bookmarkEnd w:id="2432"/>
    </w:p>
    <w:p w14:paraId="53849F92">
      <w:pPr>
        <w:pStyle w:val="30"/>
        <w:framePr w:hSpace="0" w:wrap="auto" w:vAnchor="margin" w:hAnchor="text" w:xAlign="left" w:yAlign="inline"/>
        <w:ind w:left="1260" w:hanging="420"/>
        <w:rPr>
          <w:rFonts w:ascii="Times New Roman" w:hAnsi="Times New Roman"/>
          <w:color w:val="auto"/>
          <w:highlight w:val="none"/>
          <w:shd w:val="clear"/>
        </w:rPr>
      </w:pPr>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681"/>
        <w:gridCol w:w="3403"/>
        <w:gridCol w:w="1372"/>
        <w:gridCol w:w="1372"/>
        <w:gridCol w:w="1373"/>
        <w:gridCol w:w="1370"/>
      </w:tblGrid>
      <w:tr w14:paraId="29F95F17">
        <w:tblPrEx>
          <w:tblCellMar>
            <w:top w:w="0" w:type="dxa"/>
            <w:left w:w="108" w:type="dxa"/>
            <w:bottom w:w="0" w:type="dxa"/>
            <w:right w:w="108" w:type="dxa"/>
          </w:tblCellMar>
        </w:tblPrEx>
        <w:trPr>
          <w:trHeight w:val="567" w:hRule="atLeast"/>
        </w:trPr>
        <w:tc>
          <w:tcPr>
            <w:tcW w:w="35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4BDC680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编码</w:t>
            </w:r>
          </w:p>
        </w:tc>
        <w:tc>
          <w:tcPr>
            <w:tcW w:w="1778" w:type="pct"/>
            <w:tcBorders>
              <w:top w:val="single" w:color="000000" w:sz="8" w:space="0"/>
              <w:left w:val="nil"/>
              <w:bottom w:val="single" w:color="000000" w:sz="4" w:space="0"/>
              <w:right w:val="single" w:color="000000" w:sz="4" w:space="0"/>
            </w:tcBorders>
            <w:shd w:val="clear" w:color="FFFFFF" w:fill="FFFFFF"/>
            <w:vAlign w:val="center"/>
          </w:tcPr>
          <w:p w14:paraId="61904D61">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717" w:type="pct"/>
            <w:tcBorders>
              <w:top w:val="single" w:color="000000" w:sz="8" w:space="0"/>
              <w:left w:val="nil"/>
              <w:bottom w:val="single" w:color="000000" w:sz="4" w:space="0"/>
              <w:right w:val="single" w:color="000000" w:sz="4" w:space="0"/>
            </w:tcBorders>
            <w:shd w:val="clear" w:color="FFFFFF" w:fill="FFFFFF"/>
            <w:vAlign w:val="center"/>
          </w:tcPr>
          <w:p w14:paraId="77F564D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单位</w:t>
            </w:r>
          </w:p>
        </w:tc>
        <w:tc>
          <w:tcPr>
            <w:tcW w:w="717" w:type="pct"/>
            <w:tcBorders>
              <w:top w:val="single" w:color="000000" w:sz="8" w:space="0"/>
              <w:left w:val="nil"/>
              <w:bottom w:val="single" w:color="000000" w:sz="4" w:space="0"/>
              <w:right w:val="single" w:color="000000" w:sz="4" w:space="0"/>
            </w:tcBorders>
            <w:shd w:val="clear" w:color="FFFFFF" w:fill="FFFFFF"/>
            <w:vAlign w:val="center"/>
          </w:tcPr>
          <w:p w14:paraId="1C2A8DC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717" w:type="pct"/>
            <w:tcBorders>
              <w:top w:val="single" w:color="000000" w:sz="8" w:space="0"/>
              <w:left w:val="nil"/>
              <w:bottom w:val="single" w:color="000000" w:sz="4" w:space="0"/>
              <w:right w:val="single" w:color="000000" w:sz="4" w:space="0"/>
            </w:tcBorders>
            <w:shd w:val="clear" w:color="FFFFFF" w:fill="FFFFFF"/>
            <w:vAlign w:val="center"/>
          </w:tcPr>
          <w:p w14:paraId="278F01D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综合单价</w:t>
            </w:r>
          </w:p>
        </w:tc>
        <w:tc>
          <w:tcPr>
            <w:tcW w:w="715" w:type="pct"/>
            <w:tcBorders>
              <w:top w:val="single" w:color="000000" w:sz="8" w:space="0"/>
              <w:left w:val="nil"/>
              <w:bottom w:val="single" w:color="000000" w:sz="4" w:space="0"/>
              <w:right w:val="single" w:color="000000" w:sz="8" w:space="0"/>
            </w:tcBorders>
            <w:shd w:val="clear" w:color="FFFFFF" w:fill="FFFFFF"/>
            <w:vAlign w:val="center"/>
          </w:tcPr>
          <w:p w14:paraId="34472F9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合价（元）</w:t>
            </w:r>
          </w:p>
        </w:tc>
      </w:tr>
      <w:tr w14:paraId="490C94D6">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5EC1C7C6">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一</w:t>
            </w:r>
          </w:p>
        </w:tc>
        <w:tc>
          <w:tcPr>
            <w:tcW w:w="1778" w:type="pct"/>
            <w:tcBorders>
              <w:top w:val="single" w:color="000000" w:sz="4" w:space="0"/>
              <w:left w:val="nil"/>
              <w:bottom w:val="single" w:color="000000" w:sz="4" w:space="0"/>
              <w:right w:val="single" w:color="000000" w:sz="4" w:space="0"/>
            </w:tcBorders>
            <w:vAlign w:val="center"/>
          </w:tcPr>
          <w:p w14:paraId="4B19EFA4">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人工</w:t>
            </w:r>
          </w:p>
        </w:tc>
        <w:tc>
          <w:tcPr>
            <w:tcW w:w="717" w:type="pct"/>
            <w:tcBorders>
              <w:top w:val="nil"/>
              <w:left w:val="nil"/>
              <w:bottom w:val="single" w:color="000000" w:sz="4" w:space="0"/>
              <w:right w:val="single" w:color="000000" w:sz="4" w:space="0"/>
            </w:tcBorders>
            <w:vAlign w:val="center"/>
          </w:tcPr>
          <w:p w14:paraId="3D0B31F5">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71885380">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15F84AFE">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71619E8E">
            <w:pPr>
              <w:pStyle w:val="29"/>
              <w:rPr>
                <w:rFonts w:ascii="Times New Roman" w:hAnsi="Times New Roman"/>
                <w:color w:val="auto"/>
                <w:highlight w:val="none"/>
                <w:shd w:val="clear"/>
              </w:rPr>
            </w:pPr>
          </w:p>
        </w:tc>
      </w:tr>
      <w:tr w14:paraId="362BEE08">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02B6BB46">
            <w:pPr>
              <w:pStyle w:val="29"/>
              <w:rPr>
                <w:rFonts w:ascii="Times New Roman" w:hAnsi="Times New Roman"/>
                <w:color w:val="auto"/>
                <w:highlight w:val="none"/>
                <w:shd w:val="clear"/>
              </w:rPr>
            </w:pPr>
          </w:p>
        </w:tc>
        <w:tc>
          <w:tcPr>
            <w:tcW w:w="1778" w:type="pct"/>
            <w:tcBorders>
              <w:top w:val="single" w:color="000000" w:sz="4" w:space="0"/>
              <w:left w:val="nil"/>
              <w:bottom w:val="single" w:color="000000" w:sz="4" w:space="0"/>
              <w:right w:val="single" w:color="000000" w:sz="4" w:space="0"/>
            </w:tcBorders>
            <w:vAlign w:val="center"/>
          </w:tcPr>
          <w:p w14:paraId="373B24A0">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72F8F0CE">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533B0825">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1AB45048">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12788FA8">
            <w:pPr>
              <w:pStyle w:val="29"/>
              <w:rPr>
                <w:rFonts w:ascii="Times New Roman" w:hAnsi="Times New Roman"/>
                <w:color w:val="auto"/>
                <w:highlight w:val="none"/>
                <w:shd w:val="clear"/>
              </w:rPr>
            </w:pPr>
          </w:p>
        </w:tc>
      </w:tr>
      <w:tr w14:paraId="307AC3D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4E57861E">
            <w:pPr>
              <w:pStyle w:val="29"/>
              <w:rPr>
                <w:rFonts w:ascii="Times New Roman" w:hAnsi="Times New Roman"/>
                <w:color w:val="auto"/>
                <w:highlight w:val="none"/>
                <w:shd w:val="clear"/>
              </w:rPr>
            </w:pPr>
          </w:p>
        </w:tc>
        <w:tc>
          <w:tcPr>
            <w:tcW w:w="1778" w:type="pct"/>
            <w:tcBorders>
              <w:top w:val="single" w:color="000000" w:sz="4" w:space="0"/>
              <w:left w:val="nil"/>
              <w:bottom w:val="single" w:color="000000" w:sz="4" w:space="0"/>
              <w:right w:val="single" w:color="000000" w:sz="4" w:space="0"/>
            </w:tcBorders>
            <w:vAlign w:val="center"/>
          </w:tcPr>
          <w:p w14:paraId="0EC1053E">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1DF2D4EC">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07DF1A75">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1506C13D">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3F30069E">
            <w:pPr>
              <w:pStyle w:val="29"/>
              <w:rPr>
                <w:rFonts w:ascii="Times New Roman" w:hAnsi="Times New Roman"/>
                <w:color w:val="auto"/>
                <w:highlight w:val="none"/>
                <w:shd w:val="clear"/>
              </w:rPr>
            </w:pPr>
          </w:p>
        </w:tc>
      </w:tr>
      <w:tr w14:paraId="66928554">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vAlign w:val="center"/>
          </w:tcPr>
          <w:p w14:paraId="70B83D9C">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人工费小计</w:t>
            </w:r>
          </w:p>
        </w:tc>
        <w:tc>
          <w:tcPr>
            <w:tcW w:w="715" w:type="pct"/>
            <w:tcBorders>
              <w:top w:val="nil"/>
              <w:left w:val="nil"/>
              <w:bottom w:val="single" w:color="000000" w:sz="4" w:space="0"/>
              <w:right w:val="single" w:color="000000" w:sz="8" w:space="0"/>
            </w:tcBorders>
            <w:vAlign w:val="center"/>
          </w:tcPr>
          <w:p w14:paraId="67208B72">
            <w:pPr>
              <w:widowControl/>
              <w:jc w:val="right"/>
              <w:rPr>
                <w:rFonts w:ascii="Times New Roman" w:hAnsi="Times New Roman"/>
                <w:color w:val="auto"/>
                <w:kern w:val="0"/>
                <w:highlight w:val="none"/>
                <w:shd w:val="clear"/>
              </w:rPr>
            </w:pPr>
          </w:p>
        </w:tc>
      </w:tr>
      <w:tr w14:paraId="4C55540E">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1E11DD75">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二</w:t>
            </w:r>
          </w:p>
        </w:tc>
        <w:tc>
          <w:tcPr>
            <w:tcW w:w="1778" w:type="pct"/>
            <w:tcBorders>
              <w:top w:val="single" w:color="000000" w:sz="4" w:space="0"/>
              <w:left w:val="nil"/>
              <w:bottom w:val="single" w:color="000000" w:sz="4" w:space="0"/>
              <w:right w:val="single" w:color="000000" w:sz="4" w:space="0"/>
            </w:tcBorders>
            <w:vAlign w:val="center"/>
          </w:tcPr>
          <w:p w14:paraId="2E69813C">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材料</w:t>
            </w:r>
          </w:p>
        </w:tc>
        <w:tc>
          <w:tcPr>
            <w:tcW w:w="717" w:type="pct"/>
            <w:tcBorders>
              <w:top w:val="nil"/>
              <w:left w:val="nil"/>
              <w:bottom w:val="single" w:color="000000" w:sz="4" w:space="0"/>
              <w:right w:val="single" w:color="000000" w:sz="4" w:space="0"/>
            </w:tcBorders>
            <w:vAlign w:val="center"/>
          </w:tcPr>
          <w:p w14:paraId="208FA953">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425F966A">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681A425D">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5270CC2A">
            <w:pPr>
              <w:pStyle w:val="29"/>
              <w:rPr>
                <w:rFonts w:ascii="Times New Roman" w:hAnsi="Times New Roman"/>
                <w:color w:val="auto"/>
                <w:highlight w:val="none"/>
                <w:shd w:val="clear"/>
              </w:rPr>
            </w:pPr>
          </w:p>
        </w:tc>
      </w:tr>
      <w:tr w14:paraId="209F1007">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00866D0A">
            <w:pPr>
              <w:pStyle w:val="29"/>
              <w:rPr>
                <w:rFonts w:ascii="Times New Roman" w:hAnsi="Times New Roman"/>
                <w:color w:val="auto"/>
                <w:highlight w:val="none"/>
                <w:shd w:val="clear"/>
              </w:rPr>
            </w:pPr>
          </w:p>
        </w:tc>
        <w:tc>
          <w:tcPr>
            <w:tcW w:w="1778" w:type="pct"/>
            <w:tcBorders>
              <w:top w:val="single" w:color="000000" w:sz="4" w:space="0"/>
              <w:left w:val="nil"/>
              <w:bottom w:val="single" w:color="000000" w:sz="4" w:space="0"/>
              <w:right w:val="single" w:color="000000" w:sz="4" w:space="0"/>
            </w:tcBorders>
            <w:vAlign w:val="center"/>
          </w:tcPr>
          <w:p w14:paraId="4011C4D7">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04B94C65">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53B466ED">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4ADD80B1">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2E9EE40A">
            <w:pPr>
              <w:pStyle w:val="29"/>
              <w:rPr>
                <w:rFonts w:ascii="Times New Roman" w:hAnsi="Times New Roman"/>
                <w:color w:val="auto"/>
                <w:highlight w:val="none"/>
                <w:shd w:val="clear"/>
              </w:rPr>
            </w:pPr>
          </w:p>
        </w:tc>
      </w:tr>
      <w:tr w14:paraId="7A0982CB">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11369F75">
            <w:pPr>
              <w:pStyle w:val="29"/>
              <w:rPr>
                <w:rFonts w:ascii="Times New Roman" w:hAnsi="Times New Roman"/>
                <w:color w:val="auto"/>
                <w:highlight w:val="none"/>
                <w:shd w:val="clear"/>
              </w:rPr>
            </w:pPr>
          </w:p>
        </w:tc>
        <w:tc>
          <w:tcPr>
            <w:tcW w:w="1778" w:type="pct"/>
            <w:tcBorders>
              <w:top w:val="single" w:color="000000" w:sz="4" w:space="0"/>
              <w:left w:val="nil"/>
              <w:bottom w:val="single" w:color="000000" w:sz="4" w:space="0"/>
              <w:right w:val="single" w:color="000000" w:sz="4" w:space="0"/>
            </w:tcBorders>
            <w:vAlign w:val="center"/>
          </w:tcPr>
          <w:p w14:paraId="779006D8">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6B638746">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64497D8A">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726213BC">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379C161F">
            <w:pPr>
              <w:pStyle w:val="29"/>
              <w:rPr>
                <w:rFonts w:ascii="Times New Roman" w:hAnsi="Times New Roman"/>
                <w:color w:val="auto"/>
                <w:highlight w:val="none"/>
                <w:shd w:val="clear"/>
              </w:rPr>
            </w:pPr>
          </w:p>
        </w:tc>
      </w:tr>
      <w:tr w14:paraId="71348C42">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vAlign w:val="center"/>
          </w:tcPr>
          <w:p w14:paraId="59EB964A">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材料费小计</w:t>
            </w:r>
          </w:p>
        </w:tc>
        <w:tc>
          <w:tcPr>
            <w:tcW w:w="715" w:type="pct"/>
            <w:tcBorders>
              <w:top w:val="nil"/>
              <w:left w:val="nil"/>
              <w:bottom w:val="single" w:color="000000" w:sz="4" w:space="0"/>
              <w:right w:val="single" w:color="000000" w:sz="8" w:space="0"/>
            </w:tcBorders>
            <w:vAlign w:val="center"/>
          </w:tcPr>
          <w:p w14:paraId="3DF16821">
            <w:pPr>
              <w:widowControl/>
              <w:jc w:val="right"/>
              <w:rPr>
                <w:rFonts w:ascii="Times New Roman" w:hAnsi="Times New Roman"/>
                <w:color w:val="auto"/>
                <w:kern w:val="0"/>
                <w:highlight w:val="none"/>
                <w:shd w:val="clear"/>
              </w:rPr>
            </w:pPr>
          </w:p>
        </w:tc>
      </w:tr>
      <w:tr w14:paraId="6615C378">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07F5AAC1">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三</w:t>
            </w:r>
          </w:p>
        </w:tc>
        <w:tc>
          <w:tcPr>
            <w:tcW w:w="1778" w:type="pct"/>
            <w:tcBorders>
              <w:top w:val="single" w:color="000000" w:sz="4" w:space="0"/>
              <w:left w:val="nil"/>
              <w:bottom w:val="single" w:color="000000" w:sz="4" w:space="0"/>
              <w:right w:val="single" w:color="000000" w:sz="4" w:space="0"/>
            </w:tcBorders>
            <w:vAlign w:val="center"/>
          </w:tcPr>
          <w:p w14:paraId="76A45B71">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施工机械</w:t>
            </w:r>
          </w:p>
        </w:tc>
        <w:tc>
          <w:tcPr>
            <w:tcW w:w="717" w:type="pct"/>
            <w:tcBorders>
              <w:top w:val="nil"/>
              <w:left w:val="nil"/>
              <w:bottom w:val="single" w:color="000000" w:sz="4" w:space="0"/>
              <w:right w:val="single" w:color="000000" w:sz="4" w:space="0"/>
            </w:tcBorders>
            <w:vAlign w:val="center"/>
          </w:tcPr>
          <w:p w14:paraId="1A54FA22">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490CBC66">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08A46AED">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26A6BFB8">
            <w:pPr>
              <w:pStyle w:val="29"/>
              <w:rPr>
                <w:rFonts w:ascii="Times New Roman" w:hAnsi="Times New Roman"/>
                <w:color w:val="auto"/>
                <w:highlight w:val="none"/>
                <w:shd w:val="clear"/>
              </w:rPr>
            </w:pPr>
          </w:p>
        </w:tc>
      </w:tr>
      <w:tr w14:paraId="1597CC09">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6BF8B353">
            <w:pPr>
              <w:pStyle w:val="29"/>
              <w:rPr>
                <w:rFonts w:ascii="Times New Roman" w:hAnsi="Times New Roman"/>
                <w:color w:val="auto"/>
                <w:highlight w:val="none"/>
                <w:shd w:val="clear"/>
              </w:rPr>
            </w:pPr>
          </w:p>
        </w:tc>
        <w:tc>
          <w:tcPr>
            <w:tcW w:w="1778" w:type="pct"/>
            <w:tcBorders>
              <w:top w:val="single" w:color="000000" w:sz="4" w:space="0"/>
              <w:left w:val="nil"/>
              <w:bottom w:val="single" w:color="000000" w:sz="4" w:space="0"/>
              <w:right w:val="single" w:color="000000" w:sz="4" w:space="0"/>
            </w:tcBorders>
            <w:vAlign w:val="center"/>
          </w:tcPr>
          <w:p w14:paraId="3F046419">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2680F11E">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3BAEE42A">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3F73F80C">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5EFFC790">
            <w:pPr>
              <w:pStyle w:val="29"/>
              <w:rPr>
                <w:rFonts w:ascii="Times New Roman" w:hAnsi="Times New Roman"/>
                <w:color w:val="auto"/>
                <w:highlight w:val="none"/>
                <w:shd w:val="clear"/>
              </w:rPr>
            </w:pPr>
          </w:p>
        </w:tc>
      </w:tr>
      <w:tr w14:paraId="2E147699">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14:paraId="7B7B3E3F">
            <w:pPr>
              <w:pStyle w:val="29"/>
              <w:rPr>
                <w:rFonts w:ascii="Times New Roman" w:hAnsi="Times New Roman"/>
                <w:color w:val="auto"/>
                <w:highlight w:val="none"/>
                <w:shd w:val="clear"/>
              </w:rPr>
            </w:pPr>
          </w:p>
        </w:tc>
        <w:tc>
          <w:tcPr>
            <w:tcW w:w="1778" w:type="pct"/>
            <w:tcBorders>
              <w:top w:val="single" w:color="000000" w:sz="4" w:space="0"/>
              <w:left w:val="nil"/>
              <w:bottom w:val="single" w:color="000000" w:sz="4" w:space="0"/>
              <w:right w:val="single" w:color="000000" w:sz="4" w:space="0"/>
            </w:tcBorders>
            <w:vAlign w:val="center"/>
          </w:tcPr>
          <w:p w14:paraId="420FF3F1">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790E4488">
            <w:pPr>
              <w:pStyle w:val="29"/>
              <w:rPr>
                <w:rFonts w:ascii="Times New Roman" w:hAnsi="Times New Roman"/>
                <w:color w:val="auto"/>
                <w:highlight w:val="none"/>
                <w:shd w:val="clear"/>
              </w:rPr>
            </w:pPr>
          </w:p>
        </w:tc>
        <w:tc>
          <w:tcPr>
            <w:tcW w:w="717" w:type="pct"/>
            <w:tcBorders>
              <w:top w:val="single" w:color="000000" w:sz="4" w:space="0"/>
              <w:left w:val="nil"/>
              <w:bottom w:val="single" w:color="000000" w:sz="4" w:space="0"/>
              <w:right w:val="single" w:color="000000" w:sz="4" w:space="0"/>
            </w:tcBorders>
            <w:vAlign w:val="center"/>
          </w:tcPr>
          <w:p w14:paraId="33680965">
            <w:pPr>
              <w:pStyle w:val="29"/>
              <w:rPr>
                <w:rFonts w:ascii="Times New Roman" w:hAnsi="Times New Roman"/>
                <w:color w:val="auto"/>
                <w:highlight w:val="none"/>
                <w:shd w:val="clear"/>
              </w:rPr>
            </w:pPr>
          </w:p>
        </w:tc>
        <w:tc>
          <w:tcPr>
            <w:tcW w:w="717" w:type="pct"/>
            <w:tcBorders>
              <w:top w:val="nil"/>
              <w:left w:val="nil"/>
              <w:bottom w:val="single" w:color="000000" w:sz="4" w:space="0"/>
              <w:right w:val="single" w:color="000000" w:sz="4" w:space="0"/>
            </w:tcBorders>
            <w:vAlign w:val="center"/>
          </w:tcPr>
          <w:p w14:paraId="393D486D">
            <w:pPr>
              <w:pStyle w:val="29"/>
              <w:rPr>
                <w:rFonts w:ascii="Times New Roman" w:hAnsi="Times New Roman"/>
                <w:color w:val="auto"/>
                <w:highlight w:val="none"/>
                <w:shd w:val="clear"/>
              </w:rPr>
            </w:pPr>
          </w:p>
        </w:tc>
        <w:tc>
          <w:tcPr>
            <w:tcW w:w="715" w:type="pct"/>
            <w:tcBorders>
              <w:top w:val="nil"/>
              <w:left w:val="nil"/>
              <w:bottom w:val="single" w:color="000000" w:sz="4" w:space="0"/>
              <w:right w:val="single" w:color="000000" w:sz="8" w:space="0"/>
            </w:tcBorders>
            <w:vAlign w:val="center"/>
          </w:tcPr>
          <w:p w14:paraId="7F10442D">
            <w:pPr>
              <w:pStyle w:val="29"/>
              <w:rPr>
                <w:rFonts w:ascii="Times New Roman" w:hAnsi="Times New Roman"/>
                <w:color w:val="auto"/>
                <w:highlight w:val="none"/>
                <w:shd w:val="clear"/>
              </w:rPr>
            </w:pPr>
          </w:p>
        </w:tc>
      </w:tr>
      <w:tr w14:paraId="5CA7F531">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vAlign w:val="center"/>
          </w:tcPr>
          <w:p w14:paraId="621695FC">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施工机械费小计</w:t>
            </w:r>
          </w:p>
        </w:tc>
        <w:tc>
          <w:tcPr>
            <w:tcW w:w="715" w:type="pct"/>
            <w:tcBorders>
              <w:top w:val="nil"/>
              <w:left w:val="nil"/>
              <w:bottom w:val="single" w:color="000000" w:sz="4" w:space="0"/>
              <w:right w:val="single" w:color="000000" w:sz="8" w:space="0"/>
            </w:tcBorders>
            <w:vAlign w:val="center"/>
          </w:tcPr>
          <w:p w14:paraId="1784CC8D">
            <w:pPr>
              <w:widowControl/>
              <w:jc w:val="right"/>
              <w:rPr>
                <w:rFonts w:ascii="Times New Roman" w:hAnsi="Times New Roman"/>
                <w:color w:val="auto"/>
                <w:kern w:val="0"/>
                <w:highlight w:val="none"/>
                <w:shd w:val="clear"/>
              </w:rPr>
            </w:pPr>
          </w:p>
        </w:tc>
      </w:tr>
      <w:tr w14:paraId="66EC9343">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8" w:space="0"/>
              <w:right w:val="single" w:color="000000" w:sz="4" w:space="0"/>
            </w:tcBorders>
            <w:vAlign w:val="center"/>
          </w:tcPr>
          <w:p w14:paraId="32764CF1">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     计</w:t>
            </w:r>
          </w:p>
        </w:tc>
        <w:tc>
          <w:tcPr>
            <w:tcW w:w="715" w:type="pct"/>
            <w:tcBorders>
              <w:top w:val="nil"/>
              <w:left w:val="nil"/>
              <w:bottom w:val="single" w:color="000000" w:sz="8" w:space="0"/>
              <w:right w:val="single" w:color="000000" w:sz="8" w:space="0"/>
            </w:tcBorders>
            <w:vAlign w:val="center"/>
          </w:tcPr>
          <w:p w14:paraId="7F7281DA">
            <w:pPr>
              <w:widowControl/>
              <w:jc w:val="right"/>
              <w:rPr>
                <w:rFonts w:ascii="Times New Roman" w:hAnsi="Times New Roman"/>
                <w:color w:val="auto"/>
                <w:kern w:val="0"/>
                <w:highlight w:val="none"/>
                <w:shd w:val="clear"/>
              </w:rPr>
            </w:pPr>
          </w:p>
        </w:tc>
      </w:tr>
    </w:tbl>
    <w:p w14:paraId="1CDA4FFA">
      <w:pPr>
        <w:pStyle w:val="20"/>
        <w:rPr>
          <w:rStyle w:val="25"/>
          <w:rFonts w:ascii="Times New Roman" w:hAnsi="Times New Roman"/>
          <w:bCs w:val="0"/>
          <w:color w:val="auto"/>
          <w:highlight w:val="none"/>
          <w:shd w:val="clear"/>
          <w:lang w:val="zh-CN"/>
        </w:rPr>
      </w:pPr>
      <w:bookmarkStart w:id="2433" w:name="_Toc460660250"/>
      <w:bookmarkStart w:id="2434" w:name="_Toc171741997"/>
      <w:bookmarkStart w:id="2435" w:name="_Toc460227135"/>
      <w:bookmarkStart w:id="2436" w:name="_Toc171581554"/>
      <w:bookmarkStart w:id="2437" w:name="_Toc171581374"/>
      <w:bookmarkStart w:id="2438" w:name="_Toc535241139"/>
      <w:r>
        <w:rPr>
          <w:rFonts w:ascii="Times New Roman" w:hAnsi="Times New Roman" w:cs="宋体"/>
          <w:color w:val="auto"/>
          <w:highlight w:val="none"/>
          <w:shd w:val="clear"/>
        </w:rPr>
        <w:br w:type="page"/>
      </w:r>
      <w:bookmarkStart w:id="2439" w:name="_Toc170805455"/>
      <w:bookmarkStart w:id="2440" w:name="_Toc3071"/>
      <w:bookmarkStart w:id="2441" w:name="_Toc170804267"/>
      <w:bookmarkStart w:id="2442" w:name="_Toc170805835"/>
      <w:bookmarkStart w:id="2443" w:name="_Toc14794"/>
      <w:r>
        <w:rPr>
          <w:rStyle w:val="25"/>
          <w:rFonts w:ascii="Times New Roman" w:hAnsi="Times New Roman"/>
          <w:bCs w:val="0"/>
          <w:color w:val="auto"/>
          <w:highlight w:val="none"/>
          <w:shd w:val="clear"/>
          <w:lang w:val="zh-CN"/>
        </w:rPr>
        <w:t>（十三）</w:t>
      </w:r>
      <w:bookmarkEnd w:id="2433"/>
      <w:bookmarkEnd w:id="2434"/>
      <w:bookmarkEnd w:id="2435"/>
      <w:bookmarkEnd w:id="2436"/>
      <w:bookmarkEnd w:id="2437"/>
      <w:r>
        <w:rPr>
          <w:rStyle w:val="25"/>
          <w:rFonts w:ascii="Times New Roman" w:hAnsi="Times New Roman"/>
          <w:bCs w:val="0"/>
          <w:color w:val="auto"/>
          <w:highlight w:val="none"/>
          <w:shd w:val="clear"/>
          <w:lang w:val="zh-CN"/>
        </w:rPr>
        <w:t>总承包服务费计价表</w:t>
      </w:r>
      <w:bookmarkEnd w:id="2438"/>
      <w:bookmarkEnd w:id="2439"/>
      <w:bookmarkEnd w:id="2440"/>
      <w:bookmarkEnd w:id="2441"/>
      <w:bookmarkEnd w:id="2442"/>
      <w:bookmarkEnd w:id="2443"/>
    </w:p>
    <w:p w14:paraId="47338FF9">
      <w:pPr>
        <w:pStyle w:val="30"/>
        <w:framePr w:hSpace="0" w:wrap="auto" w:vAnchor="margin" w:hAnchor="text" w:xAlign="left" w:yAlign="inline"/>
        <w:ind w:left="1260" w:hanging="420"/>
        <w:rPr>
          <w:rFonts w:ascii="Times New Roman" w:hAnsi="Times New Roman"/>
          <w:color w:val="auto"/>
          <w:highlight w:val="none"/>
          <w:shd w:val="clear"/>
        </w:rPr>
      </w:pPr>
      <w:bookmarkStart w:id="2444" w:name="_Toc460227136"/>
      <w:bookmarkStart w:id="2445" w:name="_Toc171581555"/>
      <w:bookmarkStart w:id="2446" w:name="_Toc460660251"/>
      <w:bookmarkStart w:id="2447" w:name="_Toc171581375"/>
      <w:bookmarkStart w:id="2448" w:name="_Toc171741998"/>
      <w:bookmarkStart w:id="2449" w:name="_Toc170804268"/>
      <w:bookmarkStart w:id="2450" w:name="_Toc170805456"/>
      <w:bookmarkStart w:id="2451" w:name="_Toc535241140"/>
      <w:bookmarkStart w:id="2452" w:name="_Toc2832"/>
      <w:bookmarkStart w:id="2453" w:name="_Toc5842"/>
      <w:bookmarkStart w:id="2454" w:name="_Toc170805836"/>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851"/>
        <w:gridCol w:w="2171"/>
        <w:gridCol w:w="1744"/>
        <w:gridCol w:w="1744"/>
        <w:gridCol w:w="1317"/>
        <w:gridCol w:w="1744"/>
      </w:tblGrid>
      <w:tr w14:paraId="45A6FC36">
        <w:tblPrEx>
          <w:tblCellMar>
            <w:top w:w="0" w:type="dxa"/>
            <w:left w:w="108" w:type="dxa"/>
            <w:bottom w:w="0" w:type="dxa"/>
            <w:right w:w="108" w:type="dxa"/>
          </w:tblCellMar>
        </w:tblPrEx>
        <w:trPr>
          <w:trHeight w:val="690" w:hRule="atLeast"/>
        </w:trPr>
        <w:tc>
          <w:tcPr>
            <w:tcW w:w="445"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35A702F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134" w:type="pct"/>
            <w:tcBorders>
              <w:top w:val="single" w:color="000000" w:sz="8" w:space="0"/>
              <w:left w:val="nil"/>
              <w:bottom w:val="single" w:color="000000" w:sz="4" w:space="0"/>
              <w:right w:val="single" w:color="000000" w:sz="4" w:space="0"/>
            </w:tcBorders>
            <w:shd w:val="clear" w:color="FFFFFF" w:fill="FFFFFF"/>
            <w:vAlign w:val="center"/>
          </w:tcPr>
          <w:p w14:paraId="632AB08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工程名称</w:t>
            </w:r>
          </w:p>
        </w:tc>
        <w:tc>
          <w:tcPr>
            <w:tcW w:w="911" w:type="pct"/>
            <w:tcBorders>
              <w:top w:val="single" w:color="000000" w:sz="8" w:space="0"/>
              <w:left w:val="nil"/>
              <w:bottom w:val="single" w:color="000000" w:sz="4" w:space="0"/>
              <w:right w:val="single" w:color="000000" w:sz="4" w:space="0"/>
            </w:tcBorders>
            <w:shd w:val="clear" w:color="FFFFFF" w:fill="FFFFFF"/>
            <w:vAlign w:val="center"/>
          </w:tcPr>
          <w:p w14:paraId="77C3E8B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项目价值 (元)</w:t>
            </w:r>
          </w:p>
        </w:tc>
        <w:tc>
          <w:tcPr>
            <w:tcW w:w="911" w:type="pct"/>
            <w:tcBorders>
              <w:top w:val="single" w:color="000000" w:sz="8" w:space="0"/>
              <w:left w:val="nil"/>
              <w:bottom w:val="single" w:color="000000" w:sz="4" w:space="0"/>
              <w:right w:val="single" w:color="000000" w:sz="4" w:space="0"/>
            </w:tcBorders>
            <w:shd w:val="clear" w:color="FFFFFF" w:fill="FFFFFF"/>
            <w:vAlign w:val="center"/>
          </w:tcPr>
          <w:p w14:paraId="31C47A7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服务内容</w:t>
            </w:r>
          </w:p>
        </w:tc>
        <w:tc>
          <w:tcPr>
            <w:tcW w:w="688" w:type="pct"/>
            <w:tcBorders>
              <w:top w:val="single" w:color="000000" w:sz="8" w:space="0"/>
              <w:left w:val="nil"/>
              <w:bottom w:val="single" w:color="000000" w:sz="4" w:space="0"/>
              <w:right w:val="single" w:color="000000" w:sz="4" w:space="0"/>
            </w:tcBorders>
            <w:shd w:val="clear" w:color="FFFFFF" w:fill="FFFFFF"/>
            <w:vAlign w:val="center"/>
          </w:tcPr>
          <w:p w14:paraId="599C19E6">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费率(％)</w:t>
            </w:r>
          </w:p>
        </w:tc>
        <w:tc>
          <w:tcPr>
            <w:tcW w:w="911" w:type="pct"/>
            <w:tcBorders>
              <w:top w:val="single" w:color="000000" w:sz="8" w:space="0"/>
              <w:left w:val="nil"/>
              <w:bottom w:val="single" w:color="000000" w:sz="4" w:space="0"/>
              <w:right w:val="single" w:color="000000" w:sz="8" w:space="0"/>
            </w:tcBorders>
            <w:shd w:val="clear" w:color="FFFFFF" w:fill="FFFFFF"/>
            <w:vAlign w:val="center"/>
          </w:tcPr>
          <w:p w14:paraId="549A7C7F">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r>
      <w:tr w14:paraId="3EFA9A32">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vAlign w:val="center"/>
          </w:tcPr>
          <w:p w14:paraId="322688EC">
            <w:pPr>
              <w:pStyle w:val="29"/>
              <w:rPr>
                <w:rFonts w:ascii="Times New Roman" w:hAnsi="Times New Roman"/>
                <w:color w:val="auto"/>
                <w:highlight w:val="none"/>
                <w:shd w:val="clear"/>
              </w:rPr>
            </w:pPr>
          </w:p>
        </w:tc>
        <w:tc>
          <w:tcPr>
            <w:tcW w:w="1134" w:type="pct"/>
            <w:tcBorders>
              <w:top w:val="nil"/>
              <w:left w:val="nil"/>
              <w:bottom w:val="single" w:color="000000" w:sz="4" w:space="0"/>
              <w:right w:val="single" w:color="000000" w:sz="4" w:space="0"/>
            </w:tcBorders>
            <w:vAlign w:val="center"/>
          </w:tcPr>
          <w:p w14:paraId="0B5F8F64">
            <w:pPr>
              <w:pStyle w:val="29"/>
              <w:rPr>
                <w:rFonts w:ascii="Times New Roman" w:hAnsi="Times New Roman"/>
                <w:color w:val="auto"/>
                <w:highlight w:val="none"/>
                <w:shd w:val="clear"/>
              </w:rPr>
            </w:pPr>
          </w:p>
        </w:tc>
        <w:tc>
          <w:tcPr>
            <w:tcW w:w="911" w:type="pct"/>
            <w:tcBorders>
              <w:top w:val="single" w:color="000000" w:sz="4" w:space="0"/>
              <w:left w:val="nil"/>
              <w:bottom w:val="single" w:color="000000" w:sz="4" w:space="0"/>
              <w:right w:val="single" w:color="000000" w:sz="4" w:space="0"/>
            </w:tcBorders>
            <w:vAlign w:val="center"/>
          </w:tcPr>
          <w:p w14:paraId="6C0CB802">
            <w:pPr>
              <w:pStyle w:val="29"/>
              <w:rPr>
                <w:rFonts w:ascii="Times New Roman" w:hAnsi="Times New Roman"/>
                <w:color w:val="auto"/>
                <w:highlight w:val="none"/>
                <w:shd w:val="clear"/>
              </w:rPr>
            </w:pPr>
          </w:p>
        </w:tc>
        <w:tc>
          <w:tcPr>
            <w:tcW w:w="911" w:type="pct"/>
            <w:tcBorders>
              <w:top w:val="single" w:color="000000" w:sz="4" w:space="0"/>
              <w:left w:val="nil"/>
              <w:bottom w:val="single" w:color="000000" w:sz="4" w:space="0"/>
              <w:right w:val="single" w:color="000000" w:sz="4" w:space="0"/>
            </w:tcBorders>
            <w:vAlign w:val="center"/>
          </w:tcPr>
          <w:p w14:paraId="3EFC05E9">
            <w:pPr>
              <w:pStyle w:val="29"/>
              <w:rPr>
                <w:rFonts w:ascii="Times New Roman" w:hAnsi="Times New Roman"/>
                <w:color w:val="auto"/>
                <w:highlight w:val="none"/>
                <w:shd w:val="clear"/>
              </w:rPr>
            </w:pPr>
          </w:p>
        </w:tc>
        <w:tc>
          <w:tcPr>
            <w:tcW w:w="688" w:type="pct"/>
            <w:tcBorders>
              <w:top w:val="single" w:color="000000" w:sz="4" w:space="0"/>
              <w:left w:val="nil"/>
              <w:bottom w:val="single" w:color="000000" w:sz="4" w:space="0"/>
              <w:right w:val="single" w:color="000000" w:sz="4" w:space="0"/>
            </w:tcBorders>
            <w:vAlign w:val="center"/>
          </w:tcPr>
          <w:p w14:paraId="657B85BF">
            <w:pPr>
              <w:pStyle w:val="29"/>
              <w:rPr>
                <w:rFonts w:ascii="Times New Roman" w:hAnsi="Times New Roman"/>
                <w:color w:val="auto"/>
                <w:highlight w:val="none"/>
                <w:shd w:val="clear"/>
              </w:rPr>
            </w:pPr>
          </w:p>
        </w:tc>
        <w:tc>
          <w:tcPr>
            <w:tcW w:w="911" w:type="pct"/>
            <w:tcBorders>
              <w:top w:val="nil"/>
              <w:left w:val="nil"/>
              <w:bottom w:val="single" w:color="000000" w:sz="4" w:space="0"/>
              <w:right w:val="single" w:color="000000" w:sz="8" w:space="0"/>
            </w:tcBorders>
            <w:vAlign w:val="center"/>
          </w:tcPr>
          <w:p w14:paraId="4EC6E2E0">
            <w:pPr>
              <w:pStyle w:val="29"/>
              <w:rPr>
                <w:rFonts w:ascii="Times New Roman" w:hAnsi="Times New Roman"/>
                <w:color w:val="auto"/>
                <w:highlight w:val="none"/>
                <w:shd w:val="clear"/>
              </w:rPr>
            </w:pPr>
          </w:p>
        </w:tc>
      </w:tr>
      <w:tr w14:paraId="573E41D9">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vAlign w:val="center"/>
          </w:tcPr>
          <w:p w14:paraId="2EFA3C71">
            <w:pPr>
              <w:pStyle w:val="29"/>
              <w:rPr>
                <w:rFonts w:ascii="Times New Roman" w:hAnsi="Times New Roman"/>
                <w:color w:val="auto"/>
                <w:highlight w:val="none"/>
                <w:shd w:val="clear"/>
              </w:rPr>
            </w:pPr>
          </w:p>
        </w:tc>
        <w:tc>
          <w:tcPr>
            <w:tcW w:w="1134" w:type="pct"/>
            <w:tcBorders>
              <w:top w:val="nil"/>
              <w:left w:val="nil"/>
              <w:bottom w:val="single" w:color="000000" w:sz="4" w:space="0"/>
              <w:right w:val="single" w:color="000000" w:sz="4" w:space="0"/>
            </w:tcBorders>
            <w:vAlign w:val="center"/>
          </w:tcPr>
          <w:p w14:paraId="50ED9171">
            <w:pPr>
              <w:pStyle w:val="29"/>
              <w:rPr>
                <w:rFonts w:ascii="Times New Roman" w:hAnsi="Times New Roman"/>
                <w:color w:val="auto"/>
                <w:highlight w:val="none"/>
                <w:shd w:val="clear"/>
              </w:rPr>
            </w:pPr>
          </w:p>
        </w:tc>
        <w:tc>
          <w:tcPr>
            <w:tcW w:w="911" w:type="pct"/>
            <w:tcBorders>
              <w:top w:val="single" w:color="000000" w:sz="4" w:space="0"/>
              <w:left w:val="nil"/>
              <w:bottom w:val="single" w:color="000000" w:sz="4" w:space="0"/>
              <w:right w:val="single" w:color="000000" w:sz="4" w:space="0"/>
            </w:tcBorders>
            <w:vAlign w:val="center"/>
          </w:tcPr>
          <w:p w14:paraId="44F18673">
            <w:pPr>
              <w:pStyle w:val="29"/>
              <w:rPr>
                <w:rFonts w:ascii="Times New Roman" w:hAnsi="Times New Roman"/>
                <w:color w:val="auto"/>
                <w:highlight w:val="none"/>
                <w:shd w:val="clear"/>
              </w:rPr>
            </w:pPr>
          </w:p>
        </w:tc>
        <w:tc>
          <w:tcPr>
            <w:tcW w:w="911" w:type="pct"/>
            <w:tcBorders>
              <w:top w:val="single" w:color="000000" w:sz="4" w:space="0"/>
              <w:left w:val="nil"/>
              <w:bottom w:val="single" w:color="000000" w:sz="4" w:space="0"/>
              <w:right w:val="single" w:color="000000" w:sz="4" w:space="0"/>
            </w:tcBorders>
            <w:vAlign w:val="center"/>
          </w:tcPr>
          <w:p w14:paraId="00BFC0EC">
            <w:pPr>
              <w:pStyle w:val="29"/>
              <w:rPr>
                <w:rFonts w:ascii="Times New Roman" w:hAnsi="Times New Roman"/>
                <w:color w:val="auto"/>
                <w:highlight w:val="none"/>
                <w:shd w:val="clear"/>
              </w:rPr>
            </w:pPr>
          </w:p>
        </w:tc>
        <w:tc>
          <w:tcPr>
            <w:tcW w:w="688" w:type="pct"/>
            <w:tcBorders>
              <w:top w:val="single" w:color="000000" w:sz="4" w:space="0"/>
              <w:left w:val="nil"/>
              <w:bottom w:val="single" w:color="000000" w:sz="4" w:space="0"/>
              <w:right w:val="single" w:color="000000" w:sz="4" w:space="0"/>
            </w:tcBorders>
            <w:vAlign w:val="center"/>
          </w:tcPr>
          <w:p w14:paraId="5758DABA">
            <w:pPr>
              <w:pStyle w:val="29"/>
              <w:rPr>
                <w:rFonts w:ascii="Times New Roman" w:hAnsi="Times New Roman"/>
                <w:color w:val="auto"/>
                <w:highlight w:val="none"/>
                <w:shd w:val="clear"/>
              </w:rPr>
            </w:pPr>
          </w:p>
        </w:tc>
        <w:tc>
          <w:tcPr>
            <w:tcW w:w="911" w:type="pct"/>
            <w:tcBorders>
              <w:top w:val="nil"/>
              <w:left w:val="nil"/>
              <w:bottom w:val="single" w:color="000000" w:sz="4" w:space="0"/>
              <w:right w:val="single" w:color="000000" w:sz="8" w:space="0"/>
            </w:tcBorders>
            <w:vAlign w:val="center"/>
          </w:tcPr>
          <w:p w14:paraId="06CBE5DF">
            <w:pPr>
              <w:pStyle w:val="29"/>
              <w:rPr>
                <w:rFonts w:ascii="Times New Roman" w:hAnsi="Times New Roman"/>
                <w:color w:val="auto"/>
                <w:highlight w:val="none"/>
                <w:shd w:val="clear"/>
              </w:rPr>
            </w:pPr>
          </w:p>
        </w:tc>
      </w:tr>
      <w:tr w14:paraId="22EF55A8">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vAlign w:val="center"/>
          </w:tcPr>
          <w:p w14:paraId="0A71179F">
            <w:pPr>
              <w:pStyle w:val="29"/>
              <w:rPr>
                <w:rFonts w:ascii="Times New Roman" w:hAnsi="Times New Roman"/>
                <w:color w:val="auto"/>
                <w:highlight w:val="none"/>
                <w:shd w:val="clear"/>
              </w:rPr>
            </w:pPr>
          </w:p>
        </w:tc>
        <w:tc>
          <w:tcPr>
            <w:tcW w:w="1134" w:type="pct"/>
            <w:tcBorders>
              <w:top w:val="nil"/>
              <w:left w:val="nil"/>
              <w:bottom w:val="single" w:color="000000" w:sz="4" w:space="0"/>
              <w:right w:val="single" w:color="000000" w:sz="4" w:space="0"/>
            </w:tcBorders>
            <w:vAlign w:val="center"/>
          </w:tcPr>
          <w:p w14:paraId="2FA3F6EB">
            <w:pPr>
              <w:pStyle w:val="29"/>
              <w:rPr>
                <w:rFonts w:ascii="Times New Roman" w:hAnsi="Times New Roman"/>
                <w:color w:val="auto"/>
                <w:highlight w:val="none"/>
                <w:shd w:val="clear"/>
              </w:rPr>
            </w:pPr>
          </w:p>
        </w:tc>
        <w:tc>
          <w:tcPr>
            <w:tcW w:w="911" w:type="pct"/>
            <w:tcBorders>
              <w:top w:val="single" w:color="000000" w:sz="4" w:space="0"/>
              <w:left w:val="nil"/>
              <w:bottom w:val="single" w:color="000000" w:sz="4" w:space="0"/>
              <w:right w:val="single" w:color="000000" w:sz="4" w:space="0"/>
            </w:tcBorders>
            <w:vAlign w:val="center"/>
          </w:tcPr>
          <w:p w14:paraId="40446C23">
            <w:pPr>
              <w:pStyle w:val="29"/>
              <w:rPr>
                <w:rFonts w:ascii="Times New Roman" w:hAnsi="Times New Roman"/>
                <w:color w:val="auto"/>
                <w:highlight w:val="none"/>
                <w:shd w:val="clear"/>
              </w:rPr>
            </w:pPr>
          </w:p>
        </w:tc>
        <w:tc>
          <w:tcPr>
            <w:tcW w:w="911" w:type="pct"/>
            <w:tcBorders>
              <w:top w:val="single" w:color="000000" w:sz="4" w:space="0"/>
              <w:left w:val="nil"/>
              <w:bottom w:val="single" w:color="000000" w:sz="4" w:space="0"/>
              <w:right w:val="single" w:color="000000" w:sz="4" w:space="0"/>
            </w:tcBorders>
            <w:vAlign w:val="center"/>
          </w:tcPr>
          <w:p w14:paraId="1BF56198">
            <w:pPr>
              <w:pStyle w:val="29"/>
              <w:rPr>
                <w:rFonts w:ascii="Times New Roman" w:hAnsi="Times New Roman"/>
                <w:color w:val="auto"/>
                <w:highlight w:val="none"/>
                <w:shd w:val="clear"/>
              </w:rPr>
            </w:pPr>
          </w:p>
        </w:tc>
        <w:tc>
          <w:tcPr>
            <w:tcW w:w="688" w:type="pct"/>
            <w:tcBorders>
              <w:top w:val="single" w:color="000000" w:sz="4" w:space="0"/>
              <w:left w:val="nil"/>
              <w:bottom w:val="single" w:color="000000" w:sz="4" w:space="0"/>
              <w:right w:val="single" w:color="000000" w:sz="4" w:space="0"/>
            </w:tcBorders>
            <w:vAlign w:val="center"/>
          </w:tcPr>
          <w:p w14:paraId="2FADC6C2">
            <w:pPr>
              <w:pStyle w:val="29"/>
              <w:rPr>
                <w:rFonts w:ascii="Times New Roman" w:hAnsi="Times New Roman"/>
                <w:color w:val="auto"/>
                <w:highlight w:val="none"/>
                <w:shd w:val="clear"/>
              </w:rPr>
            </w:pPr>
          </w:p>
        </w:tc>
        <w:tc>
          <w:tcPr>
            <w:tcW w:w="911" w:type="pct"/>
            <w:tcBorders>
              <w:top w:val="nil"/>
              <w:left w:val="nil"/>
              <w:bottom w:val="single" w:color="000000" w:sz="4" w:space="0"/>
              <w:right w:val="single" w:color="000000" w:sz="8" w:space="0"/>
            </w:tcBorders>
            <w:vAlign w:val="center"/>
          </w:tcPr>
          <w:p w14:paraId="38AEBF58">
            <w:pPr>
              <w:pStyle w:val="29"/>
              <w:rPr>
                <w:rFonts w:ascii="Times New Roman" w:hAnsi="Times New Roman"/>
                <w:color w:val="auto"/>
                <w:highlight w:val="none"/>
                <w:shd w:val="clear"/>
              </w:rPr>
            </w:pPr>
          </w:p>
        </w:tc>
      </w:tr>
      <w:tr w14:paraId="795C44FC">
        <w:tblPrEx>
          <w:tblCellMar>
            <w:top w:w="0" w:type="dxa"/>
            <w:left w:w="108" w:type="dxa"/>
            <w:bottom w:w="0" w:type="dxa"/>
            <w:right w:w="108" w:type="dxa"/>
          </w:tblCellMar>
        </w:tblPrEx>
        <w:trPr>
          <w:trHeight w:val="680" w:hRule="atLeast"/>
        </w:trPr>
        <w:tc>
          <w:tcPr>
            <w:tcW w:w="4089" w:type="pct"/>
            <w:gridSpan w:val="5"/>
            <w:tcBorders>
              <w:top w:val="single" w:color="000000" w:sz="4" w:space="0"/>
              <w:left w:val="single" w:color="000000" w:sz="8" w:space="0"/>
              <w:bottom w:val="single" w:color="000000" w:sz="8" w:space="0"/>
              <w:right w:val="single" w:color="000000" w:sz="4" w:space="0"/>
            </w:tcBorders>
            <w:vAlign w:val="center"/>
          </w:tcPr>
          <w:p w14:paraId="52B5DAD5">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  计</w:t>
            </w:r>
          </w:p>
        </w:tc>
        <w:tc>
          <w:tcPr>
            <w:tcW w:w="911" w:type="pct"/>
            <w:tcBorders>
              <w:top w:val="nil"/>
              <w:left w:val="nil"/>
              <w:bottom w:val="single" w:color="000000" w:sz="8" w:space="0"/>
              <w:right w:val="single" w:color="000000" w:sz="8" w:space="0"/>
            </w:tcBorders>
            <w:vAlign w:val="center"/>
          </w:tcPr>
          <w:p w14:paraId="2598FE30">
            <w:pPr>
              <w:widowControl/>
              <w:jc w:val="right"/>
              <w:rPr>
                <w:rFonts w:ascii="Times New Roman" w:hAnsi="Times New Roman"/>
                <w:color w:val="auto"/>
                <w:kern w:val="0"/>
                <w:highlight w:val="none"/>
                <w:shd w:val="clear"/>
              </w:rPr>
            </w:pPr>
          </w:p>
        </w:tc>
      </w:tr>
    </w:tbl>
    <w:p w14:paraId="63CF77AC">
      <w:pPr>
        <w:rPr>
          <w:rStyle w:val="25"/>
          <w:rFonts w:ascii="Times New Roman" w:hAnsi="Times New Roman"/>
          <w:bCs w:val="0"/>
          <w:color w:val="auto"/>
          <w:highlight w:val="none"/>
          <w:shd w:val="clear"/>
          <w:lang w:val="zh-CN"/>
        </w:rPr>
      </w:pPr>
    </w:p>
    <w:p w14:paraId="292EF2B4">
      <w:pPr>
        <w:pStyle w:val="20"/>
        <w:rPr>
          <w:rFonts w:ascii="Times New Roman" w:hAnsi="Times New Roman"/>
          <w:color w:val="auto"/>
          <w:highlight w:val="none"/>
          <w:shd w:val="clear"/>
          <w:lang w:val="zh-CN"/>
        </w:rPr>
      </w:pPr>
      <w:r>
        <w:rPr>
          <w:rFonts w:ascii="Times New Roman" w:hAnsi="Times New Roman"/>
          <w:color w:val="auto"/>
          <w:highlight w:val="none"/>
          <w:shd w:val="clear"/>
          <w:lang w:val="zh-CN"/>
        </w:rPr>
        <w:t>（十四）</w:t>
      </w:r>
      <w:bookmarkEnd w:id="2444"/>
      <w:bookmarkEnd w:id="2445"/>
      <w:bookmarkEnd w:id="2446"/>
      <w:bookmarkEnd w:id="2447"/>
      <w:bookmarkEnd w:id="2448"/>
      <w:r>
        <w:rPr>
          <w:rFonts w:ascii="Times New Roman" w:hAnsi="Times New Roman"/>
          <w:color w:val="auto"/>
          <w:highlight w:val="none"/>
          <w:shd w:val="clear"/>
          <w:lang w:val="zh-CN"/>
        </w:rPr>
        <w:t>税金计价表</w:t>
      </w:r>
      <w:bookmarkEnd w:id="2449"/>
      <w:bookmarkEnd w:id="2450"/>
      <w:bookmarkEnd w:id="2451"/>
      <w:bookmarkEnd w:id="2452"/>
      <w:bookmarkEnd w:id="2453"/>
      <w:bookmarkEnd w:id="2454"/>
    </w:p>
    <w:p w14:paraId="77477E2E">
      <w:pPr>
        <w:pStyle w:val="30"/>
        <w:framePr w:hSpace="0" w:wrap="auto" w:vAnchor="margin" w:hAnchor="text" w:xAlign="left" w:yAlign="inline"/>
        <w:ind w:left="1260" w:hanging="420"/>
        <w:rPr>
          <w:rFonts w:ascii="Times New Roman" w:hAnsi="Times New Roman"/>
          <w:color w:val="auto"/>
          <w:highlight w:val="none"/>
          <w:shd w:val="clear"/>
        </w:rPr>
      </w:pPr>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758"/>
        <w:gridCol w:w="2140"/>
        <w:gridCol w:w="3055"/>
        <w:gridCol w:w="1537"/>
        <w:gridCol w:w="992"/>
        <w:gridCol w:w="1089"/>
      </w:tblGrid>
      <w:tr w14:paraId="5EF01CBF">
        <w:tblPrEx>
          <w:tblCellMar>
            <w:top w:w="0" w:type="dxa"/>
            <w:left w:w="108" w:type="dxa"/>
            <w:bottom w:w="0" w:type="dxa"/>
            <w:right w:w="108" w:type="dxa"/>
          </w:tblCellMar>
        </w:tblPrEx>
        <w:trPr>
          <w:trHeight w:val="690" w:hRule="atLeast"/>
        </w:trPr>
        <w:tc>
          <w:tcPr>
            <w:tcW w:w="39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6B4915E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118" w:type="pct"/>
            <w:tcBorders>
              <w:top w:val="single" w:color="000000" w:sz="8" w:space="0"/>
              <w:left w:val="nil"/>
              <w:bottom w:val="single" w:color="000000" w:sz="4" w:space="0"/>
              <w:right w:val="single" w:color="000000" w:sz="4" w:space="0"/>
            </w:tcBorders>
            <w:shd w:val="clear" w:color="FFFFFF" w:fill="FFFFFF"/>
            <w:vAlign w:val="center"/>
          </w:tcPr>
          <w:p w14:paraId="6DDB1B7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项目名称</w:t>
            </w:r>
          </w:p>
        </w:tc>
        <w:tc>
          <w:tcPr>
            <w:tcW w:w="1596" w:type="pct"/>
            <w:tcBorders>
              <w:top w:val="single" w:color="000000" w:sz="8" w:space="0"/>
              <w:left w:val="nil"/>
              <w:bottom w:val="single" w:color="000000" w:sz="4" w:space="0"/>
              <w:right w:val="single" w:color="000000" w:sz="4" w:space="0"/>
            </w:tcBorders>
            <w:shd w:val="clear" w:color="FFFFFF" w:fill="FFFFFF"/>
            <w:vAlign w:val="center"/>
          </w:tcPr>
          <w:p w14:paraId="09BA3D9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计算基础</w:t>
            </w:r>
          </w:p>
        </w:tc>
        <w:tc>
          <w:tcPr>
            <w:tcW w:w="803" w:type="pct"/>
            <w:tcBorders>
              <w:top w:val="single" w:color="000000" w:sz="8" w:space="0"/>
              <w:left w:val="nil"/>
              <w:bottom w:val="single" w:color="000000" w:sz="4" w:space="0"/>
              <w:right w:val="single" w:color="000000" w:sz="4" w:space="0"/>
            </w:tcBorders>
            <w:shd w:val="clear" w:color="FFFFFF" w:fill="FFFFFF"/>
            <w:vAlign w:val="center"/>
          </w:tcPr>
          <w:p w14:paraId="48D97FBB">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计算基数</w:t>
            </w:r>
          </w:p>
        </w:tc>
        <w:tc>
          <w:tcPr>
            <w:tcW w:w="518" w:type="pct"/>
            <w:tcBorders>
              <w:top w:val="single" w:color="000000" w:sz="8" w:space="0"/>
              <w:left w:val="nil"/>
              <w:bottom w:val="single" w:color="000000" w:sz="4" w:space="0"/>
              <w:right w:val="single" w:color="000000" w:sz="4" w:space="0"/>
            </w:tcBorders>
            <w:shd w:val="clear" w:color="FFFFFF" w:fill="FFFFFF"/>
            <w:vAlign w:val="center"/>
          </w:tcPr>
          <w:p w14:paraId="5B05F369">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费率(％)</w:t>
            </w:r>
          </w:p>
        </w:tc>
        <w:tc>
          <w:tcPr>
            <w:tcW w:w="569" w:type="pct"/>
            <w:tcBorders>
              <w:top w:val="single" w:color="000000" w:sz="8" w:space="0"/>
              <w:left w:val="nil"/>
              <w:bottom w:val="single" w:color="000000" w:sz="4" w:space="0"/>
              <w:right w:val="single" w:color="000000" w:sz="8" w:space="0"/>
            </w:tcBorders>
            <w:shd w:val="clear" w:color="FFFFFF" w:fill="FFFFFF"/>
            <w:vAlign w:val="center"/>
          </w:tcPr>
          <w:p w14:paraId="0E57F21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金额(元)</w:t>
            </w:r>
          </w:p>
        </w:tc>
      </w:tr>
      <w:tr w14:paraId="43B281E5">
        <w:tblPrEx>
          <w:tblCellMar>
            <w:top w:w="0" w:type="dxa"/>
            <w:left w:w="108" w:type="dxa"/>
            <w:bottom w:w="0" w:type="dxa"/>
            <w:right w:w="108" w:type="dxa"/>
          </w:tblCellMar>
        </w:tblPrEx>
        <w:trPr>
          <w:trHeight w:val="875" w:hRule="atLeast"/>
        </w:trPr>
        <w:tc>
          <w:tcPr>
            <w:tcW w:w="396" w:type="pct"/>
            <w:tcBorders>
              <w:top w:val="nil"/>
              <w:left w:val="single" w:color="000000" w:sz="8" w:space="0"/>
              <w:bottom w:val="single" w:color="000000" w:sz="4" w:space="0"/>
              <w:right w:val="single" w:color="000000" w:sz="4" w:space="0"/>
            </w:tcBorders>
            <w:vAlign w:val="center"/>
          </w:tcPr>
          <w:p w14:paraId="3C8BBFE7">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1118" w:type="pct"/>
            <w:tcBorders>
              <w:top w:val="nil"/>
              <w:left w:val="nil"/>
              <w:bottom w:val="single" w:color="000000" w:sz="4" w:space="0"/>
              <w:right w:val="single" w:color="000000" w:sz="4" w:space="0"/>
            </w:tcBorders>
            <w:vAlign w:val="center"/>
          </w:tcPr>
          <w:p w14:paraId="584DC5B3">
            <w:pPr>
              <w:pStyle w:val="29"/>
              <w:rPr>
                <w:rFonts w:ascii="Times New Roman" w:hAnsi="Times New Roman"/>
                <w:color w:val="auto"/>
                <w:highlight w:val="none"/>
                <w:shd w:val="clear"/>
              </w:rPr>
            </w:pPr>
            <w:r>
              <w:rPr>
                <w:rFonts w:hint="eastAsia" w:ascii="Times New Roman" w:hAnsi="Times New Roman"/>
                <w:color w:val="auto"/>
                <w:highlight w:val="none"/>
                <w:shd w:val="clear"/>
              </w:rPr>
              <w:t>增值税</w:t>
            </w:r>
          </w:p>
        </w:tc>
        <w:tc>
          <w:tcPr>
            <w:tcW w:w="1596" w:type="pct"/>
            <w:tcBorders>
              <w:top w:val="single" w:color="000000" w:sz="4" w:space="0"/>
              <w:left w:val="nil"/>
              <w:bottom w:val="single" w:color="000000" w:sz="4" w:space="0"/>
              <w:right w:val="single" w:color="000000" w:sz="4" w:space="0"/>
            </w:tcBorders>
            <w:vAlign w:val="center"/>
          </w:tcPr>
          <w:p w14:paraId="3AA65A7D">
            <w:pPr>
              <w:pStyle w:val="29"/>
              <w:rPr>
                <w:rFonts w:ascii="Times New Roman" w:hAnsi="Times New Roman"/>
                <w:color w:val="auto"/>
                <w:highlight w:val="none"/>
                <w:shd w:val="clear"/>
              </w:rPr>
            </w:pPr>
            <w:r>
              <w:rPr>
                <w:rFonts w:hint="eastAsia" w:ascii="Times New Roman" w:hAnsi="Times New Roman"/>
                <w:color w:val="auto"/>
                <w:highlight w:val="none"/>
                <w:shd w:val="clear"/>
              </w:rPr>
              <w:t>分部分项工程费+措施项目费+不可竞争费+其他项目费</w:t>
            </w:r>
          </w:p>
        </w:tc>
        <w:tc>
          <w:tcPr>
            <w:tcW w:w="803" w:type="pct"/>
            <w:tcBorders>
              <w:top w:val="single" w:color="000000" w:sz="4" w:space="0"/>
              <w:left w:val="nil"/>
              <w:bottom w:val="single" w:color="000000" w:sz="4" w:space="0"/>
              <w:right w:val="single" w:color="000000" w:sz="4" w:space="0"/>
            </w:tcBorders>
            <w:vAlign w:val="center"/>
          </w:tcPr>
          <w:p w14:paraId="1AEA4DEC">
            <w:pPr>
              <w:pStyle w:val="29"/>
              <w:rPr>
                <w:rFonts w:ascii="Times New Roman" w:hAnsi="Times New Roman"/>
                <w:color w:val="auto"/>
                <w:highlight w:val="none"/>
                <w:shd w:val="clear"/>
              </w:rPr>
            </w:pPr>
          </w:p>
        </w:tc>
        <w:tc>
          <w:tcPr>
            <w:tcW w:w="518" w:type="pct"/>
            <w:tcBorders>
              <w:top w:val="nil"/>
              <w:left w:val="nil"/>
              <w:bottom w:val="single" w:color="000000" w:sz="4" w:space="0"/>
              <w:right w:val="single" w:color="000000" w:sz="4" w:space="0"/>
            </w:tcBorders>
            <w:vAlign w:val="center"/>
          </w:tcPr>
          <w:p w14:paraId="29BC086A">
            <w:pPr>
              <w:pStyle w:val="29"/>
              <w:rPr>
                <w:rFonts w:ascii="Times New Roman" w:hAnsi="Times New Roman"/>
                <w:color w:val="auto"/>
                <w:highlight w:val="none"/>
                <w:shd w:val="clear"/>
              </w:rPr>
            </w:pPr>
          </w:p>
        </w:tc>
        <w:tc>
          <w:tcPr>
            <w:tcW w:w="569" w:type="pct"/>
            <w:tcBorders>
              <w:top w:val="nil"/>
              <w:left w:val="nil"/>
              <w:bottom w:val="single" w:color="000000" w:sz="4" w:space="0"/>
              <w:right w:val="single" w:color="000000" w:sz="8" w:space="0"/>
            </w:tcBorders>
            <w:vAlign w:val="center"/>
          </w:tcPr>
          <w:p w14:paraId="2D9B8E65">
            <w:pPr>
              <w:pStyle w:val="29"/>
              <w:rPr>
                <w:rFonts w:ascii="Times New Roman" w:hAnsi="Times New Roman"/>
                <w:color w:val="auto"/>
                <w:highlight w:val="none"/>
                <w:shd w:val="clear"/>
              </w:rPr>
            </w:pPr>
          </w:p>
        </w:tc>
      </w:tr>
      <w:tr w14:paraId="657C9F86">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vAlign w:val="center"/>
          </w:tcPr>
          <w:p w14:paraId="322E19CA">
            <w:pPr>
              <w:pStyle w:val="29"/>
              <w:rPr>
                <w:rFonts w:ascii="Times New Roman" w:hAnsi="Times New Roman"/>
                <w:color w:val="auto"/>
                <w:highlight w:val="none"/>
                <w:shd w:val="clear"/>
              </w:rPr>
            </w:pPr>
          </w:p>
        </w:tc>
        <w:tc>
          <w:tcPr>
            <w:tcW w:w="1118" w:type="pct"/>
            <w:tcBorders>
              <w:top w:val="nil"/>
              <w:left w:val="nil"/>
              <w:bottom w:val="single" w:color="000000" w:sz="4" w:space="0"/>
              <w:right w:val="single" w:color="000000" w:sz="4" w:space="0"/>
            </w:tcBorders>
            <w:vAlign w:val="center"/>
          </w:tcPr>
          <w:p w14:paraId="2DA02DEE">
            <w:pPr>
              <w:pStyle w:val="29"/>
              <w:rPr>
                <w:rFonts w:ascii="Times New Roman" w:hAnsi="Times New Roman"/>
                <w:color w:val="auto"/>
                <w:highlight w:val="none"/>
                <w:shd w:val="clear"/>
              </w:rPr>
            </w:pPr>
          </w:p>
        </w:tc>
        <w:tc>
          <w:tcPr>
            <w:tcW w:w="1596" w:type="pct"/>
            <w:tcBorders>
              <w:top w:val="single" w:color="000000" w:sz="4" w:space="0"/>
              <w:left w:val="nil"/>
              <w:bottom w:val="single" w:color="000000" w:sz="4" w:space="0"/>
              <w:right w:val="single" w:color="000000" w:sz="4" w:space="0"/>
            </w:tcBorders>
            <w:vAlign w:val="center"/>
          </w:tcPr>
          <w:p w14:paraId="750ECB3D">
            <w:pPr>
              <w:pStyle w:val="29"/>
              <w:rPr>
                <w:rFonts w:ascii="Times New Roman" w:hAnsi="Times New Roman"/>
                <w:color w:val="auto"/>
                <w:highlight w:val="none"/>
                <w:shd w:val="clear"/>
              </w:rPr>
            </w:pPr>
          </w:p>
        </w:tc>
        <w:tc>
          <w:tcPr>
            <w:tcW w:w="803" w:type="pct"/>
            <w:tcBorders>
              <w:top w:val="single" w:color="000000" w:sz="4" w:space="0"/>
              <w:left w:val="nil"/>
              <w:bottom w:val="single" w:color="000000" w:sz="4" w:space="0"/>
              <w:right w:val="single" w:color="000000" w:sz="4" w:space="0"/>
            </w:tcBorders>
            <w:vAlign w:val="center"/>
          </w:tcPr>
          <w:p w14:paraId="5397E3D0">
            <w:pPr>
              <w:pStyle w:val="29"/>
              <w:rPr>
                <w:rFonts w:ascii="Times New Roman" w:hAnsi="Times New Roman"/>
                <w:color w:val="auto"/>
                <w:highlight w:val="none"/>
                <w:shd w:val="clear"/>
              </w:rPr>
            </w:pPr>
          </w:p>
        </w:tc>
        <w:tc>
          <w:tcPr>
            <w:tcW w:w="518" w:type="pct"/>
            <w:tcBorders>
              <w:top w:val="nil"/>
              <w:left w:val="nil"/>
              <w:bottom w:val="single" w:color="000000" w:sz="4" w:space="0"/>
              <w:right w:val="single" w:color="000000" w:sz="4" w:space="0"/>
            </w:tcBorders>
            <w:vAlign w:val="center"/>
          </w:tcPr>
          <w:p w14:paraId="050B77C3">
            <w:pPr>
              <w:pStyle w:val="29"/>
              <w:rPr>
                <w:rFonts w:ascii="Times New Roman" w:hAnsi="Times New Roman"/>
                <w:color w:val="auto"/>
                <w:highlight w:val="none"/>
                <w:shd w:val="clear"/>
              </w:rPr>
            </w:pPr>
          </w:p>
        </w:tc>
        <w:tc>
          <w:tcPr>
            <w:tcW w:w="569" w:type="pct"/>
            <w:tcBorders>
              <w:top w:val="nil"/>
              <w:left w:val="nil"/>
              <w:bottom w:val="single" w:color="000000" w:sz="4" w:space="0"/>
              <w:right w:val="single" w:color="000000" w:sz="8" w:space="0"/>
            </w:tcBorders>
            <w:vAlign w:val="center"/>
          </w:tcPr>
          <w:p w14:paraId="23FE151C">
            <w:pPr>
              <w:pStyle w:val="29"/>
              <w:rPr>
                <w:rFonts w:ascii="Times New Roman" w:hAnsi="Times New Roman"/>
                <w:color w:val="auto"/>
                <w:highlight w:val="none"/>
                <w:shd w:val="clear"/>
              </w:rPr>
            </w:pPr>
          </w:p>
        </w:tc>
      </w:tr>
      <w:tr w14:paraId="62A98CDC">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vAlign w:val="center"/>
          </w:tcPr>
          <w:p w14:paraId="7900B50A">
            <w:pPr>
              <w:pStyle w:val="29"/>
              <w:rPr>
                <w:rFonts w:ascii="Times New Roman" w:hAnsi="Times New Roman"/>
                <w:color w:val="auto"/>
                <w:highlight w:val="none"/>
                <w:shd w:val="clear"/>
              </w:rPr>
            </w:pPr>
          </w:p>
        </w:tc>
        <w:tc>
          <w:tcPr>
            <w:tcW w:w="1118" w:type="pct"/>
            <w:tcBorders>
              <w:top w:val="nil"/>
              <w:left w:val="nil"/>
              <w:bottom w:val="single" w:color="000000" w:sz="4" w:space="0"/>
              <w:right w:val="single" w:color="000000" w:sz="4" w:space="0"/>
            </w:tcBorders>
            <w:vAlign w:val="center"/>
          </w:tcPr>
          <w:p w14:paraId="2B2E26E9">
            <w:pPr>
              <w:pStyle w:val="29"/>
              <w:rPr>
                <w:rFonts w:ascii="Times New Roman" w:hAnsi="Times New Roman"/>
                <w:color w:val="auto"/>
                <w:highlight w:val="none"/>
                <w:shd w:val="clear"/>
              </w:rPr>
            </w:pPr>
          </w:p>
        </w:tc>
        <w:tc>
          <w:tcPr>
            <w:tcW w:w="1596" w:type="pct"/>
            <w:tcBorders>
              <w:top w:val="single" w:color="000000" w:sz="4" w:space="0"/>
              <w:left w:val="nil"/>
              <w:bottom w:val="single" w:color="000000" w:sz="4" w:space="0"/>
              <w:right w:val="single" w:color="000000" w:sz="4" w:space="0"/>
            </w:tcBorders>
            <w:vAlign w:val="center"/>
          </w:tcPr>
          <w:p w14:paraId="2497903D">
            <w:pPr>
              <w:pStyle w:val="29"/>
              <w:rPr>
                <w:rFonts w:ascii="Times New Roman" w:hAnsi="Times New Roman"/>
                <w:color w:val="auto"/>
                <w:highlight w:val="none"/>
                <w:shd w:val="clear"/>
              </w:rPr>
            </w:pPr>
          </w:p>
        </w:tc>
        <w:tc>
          <w:tcPr>
            <w:tcW w:w="803" w:type="pct"/>
            <w:tcBorders>
              <w:top w:val="single" w:color="000000" w:sz="4" w:space="0"/>
              <w:left w:val="nil"/>
              <w:bottom w:val="single" w:color="000000" w:sz="4" w:space="0"/>
              <w:right w:val="single" w:color="000000" w:sz="4" w:space="0"/>
            </w:tcBorders>
            <w:vAlign w:val="center"/>
          </w:tcPr>
          <w:p w14:paraId="65853499">
            <w:pPr>
              <w:pStyle w:val="29"/>
              <w:rPr>
                <w:rFonts w:ascii="Times New Roman" w:hAnsi="Times New Roman"/>
                <w:color w:val="auto"/>
                <w:highlight w:val="none"/>
                <w:shd w:val="clear"/>
              </w:rPr>
            </w:pPr>
          </w:p>
        </w:tc>
        <w:tc>
          <w:tcPr>
            <w:tcW w:w="518" w:type="pct"/>
            <w:tcBorders>
              <w:top w:val="nil"/>
              <w:left w:val="nil"/>
              <w:bottom w:val="single" w:color="000000" w:sz="4" w:space="0"/>
              <w:right w:val="single" w:color="000000" w:sz="4" w:space="0"/>
            </w:tcBorders>
            <w:vAlign w:val="center"/>
          </w:tcPr>
          <w:p w14:paraId="423FB383">
            <w:pPr>
              <w:pStyle w:val="29"/>
              <w:rPr>
                <w:rFonts w:ascii="Times New Roman" w:hAnsi="Times New Roman"/>
                <w:color w:val="auto"/>
                <w:highlight w:val="none"/>
                <w:shd w:val="clear"/>
              </w:rPr>
            </w:pPr>
          </w:p>
        </w:tc>
        <w:tc>
          <w:tcPr>
            <w:tcW w:w="569" w:type="pct"/>
            <w:tcBorders>
              <w:top w:val="nil"/>
              <w:left w:val="nil"/>
              <w:bottom w:val="single" w:color="000000" w:sz="4" w:space="0"/>
              <w:right w:val="single" w:color="000000" w:sz="8" w:space="0"/>
            </w:tcBorders>
            <w:vAlign w:val="center"/>
          </w:tcPr>
          <w:p w14:paraId="20D691F1">
            <w:pPr>
              <w:pStyle w:val="29"/>
              <w:rPr>
                <w:rFonts w:ascii="Times New Roman" w:hAnsi="Times New Roman"/>
                <w:color w:val="auto"/>
                <w:highlight w:val="none"/>
                <w:shd w:val="clear"/>
              </w:rPr>
            </w:pPr>
          </w:p>
        </w:tc>
      </w:tr>
      <w:tr w14:paraId="6EBD31E2">
        <w:tblPrEx>
          <w:tblCellMar>
            <w:top w:w="0" w:type="dxa"/>
            <w:left w:w="108" w:type="dxa"/>
            <w:bottom w:w="0" w:type="dxa"/>
            <w:right w:w="108" w:type="dxa"/>
          </w:tblCellMar>
        </w:tblPrEx>
        <w:trPr>
          <w:trHeight w:val="680" w:hRule="atLeast"/>
        </w:trPr>
        <w:tc>
          <w:tcPr>
            <w:tcW w:w="4431" w:type="pct"/>
            <w:gridSpan w:val="5"/>
            <w:tcBorders>
              <w:top w:val="single" w:color="000000" w:sz="4" w:space="0"/>
              <w:left w:val="single" w:color="000000" w:sz="8" w:space="0"/>
              <w:bottom w:val="single" w:color="000000" w:sz="8" w:space="0"/>
              <w:right w:val="single" w:color="000000" w:sz="4" w:space="0"/>
            </w:tcBorders>
            <w:vAlign w:val="center"/>
          </w:tcPr>
          <w:p w14:paraId="1D8DCA9C">
            <w:pPr>
              <w:widowControl/>
              <w:jc w:val="center"/>
              <w:rPr>
                <w:rFonts w:ascii="Times New Roman" w:hAnsi="Times New Roman"/>
                <w:color w:val="auto"/>
                <w:kern w:val="0"/>
                <w:highlight w:val="none"/>
                <w:shd w:val="clear"/>
              </w:rPr>
            </w:pPr>
            <w:r>
              <w:rPr>
                <w:rFonts w:hint="eastAsia" w:ascii="Times New Roman" w:hAnsi="Times New Roman"/>
                <w:color w:val="auto"/>
                <w:kern w:val="0"/>
                <w:highlight w:val="none"/>
                <w:shd w:val="clear"/>
              </w:rPr>
              <w:t>合  计</w:t>
            </w:r>
          </w:p>
        </w:tc>
        <w:tc>
          <w:tcPr>
            <w:tcW w:w="569" w:type="pct"/>
            <w:tcBorders>
              <w:top w:val="nil"/>
              <w:left w:val="nil"/>
              <w:bottom w:val="single" w:color="000000" w:sz="8" w:space="0"/>
              <w:right w:val="single" w:color="000000" w:sz="8" w:space="0"/>
            </w:tcBorders>
            <w:vAlign w:val="center"/>
          </w:tcPr>
          <w:p w14:paraId="63A291B8">
            <w:pPr>
              <w:widowControl/>
              <w:jc w:val="right"/>
              <w:rPr>
                <w:rFonts w:ascii="Times New Roman" w:hAnsi="Times New Roman"/>
                <w:color w:val="auto"/>
                <w:kern w:val="0"/>
                <w:highlight w:val="none"/>
                <w:shd w:val="clear"/>
              </w:rPr>
            </w:pPr>
          </w:p>
        </w:tc>
      </w:tr>
    </w:tbl>
    <w:p w14:paraId="3A2B63A6">
      <w:pPr>
        <w:spacing w:before="48" w:beforeLines="20" w:after="48" w:afterLines="20" w:line="540" w:lineRule="exact"/>
        <w:rPr>
          <w:rFonts w:ascii="Times New Roman" w:hAnsi="Times New Roman"/>
          <w:color w:val="auto"/>
          <w:sz w:val="24"/>
          <w:highlight w:val="none"/>
          <w:shd w:val="clear"/>
        </w:rPr>
        <w:sectPr>
          <w:headerReference r:id="rId16" w:type="first"/>
          <w:footerReference r:id="rId18" w:type="first"/>
          <w:headerReference r:id="rId14" w:type="default"/>
          <w:headerReference r:id="rId15" w:type="even"/>
          <w:footerReference r:id="rId17" w:type="even"/>
          <w:footnotePr>
            <w:numFmt w:val="decimalEnclosedCircleChinese"/>
            <w:numRestart w:val="eachPage"/>
          </w:footnotePr>
          <w:pgSz w:w="11907" w:h="16840"/>
          <w:pgMar w:top="1418" w:right="1134" w:bottom="1134" w:left="1418" w:header="680" w:footer="907" w:gutter="0"/>
          <w:pgBorders>
            <w:top w:val="none" w:sz="0" w:space="0"/>
            <w:left w:val="none" w:sz="0" w:space="0"/>
            <w:bottom w:val="none" w:sz="0" w:space="0"/>
            <w:right w:val="none" w:sz="0" w:space="0"/>
          </w:pgBorders>
          <w:pgNumType w:fmt="decimal"/>
          <w:cols w:space="720" w:num="1"/>
          <w:docGrid w:linePitch="286" w:charSpace="0"/>
        </w:sectPr>
      </w:pPr>
    </w:p>
    <w:p w14:paraId="1BAC850A">
      <w:pPr>
        <w:pStyle w:val="20"/>
        <w:rPr>
          <w:rFonts w:ascii="Times New Roman" w:hAnsi="Times New Roman"/>
          <w:color w:val="auto"/>
          <w:highlight w:val="none"/>
          <w:shd w:val="clear"/>
          <w:lang w:val="zh-CN"/>
        </w:rPr>
      </w:pPr>
      <w:bookmarkStart w:id="2455" w:name="_Toc170805457"/>
      <w:bookmarkStart w:id="2456" w:name="_Toc5133"/>
      <w:bookmarkStart w:id="2457" w:name="_Toc535241141"/>
      <w:bookmarkStart w:id="2458" w:name="_Toc170804269"/>
      <w:bookmarkStart w:id="2459" w:name="_Toc2309"/>
      <w:bookmarkStart w:id="2460" w:name="_Toc170805837"/>
      <w:r>
        <w:rPr>
          <w:rFonts w:ascii="Times New Roman" w:hAnsi="Times New Roman"/>
          <w:color w:val="auto"/>
          <w:highlight w:val="none"/>
          <w:shd w:val="clear"/>
          <w:lang w:val="zh-CN"/>
        </w:rPr>
        <w:t>（十五）材料（工程设备）暂估单价一览表</w:t>
      </w:r>
      <w:bookmarkEnd w:id="2455"/>
      <w:bookmarkEnd w:id="2456"/>
      <w:bookmarkEnd w:id="2457"/>
      <w:bookmarkEnd w:id="2458"/>
      <w:bookmarkEnd w:id="2459"/>
      <w:bookmarkEnd w:id="2460"/>
    </w:p>
    <w:p w14:paraId="27F2E133">
      <w:pPr>
        <w:pStyle w:val="30"/>
        <w:framePr w:hSpace="0" w:wrap="auto" w:vAnchor="margin" w:hAnchor="text" w:xAlign="left" w:yAlign="inline"/>
        <w:ind w:left="1260" w:hanging="420"/>
        <w:rPr>
          <w:rFonts w:ascii="Times New Roman" w:hAnsi="Times New Roman"/>
          <w:color w:val="auto"/>
          <w:highlight w:val="none"/>
          <w:shd w:val="clear"/>
        </w:rPr>
      </w:pPr>
      <w:bookmarkStart w:id="2461" w:name="_Toc535241142"/>
      <w:bookmarkStart w:id="2462" w:name="_Toc170805458"/>
      <w:bookmarkStart w:id="2463" w:name="_Toc26904"/>
      <w:bookmarkStart w:id="2464" w:name="_Toc170805838"/>
      <w:bookmarkStart w:id="2465" w:name="_Toc28381"/>
      <w:bookmarkStart w:id="2466" w:name="_Toc170804270"/>
      <w:bookmarkStart w:id="2467" w:name="_Toc171581377"/>
      <w:bookmarkStart w:id="2468" w:name="_Toc44996378"/>
      <w:bookmarkStart w:id="2469" w:name="_Toc171581557"/>
      <w:bookmarkStart w:id="2470" w:name="_Toc171742000"/>
      <w:bookmarkStart w:id="2471" w:name="_Toc17215716"/>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1150"/>
        <w:gridCol w:w="3783"/>
        <w:gridCol w:w="1430"/>
        <w:gridCol w:w="1380"/>
        <w:gridCol w:w="1543"/>
      </w:tblGrid>
      <w:tr w14:paraId="3D7D058B">
        <w:tblPrEx>
          <w:tblCellMar>
            <w:top w:w="0" w:type="dxa"/>
            <w:left w:w="108" w:type="dxa"/>
            <w:bottom w:w="0" w:type="dxa"/>
            <w:right w:w="108" w:type="dxa"/>
          </w:tblCellMar>
        </w:tblPrEx>
        <w:trPr>
          <w:trHeight w:val="690" w:hRule="atLeast"/>
        </w:trPr>
        <w:tc>
          <w:tcPr>
            <w:tcW w:w="619"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5EA4B584">
            <w:pPr>
              <w:pStyle w:val="28"/>
              <w:spacing w:line="240" w:lineRule="auto"/>
              <w:rPr>
                <w:rFonts w:ascii="Times New Roman" w:hAnsi="Times New Roman"/>
                <w:color w:val="auto"/>
                <w:highlight w:val="none"/>
                <w:shd w:val="clear"/>
              </w:rPr>
            </w:pPr>
            <w:bookmarkStart w:id="2472" w:name="_Toc44996373"/>
            <w:bookmarkStart w:id="2473" w:name="_Toc17215711"/>
            <w:r>
              <w:rPr>
                <w:rFonts w:hint="eastAsia" w:ascii="Times New Roman" w:hAnsi="Times New Roman"/>
                <w:color w:val="auto"/>
                <w:highlight w:val="none"/>
                <w:shd w:val="clear"/>
              </w:rPr>
              <w:t>序号</w:t>
            </w:r>
          </w:p>
        </w:tc>
        <w:tc>
          <w:tcPr>
            <w:tcW w:w="2037" w:type="pct"/>
            <w:tcBorders>
              <w:top w:val="single" w:color="000000" w:sz="8" w:space="0"/>
              <w:left w:val="nil"/>
              <w:bottom w:val="single" w:color="000000" w:sz="4" w:space="0"/>
              <w:right w:val="single" w:color="000000" w:sz="4" w:space="0"/>
            </w:tcBorders>
            <w:shd w:val="clear" w:color="FFFFFF" w:fill="FFFFFF"/>
            <w:vAlign w:val="center"/>
          </w:tcPr>
          <w:p w14:paraId="6FD464E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材料(工程设备)名称、规格、型号</w:t>
            </w:r>
          </w:p>
        </w:tc>
        <w:tc>
          <w:tcPr>
            <w:tcW w:w="770" w:type="pct"/>
            <w:tcBorders>
              <w:top w:val="single" w:color="000000" w:sz="8" w:space="0"/>
              <w:left w:val="nil"/>
              <w:bottom w:val="single" w:color="000000" w:sz="4" w:space="0"/>
              <w:right w:val="single" w:color="000000" w:sz="4" w:space="0"/>
            </w:tcBorders>
            <w:shd w:val="clear" w:color="FFFFFF" w:fill="FFFFFF"/>
            <w:vAlign w:val="center"/>
          </w:tcPr>
          <w:p w14:paraId="422F53C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计量单位</w:t>
            </w:r>
          </w:p>
        </w:tc>
        <w:tc>
          <w:tcPr>
            <w:tcW w:w="743" w:type="pct"/>
            <w:tcBorders>
              <w:top w:val="single" w:color="000000" w:sz="8" w:space="0"/>
              <w:left w:val="nil"/>
              <w:bottom w:val="single" w:color="000000" w:sz="4" w:space="0"/>
              <w:right w:val="single" w:color="000000" w:sz="4" w:space="0"/>
            </w:tcBorders>
            <w:shd w:val="clear" w:color="FFFFFF" w:fill="FFFFFF"/>
            <w:vAlign w:val="center"/>
          </w:tcPr>
          <w:p w14:paraId="2CAE925A">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831" w:type="pct"/>
            <w:tcBorders>
              <w:top w:val="single" w:color="000000" w:sz="8" w:space="0"/>
              <w:left w:val="nil"/>
              <w:bottom w:val="single" w:color="000000" w:sz="4" w:space="0"/>
              <w:right w:val="single" w:color="000000" w:sz="8" w:space="0"/>
            </w:tcBorders>
            <w:shd w:val="clear" w:color="FFFFFF" w:fill="FFFFFF"/>
            <w:vAlign w:val="center"/>
          </w:tcPr>
          <w:p w14:paraId="403146F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单价(元)</w:t>
            </w:r>
          </w:p>
        </w:tc>
      </w:tr>
      <w:tr w14:paraId="493573DF">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14:paraId="004A70BA">
            <w:pPr>
              <w:pStyle w:val="29"/>
              <w:rPr>
                <w:rFonts w:ascii="Times New Roman" w:hAnsi="Times New Roman"/>
                <w:color w:val="auto"/>
                <w:highlight w:val="none"/>
                <w:shd w:val="clear"/>
              </w:rPr>
            </w:pPr>
          </w:p>
        </w:tc>
        <w:tc>
          <w:tcPr>
            <w:tcW w:w="2037" w:type="pct"/>
            <w:tcBorders>
              <w:top w:val="single" w:color="000000" w:sz="4" w:space="0"/>
              <w:left w:val="nil"/>
              <w:bottom w:val="single" w:color="000000" w:sz="4" w:space="0"/>
              <w:right w:val="single" w:color="000000" w:sz="4" w:space="0"/>
            </w:tcBorders>
            <w:vAlign w:val="center"/>
          </w:tcPr>
          <w:p w14:paraId="42D35122">
            <w:pPr>
              <w:pStyle w:val="29"/>
              <w:rPr>
                <w:rFonts w:ascii="Times New Roman" w:hAnsi="Times New Roman"/>
                <w:color w:val="auto"/>
                <w:highlight w:val="none"/>
                <w:shd w:val="clear"/>
              </w:rPr>
            </w:pPr>
          </w:p>
        </w:tc>
        <w:tc>
          <w:tcPr>
            <w:tcW w:w="770" w:type="pct"/>
            <w:tcBorders>
              <w:top w:val="single" w:color="000000" w:sz="4" w:space="0"/>
              <w:left w:val="nil"/>
              <w:bottom w:val="single" w:color="000000" w:sz="4" w:space="0"/>
              <w:right w:val="single" w:color="000000" w:sz="4" w:space="0"/>
            </w:tcBorders>
            <w:vAlign w:val="center"/>
          </w:tcPr>
          <w:p w14:paraId="3FDC5CB8">
            <w:pPr>
              <w:pStyle w:val="29"/>
              <w:rPr>
                <w:rFonts w:ascii="Times New Roman" w:hAnsi="Times New Roman"/>
                <w:color w:val="auto"/>
                <w:highlight w:val="none"/>
                <w:shd w:val="clear"/>
              </w:rPr>
            </w:pPr>
          </w:p>
        </w:tc>
        <w:tc>
          <w:tcPr>
            <w:tcW w:w="743" w:type="pct"/>
            <w:tcBorders>
              <w:top w:val="single" w:color="000000" w:sz="4" w:space="0"/>
              <w:left w:val="nil"/>
              <w:bottom w:val="single" w:color="000000" w:sz="4" w:space="0"/>
              <w:right w:val="single" w:color="000000" w:sz="4" w:space="0"/>
            </w:tcBorders>
            <w:vAlign w:val="center"/>
          </w:tcPr>
          <w:p w14:paraId="03DDDF21">
            <w:pPr>
              <w:pStyle w:val="29"/>
              <w:rPr>
                <w:rFonts w:ascii="Times New Roman" w:hAnsi="Times New Roman"/>
                <w:color w:val="auto"/>
                <w:highlight w:val="none"/>
                <w:shd w:val="clear"/>
              </w:rPr>
            </w:pPr>
          </w:p>
        </w:tc>
        <w:tc>
          <w:tcPr>
            <w:tcW w:w="831" w:type="pct"/>
            <w:tcBorders>
              <w:top w:val="nil"/>
              <w:left w:val="nil"/>
              <w:bottom w:val="single" w:color="000000" w:sz="4" w:space="0"/>
              <w:right w:val="single" w:color="000000" w:sz="8" w:space="0"/>
            </w:tcBorders>
            <w:vAlign w:val="center"/>
          </w:tcPr>
          <w:p w14:paraId="71C5B81F">
            <w:pPr>
              <w:pStyle w:val="29"/>
              <w:rPr>
                <w:rFonts w:ascii="Times New Roman" w:hAnsi="Times New Roman"/>
                <w:color w:val="auto"/>
                <w:highlight w:val="none"/>
                <w:shd w:val="clear"/>
              </w:rPr>
            </w:pPr>
          </w:p>
        </w:tc>
      </w:tr>
      <w:tr w14:paraId="08D62802">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14:paraId="22AB2088">
            <w:pPr>
              <w:pStyle w:val="29"/>
              <w:rPr>
                <w:rFonts w:ascii="Times New Roman" w:hAnsi="Times New Roman"/>
                <w:color w:val="auto"/>
                <w:highlight w:val="none"/>
                <w:shd w:val="clear"/>
              </w:rPr>
            </w:pPr>
          </w:p>
        </w:tc>
        <w:tc>
          <w:tcPr>
            <w:tcW w:w="2037" w:type="pct"/>
            <w:tcBorders>
              <w:top w:val="single" w:color="000000" w:sz="4" w:space="0"/>
              <w:left w:val="nil"/>
              <w:bottom w:val="single" w:color="000000" w:sz="4" w:space="0"/>
              <w:right w:val="single" w:color="000000" w:sz="4" w:space="0"/>
            </w:tcBorders>
            <w:vAlign w:val="center"/>
          </w:tcPr>
          <w:p w14:paraId="1A0BD82D">
            <w:pPr>
              <w:pStyle w:val="29"/>
              <w:rPr>
                <w:rFonts w:ascii="Times New Roman" w:hAnsi="Times New Roman"/>
                <w:color w:val="auto"/>
                <w:highlight w:val="none"/>
                <w:shd w:val="clear"/>
              </w:rPr>
            </w:pPr>
          </w:p>
        </w:tc>
        <w:tc>
          <w:tcPr>
            <w:tcW w:w="770" w:type="pct"/>
            <w:tcBorders>
              <w:top w:val="single" w:color="000000" w:sz="4" w:space="0"/>
              <w:left w:val="nil"/>
              <w:bottom w:val="single" w:color="000000" w:sz="4" w:space="0"/>
              <w:right w:val="single" w:color="000000" w:sz="4" w:space="0"/>
            </w:tcBorders>
            <w:vAlign w:val="center"/>
          </w:tcPr>
          <w:p w14:paraId="5370F6DC">
            <w:pPr>
              <w:pStyle w:val="29"/>
              <w:rPr>
                <w:rFonts w:ascii="Times New Roman" w:hAnsi="Times New Roman"/>
                <w:color w:val="auto"/>
                <w:highlight w:val="none"/>
                <w:shd w:val="clear"/>
              </w:rPr>
            </w:pPr>
          </w:p>
        </w:tc>
        <w:tc>
          <w:tcPr>
            <w:tcW w:w="743" w:type="pct"/>
            <w:tcBorders>
              <w:top w:val="single" w:color="000000" w:sz="4" w:space="0"/>
              <w:left w:val="nil"/>
              <w:bottom w:val="single" w:color="000000" w:sz="4" w:space="0"/>
              <w:right w:val="single" w:color="000000" w:sz="4" w:space="0"/>
            </w:tcBorders>
            <w:vAlign w:val="center"/>
          </w:tcPr>
          <w:p w14:paraId="2FBB3ED3">
            <w:pPr>
              <w:pStyle w:val="29"/>
              <w:rPr>
                <w:rFonts w:ascii="Times New Roman" w:hAnsi="Times New Roman"/>
                <w:color w:val="auto"/>
                <w:highlight w:val="none"/>
                <w:shd w:val="clear"/>
              </w:rPr>
            </w:pPr>
          </w:p>
        </w:tc>
        <w:tc>
          <w:tcPr>
            <w:tcW w:w="831" w:type="pct"/>
            <w:tcBorders>
              <w:top w:val="nil"/>
              <w:left w:val="nil"/>
              <w:bottom w:val="single" w:color="000000" w:sz="4" w:space="0"/>
              <w:right w:val="single" w:color="000000" w:sz="8" w:space="0"/>
            </w:tcBorders>
            <w:vAlign w:val="center"/>
          </w:tcPr>
          <w:p w14:paraId="3D65E385">
            <w:pPr>
              <w:pStyle w:val="29"/>
              <w:rPr>
                <w:rFonts w:ascii="Times New Roman" w:hAnsi="Times New Roman"/>
                <w:color w:val="auto"/>
                <w:highlight w:val="none"/>
                <w:shd w:val="clear"/>
              </w:rPr>
            </w:pPr>
          </w:p>
        </w:tc>
      </w:tr>
      <w:tr w14:paraId="3BCBC36D">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14:paraId="1AC97B2B">
            <w:pPr>
              <w:pStyle w:val="29"/>
              <w:rPr>
                <w:rFonts w:ascii="Times New Roman" w:hAnsi="Times New Roman"/>
                <w:color w:val="auto"/>
                <w:highlight w:val="none"/>
                <w:shd w:val="clear"/>
              </w:rPr>
            </w:pPr>
          </w:p>
        </w:tc>
        <w:tc>
          <w:tcPr>
            <w:tcW w:w="2037" w:type="pct"/>
            <w:tcBorders>
              <w:top w:val="single" w:color="000000" w:sz="4" w:space="0"/>
              <w:left w:val="nil"/>
              <w:bottom w:val="single" w:color="000000" w:sz="4" w:space="0"/>
              <w:right w:val="single" w:color="000000" w:sz="4" w:space="0"/>
            </w:tcBorders>
            <w:vAlign w:val="center"/>
          </w:tcPr>
          <w:p w14:paraId="3E86DB11">
            <w:pPr>
              <w:pStyle w:val="29"/>
              <w:rPr>
                <w:rFonts w:ascii="Times New Roman" w:hAnsi="Times New Roman"/>
                <w:color w:val="auto"/>
                <w:highlight w:val="none"/>
                <w:shd w:val="clear"/>
              </w:rPr>
            </w:pPr>
          </w:p>
        </w:tc>
        <w:tc>
          <w:tcPr>
            <w:tcW w:w="770" w:type="pct"/>
            <w:tcBorders>
              <w:top w:val="single" w:color="000000" w:sz="4" w:space="0"/>
              <w:left w:val="nil"/>
              <w:bottom w:val="single" w:color="000000" w:sz="4" w:space="0"/>
              <w:right w:val="single" w:color="000000" w:sz="4" w:space="0"/>
            </w:tcBorders>
            <w:vAlign w:val="center"/>
          </w:tcPr>
          <w:p w14:paraId="568EE8BA">
            <w:pPr>
              <w:pStyle w:val="29"/>
              <w:rPr>
                <w:rFonts w:ascii="Times New Roman" w:hAnsi="Times New Roman"/>
                <w:color w:val="auto"/>
                <w:highlight w:val="none"/>
                <w:shd w:val="clear"/>
              </w:rPr>
            </w:pPr>
          </w:p>
        </w:tc>
        <w:tc>
          <w:tcPr>
            <w:tcW w:w="743" w:type="pct"/>
            <w:tcBorders>
              <w:top w:val="single" w:color="000000" w:sz="4" w:space="0"/>
              <w:left w:val="nil"/>
              <w:bottom w:val="single" w:color="000000" w:sz="4" w:space="0"/>
              <w:right w:val="single" w:color="000000" w:sz="4" w:space="0"/>
            </w:tcBorders>
            <w:vAlign w:val="center"/>
          </w:tcPr>
          <w:p w14:paraId="43830156">
            <w:pPr>
              <w:pStyle w:val="29"/>
              <w:rPr>
                <w:rFonts w:ascii="Times New Roman" w:hAnsi="Times New Roman"/>
                <w:color w:val="auto"/>
                <w:highlight w:val="none"/>
                <w:shd w:val="clear"/>
              </w:rPr>
            </w:pPr>
          </w:p>
        </w:tc>
        <w:tc>
          <w:tcPr>
            <w:tcW w:w="831" w:type="pct"/>
            <w:tcBorders>
              <w:top w:val="nil"/>
              <w:left w:val="nil"/>
              <w:bottom w:val="single" w:color="000000" w:sz="4" w:space="0"/>
              <w:right w:val="single" w:color="000000" w:sz="8" w:space="0"/>
            </w:tcBorders>
            <w:vAlign w:val="center"/>
          </w:tcPr>
          <w:p w14:paraId="13D70AF3">
            <w:pPr>
              <w:pStyle w:val="29"/>
              <w:rPr>
                <w:rFonts w:ascii="Times New Roman" w:hAnsi="Times New Roman"/>
                <w:color w:val="auto"/>
                <w:highlight w:val="none"/>
                <w:shd w:val="clear"/>
              </w:rPr>
            </w:pPr>
          </w:p>
        </w:tc>
      </w:tr>
      <w:tr w14:paraId="08C359AA">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14:paraId="1314FA74">
            <w:pPr>
              <w:pStyle w:val="29"/>
              <w:rPr>
                <w:rFonts w:ascii="Times New Roman" w:hAnsi="Times New Roman"/>
                <w:color w:val="auto"/>
                <w:highlight w:val="none"/>
                <w:shd w:val="clear"/>
              </w:rPr>
            </w:pPr>
          </w:p>
        </w:tc>
        <w:tc>
          <w:tcPr>
            <w:tcW w:w="2037" w:type="pct"/>
            <w:tcBorders>
              <w:top w:val="single" w:color="000000" w:sz="4" w:space="0"/>
              <w:left w:val="nil"/>
              <w:bottom w:val="single" w:color="000000" w:sz="4" w:space="0"/>
              <w:right w:val="single" w:color="000000" w:sz="4" w:space="0"/>
            </w:tcBorders>
            <w:vAlign w:val="center"/>
          </w:tcPr>
          <w:p w14:paraId="26D8DD0E">
            <w:pPr>
              <w:pStyle w:val="29"/>
              <w:rPr>
                <w:rFonts w:ascii="Times New Roman" w:hAnsi="Times New Roman"/>
                <w:color w:val="auto"/>
                <w:highlight w:val="none"/>
                <w:shd w:val="clear"/>
              </w:rPr>
            </w:pPr>
          </w:p>
        </w:tc>
        <w:tc>
          <w:tcPr>
            <w:tcW w:w="770" w:type="pct"/>
            <w:tcBorders>
              <w:top w:val="single" w:color="000000" w:sz="4" w:space="0"/>
              <w:left w:val="nil"/>
              <w:bottom w:val="single" w:color="000000" w:sz="4" w:space="0"/>
              <w:right w:val="single" w:color="000000" w:sz="4" w:space="0"/>
            </w:tcBorders>
            <w:vAlign w:val="center"/>
          </w:tcPr>
          <w:p w14:paraId="68A51C4E">
            <w:pPr>
              <w:pStyle w:val="29"/>
              <w:rPr>
                <w:rFonts w:ascii="Times New Roman" w:hAnsi="Times New Roman"/>
                <w:color w:val="auto"/>
                <w:highlight w:val="none"/>
                <w:shd w:val="clear"/>
              </w:rPr>
            </w:pPr>
          </w:p>
        </w:tc>
        <w:tc>
          <w:tcPr>
            <w:tcW w:w="743" w:type="pct"/>
            <w:tcBorders>
              <w:top w:val="single" w:color="000000" w:sz="4" w:space="0"/>
              <w:left w:val="nil"/>
              <w:bottom w:val="single" w:color="000000" w:sz="4" w:space="0"/>
              <w:right w:val="single" w:color="000000" w:sz="4" w:space="0"/>
            </w:tcBorders>
            <w:vAlign w:val="center"/>
          </w:tcPr>
          <w:p w14:paraId="213BBB59">
            <w:pPr>
              <w:pStyle w:val="29"/>
              <w:rPr>
                <w:rFonts w:ascii="Times New Roman" w:hAnsi="Times New Roman"/>
                <w:color w:val="auto"/>
                <w:highlight w:val="none"/>
                <w:shd w:val="clear"/>
              </w:rPr>
            </w:pPr>
          </w:p>
        </w:tc>
        <w:tc>
          <w:tcPr>
            <w:tcW w:w="831" w:type="pct"/>
            <w:tcBorders>
              <w:top w:val="nil"/>
              <w:left w:val="nil"/>
              <w:bottom w:val="single" w:color="000000" w:sz="4" w:space="0"/>
              <w:right w:val="single" w:color="000000" w:sz="8" w:space="0"/>
            </w:tcBorders>
            <w:vAlign w:val="center"/>
          </w:tcPr>
          <w:p w14:paraId="0B8F0519">
            <w:pPr>
              <w:pStyle w:val="29"/>
              <w:rPr>
                <w:rFonts w:ascii="Times New Roman" w:hAnsi="Times New Roman"/>
                <w:color w:val="auto"/>
                <w:highlight w:val="none"/>
                <w:shd w:val="clear"/>
              </w:rPr>
            </w:pPr>
          </w:p>
        </w:tc>
      </w:tr>
      <w:bookmarkEnd w:id="2472"/>
      <w:bookmarkEnd w:id="2473"/>
    </w:tbl>
    <w:p w14:paraId="49539078">
      <w:pPr>
        <w:widowControl/>
        <w:jc w:val="left"/>
        <w:rPr>
          <w:rFonts w:ascii="Times New Roman" w:hAnsi="Times New Roman" w:eastAsia="黑体" w:cs="仿宋"/>
          <w:snapToGrid w:val="0"/>
          <w:color w:val="auto"/>
          <w:sz w:val="28"/>
          <w:szCs w:val="28"/>
          <w:highlight w:val="none"/>
          <w:shd w:val="clear"/>
          <w:lang w:val="zh-CN"/>
        </w:rPr>
      </w:pPr>
    </w:p>
    <w:p w14:paraId="25DA30E6">
      <w:pPr>
        <w:pStyle w:val="20"/>
        <w:rPr>
          <w:rFonts w:ascii="Times New Roman" w:hAnsi="Times New Roman"/>
          <w:color w:val="auto"/>
          <w:highlight w:val="none"/>
          <w:shd w:val="clear"/>
          <w:lang w:val="zh-CN"/>
        </w:rPr>
      </w:pPr>
      <w:r>
        <w:rPr>
          <w:rFonts w:ascii="Times New Roman" w:hAnsi="Times New Roman"/>
          <w:color w:val="auto"/>
          <w:highlight w:val="none"/>
          <w:shd w:val="clear"/>
          <w:lang w:val="zh-CN"/>
        </w:rPr>
        <w:t>（十六）发包人提供材料（工程设备）一览表</w:t>
      </w:r>
      <w:bookmarkEnd w:id="2461"/>
      <w:bookmarkEnd w:id="2462"/>
      <w:bookmarkEnd w:id="2463"/>
      <w:bookmarkEnd w:id="2464"/>
      <w:bookmarkEnd w:id="2465"/>
      <w:bookmarkEnd w:id="2466"/>
    </w:p>
    <w:p w14:paraId="1AB63E77">
      <w:pPr>
        <w:pStyle w:val="30"/>
        <w:framePr w:hSpace="0" w:wrap="auto" w:vAnchor="margin" w:hAnchor="text" w:xAlign="left" w:yAlign="inline"/>
        <w:ind w:left="1260" w:hanging="420"/>
        <w:rPr>
          <w:rFonts w:ascii="Times New Roman" w:hAnsi="Times New Roman"/>
          <w:color w:val="auto"/>
          <w:highlight w:val="none"/>
          <w:shd w:val="clear"/>
        </w:rPr>
      </w:pPr>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852"/>
        <w:gridCol w:w="2591"/>
        <w:gridCol w:w="1296"/>
        <w:gridCol w:w="1209"/>
        <w:gridCol w:w="1328"/>
        <w:gridCol w:w="1027"/>
        <w:gridCol w:w="983"/>
      </w:tblGrid>
      <w:tr w14:paraId="05F7F4C4">
        <w:tblPrEx>
          <w:tblCellMar>
            <w:top w:w="0" w:type="dxa"/>
            <w:left w:w="108" w:type="dxa"/>
            <w:bottom w:w="0" w:type="dxa"/>
            <w:right w:w="108" w:type="dxa"/>
          </w:tblCellMar>
        </w:tblPrEx>
        <w:trPr>
          <w:trHeight w:val="690" w:hRule="atLeast"/>
        </w:trPr>
        <w:tc>
          <w:tcPr>
            <w:tcW w:w="459"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1CA52D4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395" w:type="pct"/>
            <w:tcBorders>
              <w:top w:val="single" w:color="000000" w:sz="8" w:space="0"/>
              <w:left w:val="nil"/>
              <w:bottom w:val="single" w:color="000000" w:sz="4" w:space="0"/>
              <w:right w:val="single" w:color="000000" w:sz="4" w:space="0"/>
            </w:tcBorders>
            <w:shd w:val="clear" w:color="FFFFFF" w:fill="FFFFFF"/>
            <w:vAlign w:val="center"/>
          </w:tcPr>
          <w:p w14:paraId="07C79DCC">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材料(工程设备)名称、规格、型号</w:t>
            </w:r>
          </w:p>
        </w:tc>
        <w:tc>
          <w:tcPr>
            <w:tcW w:w="698" w:type="pct"/>
            <w:tcBorders>
              <w:top w:val="single" w:color="000000" w:sz="8" w:space="0"/>
              <w:left w:val="nil"/>
              <w:bottom w:val="single" w:color="000000" w:sz="4" w:space="0"/>
              <w:right w:val="single" w:color="000000" w:sz="4" w:space="0"/>
            </w:tcBorders>
            <w:shd w:val="clear" w:color="FFFFFF" w:fill="FFFFFF"/>
            <w:vAlign w:val="center"/>
          </w:tcPr>
          <w:p w14:paraId="0FFD3EC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计量单位</w:t>
            </w:r>
          </w:p>
        </w:tc>
        <w:tc>
          <w:tcPr>
            <w:tcW w:w="651" w:type="pct"/>
            <w:tcBorders>
              <w:top w:val="single" w:color="000000" w:sz="8" w:space="0"/>
              <w:left w:val="nil"/>
              <w:bottom w:val="single" w:color="000000" w:sz="4" w:space="0"/>
              <w:right w:val="single" w:color="000000" w:sz="4" w:space="0"/>
            </w:tcBorders>
            <w:shd w:val="clear" w:color="FFFFFF" w:fill="FFFFFF"/>
            <w:vAlign w:val="center"/>
          </w:tcPr>
          <w:p w14:paraId="015E1D75">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715" w:type="pct"/>
            <w:tcBorders>
              <w:top w:val="single" w:color="000000" w:sz="8" w:space="0"/>
              <w:left w:val="nil"/>
              <w:bottom w:val="single" w:color="000000" w:sz="4" w:space="0"/>
              <w:right w:val="single" w:color="000000" w:sz="4" w:space="0"/>
            </w:tcBorders>
            <w:shd w:val="clear" w:color="FFFFFF" w:fill="FFFFFF"/>
            <w:vAlign w:val="center"/>
          </w:tcPr>
          <w:p w14:paraId="129CB7B8">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单价(元)</w:t>
            </w:r>
          </w:p>
        </w:tc>
        <w:tc>
          <w:tcPr>
            <w:tcW w:w="553" w:type="pct"/>
            <w:tcBorders>
              <w:top w:val="single" w:color="000000" w:sz="8" w:space="0"/>
              <w:left w:val="nil"/>
              <w:bottom w:val="single" w:color="000000" w:sz="4" w:space="0"/>
              <w:right w:val="single" w:color="000000" w:sz="4" w:space="0"/>
            </w:tcBorders>
            <w:shd w:val="clear" w:color="FFFFFF" w:fill="FFFFFF"/>
            <w:vAlign w:val="center"/>
          </w:tcPr>
          <w:p w14:paraId="2140D9C0">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合价(元)</w:t>
            </w:r>
          </w:p>
        </w:tc>
        <w:tc>
          <w:tcPr>
            <w:tcW w:w="529" w:type="pct"/>
            <w:tcBorders>
              <w:top w:val="single" w:color="000000" w:sz="8" w:space="0"/>
              <w:left w:val="nil"/>
              <w:bottom w:val="single" w:color="000000" w:sz="4" w:space="0"/>
              <w:right w:val="single" w:color="000000" w:sz="8" w:space="0"/>
            </w:tcBorders>
            <w:shd w:val="clear" w:color="FFFFFF" w:fill="FFFFFF"/>
            <w:vAlign w:val="center"/>
          </w:tcPr>
          <w:p w14:paraId="4FEE59C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641DE328">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vAlign w:val="center"/>
          </w:tcPr>
          <w:p w14:paraId="1475B290">
            <w:pPr>
              <w:pStyle w:val="29"/>
              <w:rPr>
                <w:rFonts w:ascii="Times New Roman" w:hAnsi="Times New Roman"/>
                <w:color w:val="auto"/>
                <w:highlight w:val="none"/>
                <w:shd w:val="clear"/>
              </w:rPr>
            </w:pPr>
          </w:p>
        </w:tc>
        <w:tc>
          <w:tcPr>
            <w:tcW w:w="1395" w:type="pct"/>
            <w:tcBorders>
              <w:top w:val="single" w:color="000000" w:sz="4" w:space="0"/>
              <w:left w:val="nil"/>
              <w:bottom w:val="single" w:color="000000" w:sz="4" w:space="0"/>
              <w:right w:val="single" w:color="000000" w:sz="4" w:space="0"/>
            </w:tcBorders>
            <w:vAlign w:val="center"/>
          </w:tcPr>
          <w:p w14:paraId="024FEA00">
            <w:pPr>
              <w:pStyle w:val="29"/>
              <w:rPr>
                <w:rFonts w:ascii="Times New Roman" w:hAnsi="Times New Roman"/>
                <w:color w:val="auto"/>
                <w:highlight w:val="none"/>
                <w:shd w:val="clear"/>
              </w:rPr>
            </w:pPr>
          </w:p>
        </w:tc>
        <w:tc>
          <w:tcPr>
            <w:tcW w:w="698" w:type="pct"/>
            <w:tcBorders>
              <w:top w:val="nil"/>
              <w:left w:val="nil"/>
              <w:bottom w:val="single" w:color="000000" w:sz="4" w:space="0"/>
              <w:right w:val="single" w:color="000000" w:sz="4" w:space="0"/>
            </w:tcBorders>
            <w:vAlign w:val="center"/>
          </w:tcPr>
          <w:p w14:paraId="4ED0B181">
            <w:pPr>
              <w:pStyle w:val="29"/>
              <w:rPr>
                <w:rFonts w:ascii="Times New Roman" w:hAnsi="Times New Roman"/>
                <w:color w:val="auto"/>
                <w:highlight w:val="none"/>
                <w:shd w:val="clear"/>
              </w:rPr>
            </w:pPr>
          </w:p>
        </w:tc>
        <w:tc>
          <w:tcPr>
            <w:tcW w:w="651" w:type="pct"/>
            <w:tcBorders>
              <w:top w:val="single" w:color="000000" w:sz="4" w:space="0"/>
              <w:left w:val="nil"/>
              <w:bottom w:val="single" w:color="000000" w:sz="4" w:space="0"/>
              <w:right w:val="single" w:color="000000" w:sz="4" w:space="0"/>
            </w:tcBorders>
            <w:vAlign w:val="center"/>
          </w:tcPr>
          <w:p w14:paraId="373681DA">
            <w:pPr>
              <w:pStyle w:val="29"/>
              <w:rPr>
                <w:rFonts w:ascii="Times New Roman" w:hAnsi="Times New Roman"/>
                <w:color w:val="auto"/>
                <w:highlight w:val="none"/>
                <w:shd w:val="clear"/>
              </w:rPr>
            </w:pPr>
          </w:p>
        </w:tc>
        <w:tc>
          <w:tcPr>
            <w:tcW w:w="715" w:type="pct"/>
            <w:tcBorders>
              <w:top w:val="single" w:color="000000" w:sz="4" w:space="0"/>
              <w:left w:val="nil"/>
              <w:bottom w:val="single" w:color="000000" w:sz="4" w:space="0"/>
              <w:right w:val="single" w:color="000000" w:sz="4" w:space="0"/>
            </w:tcBorders>
            <w:vAlign w:val="center"/>
          </w:tcPr>
          <w:p w14:paraId="41204676">
            <w:pPr>
              <w:pStyle w:val="29"/>
              <w:rPr>
                <w:rFonts w:ascii="Times New Roman" w:hAnsi="Times New Roman"/>
                <w:color w:val="auto"/>
                <w:highlight w:val="none"/>
                <w:shd w:val="clear"/>
              </w:rPr>
            </w:pPr>
          </w:p>
        </w:tc>
        <w:tc>
          <w:tcPr>
            <w:tcW w:w="553" w:type="pct"/>
            <w:tcBorders>
              <w:top w:val="nil"/>
              <w:left w:val="nil"/>
              <w:bottom w:val="single" w:color="000000" w:sz="4" w:space="0"/>
              <w:right w:val="single" w:color="000000" w:sz="4" w:space="0"/>
            </w:tcBorders>
            <w:vAlign w:val="center"/>
          </w:tcPr>
          <w:p w14:paraId="0E3BF489">
            <w:pPr>
              <w:pStyle w:val="29"/>
              <w:rPr>
                <w:rFonts w:ascii="Times New Roman" w:hAnsi="Times New Roman"/>
                <w:color w:val="auto"/>
                <w:highlight w:val="none"/>
                <w:shd w:val="clear"/>
              </w:rPr>
            </w:pPr>
          </w:p>
        </w:tc>
        <w:tc>
          <w:tcPr>
            <w:tcW w:w="529" w:type="pct"/>
            <w:tcBorders>
              <w:top w:val="nil"/>
              <w:left w:val="nil"/>
              <w:bottom w:val="single" w:color="000000" w:sz="4" w:space="0"/>
              <w:right w:val="single" w:color="000000" w:sz="8" w:space="0"/>
            </w:tcBorders>
            <w:vAlign w:val="center"/>
          </w:tcPr>
          <w:p w14:paraId="2D20F32D">
            <w:pPr>
              <w:pStyle w:val="29"/>
              <w:rPr>
                <w:rFonts w:ascii="Times New Roman" w:hAnsi="Times New Roman"/>
                <w:color w:val="auto"/>
                <w:highlight w:val="none"/>
                <w:shd w:val="clear"/>
              </w:rPr>
            </w:pPr>
          </w:p>
        </w:tc>
      </w:tr>
      <w:tr w14:paraId="0C1034E6">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vAlign w:val="center"/>
          </w:tcPr>
          <w:p w14:paraId="69A05F41">
            <w:pPr>
              <w:pStyle w:val="29"/>
              <w:rPr>
                <w:rFonts w:ascii="Times New Roman" w:hAnsi="Times New Roman"/>
                <w:color w:val="auto"/>
                <w:highlight w:val="none"/>
                <w:shd w:val="clear"/>
              </w:rPr>
            </w:pPr>
          </w:p>
        </w:tc>
        <w:tc>
          <w:tcPr>
            <w:tcW w:w="1395" w:type="pct"/>
            <w:tcBorders>
              <w:top w:val="single" w:color="000000" w:sz="4" w:space="0"/>
              <w:left w:val="nil"/>
              <w:bottom w:val="single" w:color="000000" w:sz="4" w:space="0"/>
              <w:right w:val="single" w:color="000000" w:sz="4" w:space="0"/>
            </w:tcBorders>
            <w:vAlign w:val="center"/>
          </w:tcPr>
          <w:p w14:paraId="487325C4">
            <w:pPr>
              <w:pStyle w:val="29"/>
              <w:rPr>
                <w:rFonts w:ascii="Times New Roman" w:hAnsi="Times New Roman"/>
                <w:color w:val="auto"/>
                <w:highlight w:val="none"/>
                <w:shd w:val="clear"/>
              </w:rPr>
            </w:pPr>
          </w:p>
        </w:tc>
        <w:tc>
          <w:tcPr>
            <w:tcW w:w="698" w:type="pct"/>
            <w:tcBorders>
              <w:top w:val="nil"/>
              <w:left w:val="nil"/>
              <w:bottom w:val="single" w:color="000000" w:sz="4" w:space="0"/>
              <w:right w:val="single" w:color="000000" w:sz="4" w:space="0"/>
            </w:tcBorders>
            <w:vAlign w:val="center"/>
          </w:tcPr>
          <w:p w14:paraId="047CB24A">
            <w:pPr>
              <w:pStyle w:val="29"/>
              <w:rPr>
                <w:rFonts w:ascii="Times New Roman" w:hAnsi="Times New Roman"/>
                <w:color w:val="auto"/>
                <w:highlight w:val="none"/>
                <w:shd w:val="clear"/>
              </w:rPr>
            </w:pPr>
          </w:p>
        </w:tc>
        <w:tc>
          <w:tcPr>
            <w:tcW w:w="651" w:type="pct"/>
            <w:tcBorders>
              <w:top w:val="single" w:color="000000" w:sz="4" w:space="0"/>
              <w:left w:val="nil"/>
              <w:bottom w:val="single" w:color="000000" w:sz="4" w:space="0"/>
              <w:right w:val="single" w:color="000000" w:sz="4" w:space="0"/>
            </w:tcBorders>
            <w:vAlign w:val="center"/>
          </w:tcPr>
          <w:p w14:paraId="3ED06B71">
            <w:pPr>
              <w:pStyle w:val="29"/>
              <w:rPr>
                <w:rFonts w:ascii="Times New Roman" w:hAnsi="Times New Roman"/>
                <w:color w:val="auto"/>
                <w:highlight w:val="none"/>
                <w:shd w:val="clear"/>
              </w:rPr>
            </w:pPr>
          </w:p>
        </w:tc>
        <w:tc>
          <w:tcPr>
            <w:tcW w:w="715" w:type="pct"/>
            <w:tcBorders>
              <w:top w:val="single" w:color="000000" w:sz="4" w:space="0"/>
              <w:left w:val="nil"/>
              <w:bottom w:val="single" w:color="000000" w:sz="4" w:space="0"/>
              <w:right w:val="single" w:color="000000" w:sz="4" w:space="0"/>
            </w:tcBorders>
            <w:vAlign w:val="center"/>
          </w:tcPr>
          <w:p w14:paraId="5CB6AE7B">
            <w:pPr>
              <w:pStyle w:val="29"/>
              <w:rPr>
                <w:rFonts w:ascii="Times New Roman" w:hAnsi="Times New Roman"/>
                <w:color w:val="auto"/>
                <w:highlight w:val="none"/>
                <w:shd w:val="clear"/>
              </w:rPr>
            </w:pPr>
          </w:p>
        </w:tc>
        <w:tc>
          <w:tcPr>
            <w:tcW w:w="553" w:type="pct"/>
            <w:tcBorders>
              <w:top w:val="nil"/>
              <w:left w:val="nil"/>
              <w:bottom w:val="single" w:color="000000" w:sz="4" w:space="0"/>
              <w:right w:val="single" w:color="000000" w:sz="4" w:space="0"/>
            </w:tcBorders>
            <w:vAlign w:val="center"/>
          </w:tcPr>
          <w:p w14:paraId="67509C1E">
            <w:pPr>
              <w:pStyle w:val="29"/>
              <w:rPr>
                <w:rFonts w:ascii="Times New Roman" w:hAnsi="Times New Roman"/>
                <w:color w:val="auto"/>
                <w:highlight w:val="none"/>
                <w:shd w:val="clear"/>
              </w:rPr>
            </w:pPr>
          </w:p>
        </w:tc>
        <w:tc>
          <w:tcPr>
            <w:tcW w:w="529" w:type="pct"/>
            <w:tcBorders>
              <w:top w:val="nil"/>
              <w:left w:val="nil"/>
              <w:bottom w:val="single" w:color="000000" w:sz="4" w:space="0"/>
              <w:right w:val="single" w:color="000000" w:sz="8" w:space="0"/>
            </w:tcBorders>
            <w:vAlign w:val="center"/>
          </w:tcPr>
          <w:p w14:paraId="1A821945">
            <w:pPr>
              <w:pStyle w:val="29"/>
              <w:rPr>
                <w:rFonts w:ascii="Times New Roman" w:hAnsi="Times New Roman"/>
                <w:color w:val="auto"/>
                <w:highlight w:val="none"/>
                <w:shd w:val="clear"/>
              </w:rPr>
            </w:pPr>
          </w:p>
        </w:tc>
      </w:tr>
      <w:tr w14:paraId="0A8AB73A">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vAlign w:val="center"/>
          </w:tcPr>
          <w:p w14:paraId="64CA244F">
            <w:pPr>
              <w:pStyle w:val="29"/>
              <w:rPr>
                <w:rFonts w:ascii="Times New Roman" w:hAnsi="Times New Roman"/>
                <w:color w:val="auto"/>
                <w:highlight w:val="none"/>
                <w:shd w:val="clear"/>
              </w:rPr>
            </w:pPr>
          </w:p>
        </w:tc>
        <w:tc>
          <w:tcPr>
            <w:tcW w:w="1395" w:type="pct"/>
            <w:tcBorders>
              <w:top w:val="single" w:color="000000" w:sz="4" w:space="0"/>
              <w:left w:val="nil"/>
              <w:bottom w:val="single" w:color="000000" w:sz="4" w:space="0"/>
              <w:right w:val="single" w:color="000000" w:sz="4" w:space="0"/>
            </w:tcBorders>
            <w:vAlign w:val="center"/>
          </w:tcPr>
          <w:p w14:paraId="39DFD2DA">
            <w:pPr>
              <w:pStyle w:val="29"/>
              <w:rPr>
                <w:rFonts w:ascii="Times New Roman" w:hAnsi="Times New Roman"/>
                <w:color w:val="auto"/>
                <w:highlight w:val="none"/>
                <w:shd w:val="clear"/>
              </w:rPr>
            </w:pPr>
          </w:p>
        </w:tc>
        <w:tc>
          <w:tcPr>
            <w:tcW w:w="698" w:type="pct"/>
            <w:tcBorders>
              <w:top w:val="nil"/>
              <w:left w:val="nil"/>
              <w:bottom w:val="single" w:color="000000" w:sz="4" w:space="0"/>
              <w:right w:val="single" w:color="000000" w:sz="4" w:space="0"/>
            </w:tcBorders>
            <w:vAlign w:val="center"/>
          </w:tcPr>
          <w:p w14:paraId="5AA8BB1A">
            <w:pPr>
              <w:pStyle w:val="29"/>
              <w:rPr>
                <w:rFonts w:ascii="Times New Roman" w:hAnsi="Times New Roman"/>
                <w:color w:val="auto"/>
                <w:highlight w:val="none"/>
                <w:shd w:val="clear"/>
              </w:rPr>
            </w:pPr>
          </w:p>
        </w:tc>
        <w:tc>
          <w:tcPr>
            <w:tcW w:w="651" w:type="pct"/>
            <w:tcBorders>
              <w:top w:val="single" w:color="000000" w:sz="4" w:space="0"/>
              <w:left w:val="nil"/>
              <w:bottom w:val="single" w:color="000000" w:sz="4" w:space="0"/>
              <w:right w:val="single" w:color="000000" w:sz="4" w:space="0"/>
            </w:tcBorders>
            <w:vAlign w:val="center"/>
          </w:tcPr>
          <w:p w14:paraId="161EC058">
            <w:pPr>
              <w:pStyle w:val="29"/>
              <w:rPr>
                <w:rFonts w:ascii="Times New Roman" w:hAnsi="Times New Roman"/>
                <w:color w:val="auto"/>
                <w:highlight w:val="none"/>
                <w:shd w:val="clear"/>
              </w:rPr>
            </w:pPr>
          </w:p>
        </w:tc>
        <w:tc>
          <w:tcPr>
            <w:tcW w:w="715" w:type="pct"/>
            <w:tcBorders>
              <w:top w:val="single" w:color="000000" w:sz="4" w:space="0"/>
              <w:left w:val="nil"/>
              <w:bottom w:val="single" w:color="000000" w:sz="4" w:space="0"/>
              <w:right w:val="single" w:color="000000" w:sz="4" w:space="0"/>
            </w:tcBorders>
            <w:vAlign w:val="center"/>
          </w:tcPr>
          <w:p w14:paraId="34C5B906">
            <w:pPr>
              <w:pStyle w:val="29"/>
              <w:rPr>
                <w:rFonts w:ascii="Times New Roman" w:hAnsi="Times New Roman"/>
                <w:color w:val="auto"/>
                <w:highlight w:val="none"/>
                <w:shd w:val="clear"/>
              </w:rPr>
            </w:pPr>
          </w:p>
        </w:tc>
        <w:tc>
          <w:tcPr>
            <w:tcW w:w="553" w:type="pct"/>
            <w:tcBorders>
              <w:top w:val="nil"/>
              <w:left w:val="nil"/>
              <w:bottom w:val="single" w:color="000000" w:sz="4" w:space="0"/>
              <w:right w:val="single" w:color="000000" w:sz="4" w:space="0"/>
            </w:tcBorders>
            <w:vAlign w:val="center"/>
          </w:tcPr>
          <w:p w14:paraId="2057F8D8">
            <w:pPr>
              <w:pStyle w:val="29"/>
              <w:rPr>
                <w:rFonts w:ascii="Times New Roman" w:hAnsi="Times New Roman"/>
                <w:color w:val="auto"/>
                <w:highlight w:val="none"/>
                <w:shd w:val="clear"/>
              </w:rPr>
            </w:pPr>
          </w:p>
        </w:tc>
        <w:tc>
          <w:tcPr>
            <w:tcW w:w="529" w:type="pct"/>
            <w:tcBorders>
              <w:top w:val="nil"/>
              <w:left w:val="nil"/>
              <w:bottom w:val="single" w:color="000000" w:sz="4" w:space="0"/>
              <w:right w:val="single" w:color="000000" w:sz="8" w:space="0"/>
            </w:tcBorders>
            <w:vAlign w:val="center"/>
          </w:tcPr>
          <w:p w14:paraId="69F22BE4">
            <w:pPr>
              <w:pStyle w:val="29"/>
              <w:rPr>
                <w:rFonts w:ascii="Times New Roman" w:hAnsi="Times New Roman"/>
                <w:color w:val="auto"/>
                <w:highlight w:val="none"/>
                <w:shd w:val="clear"/>
              </w:rPr>
            </w:pPr>
          </w:p>
        </w:tc>
      </w:tr>
    </w:tbl>
    <w:p w14:paraId="06A3E70B">
      <w:pPr>
        <w:jc w:val="center"/>
        <w:rPr>
          <w:rFonts w:ascii="Times New Roman" w:hAnsi="Times New Roman"/>
          <w:color w:val="auto"/>
          <w:sz w:val="28"/>
          <w:szCs w:val="28"/>
          <w:highlight w:val="none"/>
          <w:shd w:val="clear"/>
        </w:rPr>
      </w:pPr>
      <w:r>
        <w:rPr>
          <w:rFonts w:hint="eastAsia" w:ascii="Times New Roman" w:hAnsi="Times New Roman"/>
          <w:color w:val="auto"/>
          <w:sz w:val="28"/>
          <w:szCs w:val="28"/>
          <w:highlight w:val="none"/>
          <w:shd w:val="clear"/>
        </w:rPr>
        <w:br w:type="page"/>
      </w:r>
      <w:bookmarkStart w:id="2474" w:name="_Toc535241143"/>
      <w:bookmarkStart w:id="2475" w:name="_Toc460227138"/>
      <w:bookmarkStart w:id="2476" w:name="_Toc460660253"/>
    </w:p>
    <w:p w14:paraId="58E34299">
      <w:pPr>
        <w:pStyle w:val="20"/>
        <w:rPr>
          <w:rFonts w:ascii="Times New Roman" w:hAnsi="Times New Roman"/>
          <w:color w:val="auto"/>
          <w:highlight w:val="none"/>
          <w:shd w:val="clear"/>
          <w:lang w:val="zh-CN"/>
        </w:rPr>
      </w:pPr>
      <w:bookmarkStart w:id="2477" w:name="_Toc170805459"/>
      <w:bookmarkStart w:id="2478" w:name="_Toc30852"/>
      <w:bookmarkStart w:id="2479" w:name="_Toc170805839"/>
      <w:bookmarkStart w:id="2480" w:name="_Toc6345"/>
      <w:bookmarkStart w:id="2481" w:name="_Toc170804271"/>
      <w:r>
        <w:rPr>
          <w:rFonts w:ascii="Times New Roman" w:hAnsi="Times New Roman"/>
          <w:color w:val="auto"/>
          <w:highlight w:val="none"/>
          <w:shd w:val="clear"/>
          <w:lang w:val="zh-CN"/>
        </w:rPr>
        <w:t>（十七）承包人提供材料（工程设备）一览表</w:t>
      </w:r>
      <w:bookmarkEnd w:id="2474"/>
      <w:bookmarkEnd w:id="2477"/>
      <w:bookmarkEnd w:id="2478"/>
      <w:bookmarkEnd w:id="2479"/>
      <w:bookmarkEnd w:id="2480"/>
      <w:bookmarkEnd w:id="2481"/>
    </w:p>
    <w:p w14:paraId="5A8C8DA2">
      <w:pPr>
        <w:pStyle w:val="30"/>
        <w:framePr w:hSpace="0" w:wrap="auto" w:vAnchor="margin" w:hAnchor="text" w:xAlign="left" w:yAlign="inline"/>
        <w:ind w:left="1260" w:hanging="420"/>
        <w:rPr>
          <w:rFonts w:ascii="Times New Roman" w:hAnsi="Times New Roman"/>
          <w:color w:val="auto"/>
          <w:highlight w:val="none"/>
          <w:shd w:val="clear"/>
        </w:rPr>
      </w:pPr>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tbl>
      <w:tblPr>
        <w:tblStyle w:val="12"/>
        <w:tblW w:w="5000" w:type="pct"/>
        <w:tblInd w:w="0" w:type="dxa"/>
        <w:tblLayout w:type="autofit"/>
        <w:tblCellMar>
          <w:top w:w="0" w:type="dxa"/>
          <w:left w:w="108" w:type="dxa"/>
          <w:bottom w:w="0" w:type="dxa"/>
          <w:right w:w="108" w:type="dxa"/>
        </w:tblCellMar>
      </w:tblPr>
      <w:tblGrid>
        <w:gridCol w:w="643"/>
        <w:gridCol w:w="2132"/>
        <w:gridCol w:w="756"/>
        <w:gridCol w:w="1075"/>
        <w:gridCol w:w="1075"/>
        <w:gridCol w:w="1378"/>
        <w:gridCol w:w="1378"/>
        <w:gridCol w:w="849"/>
      </w:tblGrid>
      <w:tr w14:paraId="4CF3F434">
        <w:tblPrEx>
          <w:tblCellMar>
            <w:top w:w="0" w:type="dxa"/>
            <w:left w:w="108" w:type="dxa"/>
            <w:bottom w:w="0" w:type="dxa"/>
            <w:right w:w="108" w:type="dxa"/>
          </w:tblCellMar>
        </w:tblPrEx>
        <w:trPr>
          <w:trHeight w:val="750" w:hRule="atLeast"/>
        </w:trPr>
        <w:tc>
          <w:tcPr>
            <w:tcW w:w="34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18394D9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148" w:type="pct"/>
            <w:tcBorders>
              <w:top w:val="single" w:color="000000" w:sz="8" w:space="0"/>
              <w:left w:val="nil"/>
              <w:bottom w:val="single" w:color="000000" w:sz="4" w:space="0"/>
              <w:right w:val="single" w:color="000000" w:sz="4" w:space="0"/>
            </w:tcBorders>
            <w:shd w:val="clear" w:color="FFFFFF" w:fill="FFFFFF"/>
            <w:vAlign w:val="center"/>
          </w:tcPr>
          <w:p w14:paraId="696344E4">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材料（工程设备）名称、规格、型号</w:t>
            </w:r>
          </w:p>
        </w:tc>
        <w:tc>
          <w:tcPr>
            <w:tcW w:w="407" w:type="pct"/>
            <w:tcBorders>
              <w:top w:val="single" w:color="000000" w:sz="8" w:space="0"/>
              <w:left w:val="nil"/>
              <w:bottom w:val="single" w:color="000000" w:sz="4" w:space="0"/>
              <w:right w:val="single" w:color="000000" w:sz="4" w:space="0"/>
            </w:tcBorders>
            <w:shd w:val="clear" w:color="FFFFFF" w:fill="FFFFFF"/>
            <w:vAlign w:val="center"/>
          </w:tcPr>
          <w:p w14:paraId="2056DC4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计量单位</w:t>
            </w:r>
          </w:p>
        </w:tc>
        <w:tc>
          <w:tcPr>
            <w:tcW w:w="579" w:type="pct"/>
            <w:tcBorders>
              <w:top w:val="single" w:color="000000" w:sz="8" w:space="0"/>
              <w:left w:val="nil"/>
              <w:bottom w:val="single" w:color="000000" w:sz="4" w:space="0"/>
              <w:right w:val="single" w:color="000000" w:sz="4" w:space="0"/>
            </w:tcBorders>
            <w:shd w:val="clear" w:color="FFFFFF" w:fill="FFFFFF"/>
            <w:vAlign w:val="center"/>
          </w:tcPr>
          <w:p w14:paraId="3F4CAC5D">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数量</w:t>
            </w:r>
          </w:p>
        </w:tc>
        <w:tc>
          <w:tcPr>
            <w:tcW w:w="579" w:type="pct"/>
            <w:tcBorders>
              <w:top w:val="single" w:color="000000" w:sz="8" w:space="0"/>
              <w:left w:val="nil"/>
              <w:bottom w:val="single" w:color="000000" w:sz="4" w:space="0"/>
              <w:right w:val="single" w:color="000000" w:sz="4" w:space="0"/>
            </w:tcBorders>
            <w:shd w:val="clear" w:color="FFFFFF" w:fill="FFFFFF"/>
            <w:vAlign w:val="center"/>
          </w:tcPr>
          <w:p w14:paraId="7B7D443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风险系数(%)</w:t>
            </w:r>
          </w:p>
        </w:tc>
        <w:tc>
          <w:tcPr>
            <w:tcW w:w="742" w:type="pct"/>
            <w:tcBorders>
              <w:top w:val="single" w:color="000000" w:sz="8" w:space="0"/>
              <w:left w:val="nil"/>
              <w:bottom w:val="single" w:color="000000" w:sz="4" w:space="0"/>
              <w:right w:val="single" w:color="000000" w:sz="4" w:space="0"/>
            </w:tcBorders>
            <w:shd w:val="clear" w:color="FFFFFF" w:fill="FFFFFF"/>
            <w:vAlign w:val="center"/>
          </w:tcPr>
          <w:p w14:paraId="0FAE3F42">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基准单价</w:t>
            </w:r>
          </w:p>
        </w:tc>
        <w:tc>
          <w:tcPr>
            <w:tcW w:w="742" w:type="pct"/>
            <w:tcBorders>
              <w:top w:val="single" w:color="000000" w:sz="8" w:space="0"/>
              <w:left w:val="nil"/>
              <w:bottom w:val="single" w:color="000000" w:sz="4" w:space="0"/>
              <w:right w:val="single" w:color="000000" w:sz="4" w:space="0"/>
            </w:tcBorders>
            <w:shd w:val="clear" w:color="FFFFFF" w:fill="FFFFFF"/>
            <w:vAlign w:val="center"/>
          </w:tcPr>
          <w:p w14:paraId="2ABD7BA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投标单价</w:t>
            </w:r>
          </w:p>
        </w:tc>
        <w:tc>
          <w:tcPr>
            <w:tcW w:w="457" w:type="pct"/>
            <w:tcBorders>
              <w:top w:val="single" w:color="000000" w:sz="8" w:space="0"/>
              <w:left w:val="nil"/>
              <w:bottom w:val="single" w:color="000000" w:sz="4" w:space="0"/>
              <w:right w:val="single" w:color="000000" w:sz="8" w:space="0"/>
            </w:tcBorders>
            <w:shd w:val="clear" w:color="FFFFFF" w:fill="FFFFFF"/>
            <w:vAlign w:val="center"/>
          </w:tcPr>
          <w:p w14:paraId="423D83B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备注</w:t>
            </w:r>
          </w:p>
        </w:tc>
      </w:tr>
      <w:tr w14:paraId="0FCDF732">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vAlign w:val="center"/>
          </w:tcPr>
          <w:p w14:paraId="45EC431C">
            <w:pPr>
              <w:widowControl/>
              <w:jc w:val="center"/>
              <w:rPr>
                <w:rFonts w:ascii="Times New Roman" w:hAnsi="Times New Roman"/>
                <w:color w:val="auto"/>
                <w:kern w:val="0"/>
                <w:highlight w:val="none"/>
                <w:shd w:val="clear"/>
              </w:rPr>
            </w:pPr>
          </w:p>
        </w:tc>
        <w:tc>
          <w:tcPr>
            <w:tcW w:w="1148" w:type="pct"/>
            <w:tcBorders>
              <w:top w:val="nil"/>
              <w:left w:val="nil"/>
              <w:bottom w:val="single" w:color="000000" w:sz="4" w:space="0"/>
              <w:right w:val="single" w:color="000000" w:sz="4" w:space="0"/>
            </w:tcBorders>
            <w:vAlign w:val="center"/>
          </w:tcPr>
          <w:p w14:paraId="13D7694F">
            <w:pPr>
              <w:widowControl/>
              <w:jc w:val="left"/>
              <w:rPr>
                <w:rFonts w:ascii="Times New Roman" w:hAnsi="Times New Roman"/>
                <w:color w:val="auto"/>
                <w:kern w:val="0"/>
                <w:highlight w:val="none"/>
                <w:shd w:val="clear"/>
              </w:rPr>
            </w:pPr>
          </w:p>
        </w:tc>
        <w:tc>
          <w:tcPr>
            <w:tcW w:w="407" w:type="pct"/>
            <w:tcBorders>
              <w:top w:val="single" w:color="000000" w:sz="4" w:space="0"/>
              <w:left w:val="nil"/>
              <w:bottom w:val="single" w:color="000000" w:sz="4" w:space="0"/>
              <w:right w:val="single" w:color="000000" w:sz="4" w:space="0"/>
            </w:tcBorders>
            <w:vAlign w:val="center"/>
          </w:tcPr>
          <w:p w14:paraId="49EFB0E6">
            <w:pPr>
              <w:widowControl/>
              <w:jc w:val="center"/>
              <w:rPr>
                <w:rFonts w:ascii="Times New Roman" w:hAnsi="Times New Roman"/>
                <w:color w:val="auto"/>
                <w:kern w:val="0"/>
                <w:highlight w:val="none"/>
                <w:shd w:val="clear"/>
              </w:rPr>
            </w:pPr>
          </w:p>
        </w:tc>
        <w:tc>
          <w:tcPr>
            <w:tcW w:w="579" w:type="pct"/>
            <w:tcBorders>
              <w:top w:val="nil"/>
              <w:left w:val="nil"/>
              <w:bottom w:val="single" w:color="000000" w:sz="4" w:space="0"/>
              <w:right w:val="single" w:color="000000" w:sz="4" w:space="0"/>
            </w:tcBorders>
            <w:vAlign w:val="center"/>
          </w:tcPr>
          <w:p w14:paraId="0B62400C">
            <w:pPr>
              <w:widowControl/>
              <w:jc w:val="right"/>
              <w:rPr>
                <w:rFonts w:ascii="Times New Roman" w:hAnsi="Times New Roman"/>
                <w:color w:val="auto"/>
                <w:kern w:val="0"/>
                <w:highlight w:val="none"/>
                <w:shd w:val="clear"/>
              </w:rPr>
            </w:pPr>
          </w:p>
        </w:tc>
        <w:tc>
          <w:tcPr>
            <w:tcW w:w="579" w:type="pct"/>
            <w:tcBorders>
              <w:top w:val="single" w:color="000000" w:sz="4" w:space="0"/>
              <w:left w:val="nil"/>
              <w:bottom w:val="single" w:color="000000" w:sz="4" w:space="0"/>
              <w:right w:val="single" w:color="000000" w:sz="4" w:space="0"/>
            </w:tcBorders>
            <w:vAlign w:val="center"/>
          </w:tcPr>
          <w:p w14:paraId="533FD3B1">
            <w:pPr>
              <w:widowControl/>
              <w:jc w:val="right"/>
              <w:rPr>
                <w:rFonts w:ascii="Times New Roman" w:hAnsi="Times New Roman"/>
                <w:color w:val="auto"/>
                <w:kern w:val="0"/>
                <w:highlight w:val="none"/>
                <w:shd w:val="clear"/>
              </w:rPr>
            </w:pPr>
          </w:p>
        </w:tc>
        <w:tc>
          <w:tcPr>
            <w:tcW w:w="742" w:type="pct"/>
            <w:tcBorders>
              <w:top w:val="single" w:color="000000" w:sz="4" w:space="0"/>
              <w:left w:val="nil"/>
              <w:bottom w:val="single" w:color="000000" w:sz="4" w:space="0"/>
              <w:right w:val="single" w:color="000000" w:sz="4" w:space="0"/>
            </w:tcBorders>
            <w:vAlign w:val="center"/>
          </w:tcPr>
          <w:p w14:paraId="52A90424">
            <w:pPr>
              <w:widowControl/>
              <w:jc w:val="right"/>
              <w:rPr>
                <w:rFonts w:ascii="Times New Roman" w:hAnsi="Times New Roman"/>
                <w:color w:val="auto"/>
                <w:kern w:val="0"/>
                <w:highlight w:val="none"/>
                <w:shd w:val="clear"/>
              </w:rPr>
            </w:pPr>
          </w:p>
        </w:tc>
        <w:tc>
          <w:tcPr>
            <w:tcW w:w="742" w:type="pct"/>
            <w:tcBorders>
              <w:top w:val="nil"/>
              <w:left w:val="nil"/>
              <w:bottom w:val="single" w:color="000000" w:sz="4" w:space="0"/>
              <w:right w:val="single" w:color="000000" w:sz="4" w:space="0"/>
            </w:tcBorders>
            <w:vAlign w:val="center"/>
          </w:tcPr>
          <w:p w14:paraId="3910C6EC">
            <w:pPr>
              <w:widowControl/>
              <w:jc w:val="right"/>
              <w:rPr>
                <w:rFonts w:ascii="Times New Roman" w:hAnsi="Times New Roman"/>
                <w:color w:val="auto"/>
                <w:kern w:val="0"/>
                <w:highlight w:val="none"/>
                <w:shd w:val="clear"/>
              </w:rPr>
            </w:pPr>
          </w:p>
        </w:tc>
        <w:tc>
          <w:tcPr>
            <w:tcW w:w="457" w:type="pct"/>
            <w:tcBorders>
              <w:top w:val="nil"/>
              <w:left w:val="nil"/>
              <w:bottom w:val="single" w:color="000000" w:sz="4" w:space="0"/>
              <w:right w:val="single" w:color="000000" w:sz="8" w:space="0"/>
            </w:tcBorders>
            <w:vAlign w:val="center"/>
          </w:tcPr>
          <w:p w14:paraId="53AC3083">
            <w:pPr>
              <w:widowControl/>
              <w:jc w:val="left"/>
              <w:rPr>
                <w:rFonts w:ascii="Times New Roman" w:hAnsi="Times New Roman"/>
                <w:color w:val="auto"/>
                <w:kern w:val="0"/>
                <w:highlight w:val="none"/>
                <w:shd w:val="clear"/>
              </w:rPr>
            </w:pPr>
          </w:p>
        </w:tc>
      </w:tr>
      <w:tr w14:paraId="4BA38BD6">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vAlign w:val="center"/>
          </w:tcPr>
          <w:p w14:paraId="6B90F854">
            <w:pPr>
              <w:widowControl/>
              <w:jc w:val="center"/>
              <w:rPr>
                <w:rFonts w:ascii="Times New Roman" w:hAnsi="Times New Roman"/>
                <w:color w:val="auto"/>
                <w:kern w:val="0"/>
                <w:highlight w:val="none"/>
                <w:shd w:val="clear"/>
              </w:rPr>
            </w:pPr>
          </w:p>
        </w:tc>
        <w:tc>
          <w:tcPr>
            <w:tcW w:w="1148" w:type="pct"/>
            <w:tcBorders>
              <w:top w:val="nil"/>
              <w:left w:val="nil"/>
              <w:bottom w:val="single" w:color="000000" w:sz="4" w:space="0"/>
              <w:right w:val="single" w:color="000000" w:sz="4" w:space="0"/>
            </w:tcBorders>
            <w:vAlign w:val="center"/>
          </w:tcPr>
          <w:p w14:paraId="33938D14">
            <w:pPr>
              <w:widowControl/>
              <w:jc w:val="left"/>
              <w:rPr>
                <w:rFonts w:ascii="Times New Roman" w:hAnsi="Times New Roman"/>
                <w:color w:val="auto"/>
                <w:kern w:val="0"/>
                <w:highlight w:val="none"/>
                <w:shd w:val="clear"/>
              </w:rPr>
            </w:pPr>
          </w:p>
        </w:tc>
        <w:tc>
          <w:tcPr>
            <w:tcW w:w="407" w:type="pct"/>
            <w:tcBorders>
              <w:top w:val="single" w:color="000000" w:sz="4" w:space="0"/>
              <w:left w:val="nil"/>
              <w:bottom w:val="single" w:color="000000" w:sz="4" w:space="0"/>
              <w:right w:val="single" w:color="000000" w:sz="4" w:space="0"/>
            </w:tcBorders>
            <w:vAlign w:val="center"/>
          </w:tcPr>
          <w:p w14:paraId="3E97F4BC">
            <w:pPr>
              <w:widowControl/>
              <w:jc w:val="center"/>
              <w:rPr>
                <w:rFonts w:ascii="Times New Roman" w:hAnsi="Times New Roman"/>
                <w:color w:val="auto"/>
                <w:kern w:val="0"/>
                <w:highlight w:val="none"/>
                <w:shd w:val="clear"/>
              </w:rPr>
            </w:pPr>
          </w:p>
        </w:tc>
        <w:tc>
          <w:tcPr>
            <w:tcW w:w="579" w:type="pct"/>
            <w:tcBorders>
              <w:top w:val="nil"/>
              <w:left w:val="nil"/>
              <w:bottom w:val="single" w:color="000000" w:sz="4" w:space="0"/>
              <w:right w:val="single" w:color="000000" w:sz="4" w:space="0"/>
            </w:tcBorders>
            <w:vAlign w:val="center"/>
          </w:tcPr>
          <w:p w14:paraId="66949A2D">
            <w:pPr>
              <w:widowControl/>
              <w:jc w:val="right"/>
              <w:rPr>
                <w:rFonts w:ascii="Times New Roman" w:hAnsi="Times New Roman"/>
                <w:color w:val="auto"/>
                <w:kern w:val="0"/>
                <w:highlight w:val="none"/>
                <w:shd w:val="clear"/>
              </w:rPr>
            </w:pPr>
          </w:p>
        </w:tc>
        <w:tc>
          <w:tcPr>
            <w:tcW w:w="579" w:type="pct"/>
            <w:tcBorders>
              <w:top w:val="single" w:color="000000" w:sz="4" w:space="0"/>
              <w:left w:val="nil"/>
              <w:bottom w:val="single" w:color="000000" w:sz="4" w:space="0"/>
              <w:right w:val="single" w:color="000000" w:sz="4" w:space="0"/>
            </w:tcBorders>
            <w:vAlign w:val="center"/>
          </w:tcPr>
          <w:p w14:paraId="6DEB8DEE">
            <w:pPr>
              <w:widowControl/>
              <w:jc w:val="right"/>
              <w:rPr>
                <w:rFonts w:ascii="Times New Roman" w:hAnsi="Times New Roman"/>
                <w:color w:val="auto"/>
                <w:kern w:val="0"/>
                <w:highlight w:val="none"/>
                <w:shd w:val="clear"/>
              </w:rPr>
            </w:pPr>
          </w:p>
        </w:tc>
        <w:tc>
          <w:tcPr>
            <w:tcW w:w="742" w:type="pct"/>
            <w:tcBorders>
              <w:top w:val="single" w:color="000000" w:sz="4" w:space="0"/>
              <w:left w:val="nil"/>
              <w:bottom w:val="single" w:color="000000" w:sz="4" w:space="0"/>
              <w:right w:val="single" w:color="000000" w:sz="4" w:space="0"/>
            </w:tcBorders>
            <w:vAlign w:val="center"/>
          </w:tcPr>
          <w:p w14:paraId="00B0DEA6">
            <w:pPr>
              <w:widowControl/>
              <w:jc w:val="right"/>
              <w:rPr>
                <w:rFonts w:ascii="Times New Roman" w:hAnsi="Times New Roman"/>
                <w:color w:val="auto"/>
                <w:kern w:val="0"/>
                <w:highlight w:val="none"/>
                <w:shd w:val="clear"/>
              </w:rPr>
            </w:pPr>
          </w:p>
        </w:tc>
        <w:tc>
          <w:tcPr>
            <w:tcW w:w="742" w:type="pct"/>
            <w:tcBorders>
              <w:top w:val="nil"/>
              <w:left w:val="nil"/>
              <w:bottom w:val="single" w:color="000000" w:sz="4" w:space="0"/>
              <w:right w:val="single" w:color="000000" w:sz="4" w:space="0"/>
            </w:tcBorders>
            <w:vAlign w:val="center"/>
          </w:tcPr>
          <w:p w14:paraId="1C5A2B19">
            <w:pPr>
              <w:widowControl/>
              <w:jc w:val="right"/>
              <w:rPr>
                <w:rFonts w:ascii="Times New Roman" w:hAnsi="Times New Roman"/>
                <w:color w:val="auto"/>
                <w:kern w:val="0"/>
                <w:highlight w:val="none"/>
                <w:shd w:val="clear"/>
              </w:rPr>
            </w:pPr>
          </w:p>
        </w:tc>
        <w:tc>
          <w:tcPr>
            <w:tcW w:w="457" w:type="pct"/>
            <w:tcBorders>
              <w:top w:val="nil"/>
              <w:left w:val="nil"/>
              <w:bottom w:val="single" w:color="000000" w:sz="4" w:space="0"/>
              <w:right w:val="single" w:color="000000" w:sz="8" w:space="0"/>
            </w:tcBorders>
            <w:vAlign w:val="center"/>
          </w:tcPr>
          <w:p w14:paraId="4A3418AD">
            <w:pPr>
              <w:widowControl/>
              <w:jc w:val="left"/>
              <w:rPr>
                <w:rFonts w:ascii="Times New Roman" w:hAnsi="Times New Roman"/>
                <w:color w:val="auto"/>
                <w:kern w:val="0"/>
                <w:highlight w:val="none"/>
                <w:shd w:val="clear"/>
              </w:rPr>
            </w:pPr>
          </w:p>
        </w:tc>
      </w:tr>
      <w:tr w14:paraId="4E862E21">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vAlign w:val="center"/>
          </w:tcPr>
          <w:p w14:paraId="5C3870F3">
            <w:pPr>
              <w:widowControl/>
              <w:jc w:val="center"/>
              <w:rPr>
                <w:rFonts w:ascii="Times New Roman" w:hAnsi="Times New Roman"/>
                <w:color w:val="auto"/>
                <w:kern w:val="0"/>
                <w:highlight w:val="none"/>
                <w:shd w:val="clear"/>
              </w:rPr>
            </w:pPr>
          </w:p>
        </w:tc>
        <w:tc>
          <w:tcPr>
            <w:tcW w:w="1148" w:type="pct"/>
            <w:tcBorders>
              <w:top w:val="nil"/>
              <w:left w:val="nil"/>
              <w:bottom w:val="single" w:color="000000" w:sz="4" w:space="0"/>
              <w:right w:val="single" w:color="000000" w:sz="4" w:space="0"/>
            </w:tcBorders>
            <w:vAlign w:val="center"/>
          </w:tcPr>
          <w:p w14:paraId="7C51FCCE">
            <w:pPr>
              <w:widowControl/>
              <w:jc w:val="left"/>
              <w:rPr>
                <w:rFonts w:ascii="Times New Roman" w:hAnsi="Times New Roman"/>
                <w:color w:val="auto"/>
                <w:kern w:val="0"/>
                <w:highlight w:val="none"/>
                <w:shd w:val="clear"/>
              </w:rPr>
            </w:pPr>
          </w:p>
        </w:tc>
        <w:tc>
          <w:tcPr>
            <w:tcW w:w="407" w:type="pct"/>
            <w:tcBorders>
              <w:top w:val="single" w:color="000000" w:sz="4" w:space="0"/>
              <w:left w:val="nil"/>
              <w:bottom w:val="single" w:color="000000" w:sz="4" w:space="0"/>
              <w:right w:val="single" w:color="000000" w:sz="4" w:space="0"/>
            </w:tcBorders>
            <w:vAlign w:val="center"/>
          </w:tcPr>
          <w:p w14:paraId="705C6591">
            <w:pPr>
              <w:widowControl/>
              <w:jc w:val="center"/>
              <w:rPr>
                <w:rFonts w:ascii="Times New Roman" w:hAnsi="Times New Roman"/>
                <w:color w:val="auto"/>
                <w:kern w:val="0"/>
                <w:highlight w:val="none"/>
                <w:shd w:val="clear"/>
              </w:rPr>
            </w:pPr>
          </w:p>
        </w:tc>
        <w:tc>
          <w:tcPr>
            <w:tcW w:w="579" w:type="pct"/>
            <w:tcBorders>
              <w:top w:val="nil"/>
              <w:left w:val="nil"/>
              <w:bottom w:val="single" w:color="000000" w:sz="4" w:space="0"/>
              <w:right w:val="single" w:color="000000" w:sz="4" w:space="0"/>
            </w:tcBorders>
            <w:vAlign w:val="center"/>
          </w:tcPr>
          <w:p w14:paraId="23B159E6">
            <w:pPr>
              <w:widowControl/>
              <w:jc w:val="right"/>
              <w:rPr>
                <w:rFonts w:ascii="Times New Roman" w:hAnsi="Times New Roman"/>
                <w:color w:val="auto"/>
                <w:kern w:val="0"/>
                <w:highlight w:val="none"/>
                <w:shd w:val="clear"/>
              </w:rPr>
            </w:pPr>
          </w:p>
        </w:tc>
        <w:tc>
          <w:tcPr>
            <w:tcW w:w="579" w:type="pct"/>
            <w:tcBorders>
              <w:top w:val="single" w:color="000000" w:sz="4" w:space="0"/>
              <w:left w:val="nil"/>
              <w:bottom w:val="single" w:color="000000" w:sz="4" w:space="0"/>
              <w:right w:val="single" w:color="000000" w:sz="4" w:space="0"/>
            </w:tcBorders>
            <w:vAlign w:val="center"/>
          </w:tcPr>
          <w:p w14:paraId="65D28785">
            <w:pPr>
              <w:widowControl/>
              <w:jc w:val="right"/>
              <w:rPr>
                <w:rFonts w:ascii="Times New Roman" w:hAnsi="Times New Roman"/>
                <w:color w:val="auto"/>
                <w:kern w:val="0"/>
                <w:highlight w:val="none"/>
                <w:shd w:val="clear"/>
              </w:rPr>
            </w:pPr>
          </w:p>
        </w:tc>
        <w:tc>
          <w:tcPr>
            <w:tcW w:w="742" w:type="pct"/>
            <w:tcBorders>
              <w:top w:val="single" w:color="000000" w:sz="4" w:space="0"/>
              <w:left w:val="nil"/>
              <w:bottom w:val="single" w:color="000000" w:sz="4" w:space="0"/>
              <w:right w:val="single" w:color="000000" w:sz="4" w:space="0"/>
            </w:tcBorders>
            <w:vAlign w:val="center"/>
          </w:tcPr>
          <w:p w14:paraId="58A5F7A5">
            <w:pPr>
              <w:widowControl/>
              <w:jc w:val="right"/>
              <w:rPr>
                <w:rFonts w:ascii="Times New Roman" w:hAnsi="Times New Roman"/>
                <w:color w:val="auto"/>
                <w:kern w:val="0"/>
                <w:highlight w:val="none"/>
                <w:shd w:val="clear"/>
              </w:rPr>
            </w:pPr>
          </w:p>
        </w:tc>
        <w:tc>
          <w:tcPr>
            <w:tcW w:w="742" w:type="pct"/>
            <w:tcBorders>
              <w:top w:val="nil"/>
              <w:left w:val="nil"/>
              <w:bottom w:val="single" w:color="000000" w:sz="4" w:space="0"/>
              <w:right w:val="single" w:color="000000" w:sz="4" w:space="0"/>
            </w:tcBorders>
            <w:vAlign w:val="center"/>
          </w:tcPr>
          <w:p w14:paraId="721A5838">
            <w:pPr>
              <w:widowControl/>
              <w:jc w:val="right"/>
              <w:rPr>
                <w:rFonts w:ascii="Times New Roman" w:hAnsi="Times New Roman"/>
                <w:color w:val="auto"/>
                <w:kern w:val="0"/>
                <w:highlight w:val="none"/>
                <w:shd w:val="clear"/>
              </w:rPr>
            </w:pPr>
          </w:p>
        </w:tc>
        <w:tc>
          <w:tcPr>
            <w:tcW w:w="457" w:type="pct"/>
            <w:tcBorders>
              <w:top w:val="nil"/>
              <w:left w:val="nil"/>
              <w:bottom w:val="single" w:color="000000" w:sz="4" w:space="0"/>
              <w:right w:val="single" w:color="000000" w:sz="8" w:space="0"/>
            </w:tcBorders>
            <w:vAlign w:val="center"/>
          </w:tcPr>
          <w:p w14:paraId="77B75008">
            <w:pPr>
              <w:widowControl/>
              <w:jc w:val="left"/>
              <w:rPr>
                <w:rFonts w:ascii="Times New Roman" w:hAnsi="Times New Roman"/>
                <w:color w:val="auto"/>
                <w:kern w:val="0"/>
                <w:highlight w:val="none"/>
                <w:shd w:val="clear"/>
              </w:rPr>
            </w:pPr>
          </w:p>
        </w:tc>
      </w:tr>
    </w:tbl>
    <w:p w14:paraId="0CA47F22">
      <w:pPr>
        <w:rPr>
          <w:rFonts w:ascii="Times New Roman" w:hAnsi="Times New Roman"/>
          <w:color w:val="auto"/>
          <w:szCs w:val="24"/>
          <w:highlight w:val="none"/>
          <w:shd w:val="clear"/>
        </w:rPr>
      </w:pPr>
    </w:p>
    <w:p w14:paraId="1DADF858">
      <w:pPr>
        <w:pStyle w:val="20"/>
        <w:rPr>
          <w:rFonts w:ascii="Times New Roman" w:hAnsi="Times New Roman"/>
          <w:color w:val="auto"/>
          <w:highlight w:val="none"/>
          <w:shd w:val="clear"/>
          <w:lang w:val="zh-CN"/>
        </w:rPr>
      </w:pPr>
      <w:bookmarkStart w:id="2482" w:name="_Toc535241144"/>
      <w:r>
        <w:rPr>
          <w:rFonts w:ascii="Times New Roman" w:hAnsi="Times New Roman" w:cs="宋体"/>
          <w:color w:val="auto"/>
          <w:highlight w:val="none"/>
          <w:shd w:val="clear"/>
        </w:rPr>
        <w:br w:type="page"/>
      </w:r>
      <w:bookmarkStart w:id="2483" w:name="_Toc23289"/>
      <w:bookmarkStart w:id="2484" w:name="_Toc526759717"/>
      <w:bookmarkStart w:id="2485" w:name="_Toc518922054"/>
      <w:bookmarkStart w:id="2486" w:name="_Toc518575601"/>
      <w:bookmarkStart w:id="2487" w:name="_Toc170805460"/>
      <w:bookmarkStart w:id="2488" w:name="_Toc170805840"/>
      <w:bookmarkStart w:id="2489" w:name="_Toc532910386"/>
      <w:bookmarkStart w:id="2490" w:name="_Toc170804272"/>
      <w:bookmarkStart w:id="2491" w:name="_Toc32293"/>
      <w:bookmarkStart w:id="2492" w:name="_Toc532910666"/>
      <w:r>
        <w:rPr>
          <w:rFonts w:ascii="Times New Roman" w:hAnsi="Times New Roman"/>
          <w:color w:val="auto"/>
          <w:highlight w:val="none"/>
          <w:shd w:val="clear"/>
          <w:lang w:val="zh-CN"/>
        </w:rPr>
        <w:t>（十八）材料响应表</w:t>
      </w:r>
      <w:bookmarkEnd w:id="2483"/>
      <w:bookmarkEnd w:id="2484"/>
      <w:bookmarkEnd w:id="2485"/>
      <w:bookmarkEnd w:id="2486"/>
      <w:bookmarkEnd w:id="2487"/>
      <w:bookmarkEnd w:id="2488"/>
      <w:bookmarkEnd w:id="2489"/>
      <w:bookmarkEnd w:id="2490"/>
      <w:bookmarkEnd w:id="2491"/>
      <w:bookmarkEnd w:id="2492"/>
    </w:p>
    <w:p w14:paraId="361D1C44">
      <w:pPr>
        <w:pStyle w:val="30"/>
        <w:framePr w:hSpace="0" w:wrap="auto" w:vAnchor="margin" w:hAnchor="text" w:xAlign="left" w:yAlign="inline"/>
        <w:rPr>
          <w:rFonts w:ascii="Times New Roman" w:hAnsi="Times New Roman"/>
          <w:color w:val="auto"/>
          <w:highlight w:val="none"/>
          <w:shd w:val="clear"/>
        </w:rPr>
      </w:pPr>
      <w:bookmarkStart w:id="2493" w:name="_Toc170805461"/>
      <w:bookmarkStart w:id="2494" w:name="_Toc170804273"/>
      <w:bookmarkStart w:id="2495" w:name="_Toc170805841"/>
      <w:r>
        <w:rPr>
          <w:rFonts w:hint="eastAsia" w:ascii="Times New Roman" w:hAnsi="Times New Roman"/>
          <w:color w:val="auto"/>
          <w:highlight w:val="none"/>
          <w:shd w:val="clear"/>
        </w:rPr>
        <w:t>工程名称：</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标段：</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 xml:space="preserve">        </w:t>
      </w:r>
      <w:r>
        <w:rPr>
          <w:rFonts w:hint="eastAsia" w:ascii="Times New Roman" w:hAnsi="Times New Roman"/>
          <w:color w:val="auto"/>
          <w:highlight w:val="none"/>
          <w:u w:val="single"/>
          <w:shd w:val="clear"/>
        </w:rPr>
        <w:t>第   页共   页</w:t>
      </w:r>
    </w:p>
    <w:p w14:paraId="15D21D72">
      <w:pPr>
        <w:pStyle w:val="28"/>
        <w:rPr>
          <w:rFonts w:ascii="Times New Roman" w:hAnsi="Times New Roman"/>
          <w:color w:val="auto"/>
          <w:highlight w:val="none"/>
          <w:shd w:val="clear"/>
        </w:rPr>
      </w:pPr>
      <w:r>
        <w:rPr>
          <w:rFonts w:hint="eastAsia" w:ascii="Times New Roman" w:hAnsi="Times New Roman"/>
          <w:color w:val="auto"/>
          <w:highlight w:val="none"/>
          <w:shd w:val="clear"/>
        </w:rPr>
        <w:t>材料参考品牌响应表</w:t>
      </w:r>
      <w:bookmarkEnd w:id="2493"/>
      <w:bookmarkEnd w:id="2494"/>
      <w:bookmarkEnd w:id="2495"/>
    </w:p>
    <w:tbl>
      <w:tblPr>
        <w:tblStyle w:val="12"/>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910"/>
        <w:gridCol w:w="1531"/>
        <w:gridCol w:w="1376"/>
        <w:gridCol w:w="1224"/>
        <w:gridCol w:w="1378"/>
      </w:tblGrid>
      <w:tr w14:paraId="5203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38C04F7E">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序号</w:t>
            </w:r>
          </w:p>
        </w:tc>
        <w:tc>
          <w:tcPr>
            <w:tcW w:w="1910" w:type="dxa"/>
            <w:vAlign w:val="center"/>
          </w:tcPr>
          <w:p w14:paraId="44B66DA3">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材料、设备名称</w:t>
            </w:r>
          </w:p>
        </w:tc>
        <w:tc>
          <w:tcPr>
            <w:tcW w:w="1531" w:type="dxa"/>
          </w:tcPr>
          <w:p w14:paraId="2598F064">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技术参数要求</w:t>
            </w:r>
          </w:p>
        </w:tc>
        <w:tc>
          <w:tcPr>
            <w:tcW w:w="1376" w:type="dxa"/>
            <w:vAlign w:val="center"/>
          </w:tcPr>
          <w:p w14:paraId="774AEE90">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投标参数(响应)</w:t>
            </w:r>
          </w:p>
        </w:tc>
        <w:tc>
          <w:tcPr>
            <w:tcW w:w="1224" w:type="dxa"/>
            <w:vAlign w:val="center"/>
          </w:tcPr>
          <w:p w14:paraId="10AEFA09">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备注</w:t>
            </w:r>
          </w:p>
        </w:tc>
        <w:tc>
          <w:tcPr>
            <w:tcW w:w="1378" w:type="dxa"/>
          </w:tcPr>
          <w:p w14:paraId="23BAD827">
            <w:pPr>
              <w:pStyle w:val="28"/>
              <w:spacing w:line="240" w:lineRule="auto"/>
              <w:rPr>
                <w:rFonts w:ascii="Times New Roman" w:hAnsi="Times New Roman"/>
                <w:color w:val="auto"/>
                <w:highlight w:val="none"/>
                <w:shd w:val="clear"/>
              </w:rPr>
            </w:pPr>
            <w:r>
              <w:rPr>
                <w:rFonts w:hint="eastAsia" w:ascii="Times New Roman" w:hAnsi="Times New Roman"/>
                <w:color w:val="auto"/>
                <w:highlight w:val="none"/>
                <w:shd w:val="clear"/>
              </w:rPr>
              <w:t>投标人选定品牌</w:t>
            </w:r>
          </w:p>
        </w:tc>
      </w:tr>
      <w:tr w14:paraId="4746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5D4D0D75">
            <w:pPr>
              <w:pStyle w:val="29"/>
              <w:rPr>
                <w:rFonts w:ascii="Times New Roman" w:hAnsi="Times New Roman"/>
                <w:color w:val="auto"/>
                <w:highlight w:val="none"/>
                <w:shd w:val="clear"/>
              </w:rPr>
            </w:pPr>
            <w:r>
              <w:rPr>
                <w:rFonts w:hint="eastAsia" w:ascii="Times New Roman" w:hAnsi="Times New Roman"/>
                <w:color w:val="auto"/>
                <w:highlight w:val="none"/>
                <w:shd w:val="clear"/>
              </w:rPr>
              <w:t>1</w:t>
            </w:r>
          </w:p>
        </w:tc>
        <w:tc>
          <w:tcPr>
            <w:tcW w:w="1910" w:type="dxa"/>
            <w:vAlign w:val="center"/>
          </w:tcPr>
          <w:p w14:paraId="700A3B7C">
            <w:pPr>
              <w:pStyle w:val="29"/>
              <w:rPr>
                <w:rFonts w:ascii="Times New Roman" w:hAnsi="Times New Roman"/>
                <w:color w:val="auto"/>
                <w:highlight w:val="none"/>
                <w:shd w:val="clear"/>
              </w:rPr>
            </w:pPr>
          </w:p>
        </w:tc>
        <w:tc>
          <w:tcPr>
            <w:tcW w:w="1531" w:type="dxa"/>
          </w:tcPr>
          <w:p w14:paraId="5398F929">
            <w:pPr>
              <w:pStyle w:val="29"/>
              <w:rPr>
                <w:rFonts w:ascii="Times New Roman" w:hAnsi="Times New Roman"/>
                <w:color w:val="auto"/>
                <w:highlight w:val="none"/>
                <w:shd w:val="clear"/>
              </w:rPr>
            </w:pPr>
          </w:p>
        </w:tc>
        <w:tc>
          <w:tcPr>
            <w:tcW w:w="1376" w:type="dxa"/>
            <w:vAlign w:val="center"/>
          </w:tcPr>
          <w:p w14:paraId="2E9B7023">
            <w:pPr>
              <w:pStyle w:val="29"/>
              <w:rPr>
                <w:rFonts w:ascii="Times New Roman" w:hAnsi="Times New Roman"/>
                <w:color w:val="auto"/>
                <w:highlight w:val="none"/>
                <w:shd w:val="clear"/>
              </w:rPr>
            </w:pPr>
          </w:p>
        </w:tc>
        <w:tc>
          <w:tcPr>
            <w:tcW w:w="1224" w:type="dxa"/>
            <w:vAlign w:val="center"/>
          </w:tcPr>
          <w:p w14:paraId="1C29CB2E">
            <w:pPr>
              <w:pStyle w:val="29"/>
              <w:rPr>
                <w:rFonts w:ascii="Times New Roman" w:hAnsi="Times New Roman"/>
                <w:color w:val="auto"/>
                <w:highlight w:val="none"/>
                <w:shd w:val="clear"/>
              </w:rPr>
            </w:pPr>
          </w:p>
        </w:tc>
        <w:tc>
          <w:tcPr>
            <w:tcW w:w="1378" w:type="dxa"/>
          </w:tcPr>
          <w:p w14:paraId="0A645CBC">
            <w:pPr>
              <w:pStyle w:val="29"/>
              <w:rPr>
                <w:rFonts w:ascii="Times New Roman" w:hAnsi="Times New Roman"/>
                <w:color w:val="auto"/>
                <w:highlight w:val="none"/>
                <w:shd w:val="clear"/>
              </w:rPr>
            </w:pPr>
          </w:p>
        </w:tc>
      </w:tr>
      <w:tr w14:paraId="5BCE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70260D78">
            <w:pPr>
              <w:pStyle w:val="29"/>
              <w:rPr>
                <w:rFonts w:ascii="Times New Roman" w:hAnsi="Times New Roman"/>
                <w:color w:val="auto"/>
                <w:highlight w:val="none"/>
                <w:shd w:val="clear"/>
              </w:rPr>
            </w:pPr>
            <w:r>
              <w:rPr>
                <w:rFonts w:hint="eastAsia" w:ascii="Times New Roman" w:hAnsi="Times New Roman"/>
                <w:color w:val="auto"/>
                <w:highlight w:val="none"/>
                <w:shd w:val="clear"/>
              </w:rPr>
              <w:t>2</w:t>
            </w:r>
          </w:p>
        </w:tc>
        <w:tc>
          <w:tcPr>
            <w:tcW w:w="1910" w:type="dxa"/>
            <w:vAlign w:val="center"/>
          </w:tcPr>
          <w:p w14:paraId="7EDF9E8A">
            <w:pPr>
              <w:pStyle w:val="29"/>
              <w:rPr>
                <w:rFonts w:ascii="Times New Roman" w:hAnsi="Times New Roman"/>
                <w:color w:val="auto"/>
                <w:highlight w:val="none"/>
                <w:shd w:val="clear"/>
              </w:rPr>
            </w:pPr>
          </w:p>
        </w:tc>
        <w:tc>
          <w:tcPr>
            <w:tcW w:w="1531" w:type="dxa"/>
          </w:tcPr>
          <w:p w14:paraId="63D20E57">
            <w:pPr>
              <w:pStyle w:val="29"/>
              <w:rPr>
                <w:rFonts w:ascii="Times New Roman" w:hAnsi="Times New Roman"/>
                <w:color w:val="auto"/>
                <w:highlight w:val="none"/>
                <w:shd w:val="clear"/>
              </w:rPr>
            </w:pPr>
          </w:p>
        </w:tc>
        <w:tc>
          <w:tcPr>
            <w:tcW w:w="1376" w:type="dxa"/>
            <w:vAlign w:val="center"/>
          </w:tcPr>
          <w:p w14:paraId="0C7D0357">
            <w:pPr>
              <w:pStyle w:val="29"/>
              <w:rPr>
                <w:rFonts w:ascii="Times New Roman" w:hAnsi="Times New Roman"/>
                <w:color w:val="auto"/>
                <w:highlight w:val="none"/>
                <w:shd w:val="clear"/>
              </w:rPr>
            </w:pPr>
          </w:p>
        </w:tc>
        <w:tc>
          <w:tcPr>
            <w:tcW w:w="1224" w:type="dxa"/>
            <w:vAlign w:val="center"/>
          </w:tcPr>
          <w:p w14:paraId="32F5CB04">
            <w:pPr>
              <w:pStyle w:val="29"/>
              <w:rPr>
                <w:rFonts w:ascii="Times New Roman" w:hAnsi="Times New Roman"/>
                <w:color w:val="auto"/>
                <w:highlight w:val="none"/>
                <w:shd w:val="clear"/>
              </w:rPr>
            </w:pPr>
          </w:p>
        </w:tc>
        <w:tc>
          <w:tcPr>
            <w:tcW w:w="1378" w:type="dxa"/>
          </w:tcPr>
          <w:p w14:paraId="1A7A2AF4">
            <w:pPr>
              <w:pStyle w:val="29"/>
              <w:rPr>
                <w:rFonts w:ascii="Times New Roman" w:hAnsi="Times New Roman"/>
                <w:color w:val="auto"/>
                <w:highlight w:val="none"/>
                <w:shd w:val="clear"/>
              </w:rPr>
            </w:pPr>
          </w:p>
        </w:tc>
      </w:tr>
      <w:tr w14:paraId="6CD6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1CE7DF7A">
            <w:pPr>
              <w:pStyle w:val="29"/>
              <w:rPr>
                <w:rFonts w:ascii="Times New Roman" w:hAnsi="Times New Roman"/>
                <w:color w:val="auto"/>
                <w:highlight w:val="none"/>
                <w:shd w:val="clear"/>
              </w:rPr>
            </w:pPr>
            <w:r>
              <w:rPr>
                <w:rFonts w:hint="eastAsia" w:ascii="Times New Roman" w:hAnsi="Times New Roman"/>
                <w:color w:val="auto"/>
                <w:highlight w:val="none"/>
                <w:shd w:val="clear"/>
              </w:rPr>
              <w:t>3</w:t>
            </w:r>
          </w:p>
        </w:tc>
        <w:tc>
          <w:tcPr>
            <w:tcW w:w="1910" w:type="dxa"/>
            <w:vAlign w:val="center"/>
          </w:tcPr>
          <w:p w14:paraId="06751B33">
            <w:pPr>
              <w:pStyle w:val="29"/>
              <w:rPr>
                <w:rFonts w:ascii="Times New Roman" w:hAnsi="Times New Roman"/>
                <w:color w:val="auto"/>
                <w:highlight w:val="none"/>
                <w:shd w:val="clear"/>
              </w:rPr>
            </w:pPr>
          </w:p>
        </w:tc>
        <w:tc>
          <w:tcPr>
            <w:tcW w:w="1531" w:type="dxa"/>
          </w:tcPr>
          <w:p w14:paraId="55A118C4">
            <w:pPr>
              <w:pStyle w:val="29"/>
              <w:rPr>
                <w:rFonts w:ascii="Times New Roman" w:hAnsi="Times New Roman"/>
                <w:color w:val="auto"/>
                <w:highlight w:val="none"/>
                <w:shd w:val="clear"/>
              </w:rPr>
            </w:pPr>
          </w:p>
        </w:tc>
        <w:tc>
          <w:tcPr>
            <w:tcW w:w="1376" w:type="dxa"/>
            <w:vAlign w:val="center"/>
          </w:tcPr>
          <w:p w14:paraId="203FFB9C">
            <w:pPr>
              <w:pStyle w:val="29"/>
              <w:rPr>
                <w:rFonts w:ascii="Times New Roman" w:hAnsi="Times New Roman"/>
                <w:color w:val="auto"/>
                <w:highlight w:val="none"/>
                <w:shd w:val="clear"/>
              </w:rPr>
            </w:pPr>
          </w:p>
        </w:tc>
        <w:tc>
          <w:tcPr>
            <w:tcW w:w="1224" w:type="dxa"/>
            <w:vAlign w:val="center"/>
          </w:tcPr>
          <w:p w14:paraId="51A4526F">
            <w:pPr>
              <w:pStyle w:val="29"/>
              <w:rPr>
                <w:rFonts w:ascii="Times New Roman" w:hAnsi="Times New Roman"/>
                <w:color w:val="auto"/>
                <w:highlight w:val="none"/>
                <w:shd w:val="clear"/>
              </w:rPr>
            </w:pPr>
          </w:p>
        </w:tc>
        <w:tc>
          <w:tcPr>
            <w:tcW w:w="1378" w:type="dxa"/>
          </w:tcPr>
          <w:p w14:paraId="27FB4019">
            <w:pPr>
              <w:pStyle w:val="29"/>
              <w:rPr>
                <w:rFonts w:ascii="Times New Roman" w:hAnsi="Times New Roman"/>
                <w:color w:val="auto"/>
                <w:highlight w:val="none"/>
                <w:shd w:val="clear"/>
              </w:rPr>
            </w:pPr>
          </w:p>
        </w:tc>
      </w:tr>
      <w:tr w14:paraId="5B7A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03FA24B6">
            <w:pPr>
              <w:pStyle w:val="29"/>
              <w:rPr>
                <w:rFonts w:ascii="Times New Roman" w:hAnsi="Times New Roman"/>
                <w:color w:val="auto"/>
                <w:highlight w:val="none"/>
                <w:shd w:val="clear"/>
              </w:rPr>
            </w:pPr>
            <w:r>
              <w:rPr>
                <w:rFonts w:hint="eastAsia" w:ascii="Times New Roman" w:hAnsi="Times New Roman"/>
                <w:color w:val="auto"/>
                <w:highlight w:val="none"/>
                <w:shd w:val="clear"/>
              </w:rPr>
              <w:t>4</w:t>
            </w:r>
          </w:p>
        </w:tc>
        <w:tc>
          <w:tcPr>
            <w:tcW w:w="1910" w:type="dxa"/>
            <w:vAlign w:val="center"/>
          </w:tcPr>
          <w:p w14:paraId="2E5F09FF">
            <w:pPr>
              <w:pStyle w:val="29"/>
              <w:rPr>
                <w:rFonts w:ascii="Times New Roman" w:hAnsi="Times New Roman"/>
                <w:color w:val="auto"/>
                <w:highlight w:val="none"/>
                <w:shd w:val="clear"/>
              </w:rPr>
            </w:pPr>
          </w:p>
        </w:tc>
        <w:tc>
          <w:tcPr>
            <w:tcW w:w="1531" w:type="dxa"/>
          </w:tcPr>
          <w:p w14:paraId="0F0F581A">
            <w:pPr>
              <w:pStyle w:val="29"/>
              <w:rPr>
                <w:rFonts w:ascii="Times New Roman" w:hAnsi="Times New Roman"/>
                <w:color w:val="auto"/>
                <w:highlight w:val="none"/>
                <w:shd w:val="clear"/>
              </w:rPr>
            </w:pPr>
          </w:p>
        </w:tc>
        <w:tc>
          <w:tcPr>
            <w:tcW w:w="1376" w:type="dxa"/>
            <w:vAlign w:val="center"/>
          </w:tcPr>
          <w:p w14:paraId="5AB39677">
            <w:pPr>
              <w:pStyle w:val="29"/>
              <w:rPr>
                <w:rFonts w:ascii="Times New Roman" w:hAnsi="Times New Roman"/>
                <w:color w:val="auto"/>
                <w:highlight w:val="none"/>
                <w:shd w:val="clear"/>
              </w:rPr>
            </w:pPr>
          </w:p>
        </w:tc>
        <w:tc>
          <w:tcPr>
            <w:tcW w:w="1224" w:type="dxa"/>
            <w:vAlign w:val="center"/>
          </w:tcPr>
          <w:p w14:paraId="36A035D6">
            <w:pPr>
              <w:pStyle w:val="29"/>
              <w:rPr>
                <w:rFonts w:ascii="Times New Roman" w:hAnsi="Times New Roman"/>
                <w:color w:val="auto"/>
                <w:highlight w:val="none"/>
                <w:shd w:val="clear"/>
              </w:rPr>
            </w:pPr>
          </w:p>
        </w:tc>
        <w:tc>
          <w:tcPr>
            <w:tcW w:w="1378" w:type="dxa"/>
          </w:tcPr>
          <w:p w14:paraId="3B3E2E15">
            <w:pPr>
              <w:pStyle w:val="29"/>
              <w:rPr>
                <w:rFonts w:ascii="Times New Roman" w:hAnsi="Times New Roman"/>
                <w:color w:val="auto"/>
                <w:highlight w:val="none"/>
                <w:shd w:val="clear"/>
              </w:rPr>
            </w:pPr>
          </w:p>
        </w:tc>
      </w:tr>
      <w:tr w14:paraId="17D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0A3AD4AE">
            <w:pPr>
              <w:pStyle w:val="29"/>
              <w:rPr>
                <w:rFonts w:ascii="Times New Roman" w:hAnsi="Times New Roman"/>
                <w:color w:val="auto"/>
                <w:highlight w:val="none"/>
                <w:shd w:val="clear"/>
              </w:rPr>
            </w:pPr>
            <w:r>
              <w:rPr>
                <w:rFonts w:hint="eastAsia" w:ascii="Times New Roman" w:hAnsi="Times New Roman"/>
                <w:color w:val="auto"/>
                <w:highlight w:val="none"/>
                <w:shd w:val="clear"/>
              </w:rPr>
              <w:t>5</w:t>
            </w:r>
          </w:p>
        </w:tc>
        <w:tc>
          <w:tcPr>
            <w:tcW w:w="1910" w:type="dxa"/>
            <w:vAlign w:val="center"/>
          </w:tcPr>
          <w:p w14:paraId="0DFDC692">
            <w:pPr>
              <w:pStyle w:val="29"/>
              <w:rPr>
                <w:rFonts w:ascii="Times New Roman" w:hAnsi="Times New Roman"/>
                <w:color w:val="auto"/>
                <w:highlight w:val="none"/>
                <w:shd w:val="clear"/>
              </w:rPr>
            </w:pPr>
          </w:p>
        </w:tc>
        <w:tc>
          <w:tcPr>
            <w:tcW w:w="1531" w:type="dxa"/>
          </w:tcPr>
          <w:p w14:paraId="5BB77AB9">
            <w:pPr>
              <w:pStyle w:val="29"/>
              <w:rPr>
                <w:rFonts w:ascii="Times New Roman" w:hAnsi="Times New Roman"/>
                <w:color w:val="auto"/>
                <w:highlight w:val="none"/>
                <w:shd w:val="clear"/>
              </w:rPr>
            </w:pPr>
          </w:p>
        </w:tc>
        <w:tc>
          <w:tcPr>
            <w:tcW w:w="1376" w:type="dxa"/>
            <w:vAlign w:val="center"/>
          </w:tcPr>
          <w:p w14:paraId="28EBE114">
            <w:pPr>
              <w:pStyle w:val="29"/>
              <w:rPr>
                <w:rFonts w:ascii="Times New Roman" w:hAnsi="Times New Roman"/>
                <w:color w:val="auto"/>
                <w:highlight w:val="none"/>
                <w:shd w:val="clear"/>
              </w:rPr>
            </w:pPr>
          </w:p>
        </w:tc>
        <w:tc>
          <w:tcPr>
            <w:tcW w:w="1224" w:type="dxa"/>
            <w:vAlign w:val="center"/>
          </w:tcPr>
          <w:p w14:paraId="7C2675E2">
            <w:pPr>
              <w:pStyle w:val="29"/>
              <w:rPr>
                <w:rFonts w:ascii="Times New Roman" w:hAnsi="Times New Roman"/>
                <w:color w:val="auto"/>
                <w:highlight w:val="none"/>
                <w:shd w:val="clear"/>
              </w:rPr>
            </w:pPr>
          </w:p>
        </w:tc>
        <w:tc>
          <w:tcPr>
            <w:tcW w:w="1378" w:type="dxa"/>
          </w:tcPr>
          <w:p w14:paraId="6A855317">
            <w:pPr>
              <w:pStyle w:val="29"/>
              <w:rPr>
                <w:rFonts w:ascii="Times New Roman" w:hAnsi="Times New Roman"/>
                <w:color w:val="auto"/>
                <w:highlight w:val="none"/>
                <w:shd w:val="clear"/>
              </w:rPr>
            </w:pPr>
          </w:p>
        </w:tc>
      </w:tr>
      <w:tr w14:paraId="054D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5A458AF0">
            <w:pPr>
              <w:pStyle w:val="29"/>
              <w:rPr>
                <w:rFonts w:ascii="Times New Roman" w:hAnsi="Times New Roman"/>
                <w:color w:val="auto"/>
                <w:highlight w:val="none"/>
                <w:shd w:val="clear"/>
              </w:rPr>
            </w:pPr>
            <w:r>
              <w:rPr>
                <w:rFonts w:hint="eastAsia" w:ascii="Times New Roman" w:hAnsi="Times New Roman"/>
                <w:color w:val="auto"/>
                <w:highlight w:val="none"/>
                <w:shd w:val="clear"/>
              </w:rPr>
              <w:t>6</w:t>
            </w:r>
          </w:p>
        </w:tc>
        <w:tc>
          <w:tcPr>
            <w:tcW w:w="1910" w:type="dxa"/>
            <w:vAlign w:val="center"/>
          </w:tcPr>
          <w:p w14:paraId="38EFF713">
            <w:pPr>
              <w:pStyle w:val="29"/>
              <w:rPr>
                <w:rFonts w:ascii="Times New Roman" w:hAnsi="Times New Roman"/>
                <w:color w:val="auto"/>
                <w:highlight w:val="none"/>
                <w:shd w:val="clear"/>
              </w:rPr>
            </w:pPr>
          </w:p>
        </w:tc>
        <w:tc>
          <w:tcPr>
            <w:tcW w:w="1531" w:type="dxa"/>
          </w:tcPr>
          <w:p w14:paraId="68E65E3B">
            <w:pPr>
              <w:pStyle w:val="29"/>
              <w:rPr>
                <w:rFonts w:ascii="Times New Roman" w:hAnsi="Times New Roman"/>
                <w:color w:val="auto"/>
                <w:highlight w:val="none"/>
                <w:shd w:val="clear"/>
              </w:rPr>
            </w:pPr>
          </w:p>
        </w:tc>
        <w:tc>
          <w:tcPr>
            <w:tcW w:w="1376" w:type="dxa"/>
            <w:vAlign w:val="center"/>
          </w:tcPr>
          <w:p w14:paraId="68B9DE77">
            <w:pPr>
              <w:pStyle w:val="29"/>
              <w:rPr>
                <w:rFonts w:ascii="Times New Roman" w:hAnsi="Times New Roman"/>
                <w:color w:val="auto"/>
                <w:highlight w:val="none"/>
                <w:shd w:val="clear"/>
              </w:rPr>
            </w:pPr>
          </w:p>
        </w:tc>
        <w:tc>
          <w:tcPr>
            <w:tcW w:w="1224" w:type="dxa"/>
            <w:vAlign w:val="center"/>
          </w:tcPr>
          <w:p w14:paraId="3D985DB0">
            <w:pPr>
              <w:pStyle w:val="29"/>
              <w:rPr>
                <w:rFonts w:ascii="Times New Roman" w:hAnsi="Times New Roman"/>
                <w:color w:val="auto"/>
                <w:highlight w:val="none"/>
                <w:shd w:val="clear"/>
              </w:rPr>
            </w:pPr>
          </w:p>
        </w:tc>
        <w:tc>
          <w:tcPr>
            <w:tcW w:w="1378" w:type="dxa"/>
          </w:tcPr>
          <w:p w14:paraId="194EF657">
            <w:pPr>
              <w:pStyle w:val="29"/>
              <w:rPr>
                <w:rFonts w:ascii="Times New Roman" w:hAnsi="Times New Roman"/>
                <w:color w:val="auto"/>
                <w:highlight w:val="none"/>
                <w:shd w:val="clear"/>
              </w:rPr>
            </w:pPr>
          </w:p>
        </w:tc>
      </w:tr>
      <w:tr w14:paraId="5447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7DBAFC44">
            <w:pPr>
              <w:pStyle w:val="29"/>
              <w:rPr>
                <w:rFonts w:ascii="Times New Roman" w:hAnsi="Times New Roman"/>
                <w:color w:val="auto"/>
                <w:highlight w:val="none"/>
                <w:shd w:val="clear"/>
              </w:rPr>
            </w:pPr>
          </w:p>
        </w:tc>
        <w:tc>
          <w:tcPr>
            <w:tcW w:w="1910" w:type="dxa"/>
            <w:vAlign w:val="center"/>
          </w:tcPr>
          <w:p w14:paraId="096CBFD5">
            <w:pPr>
              <w:pStyle w:val="29"/>
              <w:rPr>
                <w:rFonts w:ascii="Times New Roman" w:hAnsi="Times New Roman" w:cs="宋体"/>
                <w:color w:val="auto"/>
                <w:kern w:val="0"/>
                <w:szCs w:val="21"/>
                <w:highlight w:val="none"/>
                <w:shd w:val="clear"/>
              </w:rPr>
            </w:pPr>
          </w:p>
        </w:tc>
        <w:tc>
          <w:tcPr>
            <w:tcW w:w="1531" w:type="dxa"/>
          </w:tcPr>
          <w:p w14:paraId="2C07FD10">
            <w:pPr>
              <w:pStyle w:val="29"/>
              <w:rPr>
                <w:rFonts w:ascii="Times New Roman" w:hAnsi="Times New Roman" w:cs="宋体"/>
                <w:color w:val="auto"/>
                <w:sz w:val="22"/>
                <w:highlight w:val="none"/>
                <w:shd w:val="clear"/>
              </w:rPr>
            </w:pPr>
          </w:p>
        </w:tc>
        <w:tc>
          <w:tcPr>
            <w:tcW w:w="1376" w:type="dxa"/>
            <w:vAlign w:val="center"/>
          </w:tcPr>
          <w:p w14:paraId="49840882">
            <w:pPr>
              <w:pStyle w:val="29"/>
              <w:rPr>
                <w:rFonts w:ascii="Times New Roman" w:hAnsi="Times New Roman" w:cs="宋体"/>
                <w:color w:val="auto"/>
                <w:sz w:val="22"/>
                <w:highlight w:val="none"/>
                <w:shd w:val="clear"/>
              </w:rPr>
            </w:pPr>
          </w:p>
        </w:tc>
        <w:tc>
          <w:tcPr>
            <w:tcW w:w="1224" w:type="dxa"/>
            <w:vAlign w:val="center"/>
          </w:tcPr>
          <w:p w14:paraId="694737D2">
            <w:pPr>
              <w:pStyle w:val="29"/>
              <w:rPr>
                <w:rFonts w:ascii="Times New Roman" w:hAnsi="Times New Roman" w:cs="宋体"/>
                <w:color w:val="auto"/>
                <w:kern w:val="0"/>
                <w:szCs w:val="21"/>
                <w:highlight w:val="none"/>
                <w:shd w:val="clear"/>
              </w:rPr>
            </w:pPr>
          </w:p>
        </w:tc>
        <w:tc>
          <w:tcPr>
            <w:tcW w:w="1378" w:type="dxa"/>
          </w:tcPr>
          <w:p w14:paraId="6C354FE6">
            <w:pPr>
              <w:pStyle w:val="29"/>
              <w:rPr>
                <w:rFonts w:ascii="Times New Roman" w:hAnsi="Times New Roman" w:cs="宋体"/>
                <w:color w:val="auto"/>
                <w:kern w:val="0"/>
                <w:szCs w:val="21"/>
                <w:highlight w:val="none"/>
                <w:shd w:val="clear"/>
              </w:rPr>
            </w:pPr>
          </w:p>
        </w:tc>
      </w:tr>
      <w:tr w14:paraId="44A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466BC6D0">
            <w:pPr>
              <w:pStyle w:val="29"/>
              <w:rPr>
                <w:rFonts w:ascii="Times New Roman" w:hAnsi="Times New Roman" w:cs="宋体"/>
                <w:color w:val="auto"/>
                <w:kern w:val="0"/>
                <w:szCs w:val="21"/>
                <w:highlight w:val="none"/>
                <w:shd w:val="clear"/>
              </w:rPr>
            </w:pPr>
          </w:p>
        </w:tc>
        <w:tc>
          <w:tcPr>
            <w:tcW w:w="1910" w:type="dxa"/>
            <w:vAlign w:val="center"/>
          </w:tcPr>
          <w:p w14:paraId="2FB6FC9E">
            <w:pPr>
              <w:pStyle w:val="29"/>
              <w:rPr>
                <w:rFonts w:ascii="Times New Roman" w:hAnsi="Times New Roman" w:cs="宋体"/>
                <w:color w:val="auto"/>
                <w:kern w:val="0"/>
                <w:szCs w:val="21"/>
                <w:highlight w:val="none"/>
                <w:shd w:val="clear"/>
              </w:rPr>
            </w:pPr>
          </w:p>
        </w:tc>
        <w:tc>
          <w:tcPr>
            <w:tcW w:w="1531" w:type="dxa"/>
          </w:tcPr>
          <w:p w14:paraId="1A06182F">
            <w:pPr>
              <w:pStyle w:val="29"/>
              <w:rPr>
                <w:rFonts w:ascii="Times New Roman" w:hAnsi="Times New Roman" w:cs="宋体"/>
                <w:color w:val="auto"/>
                <w:sz w:val="22"/>
                <w:highlight w:val="none"/>
                <w:shd w:val="clear"/>
              </w:rPr>
            </w:pPr>
          </w:p>
        </w:tc>
        <w:tc>
          <w:tcPr>
            <w:tcW w:w="1376" w:type="dxa"/>
            <w:vAlign w:val="center"/>
          </w:tcPr>
          <w:p w14:paraId="76DA944B">
            <w:pPr>
              <w:pStyle w:val="29"/>
              <w:rPr>
                <w:rFonts w:ascii="Times New Roman" w:hAnsi="Times New Roman" w:cs="宋体"/>
                <w:color w:val="auto"/>
                <w:sz w:val="22"/>
                <w:highlight w:val="none"/>
                <w:shd w:val="clear"/>
              </w:rPr>
            </w:pPr>
          </w:p>
        </w:tc>
        <w:tc>
          <w:tcPr>
            <w:tcW w:w="1224" w:type="dxa"/>
            <w:vAlign w:val="center"/>
          </w:tcPr>
          <w:p w14:paraId="3A77FD8E">
            <w:pPr>
              <w:pStyle w:val="29"/>
              <w:rPr>
                <w:rFonts w:ascii="Times New Roman" w:hAnsi="Times New Roman" w:cs="宋体"/>
                <w:color w:val="auto"/>
                <w:kern w:val="0"/>
                <w:szCs w:val="21"/>
                <w:highlight w:val="none"/>
                <w:shd w:val="clear"/>
              </w:rPr>
            </w:pPr>
          </w:p>
        </w:tc>
        <w:tc>
          <w:tcPr>
            <w:tcW w:w="1378" w:type="dxa"/>
          </w:tcPr>
          <w:p w14:paraId="2846F140">
            <w:pPr>
              <w:pStyle w:val="29"/>
              <w:rPr>
                <w:rFonts w:ascii="Times New Roman" w:hAnsi="Times New Roman" w:cs="宋体"/>
                <w:color w:val="auto"/>
                <w:kern w:val="0"/>
                <w:szCs w:val="21"/>
                <w:highlight w:val="none"/>
                <w:shd w:val="clear"/>
              </w:rPr>
            </w:pPr>
          </w:p>
        </w:tc>
      </w:tr>
      <w:tr w14:paraId="0FC7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14363A32">
            <w:pPr>
              <w:pStyle w:val="29"/>
              <w:rPr>
                <w:rFonts w:ascii="Times New Roman" w:hAnsi="Times New Roman" w:cs="宋体"/>
                <w:color w:val="auto"/>
                <w:kern w:val="0"/>
                <w:szCs w:val="21"/>
                <w:highlight w:val="none"/>
                <w:shd w:val="clear"/>
              </w:rPr>
            </w:pPr>
          </w:p>
        </w:tc>
        <w:tc>
          <w:tcPr>
            <w:tcW w:w="1910" w:type="dxa"/>
            <w:vAlign w:val="center"/>
          </w:tcPr>
          <w:p w14:paraId="7F635399">
            <w:pPr>
              <w:pStyle w:val="29"/>
              <w:rPr>
                <w:rFonts w:ascii="Times New Roman" w:hAnsi="Times New Roman" w:cs="宋体"/>
                <w:color w:val="auto"/>
                <w:kern w:val="0"/>
                <w:szCs w:val="21"/>
                <w:highlight w:val="none"/>
                <w:shd w:val="clear"/>
              </w:rPr>
            </w:pPr>
          </w:p>
        </w:tc>
        <w:tc>
          <w:tcPr>
            <w:tcW w:w="1531" w:type="dxa"/>
          </w:tcPr>
          <w:p w14:paraId="208B00B5">
            <w:pPr>
              <w:pStyle w:val="29"/>
              <w:rPr>
                <w:rFonts w:ascii="Times New Roman" w:hAnsi="Times New Roman" w:cs="宋体"/>
                <w:color w:val="auto"/>
                <w:sz w:val="22"/>
                <w:highlight w:val="none"/>
                <w:shd w:val="clear"/>
              </w:rPr>
            </w:pPr>
          </w:p>
        </w:tc>
        <w:tc>
          <w:tcPr>
            <w:tcW w:w="1376" w:type="dxa"/>
            <w:vAlign w:val="center"/>
          </w:tcPr>
          <w:p w14:paraId="0FA6D76E">
            <w:pPr>
              <w:pStyle w:val="29"/>
              <w:rPr>
                <w:rFonts w:ascii="Times New Roman" w:hAnsi="Times New Roman" w:cs="宋体"/>
                <w:color w:val="auto"/>
                <w:sz w:val="22"/>
                <w:highlight w:val="none"/>
                <w:shd w:val="clear"/>
              </w:rPr>
            </w:pPr>
          </w:p>
        </w:tc>
        <w:tc>
          <w:tcPr>
            <w:tcW w:w="1224" w:type="dxa"/>
            <w:vAlign w:val="center"/>
          </w:tcPr>
          <w:p w14:paraId="0EA348DE">
            <w:pPr>
              <w:pStyle w:val="29"/>
              <w:rPr>
                <w:rFonts w:ascii="Times New Roman" w:hAnsi="Times New Roman" w:cs="宋体"/>
                <w:color w:val="auto"/>
                <w:kern w:val="0"/>
                <w:szCs w:val="21"/>
                <w:highlight w:val="none"/>
                <w:shd w:val="clear"/>
              </w:rPr>
            </w:pPr>
          </w:p>
        </w:tc>
        <w:tc>
          <w:tcPr>
            <w:tcW w:w="1378" w:type="dxa"/>
          </w:tcPr>
          <w:p w14:paraId="292F1F14">
            <w:pPr>
              <w:pStyle w:val="29"/>
              <w:rPr>
                <w:rFonts w:ascii="Times New Roman" w:hAnsi="Times New Roman" w:cs="宋体"/>
                <w:color w:val="auto"/>
                <w:kern w:val="0"/>
                <w:szCs w:val="21"/>
                <w:highlight w:val="none"/>
                <w:shd w:val="clear"/>
              </w:rPr>
            </w:pPr>
          </w:p>
        </w:tc>
      </w:tr>
      <w:tr w14:paraId="4DD4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06929B89">
            <w:pPr>
              <w:pStyle w:val="29"/>
              <w:rPr>
                <w:rFonts w:ascii="Times New Roman" w:hAnsi="Times New Roman" w:cs="宋体"/>
                <w:color w:val="auto"/>
                <w:kern w:val="0"/>
                <w:szCs w:val="21"/>
                <w:highlight w:val="none"/>
                <w:shd w:val="clear"/>
              </w:rPr>
            </w:pPr>
          </w:p>
        </w:tc>
        <w:tc>
          <w:tcPr>
            <w:tcW w:w="1910" w:type="dxa"/>
            <w:vAlign w:val="center"/>
          </w:tcPr>
          <w:p w14:paraId="41657963">
            <w:pPr>
              <w:pStyle w:val="29"/>
              <w:rPr>
                <w:rFonts w:ascii="Times New Roman" w:hAnsi="Times New Roman" w:cs="宋体"/>
                <w:color w:val="auto"/>
                <w:kern w:val="0"/>
                <w:szCs w:val="21"/>
                <w:highlight w:val="none"/>
                <w:shd w:val="clear"/>
              </w:rPr>
            </w:pPr>
          </w:p>
        </w:tc>
        <w:tc>
          <w:tcPr>
            <w:tcW w:w="1531" w:type="dxa"/>
          </w:tcPr>
          <w:p w14:paraId="0A0F3151">
            <w:pPr>
              <w:pStyle w:val="29"/>
              <w:rPr>
                <w:rFonts w:ascii="Times New Roman" w:hAnsi="Times New Roman" w:cs="宋体"/>
                <w:color w:val="auto"/>
                <w:sz w:val="22"/>
                <w:highlight w:val="none"/>
                <w:shd w:val="clear"/>
              </w:rPr>
            </w:pPr>
          </w:p>
        </w:tc>
        <w:tc>
          <w:tcPr>
            <w:tcW w:w="1376" w:type="dxa"/>
            <w:vAlign w:val="center"/>
          </w:tcPr>
          <w:p w14:paraId="19BC89F1">
            <w:pPr>
              <w:pStyle w:val="29"/>
              <w:rPr>
                <w:rFonts w:ascii="Times New Roman" w:hAnsi="Times New Roman" w:cs="宋体"/>
                <w:color w:val="auto"/>
                <w:sz w:val="22"/>
                <w:highlight w:val="none"/>
                <w:shd w:val="clear"/>
              </w:rPr>
            </w:pPr>
          </w:p>
        </w:tc>
        <w:tc>
          <w:tcPr>
            <w:tcW w:w="1224" w:type="dxa"/>
            <w:vAlign w:val="center"/>
          </w:tcPr>
          <w:p w14:paraId="7104A935">
            <w:pPr>
              <w:pStyle w:val="29"/>
              <w:rPr>
                <w:rFonts w:ascii="Times New Roman" w:hAnsi="Times New Roman" w:cs="宋体"/>
                <w:color w:val="auto"/>
                <w:kern w:val="0"/>
                <w:szCs w:val="21"/>
                <w:highlight w:val="none"/>
                <w:shd w:val="clear"/>
              </w:rPr>
            </w:pPr>
          </w:p>
        </w:tc>
        <w:tc>
          <w:tcPr>
            <w:tcW w:w="1378" w:type="dxa"/>
          </w:tcPr>
          <w:p w14:paraId="5ADC3B1B">
            <w:pPr>
              <w:pStyle w:val="29"/>
              <w:rPr>
                <w:rFonts w:ascii="Times New Roman" w:hAnsi="Times New Roman" w:cs="宋体"/>
                <w:color w:val="auto"/>
                <w:kern w:val="0"/>
                <w:szCs w:val="21"/>
                <w:highlight w:val="none"/>
                <w:shd w:val="clear"/>
              </w:rPr>
            </w:pPr>
          </w:p>
        </w:tc>
      </w:tr>
      <w:tr w14:paraId="0EE8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68949562">
            <w:pPr>
              <w:pStyle w:val="29"/>
              <w:rPr>
                <w:rFonts w:ascii="Times New Roman" w:hAnsi="Times New Roman" w:cs="宋体"/>
                <w:color w:val="auto"/>
                <w:kern w:val="0"/>
                <w:szCs w:val="21"/>
                <w:highlight w:val="none"/>
                <w:shd w:val="clear"/>
              </w:rPr>
            </w:pPr>
          </w:p>
        </w:tc>
        <w:tc>
          <w:tcPr>
            <w:tcW w:w="1910" w:type="dxa"/>
            <w:vAlign w:val="center"/>
          </w:tcPr>
          <w:p w14:paraId="2733CDA9">
            <w:pPr>
              <w:pStyle w:val="29"/>
              <w:rPr>
                <w:rFonts w:ascii="Times New Roman" w:hAnsi="Times New Roman" w:cs="宋体"/>
                <w:color w:val="auto"/>
                <w:kern w:val="0"/>
                <w:szCs w:val="21"/>
                <w:highlight w:val="none"/>
                <w:shd w:val="clear"/>
              </w:rPr>
            </w:pPr>
          </w:p>
        </w:tc>
        <w:tc>
          <w:tcPr>
            <w:tcW w:w="1531" w:type="dxa"/>
          </w:tcPr>
          <w:p w14:paraId="096585F1">
            <w:pPr>
              <w:pStyle w:val="29"/>
              <w:rPr>
                <w:rFonts w:ascii="Times New Roman" w:hAnsi="Times New Roman" w:cs="宋体"/>
                <w:color w:val="auto"/>
                <w:sz w:val="22"/>
                <w:highlight w:val="none"/>
                <w:shd w:val="clear"/>
              </w:rPr>
            </w:pPr>
          </w:p>
        </w:tc>
        <w:tc>
          <w:tcPr>
            <w:tcW w:w="1376" w:type="dxa"/>
            <w:vAlign w:val="center"/>
          </w:tcPr>
          <w:p w14:paraId="16D03536">
            <w:pPr>
              <w:pStyle w:val="29"/>
              <w:rPr>
                <w:rFonts w:ascii="Times New Roman" w:hAnsi="Times New Roman" w:cs="宋体"/>
                <w:color w:val="auto"/>
                <w:sz w:val="22"/>
                <w:highlight w:val="none"/>
                <w:shd w:val="clear"/>
              </w:rPr>
            </w:pPr>
          </w:p>
        </w:tc>
        <w:tc>
          <w:tcPr>
            <w:tcW w:w="1224" w:type="dxa"/>
            <w:vAlign w:val="center"/>
          </w:tcPr>
          <w:p w14:paraId="4C96171B">
            <w:pPr>
              <w:pStyle w:val="29"/>
              <w:rPr>
                <w:rFonts w:ascii="Times New Roman" w:hAnsi="Times New Roman" w:cs="宋体"/>
                <w:color w:val="auto"/>
                <w:kern w:val="0"/>
                <w:szCs w:val="21"/>
                <w:highlight w:val="none"/>
                <w:shd w:val="clear"/>
              </w:rPr>
            </w:pPr>
          </w:p>
        </w:tc>
        <w:tc>
          <w:tcPr>
            <w:tcW w:w="1378" w:type="dxa"/>
          </w:tcPr>
          <w:p w14:paraId="35015361">
            <w:pPr>
              <w:pStyle w:val="29"/>
              <w:rPr>
                <w:rFonts w:ascii="Times New Roman" w:hAnsi="Times New Roman" w:cs="宋体"/>
                <w:color w:val="auto"/>
                <w:kern w:val="0"/>
                <w:szCs w:val="21"/>
                <w:highlight w:val="none"/>
                <w:shd w:val="clear"/>
              </w:rPr>
            </w:pPr>
          </w:p>
        </w:tc>
      </w:tr>
      <w:tr w14:paraId="30C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0B2845E1">
            <w:pPr>
              <w:pStyle w:val="29"/>
              <w:rPr>
                <w:rFonts w:ascii="Times New Roman" w:hAnsi="Times New Roman" w:cs="宋体"/>
                <w:color w:val="auto"/>
                <w:kern w:val="0"/>
                <w:szCs w:val="21"/>
                <w:highlight w:val="none"/>
                <w:shd w:val="clear"/>
              </w:rPr>
            </w:pPr>
          </w:p>
        </w:tc>
        <w:tc>
          <w:tcPr>
            <w:tcW w:w="1910" w:type="dxa"/>
            <w:vAlign w:val="center"/>
          </w:tcPr>
          <w:p w14:paraId="230D8189">
            <w:pPr>
              <w:pStyle w:val="29"/>
              <w:rPr>
                <w:rFonts w:ascii="Times New Roman" w:hAnsi="Times New Roman" w:cs="宋体"/>
                <w:color w:val="auto"/>
                <w:kern w:val="0"/>
                <w:szCs w:val="21"/>
                <w:highlight w:val="none"/>
                <w:shd w:val="clear"/>
              </w:rPr>
            </w:pPr>
          </w:p>
        </w:tc>
        <w:tc>
          <w:tcPr>
            <w:tcW w:w="1531" w:type="dxa"/>
          </w:tcPr>
          <w:p w14:paraId="582F3278">
            <w:pPr>
              <w:pStyle w:val="29"/>
              <w:rPr>
                <w:rFonts w:ascii="Times New Roman" w:hAnsi="Times New Roman" w:cs="宋体"/>
                <w:color w:val="auto"/>
                <w:sz w:val="22"/>
                <w:highlight w:val="none"/>
                <w:shd w:val="clear"/>
              </w:rPr>
            </w:pPr>
          </w:p>
        </w:tc>
        <w:tc>
          <w:tcPr>
            <w:tcW w:w="1376" w:type="dxa"/>
            <w:vAlign w:val="center"/>
          </w:tcPr>
          <w:p w14:paraId="25B00D4C">
            <w:pPr>
              <w:pStyle w:val="29"/>
              <w:rPr>
                <w:rFonts w:ascii="Times New Roman" w:hAnsi="Times New Roman" w:cs="宋体"/>
                <w:color w:val="auto"/>
                <w:sz w:val="22"/>
                <w:highlight w:val="none"/>
                <w:shd w:val="clear"/>
              </w:rPr>
            </w:pPr>
          </w:p>
        </w:tc>
        <w:tc>
          <w:tcPr>
            <w:tcW w:w="1224" w:type="dxa"/>
            <w:vAlign w:val="center"/>
          </w:tcPr>
          <w:p w14:paraId="6DFADF11">
            <w:pPr>
              <w:pStyle w:val="29"/>
              <w:rPr>
                <w:rFonts w:ascii="Times New Roman" w:hAnsi="Times New Roman" w:cs="宋体"/>
                <w:color w:val="auto"/>
                <w:kern w:val="0"/>
                <w:szCs w:val="21"/>
                <w:highlight w:val="none"/>
                <w:shd w:val="clear"/>
              </w:rPr>
            </w:pPr>
          </w:p>
        </w:tc>
        <w:tc>
          <w:tcPr>
            <w:tcW w:w="1378" w:type="dxa"/>
          </w:tcPr>
          <w:p w14:paraId="4C4C93CC">
            <w:pPr>
              <w:pStyle w:val="29"/>
              <w:rPr>
                <w:rFonts w:ascii="Times New Roman" w:hAnsi="Times New Roman" w:cs="宋体"/>
                <w:color w:val="auto"/>
                <w:kern w:val="0"/>
                <w:szCs w:val="21"/>
                <w:highlight w:val="none"/>
                <w:shd w:val="clear"/>
              </w:rPr>
            </w:pPr>
          </w:p>
        </w:tc>
      </w:tr>
      <w:tr w14:paraId="3CB2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0C6AE454">
            <w:pPr>
              <w:pStyle w:val="29"/>
              <w:rPr>
                <w:rFonts w:ascii="Times New Roman" w:hAnsi="Times New Roman" w:cs="宋体"/>
                <w:color w:val="auto"/>
                <w:kern w:val="0"/>
                <w:szCs w:val="21"/>
                <w:highlight w:val="none"/>
                <w:shd w:val="clear"/>
              </w:rPr>
            </w:pPr>
          </w:p>
        </w:tc>
        <w:tc>
          <w:tcPr>
            <w:tcW w:w="1910" w:type="dxa"/>
            <w:vAlign w:val="center"/>
          </w:tcPr>
          <w:p w14:paraId="7BC6203C">
            <w:pPr>
              <w:pStyle w:val="29"/>
              <w:rPr>
                <w:rFonts w:ascii="Times New Roman" w:hAnsi="Times New Roman" w:cs="宋体"/>
                <w:color w:val="auto"/>
                <w:kern w:val="0"/>
                <w:szCs w:val="21"/>
                <w:highlight w:val="none"/>
                <w:shd w:val="clear"/>
              </w:rPr>
            </w:pPr>
          </w:p>
        </w:tc>
        <w:tc>
          <w:tcPr>
            <w:tcW w:w="1531" w:type="dxa"/>
          </w:tcPr>
          <w:p w14:paraId="7ACFA710">
            <w:pPr>
              <w:pStyle w:val="29"/>
              <w:rPr>
                <w:rFonts w:ascii="Times New Roman" w:hAnsi="Times New Roman" w:cs="宋体"/>
                <w:color w:val="auto"/>
                <w:sz w:val="22"/>
                <w:highlight w:val="none"/>
                <w:shd w:val="clear"/>
              </w:rPr>
            </w:pPr>
          </w:p>
        </w:tc>
        <w:tc>
          <w:tcPr>
            <w:tcW w:w="1376" w:type="dxa"/>
            <w:vAlign w:val="center"/>
          </w:tcPr>
          <w:p w14:paraId="0B490807">
            <w:pPr>
              <w:pStyle w:val="29"/>
              <w:rPr>
                <w:rFonts w:ascii="Times New Roman" w:hAnsi="Times New Roman" w:cs="宋体"/>
                <w:color w:val="auto"/>
                <w:sz w:val="22"/>
                <w:highlight w:val="none"/>
                <w:shd w:val="clear"/>
              </w:rPr>
            </w:pPr>
          </w:p>
        </w:tc>
        <w:tc>
          <w:tcPr>
            <w:tcW w:w="1224" w:type="dxa"/>
            <w:vAlign w:val="center"/>
          </w:tcPr>
          <w:p w14:paraId="0BC5A7B9">
            <w:pPr>
              <w:pStyle w:val="29"/>
              <w:rPr>
                <w:rFonts w:ascii="Times New Roman" w:hAnsi="Times New Roman" w:cs="宋体"/>
                <w:color w:val="auto"/>
                <w:kern w:val="0"/>
                <w:szCs w:val="21"/>
                <w:highlight w:val="none"/>
                <w:shd w:val="clear"/>
              </w:rPr>
            </w:pPr>
          </w:p>
        </w:tc>
        <w:tc>
          <w:tcPr>
            <w:tcW w:w="1378" w:type="dxa"/>
          </w:tcPr>
          <w:p w14:paraId="38C01A02">
            <w:pPr>
              <w:pStyle w:val="29"/>
              <w:rPr>
                <w:rFonts w:ascii="Times New Roman" w:hAnsi="Times New Roman" w:cs="宋体"/>
                <w:color w:val="auto"/>
                <w:kern w:val="0"/>
                <w:szCs w:val="21"/>
                <w:highlight w:val="none"/>
                <w:shd w:val="clear"/>
              </w:rPr>
            </w:pPr>
          </w:p>
        </w:tc>
      </w:tr>
      <w:tr w14:paraId="12EC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0" w:type="auto"/>
            <w:vAlign w:val="center"/>
          </w:tcPr>
          <w:p w14:paraId="273B2AE3">
            <w:pPr>
              <w:pStyle w:val="29"/>
              <w:rPr>
                <w:rFonts w:ascii="Times New Roman" w:hAnsi="Times New Roman" w:cs="宋体"/>
                <w:color w:val="auto"/>
                <w:kern w:val="0"/>
                <w:szCs w:val="21"/>
                <w:highlight w:val="none"/>
                <w:shd w:val="clear"/>
              </w:rPr>
            </w:pPr>
          </w:p>
        </w:tc>
        <w:tc>
          <w:tcPr>
            <w:tcW w:w="1910" w:type="dxa"/>
            <w:vAlign w:val="center"/>
          </w:tcPr>
          <w:p w14:paraId="23E9204E">
            <w:pPr>
              <w:pStyle w:val="29"/>
              <w:rPr>
                <w:rFonts w:ascii="Times New Roman" w:hAnsi="Times New Roman" w:cs="宋体"/>
                <w:color w:val="auto"/>
                <w:kern w:val="0"/>
                <w:szCs w:val="21"/>
                <w:highlight w:val="none"/>
                <w:shd w:val="clear"/>
              </w:rPr>
            </w:pPr>
          </w:p>
        </w:tc>
        <w:tc>
          <w:tcPr>
            <w:tcW w:w="1531" w:type="dxa"/>
          </w:tcPr>
          <w:p w14:paraId="41892202">
            <w:pPr>
              <w:pStyle w:val="29"/>
              <w:rPr>
                <w:rFonts w:ascii="Times New Roman" w:hAnsi="Times New Roman" w:cs="宋体"/>
                <w:color w:val="auto"/>
                <w:sz w:val="22"/>
                <w:highlight w:val="none"/>
                <w:shd w:val="clear"/>
              </w:rPr>
            </w:pPr>
          </w:p>
        </w:tc>
        <w:tc>
          <w:tcPr>
            <w:tcW w:w="1376" w:type="dxa"/>
            <w:vAlign w:val="center"/>
          </w:tcPr>
          <w:p w14:paraId="44EA801E">
            <w:pPr>
              <w:pStyle w:val="29"/>
              <w:rPr>
                <w:rFonts w:ascii="Times New Roman" w:hAnsi="Times New Roman" w:cs="宋体"/>
                <w:color w:val="auto"/>
                <w:sz w:val="22"/>
                <w:highlight w:val="none"/>
                <w:shd w:val="clear"/>
              </w:rPr>
            </w:pPr>
          </w:p>
        </w:tc>
        <w:tc>
          <w:tcPr>
            <w:tcW w:w="1224" w:type="dxa"/>
            <w:vAlign w:val="center"/>
          </w:tcPr>
          <w:p w14:paraId="7341CD1F">
            <w:pPr>
              <w:pStyle w:val="29"/>
              <w:rPr>
                <w:rFonts w:ascii="Times New Roman" w:hAnsi="Times New Roman" w:cs="宋体"/>
                <w:color w:val="auto"/>
                <w:kern w:val="0"/>
                <w:szCs w:val="21"/>
                <w:highlight w:val="none"/>
                <w:shd w:val="clear"/>
              </w:rPr>
            </w:pPr>
          </w:p>
        </w:tc>
        <w:tc>
          <w:tcPr>
            <w:tcW w:w="1378" w:type="dxa"/>
          </w:tcPr>
          <w:p w14:paraId="3E671061">
            <w:pPr>
              <w:pStyle w:val="29"/>
              <w:rPr>
                <w:rFonts w:ascii="Times New Roman" w:hAnsi="Times New Roman" w:cs="宋体"/>
                <w:color w:val="auto"/>
                <w:kern w:val="0"/>
                <w:szCs w:val="21"/>
                <w:highlight w:val="none"/>
                <w:shd w:val="clear"/>
              </w:rPr>
            </w:pPr>
          </w:p>
        </w:tc>
      </w:tr>
    </w:tbl>
    <w:p w14:paraId="085F6FBD">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w:t>
      </w:r>
    </w:p>
    <w:p w14:paraId="504E4FB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本表仅针对不采用招标人参考品牌，采用其他品牌的投标人填写，并注明并提供相关技术参数（技术响应）、同品牌同规格业绩等供评标委员会评审，未在上表中注明且未提供相关技术参数（技术响应）、同品牌同规格业绩，或经评标委员会评审未通过的，中标后只能从招标人参考品牌中进行选择，价格不予调整。</w:t>
      </w:r>
    </w:p>
    <w:p w14:paraId="675435AE">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2.对于招标人参考品牌的材料、设备等，投标人如认为招标人推荐的参考品牌有限定性、唯一性、明显不在同一档次等级(同质等级)的或者其他疑问的，应在本项目澄清提出的截止时间前通过电子交易系统提交。</w:t>
      </w:r>
    </w:p>
    <w:p w14:paraId="249C4222">
      <w:pPr>
        <w:spacing w:line="360" w:lineRule="auto"/>
        <w:ind w:firstLine="422" w:firstLineChars="200"/>
        <w:jc w:val="left"/>
        <w:rPr>
          <w:rFonts w:ascii="Times New Roman" w:hAnsi="Times New Roman"/>
          <w:b/>
          <w:color w:val="auto"/>
          <w:szCs w:val="18"/>
          <w:highlight w:val="none"/>
          <w:shd w:val="clear"/>
        </w:rPr>
      </w:pPr>
    </w:p>
    <w:p w14:paraId="19A1D7BD">
      <w:pPr>
        <w:pStyle w:val="20"/>
        <w:rPr>
          <w:rFonts w:ascii="Times New Roman" w:hAnsi="Times New Roman"/>
          <w:color w:val="auto"/>
          <w:highlight w:val="none"/>
          <w:shd w:val="clear"/>
          <w:lang w:val="zh-CN"/>
        </w:rPr>
      </w:pPr>
      <w:r>
        <w:rPr>
          <w:rFonts w:ascii="Times New Roman" w:hAnsi="Times New Roman" w:cs="宋体"/>
          <w:b/>
          <w:color w:val="auto"/>
          <w:sz w:val="18"/>
          <w:szCs w:val="18"/>
          <w:highlight w:val="none"/>
          <w:shd w:val="clear"/>
          <w:lang w:val="zh-CN"/>
        </w:rPr>
        <w:br w:type="page"/>
      </w:r>
      <w:bookmarkEnd w:id="2467"/>
      <w:bookmarkEnd w:id="2468"/>
      <w:bookmarkEnd w:id="2469"/>
      <w:bookmarkEnd w:id="2470"/>
      <w:bookmarkEnd w:id="2471"/>
      <w:bookmarkEnd w:id="2475"/>
      <w:bookmarkEnd w:id="2476"/>
      <w:bookmarkEnd w:id="2482"/>
      <w:bookmarkStart w:id="2496" w:name="_Toc170804274"/>
      <w:bookmarkStart w:id="2497" w:name="_Toc170805842"/>
      <w:bookmarkStart w:id="2498" w:name="_Toc10594"/>
      <w:bookmarkStart w:id="2499" w:name="_Toc21825"/>
      <w:bookmarkStart w:id="2500" w:name="_Toc170805462"/>
      <w:bookmarkStart w:id="2501" w:name="_Toc460660254"/>
      <w:bookmarkStart w:id="2502" w:name="_Toc460227139"/>
      <w:bookmarkStart w:id="2503" w:name="_Toc535241145"/>
      <w:r>
        <w:rPr>
          <w:rFonts w:ascii="Times New Roman" w:hAnsi="Times New Roman"/>
          <w:color w:val="auto"/>
          <w:highlight w:val="none"/>
          <w:shd w:val="clear"/>
          <w:lang w:val="zh-CN"/>
        </w:rPr>
        <w:t>（十九）异常低价评审表</w:t>
      </w:r>
      <w:bookmarkEnd w:id="2496"/>
      <w:bookmarkEnd w:id="2497"/>
      <w:bookmarkEnd w:id="2498"/>
      <w:bookmarkEnd w:id="2499"/>
      <w:bookmarkEnd w:id="2500"/>
    </w:p>
    <w:tbl>
      <w:tblPr>
        <w:tblStyle w:val="12"/>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5079"/>
      </w:tblGrid>
      <w:tr w14:paraId="4AD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70DE28C7">
            <w:pPr>
              <w:pStyle w:val="29"/>
              <w:rPr>
                <w:rFonts w:ascii="Times New Roman" w:hAnsi="Times New Roman"/>
                <w:color w:val="auto"/>
                <w:highlight w:val="none"/>
                <w:shd w:val="clear"/>
              </w:rPr>
            </w:pPr>
            <w:r>
              <w:rPr>
                <w:rFonts w:hint="eastAsia" w:ascii="Times New Roman" w:hAnsi="Times New Roman"/>
                <w:color w:val="auto"/>
                <w:highlight w:val="none"/>
                <w:shd w:val="clear"/>
              </w:rPr>
              <w:t>单位工程名称</w:t>
            </w:r>
          </w:p>
        </w:tc>
        <w:tc>
          <w:tcPr>
            <w:tcW w:w="5079" w:type="dxa"/>
            <w:tcBorders>
              <w:top w:val="single" w:color="auto" w:sz="4" w:space="0"/>
              <w:left w:val="single" w:color="auto" w:sz="4" w:space="0"/>
              <w:bottom w:val="single" w:color="auto" w:sz="4" w:space="0"/>
              <w:right w:val="single" w:color="auto" w:sz="4" w:space="0"/>
            </w:tcBorders>
            <w:vAlign w:val="center"/>
          </w:tcPr>
          <w:p w14:paraId="15CF4033">
            <w:pPr>
              <w:pStyle w:val="30"/>
              <w:rPr>
                <w:rFonts w:ascii="Times New Roman" w:hAnsi="Times New Roman"/>
                <w:color w:val="auto"/>
                <w:highlight w:val="none"/>
                <w:shd w:val="clear"/>
              </w:rPr>
            </w:pPr>
          </w:p>
        </w:tc>
      </w:tr>
      <w:tr w14:paraId="3CDE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58A82DF7">
            <w:pPr>
              <w:pStyle w:val="29"/>
              <w:rPr>
                <w:rFonts w:ascii="Times New Roman" w:hAnsi="Times New Roman"/>
                <w:color w:val="auto"/>
                <w:highlight w:val="none"/>
                <w:shd w:val="clear"/>
              </w:rPr>
            </w:pPr>
            <w:r>
              <w:rPr>
                <w:rFonts w:hint="eastAsia" w:ascii="Times New Roman" w:hAnsi="Times New Roman"/>
                <w:color w:val="auto"/>
                <w:highlight w:val="none"/>
                <w:shd w:val="clear"/>
              </w:rPr>
              <w:t>单位工程投标报价（元）</w:t>
            </w:r>
          </w:p>
        </w:tc>
        <w:tc>
          <w:tcPr>
            <w:tcW w:w="5079" w:type="dxa"/>
            <w:tcBorders>
              <w:top w:val="single" w:color="auto" w:sz="4" w:space="0"/>
              <w:left w:val="single" w:color="auto" w:sz="4" w:space="0"/>
              <w:bottom w:val="single" w:color="auto" w:sz="4" w:space="0"/>
              <w:right w:val="single" w:color="auto" w:sz="4" w:space="0"/>
            </w:tcBorders>
            <w:vAlign w:val="center"/>
          </w:tcPr>
          <w:p w14:paraId="46F840E9">
            <w:pPr>
              <w:pStyle w:val="30"/>
              <w:rPr>
                <w:rFonts w:ascii="Times New Roman" w:hAnsi="Times New Roman"/>
                <w:color w:val="auto"/>
                <w:highlight w:val="none"/>
                <w:shd w:val="clear"/>
              </w:rPr>
            </w:pPr>
          </w:p>
        </w:tc>
      </w:tr>
      <w:tr w14:paraId="0995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51E4446B">
            <w:pPr>
              <w:pStyle w:val="29"/>
              <w:rPr>
                <w:rFonts w:ascii="Times New Roman" w:hAnsi="Times New Roman"/>
                <w:color w:val="auto"/>
                <w:highlight w:val="none"/>
                <w:shd w:val="clear"/>
              </w:rPr>
            </w:pPr>
            <w:r>
              <w:rPr>
                <w:rFonts w:hint="eastAsia" w:ascii="Times New Roman" w:hAnsi="Times New Roman"/>
                <w:color w:val="auto"/>
                <w:highlight w:val="none"/>
                <w:shd w:val="clear"/>
              </w:rPr>
              <w:t>最高投标限价</w:t>
            </w:r>
          </w:p>
          <w:p w14:paraId="3D21986F">
            <w:pPr>
              <w:pStyle w:val="29"/>
              <w:rPr>
                <w:rFonts w:ascii="Times New Roman" w:hAnsi="Times New Roman"/>
                <w:color w:val="auto"/>
                <w:highlight w:val="none"/>
                <w:shd w:val="clear"/>
              </w:rPr>
            </w:pPr>
            <w:r>
              <w:rPr>
                <w:rFonts w:hint="eastAsia" w:ascii="Times New Roman" w:hAnsi="Times New Roman"/>
                <w:color w:val="auto"/>
                <w:highlight w:val="none"/>
                <w:shd w:val="clear"/>
              </w:rPr>
              <w:t>对应单位工程价格（元）</w:t>
            </w:r>
          </w:p>
        </w:tc>
        <w:tc>
          <w:tcPr>
            <w:tcW w:w="5079" w:type="dxa"/>
            <w:tcBorders>
              <w:top w:val="single" w:color="auto" w:sz="4" w:space="0"/>
              <w:left w:val="single" w:color="auto" w:sz="4" w:space="0"/>
              <w:bottom w:val="single" w:color="auto" w:sz="4" w:space="0"/>
              <w:right w:val="single" w:color="auto" w:sz="4" w:space="0"/>
            </w:tcBorders>
            <w:vAlign w:val="center"/>
          </w:tcPr>
          <w:p w14:paraId="4CE1B2D0">
            <w:pPr>
              <w:pStyle w:val="30"/>
              <w:rPr>
                <w:rFonts w:ascii="Times New Roman" w:hAnsi="Times New Roman"/>
                <w:color w:val="auto"/>
                <w:highlight w:val="none"/>
                <w:shd w:val="clear"/>
              </w:rPr>
            </w:pPr>
          </w:p>
        </w:tc>
      </w:tr>
      <w:tr w14:paraId="4706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517091D1">
            <w:pPr>
              <w:pStyle w:val="29"/>
              <w:rPr>
                <w:rFonts w:ascii="Times New Roman" w:hAnsi="Times New Roman"/>
                <w:color w:val="auto"/>
                <w:highlight w:val="none"/>
                <w:shd w:val="clear"/>
              </w:rPr>
            </w:pPr>
            <w:r>
              <w:rPr>
                <w:rFonts w:hint="eastAsia" w:ascii="Times New Roman" w:hAnsi="Times New Roman"/>
                <w:color w:val="auto"/>
                <w:highlight w:val="none"/>
                <w:shd w:val="clear"/>
              </w:rPr>
              <w:t>降低工程造价的说明</w:t>
            </w:r>
          </w:p>
        </w:tc>
        <w:tc>
          <w:tcPr>
            <w:tcW w:w="5079" w:type="dxa"/>
            <w:tcBorders>
              <w:top w:val="single" w:color="auto" w:sz="4" w:space="0"/>
              <w:left w:val="single" w:color="auto" w:sz="4" w:space="0"/>
              <w:bottom w:val="single" w:color="auto" w:sz="4" w:space="0"/>
              <w:right w:val="single" w:color="auto" w:sz="4" w:space="0"/>
            </w:tcBorders>
            <w:vAlign w:val="center"/>
          </w:tcPr>
          <w:p w14:paraId="6696ECC5">
            <w:pPr>
              <w:pStyle w:val="30"/>
              <w:rPr>
                <w:rFonts w:ascii="Times New Roman" w:hAnsi="Times New Roman"/>
                <w:color w:val="auto"/>
                <w:highlight w:val="none"/>
                <w:shd w:val="clear"/>
              </w:rPr>
            </w:pPr>
          </w:p>
        </w:tc>
      </w:tr>
      <w:tr w14:paraId="6D2B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51F9E392">
            <w:pPr>
              <w:pStyle w:val="29"/>
              <w:rPr>
                <w:rFonts w:ascii="Times New Roman" w:hAnsi="Times New Roman"/>
                <w:color w:val="auto"/>
                <w:highlight w:val="none"/>
                <w:shd w:val="clear"/>
              </w:rPr>
            </w:pPr>
            <w:r>
              <w:rPr>
                <w:rFonts w:hint="eastAsia" w:ascii="Times New Roman" w:hAnsi="Times New Roman"/>
                <w:color w:val="auto"/>
                <w:highlight w:val="none"/>
                <w:shd w:val="clear"/>
              </w:rPr>
              <w:t>承诺</w:t>
            </w:r>
          </w:p>
        </w:tc>
        <w:tc>
          <w:tcPr>
            <w:tcW w:w="5079" w:type="dxa"/>
            <w:tcBorders>
              <w:top w:val="single" w:color="auto" w:sz="4" w:space="0"/>
              <w:left w:val="single" w:color="auto" w:sz="4" w:space="0"/>
              <w:bottom w:val="single" w:color="auto" w:sz="4" w:space="0"/>
              <w:right w:val="single" w:color="auto" w:sz="4" w:space="0"/>
            </w:tcBorders>
            <w:vAlign w:val="center"/>
          </w:tcPr>
          <w:p w14:paraId="7A9C3D90">
            <w:pPr>
              <w:pStyle w:val="30"/>
              <w:rPr>
                <w:rFonts w:ascii="Times New Roman" w:hAnsi="Times New Roman"/>
                <w:color w:val="auto"/>
                <w:highlight w:val="none"/>
                <w:shd w:val="clear"/>
              </w:rPr>
            </w:pPr>
            <w:r>
              <w:rPr>
                <w:rFonts w:hint="eastAsia" w:ascii="Times New Roman" w:hAnsi="Times New Roman"/>
                <w:color w:val="auto"/>
                <w:highlight w:val="none"/>
                <w:shd w:val="clear"/>
              </w:rPr>
              <w:t>1.我公司对该表提供的内容及相关资料均属实。</w:t>
            </w:r>
          </w:p>
          <w:p w14:paraId="56F2C23C">
            <w:pPr>
              <w:pStyle w:val="30"/>
              <w:rPr>
                <w:rFonts w:ascii="Times New Roman" w:hAnsi="Times New Roman"/>
                <w:color w:val="auto"/>
                <w:highlight w:val="none"/>
                <w:shd w:val="clear"/>
              </w:rPr>
            </w:pPr>
            <w:r>
              <w:rPr>
                <w:rFonts w:hint="eastAsia" w:ascii="Times New Roman" w:hAnsi="Times New Roman"/>
                <w:color w:val="auto"/>
                <w:highlight w:val="none"/>
                <w:shd w:val="clear"/>
              </w:rPr>
              <w:t>2.我公司承诺没有招标文件约定的降低投标报价的禁止情形。</w:t>
            </w:r>
          </w:p>
          <w:p w14:paraId="3A125AA1">
            <w:pPr>
              <w:pStyle w:val="30"/>
              <w:rPr>
                <w:rFonts w:ascii="Times New Roman" w:hAnsi="Times New Roman"/>
                <w:color w:val="auto"/>
                <w:highlight w:val="none"/>
                <w:shd w:val="clear"/>
              </w:rPr>
            </w:pPr>
            <w:r>
              <w:rPr>
                <w:rFonts w:hint="eastAsia" w:ascii="Times New Roman" w:hAnsi="Times New Roman"/>
                <w:color w:val="auto"/>
                <w:highlight w:val="none"/>
                <w:shd w:val="clear"/>
              </w:rPr>
              <w:t>3.我公司承诺具备合同履行能力及工程质量安全控制能力。</w:t>
            </w:r>
          </w:p>
        </w:tc>
      </w:tr>
    </w:tbl>
    <w:p w14:paraId="3D1A9FBC">
      <w:pPr>
        <w:adjustRightInd w:val="0"/>
        <w:snapToGrid w:val="0"/>
        <w:spacing w:before="65" w:beforeLines="20" w:after="65" w:afterLines="20" w:line="400" w:lineRule="exact"/>
        <w:ind w:firstLine="3517" w:firstLineChars="1675"/>
        <w:rPr>
          <w:rFonts w:ascii="Times New Roman" w:hAnsi="Times New Roman"/>
          <w:bCs w:val="0"/>
          <w:color w:val="auto"/>
          <w:highlight w:val="none"/>
          <w:u w:val="single"/>
          <w:shd w:val="clear"/>
        </w:rPr>
      </w:pPr>
      <w:r>
        <w:rPr>
          <w:rFonts w:hint="eastAsia" w:ascii="Times New Roman" w:hAnsi="Times New Roman"/>
          <w:color w:val="auto"/>
          <w:highlight w:val="none"/>
          <w:shd w:val="clear"/>
        </w:rPr>
        <w:t>投 标 人：</w:t>
      </w:r>
      <w:r>
        <w:rPr>
          <w:rFonts w:hint="eastAsia" w:ascii="Times New Roman" w:hAnsi="Times New Roman"/>
          <w:color w:val="auto"/>
          <w:highlight w:val="none"/>
          <w:u w:val="single"/>
          <w:shd w:val="clear"/>
        </w:rPr>
        <w:t>（盖单位章）</w:t>
      </w:r>
    </w:p>
    <w:p w14:paraId="416EC431">
      <w:pPr>
        <w:adjustRightInd w:val="0"/>
        <w:snapToGrid w:val="0"/>
        <w:spacing w:before="65" w:beforeLines="20" w:after="65" w:afterLines="20" w:line="400" w:lineRule="exact"/>
        <w:ind w:firstLine="3517" w:firstLineChars="1675"/>
        <w:rPr>
          <w:rFonts w:ascii="Times New Roman" w:hAnsi="Times New Roman"/>
          <w:color w:val="auto"/>
          <w:highlight w:val="none"/>
          <w:u w:val="single"/>
          <w:shd w:val="clear"/>
        </w:rPr>
      </w:pPr>
      <w:r>
        <w:rPr>
          <w:rFonts w:hint="eastAsia" w:ascii="Times New Roman" w:hAnsi="Times New Roman"/>
          <w:color w:val="auto"/>
          <w:highlight w:val="none"/>
          <w:shd w:val="clear"/>
        </w:rPr>
        <w:t>法定代表人：</w:t>
      </w:r>
      <w:r>
        <w:rPr>
          <w:rFonts w:hint="eastAsia" w:ascii="Times New Roman" w:hAnsi="Times New Roman"/>
          <w:color w:val="auto"/>
          <w:highlight w:val="none"/>
          <w:u w:val="single"/>
          <w:shd w:val="clear"/>
        </w:rPr>
        <w:t xml:space="preserve"> （签字或盖章）</w:t>
      </w:r>
    </w:p>
    <w:p w14:paraId="51695DEC">
      <w:pPr>
        <w:adjustRightInd w:val="0"/>
        <w:snapToGrid w:val="0"/>
        <w:spacing w:before="65" w:beforeLines="20" w:after="65" w:afterLines="20" w:line="400" w:lineRule="exact"/>
        <w:ind w:firstLine="3517" w:firstLineChars="1675"/>
        <w:rPr>
          <w:rFonts w:ascii="Times New Roman" w:hAnsi="Times New Roman"/>
          <w:color w:val="auto"/>
          <w:highlight w:val="none"/>
          <w:shd w:val="clear"/>
        </w:rPr>
      </w:pPr>
      <w:r>
        <w:rPr>
          <w:rFonts w:hint="eastAsia" w:ascii="Times New Roman" w:hAnsi="Times New Roman"/>
          <w:color w:val="auto"/>
          <w:highlight w:val="none"/>
          <w:shd w:val="clear"/>
        </w:rPr>
        <w:t xml:space="preserve">日 </w:t>
      </w:r>
      <w:r>
        <w:rPr>
          <w:rFonts w:ascii="Times New Roman" w:hAnsi="Times New Roman"/>
          <w:color w:val="auto"/>
          <w:highlight w:val="none"/>
          <w:shd w:val="clear"/>
        </w:rPr>
        <w:t xml:space="preserve">   </w:t>
      </w:r>
      <w:r>
        <w:rPr>
          <w:rFonts w:hint="eastAsia" w:ascii="Times New Roman" w:hAnsi="Times New Roman"/>
          <w:color w:val="auto"/>
          <w:highlight w:val="none"/>
          <w:shd w:val="clear"/>
        </w:rPr>
        <w:t>期：</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年</w:t>
      </w: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月</w:t>
      </w:r>
      <w:r>
        <w:rPr>
          <w:rFonts w:hint="eastAsia" w:ascii="Times New Roman" w:hAnsi="Times New Roman"/>
          <w:color w:val="auto"/>
          <w:highlight w:val="none"/>
          <w:u w:val="single"/>
          <w:shd w:val="clear"/>
        </w:rPr>
        <w:t xml:space="preserve">      </w:t>
      </w:r>
      <w:r>
        <w:rPr>
          <w:rFonts w:hint="eastAsia" w:ascii="Times New Roman" w:hAnsi="Times New Roman"/>
          <w:color w:val="auto"/>
          <w:highlight w:val="none"/>
          <w:shd w:val="clear"/>
        </w:rPr>
        <w:t>日</w:t>
      </w:r>
    </w:p>
    <w:p w14:paraId="52450392">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注：</w:t>
      </w:r>
    </w:p>
    <w:p w14:paraId="3CA6D3E7">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1.投标人根据其单位工程报价情况，确定是否提供；</w:t>
      </w:r>
    </w:p>
    <w:p w14:paraId="671C12EB">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2.此表格后附异常低价评审的相关证明材料（见附件1、附件2）；</w:t>
      </w:r>
    </w:p>
    <w:p w14:paraId="3B0E9E95">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3.每个单位工程独立制表；</w:t>
      </w:r>
    </w:p>
    <w:p w14:paraId="3AE69278">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4.若投标人提供的相关资料与承诺不符，视同弄虚作假并上报招标投标行政监督部门调查处理。</w:t>
      </w:r>
    </w:p>
    <w:p w14:paraId="3A8DE55A">
      <w:pPr>
        <w:pStyle w:val="22"/>
        <w:ind w:firstLine="420"/>
        <w:rPr>
          <w:rFonts w:ascii="Times New Roman" w:hAnsi="Times New Roman"/>
          <w:color w:val="auto"/>
          <w:highlight w:val="none"/>
          <w:shd w:val="clear"/>
        </w:rPr>
      </w:pPr>
      <w:r>
        <w:rPr>
          <w:rFonts w:hint="eastAsia" w:ascii="Times New Roman" w:hAnsi="Times New Roman"/>
          <w:color w:val="auto"/>
          <w:highlight w:val="none"/>
          <w:shd w:val="clear"/>
        </w:rPr>
        <w:t>5.投标人在制作投标文件时该页可放置在报价文件中。</w:t>
      </w:r>
    </w:p>
    <w:p w14:paraId="70A48CC7">
      <w:pPr>
        <w:widowControl/>
        <w:jc w:val="left"/>
        <w:rPr>
          <w:rFonts w:ascii="Times New Roman" w:hAnsi="Times New Roman"/>
          <w:b/>
          <w:bCs w:val="0"/>
          <w:color w:val="auto"/>
          <w:szCs w:val="18"/>
          <w:highlight w:val="none"/>
          <w:shd w:val="clear"/>
        </w:rPr>
      </w:pPr>
      <w:r>
        <w:rPr>
          <w:rFonts w:ascii="Times New Roman" w:hAnsi="Times New Roman"/>
          <w:b/>
          <w:color w:val="auto"/>
          <w:szCs w:val="18"/>
          <w:highlight w:val="none"/>
          <w:shd w:val="clear"/>
        </w:rPr>
        <w:br w:type="page"/>
      </w:r>
    </w:p>
    <w:p w14:paraId="73B99B63">
      <w:pPr>
        <w:pStyle w:val="20"/>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t>附件1：</w:t>
      </w:r>
      <w:r>
        <w:rPr>
          <w:rFonts w:ascii="Times New Roman" w:hAnsi="Times New Roman"/>
          <w:color w:val="auto"/>
          <w:highlight w:val="none"/>
          <w:shd w:val="clear"/>
          <w:lang w:val="zh-CN"/>
        </w:rPr>
        <w:t>材料费降低报价的承诺书</w:t>
      </w:r>
    </w:p>
    <w:p w14:paraId="328B10CA">
      <w:pPr>
        <w:pStyle w:val="22"/>
        <w:ind w:firstLine="420"/>
        <w:rPr>
          <w:rFonts w:ascii="Times New Roman" w:hAnsi="Times New Roman"/>
          <w:color w:val="auto"/>
          <w:highlight w:val="none"/>
          <w:shd w:val="clear"/>
        </w:rPr>
      </w:pPr>
      <w:r>
        <w:rPr>
          <w:rFonts w:ascii="Times New Roman" w:hAnsi="Times New Roman"/>
          <w:color w:val="auto"/>
          <w:highlight w:val="none"/>
          <w:shd w:val="clear"/>
        </w:rPr>
        <w:t>我单位承诺对本工程的材料费报价是建立在科学合理的项目、措施和施工方案基础上的。同时，我单位承诺确保以投标报价中的材料费保质保量完成本工程任务。</w:t>
      </w:r>
    </w:p>
    <w:p w14:paraId="1C0FD78C">
      <w:pPr>
        <w:pStyle w:val="22"/>
        <w:ind w:firstLine="420"/>
        <w:rPr>
          <w:rFonts w:ascii="Times New Roman" w:hAnsi="Times New Roman"/>
          <w:color w:val="auto"/>
          <w:highlight w:val="none"/>
          <w:shd w:val="clear"/>
        </w:rPr>
      </w:pPr>
      <w:r>
        <w:rPr>
          <w:rFonts w:ascii="Times New Roman" w:hAnsi="Times New Roman"/>
          <w:color w:val="auto"/>
          <w:highlight w:val="none"/>
          <w:shd w:val="clear"/>
        </w:rPr>
        <w:t>为达到上述承诺目的，我单位多措并举，多管齐下，主要通过以下几点实现：</w:t>
      </w:r>
    </w:p>
    <w:p w14:paraId="26CCD83F">
      <w:pPr>
        <w:pStyle w:val="22"/>
        <w:ind w:firstLine="420"/>
        <w:rPr>
          <w:rFonts w:ascii="Times New Roman" w:hAnsi="Times New Roman"/>
          <w:color w:val="auto"/>
          <w:highlight w:val="none"/>
          <w:u w:val="single"/>
          <w:shd w:val="clear"/>
        </w:rPr>
      </w:pPr>
      <w:r>
        <w:rPr>
          <w:rFonts w:ascii="Times New Roman" w:hAnsi="Times New Roman"/>
          <w:color w:val="auto"/>
          <w:highlight w:val="none"/>
          <w:u w:val="single"/>
          <w:shd w:val="clear"/>
        </w:rPr>
        <w:t>1</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rPr>
        <w:t xml:space="preserve">                                                                    </w:t>
      </w:r>
    </w:p>
    <w:p w14:paraId="1B90C02E">
      <w:pPr>
        <w:pStyle w:val="22"/>
        <w:ind w:firstLine="420"/>
        <w:rPr>
          <w:rFonts w:ascii="Times New Roman" w:hAnsi="Times New Roman"/>
          <w:color w:val="auto"/>
          <w:highlight w:val="none"/>
          <w:u w:val="single"/>
          <w:shd w:val="clear"/>
        </w:rPr>
      </w:pPr>
      <w:r>
        <w:rPr>
          <w:rFonts w:ascii="Times New Roman" w:hAnsi="Times New Roman"/>
          <w:color w:val="auto"/>
          <w:highlight w:val="none"/>
          <w:u w:val="single"/>
          <w:shd w:val="clear"/>
        </w:rPr>
        <w:t>2</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rPr>
        <w:t xml:space="preserve">                                                                    </w:t>
      </w:r>
    </w:p>
    <w:p w14:paraId="1B296FA4">
      <w:pPr>
        <w:pStyle w:val="22"/>
        <w:ind w:firstLine="420"/>
        <w:rPr>
          <w:rFonts w:ascii="Times New Roman" w:hAnsi="Times New Roman"/>
          <w:color w:val="auto"/>
          <w:highlight w:val="none"/>
          <w:u w:val="single"/>
          <w:shd w:val="clear"/>
        </w:rPr>
      </w:pPr>
      <w:r>
        <w:rPr>
          <w:rFonts w:ascii="Times New Roman" w:hAnsi="Times New Roman"/>
          <w:color w:val="auto"/>
          <w:highlight w:val="none"/>
          <w:u w:val="single"/>
          <w:shd w:val="clear"/>
        </w:rPr>
        <w:t>3</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rPr>
        <w:t xml:space="preserve">                                                                    </w:t>
      </w:r>
    </w:p>
    <w:p w14:paraId="1FACB2A2">
      <w:pPr>
        <w:pStyle w:val="22"/>
        <w:ind w:firstLine="420"/>
        <w:rPr>
          <w:rFonts w:ascii="Times New Roman" w:hAnsi="Times New Roman"/>
          <w:color w:val="auto"/>
          <w:highlight w:val="none"/>
          <w:shd w:val="clear"/>
        </w:rPr>
      </w:pPr>
      <w:r>
        <w:rPr>
          <w:rFonts w:ascii="Times New Roman" w:hAnsi="Times New Roman"/>
          <w:color w:val="auto"/>
          <w:highlight w:val="none"/>
          <w:shd w:val="clear"/>
        </w:rPr>
        <w:t>……</w:t>
      </w:r>
    </w:p>
    <w:p w14:paraId="3F4DB257">
      <w:pPr>
        <w:pStyle w:val="22"/>
        <w:ind w:firstLine="420"/>
        <w:jc w:val="right"/>
        <w:rPr>
          <w:rFonts w:ascii="Times New Roman" w:hAnsi="Times New Roman"/>
          <w:color w:val="auto"/>
          <w:highlight w:val="none"/>
          <w:shd w:val="clear"/>
        </w:rPr>
      </w:pPr>
      <w:r>
        <w:rPr>
          <w:rFonts w:ascii="Times New Roman" w:hAnsi="Times New Roman"/>
          <w:color w:val="auto"/>
          <w:highlight w:val="none"/>
          <w:shd w:val="clear"/>
        </w:rPr>
        <w:t>投标人：</w:t>
      </w:r>
      <w:r>
        <w:rPr>
          <w:rFonts w:ascii="Times New Roman" w:hAnsi="Times New Roman"/>
          <w:color w:val="auto"/>
          <w:highlight w:val="none"/>
          <w:u w:val="single"/>
          <w:shd w:val="clear"/>
        </w:rPr>
        <w:t>（盖单位章）</w:t>
      </w:r>
    </w:p>
    <w:p w14:paraId="22BF8401">
      <w:pPr>
        <w:pStyle w:val="22"/>
        <w:ind w:firstLine="420"/>
        <w:jc w:val="right"/>
        <w:rPr>
          <w:rFonts w:ascii="Times New Roman" w:hAnsi="Times New Roman"/>
          <w:color w:val="auto"/>
          <w:highlight w:val="none"/>
          <w:shd w:val="clear"/>
        </w:rPr>
      </w:pPr>
      <w:r>
        <w:rPr>
          <w:rFonts w:ascii="Times New Roman" w:hAnsi="Times New Roman"/>
          <w:color w:val="auto"/>
          <w:highlight w:val="none"/>
          <w:shd w:val="clear"/>
        </w:rPr>
        <w:t>法定代表人：</w:t>
      </w:r>
      <w:r>
        <w:rPr>
          <w:rFonts w:ascii="Times New Roman" w:hAnsi="Times New Roman"/>
          <w:color w:val="auto"/>
          <w:highlight w:val="none"/>
          <w:u w:val="single"/>
          <w:shd w:val="clear"/>
        </w:rPr>
        <w:t>（签字或盖章）</w:t>
      </w:r>
    </w:p>
    <w:p w14:paraId="2837F062">
      <w:pPr>
        <w:tabs>
          <w:tab w:val="left" w:pos="0"/>
        </w:tabs>
        <w:spacing w:before="65" w:beforeLines="20" w:after="65" w:afterLines="20" w:line="360" w:lineRule="auto"/>
        <w:ind w:right="-212"/>
        <w:jc w:val="right"/>
        <w:rPr>
          <w:rFonts w:ascii="Times New Roman" w:hAnsi="Times New Roman"/>
          <w:b/>
          <w:bCs w:val="0"/>
          <w:color w:val="auto"/>
          <w:highlight w:val="none"/>
          <w:u w:val="single"/>
          <w:shd w:val="clear"/>
        </w:rPr>
      </w:pP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年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月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日</w:t>
      </w:r>
    </w:p>
    <w:p w14:paraId="050DA729">
      <w:pPr>
        <w:rPr>
          <w:rFonts w:ascii="Times New Roman" w:hAnsi="Times New Roman"/>
          <w:color w:val="auto"/>
          <w:highlight w:val="none"/>
          <w:shd w:val="clear"/>
        </w:rPr>
      </w:pPr>
      <w:r>
        <w:rPr>
          <w:rFonts w:ascii="Times New Roman" w:hAnsi="Times New Roman"/>
          <w:color w:val="auto"/>
          <w:highlight w:val="none"/>
          <w:shd w:val="clear"/>
        </w:rPr>
        <w:br w:type="page"/>
      </w:r>
    </w:p>
    <w:p w14:paraId="77D29546">
      <w:pPr>
        <w:pStyle w:val="20"/>
        <w:rPr>
          <w:rFonts w:ascii="Times New Roman" w:hAnsi="Times New Roman"/>
          <w:color w:val="auto"/>
          <w:highlight w:val="none"/>
          <w:shd w:val="clear"/>
          <w:lang w:val="zh-CN"/>
        </w:rPr>
      </w:pPr>
      <w:r>
        <w:rPr>
          <w:rFonts w:hint="eastAsia" w:ascii="Times New Roman" w:hAnsi="Times New Roman"/>
          <w:color w:val="auto"/>
          <w:highlight w:val="none"/>
          <w:shd w:val="clear"/>
          <w:lang w:val="zh-CN"/>
        </w:rPr>
        <w:t>附件2：</w:t>
      </w:r>
      <w:r>
        <w:rPr>
          <w:rFonts w:ascii="Times New Roman" w:hAnsi="Times New Roman"/>
          <w:color w:val="auto"/>
          <w:highlight w:val="none"/>
          <w:shd w:val="clear"/>
          <w:lang w:val="zh-CN"/>
        </w:rPr>
        <w:t>施工机械费降低报价的承诺书</w:t>
      </w:r>
    </w:p>
    <w:p w14:paraId="64B5A646">
      <w:pPr>
        <w:pStyle w:val="22"/>
        <w:ind w:firstLine="420"/>
        <w:rPr>
          <w:rFonts w:ascii="Times New Roman" w:hAnsi="Times New Roman"/>
          <w:color w:val="auto"/>
          <w:highlight w:val="none"/>
          <w:shd w:val="clear"/>
        </w:rPr>
      </w:pPr>
      <w:r>
        <w:rPr>
          <w:rFonts w:ascii="Times New Roman" w:hAnsi="Times New Roman"/>
          <w:color w:val="auto"/>
          <w:highlight w:val="none"/>
          <w:shd w:val="clear"/>
        </w:rPr>
        <w:t>我单位根据本工程的招标文件、工程量清单、答疑纪要及其他相关附件的要求，秉承公平公正原则，承诺对本工程的施工机械使用费报价是建立在科学合理的项目、措施和施工方案基础上的。同时，我单位承诺确保以投标报价中的施工机械使用费保质保量完成本工程任务。</w:t>
      </w:r>
    </w:p>
    <w:p w14:paraId="27B8B169">
      <w:pPr>
        <w:pStyle w:val="22"/>
        <w:ind w:firstLine="420"/>
        <w:rPr>
          <w:rFonts w:ascii="Times New Roman" w:hAnsi="Times New Roman"/>
          <w:color w:val="auto"/>
          <w:highlight w:val="none"/>
          <w:shd w:val="clear"/>
        </w:rPr>
      </w:pPr>
      <w:r>
        <w:rPr>
          <w:rFonts w:ascii="Times New Roman" w:hAnsi="Times New Roman"/>
          <w:color w:val="auto"/>
          <w:highlight w:val="none"/>
          <w:shd w:val="clear"/>
        </w:rPr>
        <w:t>为达到上述承诺目的，我单位多措并举，多管齐下，主要通过以下几点实现：</w:t>
      </w:r>
    </w:p>
    <w:p w14:paraId="737AC4C9">
      <w:pPr>
        <w:pStyle w:val="22"/>
        <w:ind w:firstLine="420"/>
        <w:rPr>
          <w:rFonts w:ascii="Times New Roman" w:hAnsi="Times New Roman"/>
          <w:color w:val="auto"/>
          <w:highlight w:val="none"/>
          <w:u w:val="single"/>
          <w:shd w:val="clear"/>
        </w:rPr>
      </w:pPr>
      <w:r>
        <w:rPr>
          <w:rFonts w:ascii="Times New Roman" w:hAnsi="Times New Roman"/>
          <w:color w:val="auto"/>
          <w:highlight w:val="none"/>
          <w:u w:val="single"/>
          <w:shd w:val="clear"/>
        </w:rPr>
        <w:t>1</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rPr>
        <w:t xml:space="preserve">                                                                    </w:t>
      </w:r>
    </w:p>
    <w:p w14:paraId="47DC4356">
      <w:pPr>
        <w:pStyle w:val="22"/>
        <w:ind w:firstLine="420"/>
        <w:rPr>
          <w:rFonts w:ascii="Times New Roman" w:hAnsi="Times New Roman"/>
          <w:color w:val="auto"/>
          <w:highlight w:val="none"/>
          <w:u w:val="single"/>
          <w:shd w:val="clear"/>
        </w:rPr>
      </w:pPr>
      <w:r>
        <w:rPr>
          <w:rFonts w:ascii="Times New Roman" w:hAnsi="Times New Roman"/>
          <w:color w:val="auto"/>
          <w:highlight w:val="none"/>
          <w:u w:val="single"/>
          <w:shd w:val="clear"/>
        </w:rPr>
        <w:t>2</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rPr>
        <w:t xml:space="preserve">                                                                    </w:t>
      </w:r>
    </w:p>
    <w:p w14:paraId="68101EDE">
      <w:pPr>
        <w:pStyle w:val="22"/>
        <w:ind w:firstLine="420"/>
        <w:rPr>
          <w:rFonts w:ascii="Times New Roman" w:hAnsi="Times New Roman"/>
          <w:color w:val="auto"/>
          <w:highlight w:val="none"/>
          <w:u w:val="single"/>
          <w:shd w:val="clear"/>
        </w:rPr>
      </w:pPr>
      <w:r>
        <w:rPr>
          <w:rFonts w:ascii="Times New Roman" w:hAnsi="Times New Roman"/>
          <w:color w:val="auto"/>
          <w:highlight w:val="none"/>
          <w:u w:val="single"/>
          <w:shd w:val="clear"/>
        </w:rPr>
        <w:t>3</w:t>
      </w:r>
      <w:r>
        <w:rPr>
          <w:rFonts w:hint="eastAsia" w:ascii="Times New Roman" w:hAnsi="Times New Roman"/>
          <w:color w:val="auto"/>
          <w:highlight w:val="none"/>
          <w:shd w:val="clear"/>
        </w:rPr>
        <w:t>.</w:t>
      </w:r>
      <w:r>
        <w:rPr>
          <w:rFonts w:hint="eastAsia" w:ascii="Times New Roman" w:hAnsi="Times New Roman"/>
          <w:color w:val="auto"/>
          <w:highlight w:val="none"/>
          <w:u w:val="single"/>
          <w:shd w:val="clear"/>
        </w:rPr>
        <w:t xml:space="preserve">                                                                    </w:t>
      </w:r>
    </w:p>
    <w:p w14:paraId="4D7D28AD">
      <w:pPr>
        <w:pStyle w:val="22"/>
        <w:ind w:firstLine="420"/>
        <w:rPr>
          <w:rFonts w:ascii="Times New Roman" w:hAnsi="Times New Roman"/>
          <w:color w:val="auto"/>
          <w:highlight w:val="none"/>
          <w:shd w:val="clear"/>
        </w:rPr>
      </w:pPr>
      <w:r>
        <w:rPr>
          <w:rFonts w:ascii="Times New Roman" w:hAnsi="Times New Roman"/>
          <w:color w:val="auto"/>
          <w:highlight w:val="none"/>
          <w:shd w:val="clear"/>
        </w:rPr>
        <w:t>……</w:t>
      </w:r>
    </w:p>
    <w:p w14:paraId="558E629E">
      <w:pPr>
        <w:spacing w:line="360" w:lineRule="auto"/>
        <w:ind w:firstLine="1890" w:firstLineChars="900"/>
        <w:jc w:val="right"/>
        <w:rPr>
          <w:rFonts w:ascii="Times New Roman" w:hAnsi="Times New Roman"/>
          <w:bCs w:val="0"/>
          <w:color w:val="auto"/>
          <w:highlight w:val="none"/>
          <w:shd w:val="clear"/>
        </w:rPr>
      </w:pPr>
      <w:r>
        <w:rPr>
          <w:rFonts w:hint="eastAsia" w:ascii="Times New Roman" w:hAnsi="Times New Roman"/>
          <w:color w:val="auto"/>
          <w:highlight w:val="none"/>
          <w:shd w:val="clear"/>
        </w:rPr>
        <w:t>投标人：</w:t>
      </w:r>
      <w:r>
        <w:rPr>
          <w:rFonts w:hint="eastAsia" w:ascii="Times New Roman" w:hAnsi="Times New Roman"/>
          <w:color w:val="auto"/>
          <w:highlight w:val="none"/>
          <w:u w:val="single"/>
          <w:shd w:val="clear"/>
        </w:rPr>
        <w:t>（盖单位章）</w:t>
      </w:r>
    </w:p>
    <w:p w14:paraId="526A2535">
      <w:pPr>
        <w:spacing w:line="360" w:lineRule="auto"/>
        <w:ind w:right="-210" w:firstLine="1852" w:firstLineChars="882"/>
        <w:jc w:val="right"/>
        <w:rPr>
          <w:rFonts w:ascii="Times New Roman" w:hAnsi="Times New Roman"/>
          <w:bCs w:val="0"/>
          <w:color w:val="auto"/>
          <w:highlight w:val="none"/>
          <w:shd w:val="clear"/>
        </w:rPr>
      </w:pPr>
      <w:r>
        <w:rPr>
          <w:rFonts w:hint="eastAsia" w:ascii="Times New Roman" w:hAnsi="Times New Roman"/>
          <w:color w:val="auto"/>
          <w:highlight w:val="none"/>
          <w:shd w:val="clear"/>
        </w:rPr>
        <w:t>法定代表人：</w:t>
      </w:r>
      <w:r>
        <w:rPr>
          <w:rFonts w:ascii="Times New Roman" w:hAnsi="Times New Roman"/>
          <w:color w:val="auto"/>
          <w:highlight w:val="none"/>
          <w:u w:val="single"/>
          <w:shd w:val="clear"/>
        </w:rPr>
        <w:t>（签字或盖章）</w:t>
      </w:r>
    </w:p>
    <w:p w14:paraId="4D224BFA">
      <w:pPr>
        <w:tabs>
          <w:tab w:val="left" w:pos="0"/>
        </w:tabs>
        <w:spacing w:before="65" w:beforeLines="20" w:after="65" w:afterLines="20" w:line="360" w:lineRule="auto"/>
        <w:ind w:right="-212"/>
        <w:jc w:val="right"/>
        <w:rPr>
          <w:rFonts w:ascii="Times New Roman" w:hAnsi="Times New Roman"/>
          <w:b/>
          <w:bCs w:val="0"/>
          <w:color w:val="auto"/>
          <w:highlight w:val="none"/>
          <w:u w:val="single"/>
          <w:shd w:val="clear"/>
        </w:rPr>
      </w:pPr>
      <w:r>
        <w:rPr>
          <w:rFonts w:hint="eastAsia" w:ascii="Times New Roman" w:hAnsi="Times New Roman"/>
          <w:color w:val="auto"/>
          <w:highlight w:val="none"/>
          <w:u w:val="single"/>
          <w:shd w:val="clear"/>
        </w:rPr>
        <w:t xml:space="preserve">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年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月 </w:t>
      </w:r>
      <w:r>
        <w:rPr>
          <w:rFonts w:ascii="Times New Roman" w:hAnsi="Times New Roman"/>
          <w:color w:val="auto"/>
          <w:highlight w:val="none"/>
          <w:u w:val="single"/>
          <w:shd w:val="clear"/>
        </w:rPr>
        <w:t xml:space="preserve">  </w:t>
      </w:r>
      <w:r>
        <w:rPr>
          <w:rFonts w:hint="eastAsia" w:ascii="Times New Roman" w:hAnsi="Times New Roman"/>
          <w:color w:val="auto"/>
          <w:highlight w:val="none"/>
          <w:u w:val="single"/>
          <w:shd w:val="clear"/>
        </w:rPr>
        <w:t xml:space="preserve"> 日</w:t>
      </w:r>
    </w:p>
    <w:p w14:paraId="37C99AF9">
      <w:pPr>
        <w:adjustRightInd w:val="0"/>
        <w:snapToGrid w:val="0"/>
        <w:spacing w:line="360" w:lineRule="auto"/>
        <w:ind w:firstLine="210" w:firstLineChars="100"/>
        <w:rPr>
          <w:rFonts w:ascii="Times New Roman" w:hAnsi="Times New Roman"/>
          <w:bCs w:val="0"/>
          <w:color w:val="auto"/>
          <w:highlight w:val="none"/>
          <w:shd w:val="clear"/>
        </w:rPr>
      </w:pPr>
    </w:p>
    <w:p w14:paraId="4C4B248A">
      <w:pPr>
        <w:jc w:val="center"/>
        <w:rPr>
          <w:rFonts w:ascii="Times New Roman" w:hAnsi="Times New Roman"/>
          <w:color w:val="auto"/>
          <w:szCs w:val="24"/>
          <w:highlight w:val="none"/>
          <w:shd w:val="clear"/>
        </w:rPr>
      </w:pPr>
      <w:r>
        <w:rPr>
          <w:rFonts w:hint="eastAsia" w:ascii="Times New Roman" w:hAnsi="Times New Roman"/>
          <w:color w:val="auto"/>
          <w:szCs w:val="24"/>
          <w:highlight w:val="none"/>
          <w:shd w:val="clear"/>
        </w:rPr>
        <w:br w:type="page"/>
      </w:r>
    </w:p>
    <w:p w14:paraId="79C5930D">
      <w:pPr>
        <w:pStyle w:val="20"/>
        <w:rPr>
          <w:rFonts w:ascii="Times New Roman" w:hAnsi="Times New Roman"/>
          <w:color w:val="auto"/>
          <w:highlight w:val="none"/>
          <w:shd w:val="clear"/>
          <w:lang w:val="zh-CN"/>
        </w:rPr>
      </w:pPr>
      <w:bookmarkStart w:id="2504" w:name="_Toc170804275"/>
      <w:bookmarkStart w:id="2505" w:name="_Toc26452"/>
      <w:bookmarkStart w:id="2506" w:name="_Toc19809"/>
      <w:bookmarkStart w:id="2507" w:name="_Toc170805463"/>
      <w:bookmarkStart w:id="2508" w:name="_Toc170805843"/>
      <w:r>
        <w:rPr>
          <w:rFonts w:ascii="Times New Roman" w:hAnsi="Times New Roman"/>
          <w:color w:val="auto"/>
          <w:highlight w:val="none"/>
          <w:shd w:val="clear"/>
          <w:lang w:val="zh-CN"/>
        </w:rPr>
        <w:t>（二十）投标报价需要说明的其他资料</w:t>
      </w:r>
      <w:bookmarkEnd w:id="2501"/>
      <w:bookmarkEnd w:id="2502"/>
      <w:bookmarkEnd w:id="2503"/>
      <w:bookmarkEnd w:id="2504"/>
      <w:bookmarkEnd w:id="2505"/>
      <w:bookmarkEnd w:id="2506"/>
      <w:bookmarkEnd w:id="2507"/>
      <w:bookmarkEnd w:id="2508"/>
    </w:p>
    <w:p w14:paraId="2BA76085">
      <w:pPr>
        <w:pStyle w:val="20"/>
        <w:rPr>
          <w:rFonts w:ascii="Times New Roman" w:hAnsi="Times New Roman"/>
          <w:color w:val="auto"/>
          <w:highlight w:val="none"/>
          <w:shd w:val="clear"/>
        </w:rPr>
      </w:pPr>
    </w:p>
    <w:p w14:paraId="4F2E9F77">
      <w:pPr>
        <w:pStyle w:val="22"/>
        <w:ind w:firstLine="420"/>
        <w:rPr>
          <w:rFonts w:ascii="Times New Roman" w:hAnsi="Times New Roman"/>
          <w:color w:val="auto"/>
          <w:highlight w:val="none"/>
          <w:shd w:val="clear"/>
        </w:rPr>
      </w:pPr>
      <w:r>
        <w:rPr>
          <w:rFonts w:ascii="Times New Roman" w:hAnsi="Times New Roman"/>
          <w:color w:val="auto"/>
          <w:highlight w:val="none"/>
          <w:shd w:val="clear"/>
        </w:rPr>
        <w:t>投标人认为需对其投标报价进行其他补充说明及证明材料。</w:t>
      </w:r>
    </w:p>
    <w:p w14:paraId="4AA86734">
      <w:pPr>
        <w:jc w:val="center"/>
        <w:rPr>
          <w:rFonts w:ascii="Times New Roman" w:hAnsi="Times New Roman"/>
          <w:color w:val="auto"/>
          <w:sz w:val="32"/>
          <w:szCs w:val="32"/>
          <w:highlight w:val="none"/>
          <w:shd w:val="clear"/>
        </w:rPr>
      </w:pPr>
      <w:r>
        <w:rPr>
          <w:rFonts w:hint="eastAsia" w:ascii="Times New Roman" w:hAnsi="Times New Roman"/>
          <w:b/>
          <w:color w:val="auto"/>
          <w:kern w:val="0"/>
          <w:sz w:val="32"/>
          <w:szCs w:val="32"/>
          <w:highlight w:val="none"/>
          <w:shd w:val="clear"/>
        </w:rPr>
        <w:br w:type="page"/>
      </w:r>
    </w:p>
    <w:p w14:paraId="398C20F7">
      <w:pPr>
        <w:spacing w:line="440" w:lineRule="exact"/>
        <w:jc w:val="left"/>
        <w:rPr>
          <w:rFonts w:ascii="Times New Roman" w:hAnsi="Times New Roman" w:eastAsia="黑体"/>
          <w:snapToGrid w:val="0"/>
          <w:color w:val="auto"/>
          <w:kern w:val="0"/>
          <w:sz w:val="28"/>
          <w:szCs w:val="28"/>
          <w:highlight w:val="none"/>
          <w:u w:val="single"/>
          <w:shd w:val="clear"/>
        </w:rPr>
      </w:pPr>
    </w:p>
    <w:p w14:paraId="4FD96CDC">
      <w:pPr>
        <w:spacing w:line="440" w:lineRule="exact"/>
        <w:jc w:val="left"/>
        <w:rPr>
          <w:rFonts w:ascii="Times New Roman" w:hAnsi="Times New Roman" w:eastAsia="黑体"/>
          <w:snapToGrid w:val="0"/>
          <w:color w:val="auto"/>
          <w:kern w:val="0"/>
          <w:sz w:val="28"/>
          <w:szCs w:val="28"/>
          <w:highlight w:val="none"/>
          <w:u w:val="single"/>
          <w:shd w:val="clear"/>
        </w:rPr>
      </w:pPr>
    </w:p>
    <w:p w14:paraId="6332188C">
      <w:pPr>
        <w:spacing w:line="440" w:lineRule="exact"/>
        <w:jc w:val="left"/>
        <w:rPr>
          <w:rFonts w:ascii="Times New Roman" w:hAnsi="Times New Roman" w:eastAsia="黑体"/>
          <w:snapToGrid w:val="0"/>
          <w:color w:val="auto"/>
          <w:kern w:val="0"/>
          <w:sz w:val="28"/>
          <w:szCs w:val="28"/>
          <w:highlight w:val="none"/>
          <w:u w:val="single"/>
          <w:shd w:val="clear"/>
        </w:rPr>
      </w:pPr>
    </w:p>
    <w:p w14:paraId="13E4B0E4">
      <w:pPr>
        <w:spacing w:line="440" w:lineRule="exact"/>
        <w:jc w:val="center"/>
        <w:rPr>
          <w:rFonts w:ascii="Times New Roman" w:hAnsi="Times New Roman" w:eastAsia="黑体"/>
          <w:snapToGrid w:val="0"/>
          <w:color w:val="auto"/>
          <w:kern w:val="0"/>
          <w:sz w:val="28"/>
          <w:szCs w:val="28"/>
          <w:highlight w:val="none"/>
          <w:shd w:val="clear"/>
        </w:rPr>
      </w:pPr>
      <w:r>
        <w:rPr>
          <w:rFonts w:hint="eastAsia" w:ascii="Times New Roman" w:hAnsi="Times New Roman" w:eastAsia="黑体"/>
          <w:snapToGrid w:val="0"/>
          <w:color w:val="auto"/>
          <w:kern w:val="0"/>
          <w:sz w:val="28"/>
          <w:szCs w:val="28"/>
          <w:highlight w:val="none"/>
          <w:u w:val="single"/>
          <w:shd w:val="clear"/>
        </w:rPr>
        <w:t xml:space="preserve">            </w:t>
      </w:r>
      <w:r>
        <w:rPr>
          <w:rFonts w:hint="eastAsia" w:ascii="Times New Roman" w:hAnsi="Times New Roman" w:eastAsia="黑体"/>
          <w:snapToGrid w:val="0"/>
          <w:color w:val="auto"/>
          <w:kern w:val="0"/>
          <w:sz w:val="28"/>
          <w:szCs w:val="28"/>
          <w:highlight w:val="none"/>
          <w:shd w:val="clear"/>
        </w:rPr>
        <w:t xml:space="preserve"> （招标项目名称）</w:t>
      </w:r>
      <w:r>
        <w:rPr>
          <w:rFonts w:hint="eastAsia" w:ascii="Times New Roman" w:hAnsi="Times New Roman" w:eastAsia="黑体"/>
          <w:snapToGrid w:val="0"/>
          <w:color w:val="auto"/>
          <w:kern w:val="0"/>
          <w:sz w:val="28"/>
          <w:szCs w:val="28"/>
          <w:highlight w:val="none"/>
          <w:u w:val="single"/>
          <w:shd w:val="clear"/>
        </w:rPr>
        <w:t xml:space="preserve">      </w:t>
      </w:r>
      <w:r>
        <w:rPr>
          <w:rFonts w:hint="eastAsia" w:ascii="Times New Roman" w:hAnsi="Times New Roman" w:eastAsia="黑体"/>
          <w:snapToGrid w:val="0"/>
          <w:color w:val="auto"/>
          <w:kern w:val="0"/>
          <w:sz w:val="28"/>
          <w:szCs w:val="28"/>
          <w:highlight w:val="none"/>
          <w:shd w:val="clear"/>
        </w:rPr>
        <w:t>标段</w:t>
      </w:r>
    </w:p>
    <w:p w14:paraId="4762E23C">
      <w:pPr>
        <w:spacing w:line="440" w:lineRule="exact"/>
        <w:jc w:val="left"/>
        <w:rPr>
          <w:rFonts w:ascii="Times New Roman" w:hAnsi="Times New Roman" w:eastAsia="黑体"/>
          <w:snapToGrid w:val="0"/>
          <w:color w:val="auto"/>
          <w:kern w:val="0"/>
          <w:sz w:val="28"/>
          <w:szCs w:val="28"/>
          <w:highlight w:val="none"/>
          <w:shd w:val="clear"/>
        </w:rPr>
      </w:pPr>
    </w:p>
    <w:p w14:paraId="378DF59C">
      <w:pPr>
        <w:spacing w:line="440" w:lineRule="exact"/>
        <w:jc w:val="left"/>
        <w:rPr>
          <w:rFonts w:ascii="Times New Roman" w:hAnsi="Times New Roman" w:eastAsia="黑体"/>
          <w:snapToGrid w:val="0"/>
          <w:color w:val="auto"/>
          <w:kern w:val="0"/>
          <w:sz w:val="28"/>
          <w:szCs w:val="28"/>
          <w:highlight w:val="none"/>
          <w:shd w:val="clear"/>
        </w:rPr>
      </w:pPr>
    </w:p>
    <w:p w14:paraId="5C142508">
      <w:pPr>
        <w:keepNext/>
        <w:keepLines/>
        <w:spacing w:line="415" w:lineRule="auto"/>
        <w:jc w:val="center"/>
        <w:outlineLvl w:val="1"/>
        <w:rPr>
          <w:rStyle w:val="39"/>
          <w:rFonts w:ascii="Times New Roman" w:hAnsi="Times New Roman"/>
          <w:color w:val="auto"/>
          <w:highlight w:val="none"/>
          <w:shd w:val="clear"/>
          <w:lang w:val="zh-CN"/>
        </w:rPr>
      </w:pPr>
      <w:bookmarkStart w:id="2509" w:name="_Toc170804276"/>
      <w:bookmarkStart w:id="2510" w:name="_Toc170805464"/>
      <w:bookmarkStart w:id="2511" w:name="_Toc170805844"/>
      <w:bookmarkStart w:id="2512" w:name="_Toc18499"/>
      <w:r>
        <w:rPr>
          <w:rStyle w:val="39"/>
          <w:rFonts w:ascii="Times New Roman" w:hAnsi="Times New Roman"/>
          <w:color w:val="auto"/>
          <w:highlight w:val="none"/>
          <w:shd w:val="clear"/>
          <w:lang w:val="zh-CN"/>
        </w:rPr>
        <w:t>投标文件</w:t>
      </w:r>
    </w:p>
    <w:p w14:paraId="0BDD8910">
      <w:pPr>
        <w:pStyle w:val="40"/>
        <w:outlineLvl w:val="1"/>
        <w:rPr>
          <w:rStyle w:val="38"/>
          <w:rFonts w:hint="default" w:ascii="Times New Roman" w:hAnsi="Times New Roman"/>
          <w:bCs/>
          <w:color w:val="auto"/>
          <w:highlight w:val="none"/>
          <w:shd w:val="clear"/>
        </w:rPr>
      </w:pPr>
      <w:r>
        <w:rPr>
          <w:rStyle w:val="38"/>
          <w:rFonts w:ascii="Times New Roman" w:hAnsi="Times New Roman"/>
          <w:bCs/>
          <w:color w:val="auto"/>
          <w:highlight w:val="none"/>
          <w:shd w:val="clear"/>
        </w:rPr>
        <w:t>（技术文件）</w:t>
      </w:r>
      <w:bookmarkEnd w:id="2509"/>
      <w:bookmarkEnd w:id="2510"/>
      <w:bookmarkEnd w:id="2511"/>
      <w:bookmarkEnd w:id="2512"/>
    </w:p>
    <w:p w14:paraId="4CDFE688">
      <w:pPr>
        <w:jc w:val="center"/>
        <w:rPr>
          <w:rFonts w:ascii="Times New Roman" w:hAnsi="Times New Roman" w:eastAsia="黑体"/>
          <w:snapToGrid w:val="0"/>
          <w:color w:val="auto"/>
          <w:kern w:val="0"/>
          <w:sz w:val="28"/>
          <w:szCs w:val="28"/>
          <w:highlight w:val="none"/>
          <w:u w:val="single"/>
          <w:shd w:val="clear"/>
        </w:rPr>
      </w:pPr>
    </w:p>
    <w:p w14:paraId="449BC054">
      <w:pPr>
        <w:jc w:val="center"/>
        <w:rPr>
          <w:rFonts w:ascii="Times New Roman" w:hAnsi="Times New Roman" w:eastAsia="黑体"/>
          <w:snapToGrid w:val="0"/>
          <w:color w:val="auto"/>
          <w:kern w:val="0"/>
          <w:sz w:val="28"/>
          <w:szCs w:val="28"/>
          <w:highlight w:val="none"/>
          <w:u w:val="single"/>
          <w:shd w:val="clear"/>
        </w:rPr>
      </w:pPr>
    </w:p>
    <w:p w14:paraId="262E36F3">
      <w:pPr>
        <w:jc w:val="center"/>
        <w:rPr>
          <w:rFonts w:ascii="Times New Roman" w:hAnsi="Times New Roman" w:eastAsia="黑体"/>
          <w:snapToGrid w:val="0"/>
          <w:color w:val="auto"/>
          <w:kern w:val="0"/>
          <w:sz w:val="28"/>
          <w:szCs w:val="28"/>
          <w:highlight w:val="none"/>
          <w:u w:val="single"/>
          <w:shd w:val="clear"/>
        </w:rPr>
      </w:pPr>
    </w:p>
    <w:p w14:paraId="55FED959">
      <w:pPr>
        <w:jc w:val="center"/>
        <w:rPr>
          <w:rFonts w:ascii="Times New Roman" w:hAnsi="Times New Roman" w:eastAsia="黑体"/>
          <w:snapToGrid w:val="0"/>
          <w:color w:val="auto"/>
          <w:kern w:val="0"/>
          <w:sz w:val="28"/>
          <w:szCs w:val="28"/>
          <w:highlight w:val="none"/>
          <w:u w:val="single"/>
          <w:shd w:val="clear"/>
        </w:rPr>
      </w:pPr>
    </w:p>
    <w:p w14:paraId="2CE519B4">
      <w:pPr>
        <w:jc w:val="center"/>
        <w:rPr>
          <w:rFonts w:ascii="Times New Roman" w:hAnsi="Times New Roman" w:eastAsia="黑体"/>
          <w:snapToGrid w:val="0"/>
          <w:color w:val="auto"/>
          <w:kern w:val="0"/>
          <w:sz w:val="28"/>
          <w:szCs w:val="28"/>
          <w:highlight w:val="none"/>
          <w:u w:val="single"/>
          <w:shd w:val="clear"/>
        </w:rPr>
      </w:pPr>
    </w:p>
    <w:p w14:paraId="6C17D738">
      <w:pPr>
        <w:jc w:val="center"/>
        <w:rPr>
          <w:rFonts w:ascii="Times New Roman" w:hAnsi="Times New Roman" w:eastAsia="黑体"/>
          <w:snapToGrid w:val="0"/>
          <w:color w:val="auto"/>
          <w:kern w:val="0"/>
          <w:sz w:val="28"/>
          <w:szCs w:val="28"/>
          <w:highlight w:val="none"/>
          <w:u w:val="single"/>
          <w:shd w:val="clear"/>
        </w:rPr>
      </w:pPr>
    </w:p>
    <w:p w14:paraId="69A86E76">
      <w:pPr>
        <w:jc w:val="center"/>
        <w:rPr>
          <w:rFonts w:ascii="Times New Roman" w:hAnsi="Times New Roman" w:eastAsia="黑体"/>
          <w:snapToGrid w:val="0"/>
          <w:color w:val="auto"/>
          <w:kern w:val="0"/>
          <w:sz w:val="28"/>
          <w:szCs w:val="28"/>
          <w:highlight w:val="none"/>
          <w:u w:val="single"/>
          <w:shd w:val="clear"/>
        </w:rPr>
      </w:pPr>
    </w:p>
    <w:p w14:paraId="7DA28D17">
      <w:pPr>
        <w:jc w:val="center"/>
        <w:rPr>
          <w:rFonts w:ascii="Times New Roman" w:hAnsi="Times New Roman" w:eastAsia="黑体"/>
          <w:snapToGrid w:val="0"/>
          <w:color w:val="auto"/>
          <w:kern w:val="0"/>
          <w:sz w:val="28"/>
          <w:szCs w:val="28"/>
          <w:highlight w:val="none"/>
          <w:u w:val="single"/>
          <w:shd w:val="clear"/>
        </w:rPr>
      </w:pPr>
    </w:p>
    <w:p w14:paraId="600B9E98">
      <w:pPr>
        <w:jc w:val="center"/>
        <w:rPr>
          <w:rFonts w:ascii="Times New Roman" w:hAnsi="Times New Roman" w:eastAsia="黑体"/>
          <w:snapToGrid w:val="0"/>
          <w:color w:val="auto"/>
          <w:kern w:val="0"/>
          <w:sz w:val="28"/>
          <w:szCs w:val="28"/>
          <w:highlight w:val="none"/>
          <w:u w:val="single"/>
          <w:shd w:val="clear"/>
        </w:rPr>
      </w:pPr>
    </w:p>
    <w:p w14:paraId="38D01525">
      <w:pPr>
        <w:jc w:val="center"/>
        <w:rPr>
          <w:rFonts w:ascii="Times New Roman" w:hAnsi="Times New Roman" w:eastAsia="黑体"/>
          <w:snapToGrid w:val="0"/>
          <w:color w:val="auto"/>
          <w:kern w:val="0"/>
          <w:sz w:val="28"/>
          <w:szCs w:val="28"/>
          <w:highlight w:val="none"/>
          <w:u w:val="single"/>
          <w:shd w:val="clear"/>
        </w:rPr>
      </w:pPr>
    </w:p>
    <w:p w14:paraId="21C803CF">
      <w:pPr>
        <w:jc w:val="center"/>
        <w:rPr>
          <w:rFonts w:ascii="Times New Roman" w:hAnsi="Times New Roman" w:eastAsia="黑体"/>
          <w:snapToGrid w:val="0"/>
          <w:color w:val="auto"/>
          <w:kern w:val="0"/>
          <w:sz w:val="28"/>
          <w:szCs w:val="28"/>
          <w:highlight w:val="none"/>
          <w:u w:val="single"/>
          <w:shd w:val="clear"/>
        </w:rPr>
      </w:pPr>
    </w:p>
    <w:p w14:paraId="1146EE19">
      <w:pPr>
        <w:jc w:val="center"/>
        <w:rPr>
          <w:rFonts w:ascii="Times New Roman" w:hAnsi="Times New Roman" w:eastAsia="黑体"/>
          <w:snapToGrid w:val="0"/>
          <w:color w:val="auto"/>
          <w:kern w:val="0"/>
          <w:sz w:val="28"/>
          <w:szCs w:val="28"/>
          <w:highlight w:val="none"/>
          <w:u w:val="single"/>
          <w:shd w:val="clear"/>
        </w:rPr>
      </w:pPr>
    </w:p>
    <w:p w14:paraId="6928FD03">
      <w:pPr>
        <w:jc w:val="center"/>
        <w:rPr>
          <w:rFonts w:ascii="Times New Roman" w:hAnsi="Times New Roman" w:eastAsia="黑体"/>
          <w:snapToGrid w:val="0"/>
          <w:color w:val="auto"/>
          <w:kern w:val="0"/>
          <w:sz w:val="28"/>
          <w:szCs w:val="28"/>
          <w:highlight w:val="none"/>
          <w:u w:val="single"/>
          <w:shd w:val="clear"/>
        </w:rPr>
      </w:pPr>
    </w:p>
    <w:p w14:paraId="647F4450">
      <w:pPr>
        <w:jc w:val="center"/>
        <w:rPr>
          <w:rFonts w:ascii="Times New Roman" w:hAnsi="Times New Roman" w:eastAsia="黑体"/>
          <w:snapToGrid w:val="0"/>
          <w:color w:val="auto"/>
          <w:kern w:val="0"/>
          <w:sz w:val="28"/>
          <w:szCs w:val="28"/>
          <w:highlight w:val="none"/>
          <w:u w:val="single"/>
          <w:shd w:val="clear"/>
        </w:rPr>
      </w:pPr>
    </w:p>
    <w:p w14:paraId="016CA44E">
      <w:pPr>
        <w:jc w:val="center"/>
        <w:rPr>
          <w:rFonts w:ascii="Times New Roman" w:hAnsi="Times New Roman" w:eastAsia="黑体"/>
          <w:snapToGrid w:val="0"/>
          <w:color w:val="auto"/>
          <w:kern w:val="0"/>
          <w:sz w:val="28"/>
          <w:szCs w:val="28"/>
          <w:highlight w:val="none"/>
          <w:u w:val="single"/>
          <w:shd w:val="clear"/>
        </w:rPr>
      </w:pPr>
    </w:p>
    <w:p w14:paraId="3FE805C0">
      <w:pPr>
        <w:jc w:val="center"/>
        <w:rPr>
          <w:rFonts w:ascii="Times New Roman" w:hAnsi="Times New Roman" w:eastAsia="黑体"/>
          <w:snapToGrid w:val="0"/>
          <w:color w:val="auto"/>
          <w:kern w:val="0"/>
          <w:sz w:val="28"/>
          <w:szCs w:val="28"/>
          <w:highlight w:val="none"/>
          <w:u w:val="single"/>
          <w:shd w:val="clear"/>
        </w:rPr>
      </w:pPr>
    </w:p>
    <w:p w14:paraId="4331602E">
      <w:pPr>
        <w:jc w:val="center"/>
        <w:rPr>
          <w:rFonts w:ascii="Times New Roman" w:hAnsi="Times New Roman" w:eastAsia="黑体"/>
          <w:snapToGrid w:val="0"/>
          <w:color w:val="auto"/>
          <w:kern w:val="0"/>
          <w:sz w:val="28"/>
          <w:szCs w:val="28"/>
          <w:highlight w:val="none"/>
          <w:u w:val="single"/>
          <w:shd w:val="clear"/>
        </w:rPr>
      </w:pPr>
    </w:p>
    <w:p w14:paraId="5843AA50">
      <w:pPr>
        <w:jc w:val="center"/>
        <w:rPr>
          <w:rFonts w:ascii="Times New Roman" w:hAnsi="Times New Roman" w:eastAsia="黑体"/>
          <w:snapToGrid w:val="0"/>
          <w:color w:val="auto"/>
          <w:kern w:val="0"/>
          <w:sz w:val="28"/>
          <w:szCs w:val="28"/>
          <w:highlight w:val="none"/>
          <w:u w:val="single"/>
          <w:shd w:val="clear"/>
        </w:rPr>
      </w:pPr>
    </w:p>
    <w:p w14:paraId="36E9A497">
      <w:pPr>
        <w:jc w:val="center"/>
        <w:rPr>
          <w:rFonts w:ascii="Times New Roman" w:hAnsi="Times New Roman" w:eastAsia="黑体"/>
          <w:snapToGrid w:val="0"/>
          <w:color w:val="auto"/>
          <w:kern w:val="0"/>
          <w:sz w:val="28"/>
          <w:szCs w:val="28"/>
          <w:highlight w:val="none"/>
          <w:u w:val="single"/>
          <w:shd w:val="clear"/>
        </w:rPr>
      </w:pPr>
    </w:p>
    <w:p w14:paraId="3C5C136A">
      <w:pPr>
        <w:jc w:val="center"/>
        <w:rPr>
          <w:rFonts w:ascii="Times New Roman" w:hAnsi="Times New Roman" w:eastAsia="黑体"/>
          <w:snapToGrid w:val="0"/>
          <w:color w:val="auto"/>
          <w:kern w:val="0"/>
          <w:sz w:val="28"/>
          <w:szCs w:val="28"/>
          <w:highlight w:val="none"/>
          <w:u w:val="single"/>
          <w:shd w:val="clear"/>
        </w:rPr>
      </w:pPr>
    </w:p>
    <w:p w14:paraId="3361AC31">
      <w:pPr>
        <w:jc w:val="center"/>
        <w:rPr>
          <w:rFonts w:ascii="Times New Roman" w:hAnsi="Times New Roman" w:eastAsia="黑体"/>
          <w:snapToGrid w:val="0"/>
          <w:color w:val="auto"/>
          <w:kern w:val="0"/>
          <w:sz w:val="28"/>
          <w:szCs w:val="28"/>
          <w:highlight w:val="none"/>
          <w:u w:val="single"/>
          <w:shd w:val="clear"/>
        </w:rPr>
      </w:pPr>
    </w:p>
    <w:p w14:paraId="45178FBE">
      <w:pPr>
        <w:jc w:val="center"/>
        <w:rPr>
          <w:rFonts w:ascii="Times New Roman" w:hAnsi="Times New Roman" w:eastAsia="黑体"/>
          <w:snapToGrid w:val="0"/>
          <w:color w:val="auto"/>
          <w:kern w:val="0"/>
          <w:sz w:val="28"/>
          <w:szCs w:val="28"/>
          <w:highlight w:val="none"/>
          <w:u w:val="single"/>
          <w:shd w:val="clear"/>
        </w:rPr>
      </w:pPr>
    </w:p>
    <w:p w14:paraId="33F251DA">
      <w:pPr>
        <w:pStyle w:val="21"/>
        <w:rPr>
          <w:rFonts w:ascii="Times New Roman" w:hAnsi="Times New Roman"/>
          <w:color w:val="auto"/>
          <w:highlight w:val="none"/>
          <w:shd w:val="clear"/>
        </w:rPr>
      </w:pPr>
      <w:r>
        <w:rPr>
          <w:rFonts w:ascii="Times New Roman" w:hAnsi="Times New Roman"/>
          <w:color w:val="auto"/>
          <w:highlight w:val="none"/>
          <w:u w:val="single"/>
          <w:shd w:val="clear"/>
        </w:rPr>
        <w:t xml:space="preserve">      </w:t>
      </w:r>
      <w:r>
        <w:rPr>
          <w:rFonts w:ascii="Times New Roman" w:hAnsi="Times New Roman"/>
          <w:color w:val="auto"/>
          <w:highlight w:val="none"/>
          <w:shd w:val="clear"/>
        </w:rPr>
        <w:t xml:space="preserve">  </w:t>
      </w:r>
      <w:bookmarkStart w:id="2513" w:name="_Toc5870"/>
      <w:bookmarkStart w:id="2514" w:name="_Toc22323"/>
      <w:r>
        <w:rPr>
          <w:rFonts w:ascii="Times New Roman" w:hAnsi="Times New Roman"/>
          <w:color w:val="auto"/>
          <w:highlight w:val="none"/>
          <w:shd w:val="clear"/>
        </w:rPr>
        <w:t>年</w:t>
      </w:r>
      <w:r>
        <w:rPr>
          <w:rFonts w:ascii="Times New Roman" w:hAnsi="Times New Roman"/>
          <w:color w:val="auto"/>
          <w:highlight w:val="none"/>
          <w:u w:val="single"/>
          <w:shd w:val="clear"/>
        </w:rPr>
        <w:t xml:space="preserve">         </w:t>
      </w:r>
      <w:r>
        <w:rPr>
          <w:rFonts w:ascii="Times New Roman" w:hAnsi="Times New Roman"/>
          <w:color w:val="auto"/>
          <w:highlight w:val="none"/>
          <w:shd w:val="clear"/>
        </w:rPr>
        <w:t>月</w:t>
      </w:r>
      <w:bookmarkEnd w:id="2513"/>
      <w:bookmarkEnd w:id="2514"/>
    </w:p>
    <w:p w14:paraId="723AEC43">
      <w:pPr>
        <w:widowControl/>
        <w:jc w:val="left"/>
        <w:rPr>
          <w:rFonts w:ascii="Times New Roman" w:hAnsi="Times New Roman"/>
          <w:b/>
          <w:bCs w:val="0"/>
          <w:color w:val="auto"/>
          <w:kern w:val="0"/>
          <w:sz w:val="32"/>
          <w:highlight w:val="none"/>
          <w:shd w:val="clear"/>
        </w:rPr>
      </w:pPr>
      <w:bookmarkStart w:id="2515" w:name="_Toc13093"/>
      <w:bookmarkStart w:id="2516" w:name="_Toc29394"/>
      <w:r>
        <w:rPr>
          <w:rFonts w:ascii="Times New Roman" w:hAnsi="Times New Roman"/>
          <w:b/>
          <w:color w:val="auto"/>
          <w:kern w:val="0"/>
          <w:sz w:val="32"/>
          <w:highlight w:val="none"/>
          <w:shd w:val="clear"/>
        </w:rPr>
        <w:br w:type="page"/>
      </w:r>
    </w:p>
    <w:bookmarkEnd w:id="2515"/>
    <w:bookmarkEnd w:id="2516"/>
    <w:p w14:paraId="56C91B10">
      <w:pPr>
        <w:pStyle w:val="18"/>
        <w:spacing w:line="360" w:lineRule="auto"/>
        <w:ind w:firstLine="560"/>
        <w:outlineLvl w:val="2"/>
        <w:rPr>
          <w:rFonts w:ascii="Times New Roman" w:eastAsia="黑体"/>
          <w:snapToGrid/>
          <w:color w:val="auto"/>
          <w:highlight w:val="none"/>
          <w:shd w:val="clear"/>
        </w:rPr>
      </w:pPr>
      <w:bookmarkStart w:id="2517" w:name="_Toc224103503"/>
      <w:bookmarkStart w:id="2518" w:name="_Toc460227144"/>
      <w:bookmarkStart w:id="2519" w:name="_Toc460660259"/>
      <w:bookmarkStart w:id="2520" w:name="_Toc535241147"/>
      <w:bookmarkStart w:id="2521" w:name="_Toc421917019"/>
      <w:bookmarkStart w:id="2522" w:name="_Toc390411638"/>
      <w:r>
        <w:rPr>
          <w:rFonts w:ascii="Times New Roman" w:eastAsia="黑体"/>
          <w:snapToGrid/>
          <w:color w:val="auto"/>
          <w:highlight w:val="none"/>
          <w:shd w:val="clear"/>
        </w:rPr>
        <w:t>一.主要施工方案与技术措施</w:t>
      </w:r>
    </w:p>
    <w:p w14:paraId="7C2007E8">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73DC39FA">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459FE8DB">
      <w:pPr>
        <w:pStyle w:val="18"/>
        <w:spacing w:line="360" w:lineRule="auto"/>
        <w:ind w:firstLine="0" w:firstLineChars="0"/>
        <w:rPr>
          <w:rFonts w:ascii="Times New Roman" w:eastAsia="宋体"/>
          <w:snapToGrid/>
          <w:color w:val="auto"/>
          <w:highlight w:val="none"/>
          <w:shd w:val="clear"/>
        </w:rPr>
      </w:pPr>
    </w:p>
    <w:p w14:paraId="22B4F666">
      <w:pPr>
        <w:pStyle w:val="18"/>
        <w:spacing w:line="360" w:lineRule="auto"/>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二</w:t>
      </w:r>
      <w:r>
        <w:rPr>
          <w:rFonts w:ascii="Times New Roman" w:eastAsia="黑体"/>
          <w:snapToGrid/>
          <w:color w:val="auto"/>
          <w:highlight w:val="none"/>
          <w:shd w:val="clear"/>
        </w:rPr>
        <w:t>.主要施工机械、设备进场计划</w:t>
      </w:r>
    </w:p>
    <w:p w14:paraId="135D5C8E">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7FB48195">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4ADC34B4">
      <w:pPr>
        <w:pStyle w:val="18"/>
        <w:spacing w:line="360" w:lineRule="auto"/>
        <w:ind w:firstLine="0" w:firstLineChars="0"/>
        <w:rPr>
          <w:rFonts w:ascii="Times New Roman" w:eastAsia="宋体"/>
          <w:snapToGrid/>
          <w:color w:val="auto"/>
          <w:highlight w:val="none"/>
          <w:shd w:val="clear"/>
        </w:rPr>
      </w:pPr>
    </w:p>
    <w:p w14:paraId="7CDEB5BA">
      <w:pPr>
        <w:pStyle w:val="18"/>
        <w:spacing w:line="360" w:lineRule="auto"/>
        <w:ind w:firstLine="560"/>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三</w:t>
      </w:r>
      <w:r>
        <w:rPr>
          <w:rFonts w:ascii="Times New Roman" w:eastAsia="黑体"/>
          <w:snapToGrid/>
          <w:color w:val="auto"/>
          <w:highlight w:val="none"/>
          <w:shd w:val="clear"/>
        </w:rPr>
        <w:t>.劳动力安排计划</w:t>
      </w:r>
    </w:p>
    <w:p w14:paraId="06EEA6B2">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0C7DB38A">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4D5D6370">
      <w:pPr>
        <w:pStyle w:val="18"/>
        <w:spacing w:line="360" w:lineRule="auto"/>
        <w:ind w:firstLine="0" w:firstLineChars="0"/>
        <w:rPr>
          <w:rFonts w:ascii="Times New Roman" w:eastAsia="宋体"/>
          <w:snapToGrid/>
          <w:color w:val="auto"/>
          <w:highlight w:val="none"/>
          <w:shd w:val="clear"/>
        </w:rPr>
      </w:pPr>
    </w:p>
    <w:p w14:paraId="12BCA345">
      <w:pPr>
        <w:pStyle w:val="18"/>
        <w:spacing w:line="360" w:lineRule="auto"/>
        <w:ind w:firstLine="560"/>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四</w:t>
      </w:r>
      <w:r>
        <w:rPr>
          <w:rFonts w:ascii="Times New Roman" w:eastAsia="黑体"/>
          <w:snapToGrid/>
          <w:color w:val="auto"/>
          <w:highlight w:val="none"/>
          <w:shd w:val="clear"/>
        </w:rPr>
        <w:t>.确保工程质量的管理体系与措施</w:t>
      </w:r>
    </w:p>
    <w:p w14:paraId="69D050E6">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77BC88A7">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16D36D99">
      <w:pPr>
        <w:pStyle w:val="18"/>
        <w:spacing w:line="360" w:lineRule="auto"/>
        <w:ind w:firstLine="0" w:firstLineChars="0"/>
        <w:rPr>
          <w:rFonts w:ascii="Times New Roman" w:eastAsia="宋体"/>
          <w:snapToGrid/>
          <w:color w:val="auto"/>
          <w:highlight w:val="none"/>
          <w:shd w:val="clear"/>
        </w:rPr>
      </w:pPr>
    </w:p>
    <w:p w14:paraId="48205508">
      <w:pPr>
        <w:pStyle w:val="18"/>
        <w:spacing w:line="360" w:lineRule="auto"/>
        <w:ind w:firstLine="560"/>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五</w:t>
      </w:r>
      <w:r>
        <w:rPr>
          <w:rFonts w:ascii="Times New Roman" w:eastAsia="黑体"/>
          <w:snapToGrid/>
          <w:color w:val="auto"/>
          <w:highlight w:val="none"/>
          <w:shd w:val="clear"/>
        </w:rPr>
        <w:t>.确保安全生产的管理体系与措施</w:t>
      </w:r>
    </w:p>
    <w:p w14:paraId="1B6AF491">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71351E4A">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1DD7DEE4">
      <w:pPr>
        <w:pStyle w:val="18"/>
        <w:spacing w:line="360" w:lineRule="auto"/>
        <w:ind w:firstLine="0" w:firstLineChars="0"/>
        <w:rPr>
          <w:rFonts w:ascii="Times New Roman" w:eastAsia="宋体"/>
          <w:snapToGrid/>
          <w:color w:val="auto"/>
          <w:highlight w:val="none"/>
          <w:shd w:val="clear"/>
        </w:rPr>
      </w:pPr>
    </w:p>
    <w:p w14:paraId="7D8E9AC7">
      <w:pPr>
        <w:pStyle w:val="18"/>
        <w:spacing w:line="360" w:lineRule="auto"/>
        <w:ind w:firstLine="560"/>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六</w:t>
      </w:r>
      <w:r>
        <w:rPr>
          <w:rFonts w:ascii="Times New Roman" w:eastAsia="黑体"/>
          <w:snapToGrid/>
          <w:color w:val="auto"/>
          <w:highlight w:val="none"/>
          <w:shd w:val="clear"/>
        </w:rPr>
        <w:t>.工程进度计划与措施及施工网络图</w:t>
      </w:r>
    </w:p>
    <w:p w14:paraId="62D4CF35">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191E1B78">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33107DB2">
      <w:pPr>
        <w:pStyle w:val="18"/>
        <w:spacing w:line="360" w:lineRule="auto"/>
        <w:ind w:firstLine="0" w:firstLineChars="0"/>
        <w:rPr>
          <w:rFonts w:ascii="Times New Roman" w:eastAsia="宋体"/>
          <w:snapToGrid/>
          <w:color w:val="auto"/>
          <w:highlight w:val="none"/>
          <w:shd w:val="clear"/>
        </w:rPr>
      </w:pPr>
    </w:p>
    <w:p w14:paraId="1AB2EADC">
      <w:pPr>
        <w:pStyle w:val="18"/>
        <w:spacing w:line="360" w:lineRule="auto"/>
        <w:ind w:firstLine="560"/>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七</w:t>
      </w:r>
      <w:r>
        <w:rPr>
          <w:rFonts w:ascii="Times New Roman" w:eastAsia="黑体"/>
          <w:snapToGrid/>
          <w:color w:val="auto"/>
          <w:highlight w:val="none"/>
          <w:shd w:val="clear"/>
        </w:rPr>
        <w:t>.确保文明施工的管理体系与措施</w:t>
      </w:r>
    </w:p>
    <w:p w14:paraId="5CE8C18D">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685630F0">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 w14:paraId="4DA0448C">
      <w:pPr>
        <w:pStyle w:val="18"/>
        <w:spacing w:line="360" w:lineRule="auto"/>
        <w:ind w:firstLine="0" w:firstLineChars="0"/>
        <w:rPr>
          <w:rFonts w:ascii="Times New Roman" w:eastAsia="宋体"/>
          <w:snapToGrid/>
          <w:color w:val="auto"/>
          <w:highlight w:val="none"/>
          <w:shd w:val="clear"/>
        </w:rPr>
      </w:pPr>
    </w:p>
    <w:p w14:paraId="18729524">
      <w:pPr>
        <w:pStyle w:val="18"/>
        <w:spacing w:line="360" w:lineRule="auto"/>
        <w:ind w:firstLine="560"/>
        <w:outlineLvl w:val="2"/>
        <w:rPr>
          <w:rFonts w:ascii="Times New Roman" w:eastAsia="黑体"/>
          <w:snapToGrid/>
          <w:color w:val="auto"/>
          <w:highlight w:val="none"/>
          <w:shd w:val="clear"/>
        </w:rPr>
      </w:pPr>
      <w:r>
        <w:rPr>
          <w:rFonts w:hint="eastAsia" w:ascii="Times New Roman" w:eastAsia="黑体"/>
          <w:snapToGrid/>
          <w:color w:val="auto"/>
          <w:highlight w:val="none"/>
          <w:shd w:val="clear"/>
          <w:lang w:val="en-US" w:eastAsia="zh-CN"/>
        </w:rPr>
        <w:t>八</w:t>
      </w:r>
      <w:r>
        <w:rPr>
          <w:rFonts w:ascii="Times New Roman" w:eastAsia="黑体"/>
          <w:snapToGrid/>
          <w:color w:val="auto"/>
          <w:highlight w:val="none"/>
          <w:shd w:val="clear"/>
        </w:rPr>
        <w:t>.总体筹划与总平面布置</w:t>
      </w:r>
    </w:p>
    <w:p w14:paraId="7ED0373A">
      <w:pPr>
        <w:pStyle w:val="18"/>
        <w:spacing w:line="360" w:lineRule="auto"/>
        <w:ind w:firstLine="560"/>
        <w:rPr>
          <w:rFonts w:ascii="Times New Roman" w:eastAsia="宋体"/>
          <w:snapToGrid/>
          <w:color w:val="auto"/>
          <w:highlight w:val="none"/>
          <w:shd w:val="clear"/>
        </w:rPr>
      </w:pPr>
      <w:r>
        <w:rPr>
          <w:rFonts w:ascii="Times New Roman" w:eastAsia="宋体"/>
          <w:snapToGrid/>
          <w:color w:val="auto"/>
          <w:highlight w:val="none"/>
          <w:shd w:val="clear"/>
        </w:rPr>
        <w:t>1.</w:t>
      </w:r>
      <w:r>
        <w:rPr>
          <w:rFonts w:hint="eastAsia" w:ascii="Times New Roman" w:eastAsia="宋体"/>
          <w:snapToGrid/>
          <w:color w:val="auto"/>
          <w:highlight w:val="none"/>
          <w:shd w:val="clear"/>
        </w:rPr>
        <w:t>二级标题（</w:t>
      </w:r>
      <w:r>
        <w:rPr>
          <w:rFonts w:ascii="Times New Roman" w:eastAsia="宋体"/>
          <w:snapToGrid/>
          <w:color w:val="auto"/>
          <w:highlight w:val="none"/>
          <w:shd w:val="clear"/>
        </w:rPr>
        <w:t>投标人自行编制</w:t>
      </w:r>
      <w:r>
        <w:rPr>
          <w:rFonts w:hint="eastAsia" w:ascii="Times New Roman" w:eastAsia="宋体"/>
          <w:snapToGrid/>
          <w:color w:val="auto"/>
          <w:highlight w:val="none"/>
          <w:shd w:val="clear"/>
        </w:rPr>
        <w:t>）</w:t>
      </w:r>
    </w:p>
    <w:p w14:paraId="14399A81">
      <w:pPr>
        <w:pStyle w:val="18"/>
        <w:spacing w:line="360" w:lineRule="auto"/>
        <w:ind w:firstLine="480"/>
        <w:rPr>
          <w:rFonts w:ascii="Times New Roman" w:eastAsia="宋体"/>
          <w:snapToGrid/>
          <w:color w:val="auto"/>
          <w:sz w:val="24"/>
          <w:szCs w:val="24"/>
          <w:highlight w:val="none"/>
          <w:shd w:val="clear"/>
        </w:rPr>
      </w:pPr>
      <w:r>
        <w:rPr>
          <w:rFonts w:hint="eastAsia" w:ascii="Times New Roman" w:eastAsia="宋体"/>
          <w:snapToGrid/>
          <w:color w:val="auto"/>
          <w:sz w:val="24"/>
          <w:szCs w:val="24"/>
          <w:highlight w:val="none"/>
          <w:shd w:val="clear"/>
        </w:rPr>
        <w:t>正文内容（投标人自行编制）</w:t>
      </w:r>
    </w:p>
    <w:permEnd w:id="98"/>
    <w:p w14:paraId="43E539B5">
      <w:pPr>
        <w:pStyle w:val="18"/>
        <w:spacing w:line="360" w:lineRule="auto"/>
        <w:ind w:firstLine="0" w:firstLineChars="0"/>
        <w:rPr>
          <w:rFonts w:ascii="Times New Roman" w:eastAsia="宋体"/>
          <w:snapToGrid/>
          <w:color w:val="auto"/>
          <w:highlight w:val="none"/>
          <w:shd w:val="clear"/>
        </w:rPr>
      </w:pPr>
    </w:p>
    <w:bookmarkEnd w:id="2517"/>
    <w:bookmarkEnd w:id="2518"/>
    <w:bookmarkEnd w:id="2519"/>
    <w:bookmarkEnd w:id="2520"/>
    <w:bookmarkEnd w:id="2521"/>
    <w:bookmarkEnd w:id="2522"/>
    <w:p w14:paraId="7523D67F">
      <w:pPr>
        <w:rPr>
          <w:color w:val="auto"/>
          <w:highlight w:val="none"/>
          <w:shd w:val="clear"/>
        </w:rPr>
      </w:pPr>
    </w:p>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74F6">
    <w:pPr>
      <w:pStyle w:val="8"/>
      <w:jc w:val="center"/>
      <w:rPr>
        <w:rFonts w:hint="eastAsia"/>
      </w:rPr>
    </w:pPr>
  </w:p>
  <w:p w14:paraId="70C3A515">
    <w:pPr>
      <w:pStyle w:val="8"/>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C3B5">
    <w:pPr>
      <w:spacing w:line="171"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93CD2">
                          <w:pPr>
                            <w:pStyle w:val="8"/>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693CD2">
                    <w:pPr>
                      <w:pStyle w:val="8"/>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6F8D">
    <w:pPr>
      <w:pStyle w:val="8"/>
      <w:framePr w:wrap="around" w:vAnchor="text" w:hAnchor="margin" w:xAlign="center" w:y="1"/>
      <w:rPr>
        <w:rStyle w:val="15"/>
        <w:rFonts w:hint="eastAsia"/>
      </w:rPr>
    </w:pPr>
    <w:r>
      <w:fldChar w:fldCharType="begin"/>
    </w:r>
    <w:r>
      <w:rPr>
        <w:rStyle w:val="15"/>
        <w:highlight w:val="white"/>
      </w:rPr>
      <w:instrText xml:space="preserve">PAGE  </w:instrText>
    </w:r>
    <w:r>
      <w:fldChar w:fldCharType="separate"/>
    </w:r>
    <w:r>
      <w:rPr>
        <w:rStyle w:val="15"/>
        <w:highlight w:val="white"/>
      </w:rPr>
      <w:t>1</w:t>
    </w:r>
    <w:r>
      <w:fldChar w:fldCharType="end"/>
    </w:r>
  </w:p>
  <w:p w14:paraId="62851B42">
    <w:pPr>
      <w:pStyle w:val="8"/>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1594">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739028"/>
    </w:sdtPr>
    <w:sdtContent>
      <w:sdt>
        <w:sdtPr>
          <w:id w:val="-445084107"/>
        </w:sdtPr>
        <w:sdtContent>
          <w:p w14:paraId="6BD8D0FB">
            <w:pPr>
              <w:pStyle w:val="8"/>
              <w:jc w:val="center"/>
              <w:rPr>
                <w:rFonts w:hint="eastAsia"/>
              </w:rPr>
            </w:pPr>
            <w:r>
              <w:rPr>
                <w:lang w:val="zh-CN"/>
              </w:rPr>
              <w:t xml:space="preserve"> </w:t>
            </w:r>
            <w:r>
              <w:rPr>
                <w:b/>
                <w:bCs w:val="0"/>
                <w:sz w:val="24"/>
                <w:szCs w:val="24"/>
              </w:rPr>
              <w:fldChar w:fldCharType="begin"/>
            </w:r>
            <w:r>
              <w:rPr>
                <w:b/>
              </w:rPr>
              <w:instrText xml:space="preserve">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 xml:space="preserve">NUMPAGES</w:instrText>
            </w:r>
            <w:r>
              <w:rPr>
                <w:b/>
                <w:bCs w:val="0"/>
                <w:sz w:val="24"/>
                <w:szCs w:val="24"/>
              </w:rPr>
              <w:fldChar w:fldCharType="separate"/>
            </w:r>
            <w:r>
              <w:rPr>
                <w:b/>
                <w:lang w:val="zh-CN"/>
              </w:rPr>
              <w:t>2</w:t>
            </w:r>
            <w:r>
              <w:rPr>
                <w:b/>
                <w:bCs w:val="0"/>
                <w:sz w:val="24"/>
                <w:szCs w:val="24"/>
              </w:rPr>
              <w:fldChar w:fldCharType="end"/>
            </w:r>
          </w:p>
        </w:sdtContent>
      </w:sdt>
    </w:sdtContent>
  </w:sdt>
  <w:p w14:paraId="77D62836">
    <w:pPr>
      <w:pStyle w:val="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3EFE">
    <w:pPr>
      <w:pStyle w:val="8"/>
      <w:jc w:val="center"/>
      <w:rPr>
        <w:rFonts w:hint="eastAsia"/>
      </w:rPr>
    </w:pPr>
  </w:p>
  <w:p w14:paraId="0A1A4E3F">
    <w:pPr>
      <w:pStyle w:val="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8D45">
    <w:pPr>
      <w:pStyle w:val="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60EA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D60EA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7BF8">
    <w:pPr>
      <w:pStyle w:val="8"/>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BFF2C">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9BFF2C">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0DF3">
    <w:pPr>
      <w:pStyle w:val="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B8917">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CB8917">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D5249">
    <w:pP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4178D">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A4178D">
                    <w:pPr>
                      <w:pStyle w:val="8"/>
                    </w:pPr>
                    <w:r>
                      <w:fldChar w:fldCharType="begin"/>
                    </w:r>
                    <w:r>
                      <w:instrText xml:space="preserve"> PAGE  \* MERGEFORMAT </w:instrText>
                    </w:r>
                    <w:r>
                      <w:fldChar w:fldCharType="separate"/>
                    </w:r>
                    <w:r>
                      <w:t>75</w:t>
                    </w:r>
                    <w:r>
                      <w:fldChar w:fldCharType="end"/>
                    </w:r>
                  </w:p>
                </w:txbxContent>
              </v:textbox>
            </v:shape>
          </w:pict>
        </mc:Fallback>
      </mc:AlternateContent>
    </w:r>
  </w:p>
  <w:p w14:paraId="7D4AAE6E">
    <w:pP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4424D">
    <w:pPr>
      <w:pStyle w:val="8"/>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F0302">
                          <w:pPr>
                            <w:pStyle w:val="8"/>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7F0302">
                    <w:pPr>
                      <w:pStyle w:val="8"/>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929B8">
    <w:pPr>
      <w:pStyle w:val="8"/>
      <w:framePr w:wrap="around" w:vAnchor="text" w:hAnchor="margin" w:xAlign="center" w:y="1"/>
      <w:rPr>
        <w:rStyle w:val="15"/>
        <w:rFonts w:hint="eastAsia"/>
      </w:rPr>
    </w:pPr>
    <w:r>
      <w:fldChar w:fldCharType="begin"/>
    </w:r>
    <w:r>
      <w:rPr>
        <w:rStyle w:val="15"/>
        <w:highlight w:val="white"/>
      </w:rPr>
      <w:instrText xml:space="preserve">PAGE  </w:instrText>
    </w:r>
    <w:r>
      <w:fldChar w:fldCharType="separate"/>
    </w:r>
    <w:r>
      <w:rPr>
        <w:rStyle w:val="15"/>
        <w:highlight w:val="white"/>
      </w:rPr>
      <w:t>1</w:t>
    </w:r>
    <w:r>
      <w:fldChar w:fldCharType="end"/>
    </w:r>
  </w:p>
  <w:p w14:paraId="28F25402">
    <w:pPr>
      <w:pStyle w:val="8"/>
      <w:rPr>
        <w:rFonts w:hint="eastAsia"/>
      </w:rPr>
    </w:pPr>
  </w:p>
  <w:p w14:paraId="738D943C">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E736">
    <w:pPr>
      <w:pStyle w:val="9"/>
      <w:framePr w:wrap="around" w:vAnchor="text" w:hAnchor="margin" w:xAlign="right" w:y="1"/>
      <w:rPr>
        <w:rStyle w:val="15"/>
        <w:rFonts w:hint="eastAsia"/>
      </w:rPr>
    </w:pPr>
    <w:r>
      <w:fldChar w:fldCharType="begin"/>
    </w:r>
    <w:r>
      <w:rPr>
        <w:rStyle w:val="15"/>
        <w:highlight w:val="white"/>
      </w:rPr>
      <w:instrText xml:space="preserve">PAGE  </w:instrText>
    </w:r>
    <w:r>
      <w:fldChar w:fldCharType="end"/>
    </w:r>
  </w:p>
  <w:p w14:paraId="2020C7B4">
    <w:pPr>
      <w:pStyle w:val="9"/>
      <w:ind w:right="360"/>
      <w:rPr>
        <w:rFonts w:hint="eastAsia"/>
      </w:rPr>
    </w:pPr>
  </w:p>
  <w:p w14:paraId="249A0A0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9F38">
    <w:pPr>
      <w:pStyle w:val="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321D">
    <w:pPr>
      <w:pStyle w:val="9"/>
      <w:framePr w:wrap="around" w:vAnchor="text" w:hAnchor="margin" w:xAlign="right" w:y="1"/>
      <w:rPr>
        <w:rStyle w:val="15"/>
        <w:rFonts w:hint="eastAsia"/>
      </w:rPr>
    </w:pPr>
    <w:r>
      <w:fldChar w:fldCharType="begin"/>
    </w:r>
    <w:r>
      <w:rPr>
        <w:rStyle w:val="15"/>
        <w:highlight w:val="white"/>
      </w:rPr>
      <w:instrText xml:space="preserve">PAGE  </w:instrText>
    </w:r>
    <w:r>
      <w:fldChar w:fldCharType="end"/>
    </w:r>
  </w:p>
  <w:p w14:paraId="5949771F">
    <w:pPr>
      <w:pStyle w:val="9"/>
      <w:ind w:right="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3592">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13568"/>
    <w:multiLevelType w:val="singleLevel"/>
    <w:tmpl w:val="BF813568"/>
    <w:lvl w:ilvl="0" w:tentative="0">
      <w:start w:val="7"/>
      <w:numFmt w:val="chineseCounting"/>
      <w:suff w:val="nothing"/>
      <w:lvlText w:val="（%1）"/>
      <w:lvlJc w:val="left"/>
      <w:rPr>
        <w:rFonts w:hint="eastAsia"/>
      </w:rPr>
    </w:lvl>
  </w:abstractNum>
  <w:abstractNum w:abstractNumId="1">
    <w:nsid w:val="1D7A3751"/>
    <w:multiLevelType w:val="singleLevel"/>
    <w:tmpl w:val="1D7A3751"/>
    <w:lvl w:ilvl="0" w:tentative="0">
      <w:start w:val="1"/>
      <w:numFmt w:val="decimal"/>
      <w:suff w:val="nothing"/>
      <w:lvlText w:val="（%1）"/>
      <w:lvlJc w:val="left"/>
    </w:lvl>
  </w:abstractNum>
  <w:abstractNum w:abstractNumId="2">
    <w:nsid w:val="54923FA7"/>
    <w:multiLevelType w:val="singleLevel"/>
    <w:tmpl w:val="54923FA7"/>
    <w:lvl w:ilvl="0" w:tentative="0">
      <w:start w:val="5"/>
      <w:numFmt w:val="chineseCounting"/>
      <w:suff w:val="nothing"/>
      <w:lvlText w:val="（%1）"/>
      <w:lvlJc w:val="left"/>
      <w:rPr>
        <w:rFonts w:hint="eastAsia"/>
      </w:rPr>
    </w:lvl>
  </w:abstractNum>
  <w:abstractNum w:abstractNumId="3">
    <w:nsid w:val="68A369B2"/>
    <w:multiLevelType w:val="singleLevel"/>
    <w:tmpl w:val="68A369B2"/>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61862"/>
    <w:rsid w:val="02B0310F"/>
    <w:rsid w:val="033243BE"/>
    <w:rsid w:val="04F55751"/>
    <w:rsid w:val="05213A01"/>
    <w:rsid w:val="06251529"/>
    <w:rsid w:val="06F37A6F"/>
    <w:rsid w:val="082C4FE6"/>
    <w:rsid w:val="084E1BD0"/>
    <w:rsid w:val="0ACC70B3"/>
    <w:rsid w:val="0DE26FB2"/>
    <w:rsid w:val="0DEE626D"/>
    <w:rsid w:val="0E1911D9"/>
    <w:rsid w:val="0EA04D5A"/>
    <w:rsid w:val="0EE52EA3"/>
    <w:rsid w:val="11E22BBA"/>
    <w:rsid w:val="12124808"/>
    <w:rsid w:val="13313810"/>
    <w:rsid w:val="14651F70"/>
    <w:rsid w:val="1888270D"/>
    <w:rsid w:val="19D720A4"/>
    <w:rsid w:val="1A606D71"/>
    <w:rsid w:val="1B770817"/>
    <w:rsid w:val="1CDF4F5C"/>
    <w:rsid w:val="1DA20777"/>
    <w:rsid w:val="1DFB19B3"/>
    <w:rsid w:val="202A5E57"/>
    <w:rsid w:val="211C46F1"/>
    <w:rsid w:val="21D717D8"/>
    <w:rsid w:val="239A73CF"/>
    <w:rsid w:val="25F80094"/>
    <w:rsid w:val="261E645E"/>
    <w:rsid w:val="268C786C"/>
    <w:rsid w:val="26B82C5E"/>
    <w:rsid w:val="27B071B9"/>
    <w:rsid w:val="27E70AD2"/>
    <w:rsid w:val="29E74DB9"/>
    <w:rsid w:val="2A662182"/>
    <w:rsid w:val="2B577D1D"/>
    <w:rsid w:val="2F8F60AD"/>
    <w:rsid w:val="2FC70172"/>
    <w:rsid w:val="30C85944"/>
    <w:rsid w:val="339935C8"/>
    <w:rsid w:val="34F62354"/>
    <w:rsid w:val="36D36DF1"/>
    <w:rsid w:val="3B3D3C9F"/>
    <w:rsid w:val="3BA42B0A"/>
    <w:rsid w:val="418213F8"/>
    <w:rsid w:val="41A43864"/>
    <w:rsid w:val="42EF420B"/>
    <w:rsid w:val="44332FFE"/>
    <w:rsid w:val="451F220F"/>
    <w:rsid w:val="47F04165"/>
    <w:rsid w:val="4AB408D3"/>
    <w:rsid w:val="4DBC3CE3"/>
    <w:rsid w:val="50533065"/>
    <w:rsid w:val="505C17AE"/>
    <w:rsid w:val="53AE4B03"/>
    <w:rsid w:val="53FF0C10"/>
    <w:rsid w:val="545A6722"/>
    <w:rsid w:val="56A74B5A"/>
    <w:rsid w:val="587B30C9"/>
    <w:rsid w:val="59BC0983"/>
    <w:rsid w:val="59E56BF2"/>
    <w:rsid w:val="5A677BA4"/>
    <w:rsid w:val="5AC95C92"/>
    <w:rsid w:val="5BCF40F7"/>
    <w:rsid w:val="5C4260EC"/>
    <w:rsid w:val="5CB77467"/>
    <w:rsid w:val="5DC10F09"/>
    <w:rsid w:val="5E08087F"/>
    <w:rsid w:val="5F8C3C0F"/>
    <w:rsid w:val="5FAF6D6C"/>
    <w:rsid w:val="60397415"/>
    <w:rsid w:val="60C50CA9"/>
    <w:rsid w:val="62FB09B2"/>
    <w:rsid w:val="62FE36AF"/>
    <w:rsid w:val="63FA3360"/>
    <w:rsid w:val="65B337C6"/>
    <w:rsid w:val="6648095F"/>
    <w:rsid w:val="6B286A04"/>
    <w:rsid w:val="6C120C8F"/>
    <w:rsid w:val="6CC369F5"/>
    <w:rsid w:val="6D091261"/>
    <w:rsid w:val="6F144C48"/>
    <w:rsid w:val="70D07922"/>
    <w:rsid w:val="71AD37BF"/>
    <w:rsid w:val="72964A13"/>
    <w:rsid w:val="73961862"/>
    <w:rsid w:val="755E374E"/>
    <w:rsid w:val="76713120"/>
    <w:rsid w:val="798A42B2"/>
    <w:rsid w:val="79AE799C"/>
    <w:rsid w:val="7B3F0016"/>
    <w:rsid w:val="7BBF0CBF"/>
    <w:rsid w:val="7C306130"/>
    <w:rsid w:val="7CB023B6"/>
    <w:rsid w:val="7F3D2866"/>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bCs/>
      <w:kern w:val="2"/>
      <w:sz w:val="21"/>
      <w:szCs w:val="21"/>
      <w:lang w:val="en-US" w:eastAsia="zh-CN" w:bidi="ar-SA"/>
    </w:rPr>
  </w:style>
  <w:style w:type="paragraph" w:styleId="5">
    <w:name w:val="heading 1"/>
    <w:basedOn w:val="1"/>
    <w:next w:val="1"/>
    <w:qFormat/>
    <w:uiPriority w:val="0"/>
    <w:pPr>
      <w:keepNext/>
      <w:keepLines/>
      <w:adjustRightInd w:val="0"/>
      <w:spacing w:before="120" w:after="120" w:line="400" w:lineRule="exact"/>
      <w:jc w:val="center"/>
      <w:outlineLvl w:val="0"/>
    </w:pPr>
    <w:rPr>
      <w:rFonts w:eastAsia="黑体" w:cs="仿宋"/>
      <w:b/>
      <w:bCs w:val="0"/>
      <w:kern w:val="44"/>
      <w:sz w:val="30"/>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rPr>
      <w:rFonts w:ascii="Times New Roman" w:hAnsi="Times New Roman"/>
      <w:sz w:val="21"/>
      <w:szCs w:val="24"/>
    </w:rPr>
  </w:style>
  <w:style w:type="paragraph" w:styleId="3">
    <w:name w:val="Body Text Indent"/>
    <w:basedOn w:val="1"/>
    <w:next w:val="4"/>
    <w:qFormat/>
    <w:uiPriority w:val="99"/>
    <w:pPr>
      <w:spacing w:line="360" w:lineRule="auto"/>
      <w:ind w:firstLine="480" w:firstLineChars="200"/>
    </w:pPr>
    <w:rPr>
      <w:rFonts w:ascii="Arial"/>
      <w:sz w:val="24"/>
    </w:rPr>
  </w:style>
  <w:style w:type="paragraph" w:styleId="4">
    <w:name w:val="envelope return"/>
    <w:basedOn w:val="1"/>
    <w:qFormat/>
    <w:uiPriority w:val="0"/>
    <w:pPr>
      <w:snapToGrid w:val="0"/>
    </w:pPr>
    <w:rPr>
      <w:rFonts w:ascii="Arial" w:hAnsi="Arial"/>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Date"/>
    <w:basedOn w:val="1"/>
    <w:next w:val="1"/>
    <w:qFormat/>
    <w:uiPriority w:val="99"/>
    <w:pPr>
      <w:ind w:left="100" w:leftChars="2500"/>
    </w:pPr>
    <w:rPr>
      <w:b/>
      <w:sz w:val="30"/>
      <w:szCs w:val="3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adjustRightInd w:val="0"/>
      <w:spacing w:line="440" w:lineRule="exact"/>
      <w:jc w:val="center"/>
    </w:pPr>
    <w:rPr>
      <w:rFonts w:cs="仿宋"/>
      <w:sz w:val="24"/>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99"/>
    <w:rPr>
      <w:rFonts w:ascii="Arial" w:hAnsi="Arial" w:cs="Arial"/>
      <w:snapToGrid w:val="0"/>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cs="Times New Roman"/>
    </w:rPr>
  </w:style>
  <w:style w:type="character" w:styleId="16">
    <w:name w:val="HTML Acronym"/>
    <w:basedOn w:val="14"/>
    <w:qFormat/>
    <w:uiPriority w:val="0"/>
  </w:style>
  <w:style w:type="character" w:styleId="17">
    <w:name w:val="Hyperlink"/>
    <w:basedOn w:val="14"/>
    <w:unhideWhenUsed/>
    <w:qFormat/>
    <w:uiPriority w:val="99"/>
    <w:rPr>
      <w:color w:val="0000FF"/>
      <w:u w:val="single"/>
    </w:rPr>
  </w:style>
  <w:style w:type="paragraph" w:customStyle="1" w:styleId="18">
    <w:name w:val="蚌埠范本-使用说明正文-仿宋-四号-首行缩进2字符-两端对齐"/>
    <w:basedOn w:val="1"/>
    <w:qFormat/>
    <w:uiPriority w:val="0"/>
    <w:pPr>
      <w:spacing w:line="500" w:lineRule="exact"/>
      <w:ind w:firstLine="562" w:firstLineChars="200"/>
    </w:pPr>
    <w:rPr>
      <w:rFonts w:ascii="仿宋_GB2312" w:hAnsi="Times New Roman" w:eastAsia="仿宋_GB2312" w:cs="仿宋"/>
      <w:snapToGrid w:val="0"/>
      <w:color w:val="000000"/>
      <w:sz w:val="28"/>
      <w:szCs w:val="28"/>
    </w:rPr>
  </w:style>
  <w:style w:type="paragraph" w:customStyle="1" w:styleId="19">
    <w:name w:val="蚌埠范本-标题-黑体-二号-居中-单倍行距"/>
    <w:basedOn w:val="1"/>
    <w:link w:val="39"/>
    <w:autoRedefine/>
    <w:qFormat/>
    <w:uiPriority w:val="0"/>
    <w:pPr>
      <w:adjustRightInd w:val="0"/>
      <w:jc w:val="center"/>
    </w:pPr>
    <w:rPr>
      <w:rFonts w:hint="eastAsia" w:ascii="黑体" w:hAnsi="黑体" w:eastAsia="黑体" w:cs="仿宋"/>
      <w:snapToGrid w:val="0"/>
      <w:color w:val="000000"/>
      <w:sz w:val="44"/>
      <w:szCs w:val="44"/>
    </w:rPr>
  </w:style>
  <w:style w:type="paragraph" w:customStyle="1" w:styleId="20">
    <w:name w:val="蚌埠范本-标题-黑体-四号-居中-固定值20磅"/>
    <w:basedOn w:val="1"/>
    <w:link w:val="25"/>
    <w:autoRedefine/>
    <w:qFormat/>
    <w:uiPriority w:val="0"/>
    <w:pPr>
      <w:spacing w:line="400" w:lineRule="exact"/>
      <w:jc w:val="center"/>
    </w:pPr>
    <w:rPr>
      <w:rFonts w:eastAsia="黑体" w:cs="仿宋"/>
      <w:snapToGrid w:val="0"/>
      <w:sz w:val="28"/>
      <w:szCs w:val="28"/>
    </w:rPr>
  </w:style>
  <w:style w:type="paragraph" w:customStyle="1" w:styleId="21">
    <w:name w:val="蚌埠范本-封面落款-黑体-四号-居中-单倍行距"/>
    <w:basedOn w:val="1"/>
    <w:autoRedefine/>
    <w:qFormat/>
    <w:uiPriority w:val="0"/>
    <w:pPr>
      <w:spacing w:line="440" w:lineRule="auto"/>
      <w:jc w:val="center"/>
    </w:pPr>
    <w:rPr>
      <w:rFonts w:ascii="黑体" w:hAnsi="黑体" w:eastAsia="黑体" w:cs="仿宋"/>
      <w:snapToGrid w:val="0"/>
      <w:color w:val="000000"/>
      <w:sz w:val="24"/>
      <w:szCs w:val="24"/>
    </w:rPr>
  </w:style>
  <w:style w:type="paragraph" w:customStyle="1" w:styleId="22">
    <w:name w:val="蚌埠范本-正文-宋体-五号-首行缩进2字符"/>
    <w:basedOn w:val="1"/>
    <w:link w:val="27"/>
    <w:qFormat/>
    <w:uiPriority w:val="0"/>
    <w:pPr>
      <w:wordWrap w:val="0"/>
      <w:topLinePunct/>
      <w:spacing w:line="400" w:lineRule="exact"/>
      <w:ind w:firstLine="200" w:firstLineChars="200"/>
      <w:jc w:val="left"/>
    </w:pPr>
    <w:rPr>
      <w:bCs w:val="0"/>
    </w:rPr>
  </w:style>
  <w:style w:type="paragraph" w:customStyle="1" w:styleId="23">
    <w:name w:val="TOC 标题1"/>
    <w:basedOn w:val="5"/>
    <w:next w:val="1"/>
    <w:autoRedefine/>
    <w:qFormat/>
    <w:uiPriority w:val="39"/>
    <w:pPr>
      <w:adjustRightInd/>
      <w:spacing w:before="340" w:after="330" w:line="576" w:lineRule="auto"/>
      <w:jc w:val="both"/>
      <w:outlineLvl w:val="9"/>
    </w:pPr>
    <w:rPr>
      <w:rFonts w:ascii="Calibri" w:hAnsi="Calibri" w:eastAsia="宋体" w:cs="Times New Roman"/>
      <w:sz w:val="44"/>
    </w:rPr>
  </w:style>
  <w:style w:type="paragraph" w:customStyle="1" w:styleId="24">
    <w:name w:val="蚌埠范本-标题-一级-黑体-三号"/>
    <w:basedOn w:val="1"/>
    <w:link w:val="38"/>
    <w:autoRedefine/>
    <w:qFormat/>
    <w:uiPriority w:val="0"/>
    <w:pPr>
      <w:spacing w:before="120" w:after="120" w:line="360" w:lineRule="auto"/>
      <w:jc w:val="center"/>
      <w:outlineLvl w:val="0"/>
    </w:pPr>
    <w:rPr>
      <w:rFonts w:ascii="黑体" w:hAnsi="黑体" w:eastAsia="黑体" w:cs="黑体"/>
      <w:bCs w:val="0"/>
      <w:snapToGrid w:val="0"/>
      <w:kern w:val="44"/>
      <w:sz w:val="32"/>
      <w:szCs w:val="44"/>
      <w:lang w:val="zh-CN"/>
    </w:rPr>
  </w:style>
  <w:style w:type="character" w:customStyle="1" w:styleId="25">
    <w:name w:val="蚌埠范本-标题-黑体-四号-居中-固定值20磅 Char"/>
    <w:link w:val="20"/>
    <w:qFormat/>
    <w:uiPriority w:val="0"/>
    <w:rPr>
      <w:rFonts w:eastAsia="黑体" w:cs="仿宋"/>
      <w:snapToGrid w:val="0"/>
      <w:sz w:val="28"/>
      <w:szCs w:val="28"/>
    </w:rPr>
  </w:style>
  <w:style w:type="paragraph" w:customStyle="1" w:styleId="26">
    <w:name w:val="蚌埠范本-标题-二级-黑体-四号-左对齐"/>
    <w:basedOn w:val="1"/>
    <w:link w:val="31"/>
    <w:autoRedefine/>
    <w:qFormat/>
    <w:uiPriority w:val="0"/>
    <w:pPr>
      <w:keepNext/>
      <w:keepLines/>
      <w:wordWrap w:val="0"/>
      <w:adjustRightInd w:val="0"/>
      <w:spacing w:before="100" w:line="400" w:lineRule="exact"/>
      <w:jc w:val="left"/>
      <w:outlineLvl w:val="1"/>
    </w:pPr>
    <w:rPr>
      <w:rFonts w:ascii="Times New Roman" w:hAnsi="Times New Roman" w:eastAsia="黑体" w:cs="黑体"/>
      <w:snapToGrid w:val="0"/>
      <w:sz w:val="28"/>
      <w:szCs w:val="28"/>
    </w:rPr>
  </w:style>
  <w:style w:type="character" w:customStyle="1" w:styleId="27">
    <w:name w:val="蚌埠范本-正文-宋体-五号-首行缩进2字符 Char"/>
    <w:link w:val="22"/>
    <w:qFormat/>
    <w:uiPriority w:val="0"/>
  </w:style>
  <w:style w:type="paragraph" w:customStyle="1" w:styleId="28">
    <w:name w:val="蚌埠范本-表格-标题行-宋体加粗-五号-固定值20磅"/>
    <w:basedOn w:val="1"/>
    <w:autoRedefine/>
    <w:qFormat/>
    <w:uiPriority w:val="0"/>
    <w:pPr>
      <w:adjustRightInd w:val="0"/>
      <w:spacing w:line="360" w:lineRule="auto"/>
      <w:jc w:val="center"/>
    </w:pPr>
    <w:rPr>
      <w:b/>
    </w:rPr>
  </w:style>
  <w:style w:type="paragraph" w:customStyle="1" w:styleId="29">
    <w:name w:val="蚌埠范本-表格-宋体-五号-居中"/>
    <w:basedOn w:val="1"/>
    <w:qFormat/>
    <w:uiPriority w:val="0"/>
    <w:pPr>
      <w:adjustRightInd w:val="0"/>
      <w:spacing w:line="360" w:lineRule="auto"/>
      <w:jc w:val="center"/>
    </w:pPr>
    <w:rPr>
      <w:rFonts w:cs="仿宋"/>
      <w:szCs w:val="24"/>
    </w:rPr>
  </w:style>
  <w:style w:type="paragraph" w:customStyle="1" w:styleId="30">
    <w:name w:val="蚌埠范本-表格-宋体-五号-两端对齐"/>
    <w:basedOn w:val="1"/>
    <w:link w:val="32"/>
    <w:qFormat/>
    <w:uiPriority w:val="0"/>
    <w:pPr>
      <w:framePr w:hSpace="180" w:wrap="around" w:vAnchor="text" w:hAnchor="page" w:x="1805" w:y="391"/>
      <w:suppressOverlap/>
      <w:adjustRightInd w:val="0"/>
      <w:spacing w:line="360" w:lineRule="auto"/>
      <w:jc w:val="left"/>
    </w:pPr>
    <w:rPr>
      <w:rFonts w:cs="仿宋"/>
      <w:szCs w:val="24"/>
    </w:rPr>
  </w:style>
  <w:style w:type="character" w:customStyle="1" w:styleId="31">
    <w:name w:val="蚌埠范本-标题-二级-黑体-四号-左对齐 Char"/>
    <w:link w:val="26"/>
    <w:qFormat/>
    <w:uiPriority w:val="0"/>
    <w:rPr>
      <w:rFonts w:ascii="Times New Roman" w:hAnsi="Times New Roman" w:eastAsia="黑体" w:cs="黑体"/>
      <w:snapToGrid w:val="0"/>
      <w:sz w:val="28"/>
      <w:szCs w:val="28"/>
    </w:rPr>
  </w:style>
  <w:style w:type="character" w:customStyle="1" w:styleId="32">
    <w:name w:val="蚌埠范本-表格-宋体-五号-两端对齐 Char"/>
    <w:link w:val="30"/>
    <w:qFormat/>
    <w:uiPriority w:val="0"/>
    <w:rPr>
      <w:rFonts w:cs="仿宋"/>
      <w:szCs w:val="24"/>
    </w:rPr>
  </w:style>
  <w:style w:type="paragraph" w:customStyle="1" w:styleId="33">
    <w:name w:val="蚌埠范本-标题-三级-黑体-小四-左对齐-固定值20"/>
    <w:basedOn w:val="1"/>
    <w:autoRedefine/>
    <w:qFormat/>
    <w:uiPriority w:val="0"/>
    <w:pPr>
      <w:keepNext/>
      <w:keepLines/>
      <w:adjustRightInd w:val="0"/>
      <w:spacing w:line="400" w:lineRule="exact"/>
      <w:jc w:val="left"/>
      <w:outlineLvl w:val="2"/>
    </w:pPr>
    <w:rPr>
      <w:rFonts w:ascii="Times New Roman" w:hAnsi="Times New Roman" w:eastAsia="黑体" w:cs="黑体"/>
      <w:snapToGrid w:val="0"/>
      <w:color w:val="000000"/>
      <w:sz w:val="24"/>
      <w:szCs w:val="24"/>
      <w:lang w:val="zh-CN"/>
    </w:rPr>
  </w:style>
  <w:style w:type="paragraph" w:customStyle="1" w:styleId="34">
    <w:name w:val="蚌埠范本-正文-宋体-五号-居中-单倍行距"/>
    <w:basedOn w:val="1"/>
    <w:autoRedefine/>
    <w:qFormat/>
    <w:uiPriority w:val="0"/>
    <w:pPr>
      <w:jc w:val="center"/>
    </w:pPr>
    <w:rPr>
      <w:rFonts w:hint="eastAsia" w:ascii="黑体" w:hAnsi="黑体" w:cs="黑体"/>
      <w:bCs w:val="0"/>
      <w:snapToGrid w:val="0"/>
      <w:szCs w:val="32"/>
    </w:rPr>
  </w:style>
  <w:style w:type="paragraph" w:customStyle="1" w:styleId="35">
    <w:name w:val="蚌埠范本-封面第二行-黑体-初号"/>
    <w:basedOn w:val="1"/>
    <w:next w:val="1"/>
    <w:autoRedefine/>
    <w:qFormat/>
    <w:uiPriority w:val="0"/>
    <w:pPr>
      <w:adjustRightInd w:val="0"/>
      <w:jc w:val="center"/>
    </w:pPr>
    <w:rPr>
      <w:rFonts w:hint="eastAsia" w:ascii="仿宋_GB2312" w:hAnsi="仿宋_GB2312" w:eastAsia="黑体" w:cs="仿宋_GB2312"/>
      <w:snapToGrid w:val="0"/>
      <w:color w:val="000000"/>
      <w:kern w:val="0"/>
      <w:sz w:val="84"/>
      <w:szCs w:val="28"/>
    </w:rPr>
  </w:style>
  <w:style w:type="paragraph" w:customStyle="1" w:styleId="36">
    <w:name w:val="蚌埠范本-正文-宋体-五号-首行缩进4字符"/>
    <w:basedOn w:val="1"/>
    <w:autoRedefine/>
    <w:qFormat/>
    <w:uiPriority w:val="0"/>
    <w:pPr>
      <w:keepNext/>
      <w:keepLines/>
      <w:adjustRightInd w:val="0"/>
      <w:spacing w:line="360" w:lineRule="auto"/>
      <w:ind w:firstLine="400" w:firstLineChars="400"/>
    </w:pPr>
    <w:rPr>
      <w:rFonts w:hint="eastAsia"/>
      <w:snapToGrid w:val="0"/>
      <w:color w:val="000000"/>
      <w:szCs w:val="20"/>
    </w:rPr>
  </w:style>
  <w:style w:type="paragraph" w:customStyle="1" w:styleId="37">
    <w:name w:val="蚌埠范本-目录一级-黑体-五号"/>
    <w:basedOn w:val="1"/>
    <w:autoRedefine/>
    <w:qFormat/>
    <w:uiPriority w:val="0"/>
    <w:pPr>
      <w:spacing w:line="400" w:lineRule="exact"/>
      <w:jc w:val="left"/>
    </w:pPr>
    <w:rPr>
      <w:rFonts w:hint="eastAsia" w:ascii="黑体" w:hAnsi="黑体" w:eastAsia="黑体" w:cs="仿宋"/>
      <w:bCs w:val="0"/>
      <w:snapToGrid w:val="0"/>
      <w:color w:val="000000"/>
      <w:szCs w:val="24"/>
    </w:rPr>
  </w:style>
  <w:style w:type="character" w:customStyle="1" w:styleId="38">
    <w:name w:val="蚌埠范本-标题-一级-黑体-三号 Char"/>
    <w:link w:val="24"/>
    <w:qFormat/>
    <w:uiPriority w:val="0"/>
    <w:rPr>
      <w:rFonts w:ascii="黑体" w:hAnsi="黑体" w:eastAsia="黑体" w:cs="黑体"/>
      <w:snapToGrid w:val="0"/>
      <w:kern w:val="44"/>
      <w:sz w:val="32"/>
      <w:szCs w:val="44"/>
      <w:lang w:val="zh-CN"/>
    </w:rPr>
  </w:style>
  <w:style w:type="character" w:customStyle="1" w:styleId="39">
    <w:name w:val="蚌埠范本-标题-黑体-二号-居中-单倍行距 Char"/>
    <w:link w:val="19"/>
    <w:qFormat/>
    <w:uiPriority w:val="0"/>
    <w:rPr>
      <w:rFonts w:hint="eastAsia" w:ascii="黑体" w:hAnsi="黑体" w:eastAsia="黑体" w:cs="仿宋"/>
      <w:snapToGrid w:val="0"/>
      <w:color w:val="000000"/>
      <w:sz w:val="44"/>
      <w:szCs w:val="44"/>
    </w:rPr>
  </w:style>
  <w:style w:type="paragraph" w:customStyle="1" w:styleId="40">
    <w:name w:val="蚌埠范本-封面第三行-楷体-小一"/>
    <w:basedOn w:val="1"/>
    <w:next w:val="1"/>
    <w:autoRedefine/>
    <w:qFormat/>
    <w:uiPriority w:val="0"/>
    <w:pPr>
      <w:adjustRightInd w:val="0"/>
      <w:jc w:val="center"/>
    </w:pPr>
    <w:rPr>
      <w:rFonts w:hint="eastAsia" w:ascii="楷体_GB2312" w:hAnsi="楷体_GB2312" w:eastAsia="楷体_GB2312" w:cs="仿宋"/>
      <w:snapToGrid w:val="0"/>
      <w:color w:val="000000"/>
      <w:sz w:val="48"/>
      <w:szCs w:val="48"/>
    </w:rPr>
  </w:style>
  <w:style w:type="table" w:customStyle="1" w:styleId="41">
    <w:name w:val="网格型1"/>
    <w:basedOn w:val="12"/>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5.wmf"/><Relationship Id="rId28" Type="http://schemas.openxmlformats.org/officeDocument/2006/relationships/oleObject" Target="embeddings/oleObject5.bin"/><Relationship Id="rId27" Type="http://schemas.openxmlformats.org/officeDocument/2006/relationships/image" Target="media/image4.wmf"/><Relationship Id="rId26" Type="http://schemas.openxmlformats.org/officeDocument/2006/relationships/oleObject" Target="embeddings/oleObject4.bin"/><Relationship Id="rId25" Type="http://schemas.openxmlformats.org/officeDocument/2006/relationships/image" Target="media/image3.wmf"/><Relationship Id="rId24" Type="http://schemas.openxmlformats.org/officeDocument/2006/relationships/oleObject" Target="embeddings/oleObject3.bin"/><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231</Pages>
  <Words>7125</Words>
  <Characters>7951</Characters>
  <Lines>0</Lines>
  <Paragraphs>0</Paragraphs>
  <TotalTime>1</TotalTime>
  <ScaleCrop>false</ScaleCrop>
  <LinksUpToDate>false</LinksUpToDate>
  <CharactersWithSpaces>8144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2025-04-02T07:43:00Z</dcterms:created>
  <dc:creator>秋水凉</dc:creator>
  <cp:lastModifiedBy>。</cp:lastModifiedBy>
  <dcterms:modified xsi:type="dcterms:W3CDTF">2026-01-28T08:21:51Z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4D7C8FAD7535485498F34A24D86579D5_13</vt:lpwstr>
  </property>
  <property fmtid="{D5CDD505-2E9C-101B-9397-08002B2CF9AE}" pid="4" name="KSOTemplateDocerSaveRecord">
    <vt:lpwstr>eyJoZGlkIjoiMzYwYTFlOGZiNjUzMGY0ZmU3NWQ1ZjZiZDYxMjNjNWYiLCJ1c2VySWQiOiI0ODEwMjU0OTMifQ==</vt:lpwstr>
  </property>
</Properties>
</file>