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tabs>
          <w:tab w:val="left" w:pos="0"/>
          <w:tab w:val="left" w:pos="420"/>
          <w:tab w:val="center" w:pos="4153"/>
        </w:tabs>
        <w:kinsoku/>
        <w:wordWrap/>
        <w:overflowPunct/>
        <w:topLinePunct w:val="0"/>
        <w:autoSpaceDE w:val="0"/>
        <w:autoSpaceDN w:val="0"/>
        <w:bidi w:val="0"/>
        <w:adjustRightInd w:val="0"/>
        <w:snapToGrid/>
        <w:spacing w:line="360" w:lineRule="auto"/>
        <w:jc w:val="center"/>
        <w:textAlignment w:val="auto"/>
        <w:outlineLvl w:val="0"/>
        <w:rPr>
          <w:rFonts w:hint="eastAsia" w:ascii="宋体" w:hAnsi="宋体" w:eastAsia="宋体" w:cs="宋体"/>
          <w:bCs/>
          <w:kern w:val="44"/>
          <w:sz w:val="44"/>
          <w:szCs w:val="44"/>
        </w:rPr>
      </w:pPr>
      <w:r>
        <w:rPr>
          <w:rFonts w:hint="eastAsia" w:ascii="宋体" w:hAnsi="宋体" w:eastAsia="宋体" w:cs="宋体"/>
          <w:bCs/>
          <w:kern w:val="44"/>
          <w:sz w:val="44"/>
          <w:szCs w:val="44"/>
        </w:rPr>
        <w:t>采办计划公告</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bookmarkStart w:id="0" w:name="OLE_LINK1"/>
      <w:bookmarkStart w:id="1" w:name="OLE_LINK5"/>
      <w:r>
        <w:rPr>
          <w:rFonts w:hint="eastAsia" w:ascii="宋体" w:hAnsi="宋体" w:eastAsia="宋体" w:cs="宋体"/>
          <w:sz w:val="24"/>
          <w:szCs w:val="24"/>
        </w:rPr>
        <w:t>为便于供应商及时了解项目</w:t>
      </w:r>
      <w:r>
        <w:rPr>
          <w:rFonts w:hint="eastAsia" w:ascii="宋体" w:hAnsi="宋体" w:eastAsia="宋体" w:cs="宋体"/>
          <w:sz w:val="24"/>
          <w:szCs w:val="24"/>
          <w:lang w:val="en-US" w:eastAsia="zh-CN"/>
        </w:rPr>
        <w:t>采购</w:t>
      </w:r>
      <w:r>
        <w:rPr>
          <w:rFonts w:hint="eastAsia" w:ascii="宋体" w:hAnsi="宋体" w:eastAsia="宋体" w:cs="宋体"/>
          <w:sz w:val="24"/>
          <w:szCs w:val="24"/>
        </w:rPr>
        <w:t>信息，现将浙江LNG</w:t>
      </w:r>
      <w:r>
        <w:rPr>
          <w:rFonts w:hint="eastAsia" w:ascii="宋体" w:hAnsi="宋体" w:eastAsia="宋体" w:cs="宋体"/>
          <w:sz w:val="24"/>
          <w:szCs w:val="24"/>
          <w:lang w:val="en-US" w:eastAsia="zh-CN"/>
        </w:rPr>
        <w:t xml:space="preserve"> 2025年8月第二</w:t>
      </w:r>
      <w:bookmarkStart w:id="2" w:name="_GoBack"/>
      <w:bookmarkEnd w:id="2"/>
      <w:r>
        <w:rPr>
          <w:rFonts w:hint="eastAsia" w:ascii="宋体" w:hAnsi="宋体" w:eastAsia="宋体" w:cs="宋体"/>
          <w:sz w:val="24"/>
          <w:szCs w:val="24"/>
          <w:lang w:val="en-US" w:eastAsia="zh-CN"/>
        </w:rPr>
        <w:t>批采购项目的采购计划</w:t>
      </w:r>
      <w:r>
        <w:rPr>
          <w:rFonts w:hint="eastAsia" w:ascii="宋体" w:hAnsi="宋体" w:eastAsia="宋体" w:cs="宋体"/>
          <w:sz w:val="24"/>
          <w:szCs w:val="24"/>
        </w:rPr>
        <w:t>公开如下：</w:t>
      </w:r>
    </w:p>
    <w:tbl>
      <w:tblPr>
        <w:tblStyle w:val="14"/>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72"/>
        <w:gridCol w:w="2297"/>
        <w:gridCol w:w="1701"/>
        <w:gridCol w:w="241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672" w:type="dxa"/>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采办包</w:t>
            </w:r>
          </w:p>
          <w:p>
            <w:pPr>
              <w:pageBreakBefore w:val="0"/>
              <w:kinsoku/>
              <w:wordWrap/>
              <w:overflowPunct/>
              <w:topLinePunct w:val="0"/>
              <w:bidi w:val="0"/>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名称</w:t>
            </w:r>
          </w:p>
        </w:tc>
        <w:tc>
          <w:tcPr>
            <w:tcW w:w="2297" w:type="dxa"/>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采购范围与主要技术指标</w:t>
            </w:r>
          </w:p>
        </w:tc>
        <w:tc>
          <w:tcPr>
            <w:tcW w:w="1701" w:type="dxa"/>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预计发标时间</w:t>
            </w:r>
          </w:p>
          <w:p>
            <w:pPr>
              <w:pageBreakBefore w:val="0"/>
              <w:kinsoku/>
              <w:wordWrap/>
              <w:overflowPunct/>
              <w:topLinePunct w:val="0"/>
              <w:bidi w:val="0"/>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（填写到月）</w:t>
            </w:r>
          </w:p>
        </w:tc>
        <w:tc>
          <w:tcPr>
            <w:tcW w:w="2410" w:type="dxa"/>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供应商资质基本要求</w:t>
            </w:r>
          </w:p>
        </w:tc>
        <w:tc>
          <w:tcPr>
            <w:tcW w:w="709" w:type="dxa"/>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09" w:type="dxa"/>
            <w:vAlign w:val="center"/>
          </w:tcPr>
          <w:p>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672"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浙江LNG储罐BLTD和LT国产化替代及2026-2028年维保服务</w:t>
            </w:r>
          </w:p>
        </w:tc>
        <w:tc>
          <w:tcPr>
            <w:tcW w:w="2297"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zh-CN" w:eastAsia="zh-CN"/>
              </w:rPr>
              <w:t>浙江LNG现有6座16万方LNG储罐，每个储罐分别安装1台</w:t>
            </w:r>
            <w:r>
              <w:rPr>
                <w:rFonts w:hint="eastAsia" w:ascii="宋体" w:hAnsi="宋体" w:eastAsia="宋体" w:cs="宋体"/>
                <w:sz w:val="24"/>
                <w:szCs w:val="24"/>
                <w:lang w:val="en-US" w:eastAsia="zh-CN"/>
              </w:rPr>
              <w:t>液位温度密度计</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以下简称“</w:t>
            </w:r>
            <w:r>
              <w:rPr>
                <w:rFonts w:hint="eastAsia" w:ascii="宋体" w:hAnsi="宋体" w:eastAsia="宋体" w:cs="宋体"/>
                <w:sz w:val="24"/>
                <w:szCs w:val="24"/>
                <w:lang w:val="zh-CN" w:eastAsia="zh-CN"/>
              </w:rPr>
              <w:t>LTD”）和3台</w:t>
            </w:r>
            <w:r>
              <w:rPr>
                <w:rFonts w:hint="eastAsia" w:ascii="宋体" w:hAnsi="宋体" w:eastAsia="宋体" w:cs="宋体"/>
                <w:sz w:val="24"/>
                <w:szCs w:val="24"/>
                <w:lang w:val="en-US" w:eastAsia="zh-CN"/>
              </w:rPr>
              <w:t>伺服液位计</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以下简称“LT”</w:t>
            </w:r>
            <w:r>
              <w:rPr>
                <w:rFonts w:hint="eastAsia" w:ascii="宋体" w:hAnsi="宋体" w:eastAsia="宋体" w:cs="宋体"/>
                <w:sz w:val="24"/>
                <w:szCs w:val="24"/>
                <w:lang w:val="zh-CN" w:eastAsia="zh-CN"/>
              </w:rPr>
              <w:t>），品牌均为法国瓦锡兰（WHESSOE）。</w:t>
            </w:r>
            <w:r>
              <w:rPr>
                <w:rFonts w:hint="eastAsia" w:ascii="宋体" w:hAnsi="宋体" w:eastAsia="宋体" w:cs="宋体"/>
                <w:sz w:val="24"/>
                <w:szCs w:val="24"/>
                <w:lang w:val="en-US" w:eastAsia="zh-CN"/>
              </w:rPr>
              <w:t>LTD和LT</w:t>
            </w:r>
            <w:r>
              <w:rPr>
                <w:rFonts w:hint="eastAsia" w:ascii="宋体" w:hAnsi="宋体" w:eastAsia="宋体" w:cs="宋体"/>
                <w:sz w:val="24"/>
                <w:szCs w:val="24"/>
                <w:lang w:val="zh-CN" w:eastAsia="zh-CN"/>
              </w:rPr>
              <w:t>作为接收站的关键仪表设备，推动其国产化有助于保障生产安全，降低生产成本，保障</w:t>
            </w:r>
            <w:r>
              <w:rPr>
                <w:rFonts w:hint="eastAsia" w:ascii="宋体" w:hAnsi="宋体" w:eastAsia="宋体" w:cs="宋体"/>
                <w:sz w:val="24"/>
                <w:szCs w:val="24"/>
                <w:lang w:val="en-US" w:eastAsia="zh-CN"/>
              </w:rPr>
              <w:t>LNG</w:t>
            </w:r>
            <w:r>
              <w:rPr>
                <w:rFonts w:hint="eastAsia" w:ascii="宋体" w:hAnsi="宋体" w:eastAsia="宋体" w:cs="宋体"/>
                <w:sz w:val="24"/>
                <w:szCs w:val="24"/>
                <w:lang w:val="zh-CN" w:eastAsia="zh-CN"/>
              </w:rPr>
              <w:t>储罐仪表设备的安全稳定运行。</w:t>
            </w:r>
          </w:p>
        </w:tc>
        <w:tc>
          <w:tcPr>
            <w:tcW w:w="1701"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2025年8月</w:t>
            </w:r>
          </w:p>
        </w:tc>
        <w:tc>
          <w:tcPr>
            <w:tcW w:w="2410" w:type="dxa"/>
            <w:vAlign w:val="center"/>
          </w:tcPr>
          <w:p>
            <w:pP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1.资</w:t>
            </w:r>
            <w:r>
              <w:rPr>
                <w:rFonts w:hint="eastAsia" w:ascii="宋体" w:hAnsi="宋体" w:eastAsia="宋体" w:cs="宋体"/>
                <w:sz w:val="24"/>
                <w:szCs w:val="24"/>
                <w:lang w:val="en-US" w:eastAsia="zh-CN"/>
              </w:rPr>
              <w:t>格</w:t>
            </w:r>
            <w:r>
              <w:rPr>
                <w:rFonts w:hint="eastAsia" w:ascii="宋体" w:hAnsi="宋体" w:eastAsia="宋体" w:cs="宋体"/>
                <w:sz w:val="24"/>
                <w:szCs w:val="24"/>
                <w:lang w:val="zh-CN" w:eastAsia="zh-CN"/>
              </w:rPr>
              <w:t>要求：</w:t>
            </w:r>
          </w:p>
          <w:p>
            <w:pPr>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应答人应是符合下列条件的中华人民共和国境内具有独立承担民事责任能力的法人，或具备国家认可经营资格的其他组织：</w:t>
            </w:r>
          </w:p>
          <w:p>
            <w:pP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（1）应答人为企业的，应具有合法有效的企业法人营业执照、税务登记证及组织机构代码证或证照合一的营业执照，应答时需提供原件扫描件（原件备查）；</w:t>
            </w:r>
          </w:p>
          <w:p>
            <w:pP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（2）应答人为分公司的，应具有合法有效的营业执照和上级法人单位授权书，应答时需提供原件扫描件（原件备查）。分公司与上级法人单位只可一家参与应答，同时参与应答的，应答均无效；</w:t>
            </w:r>
          </w:p>
          <w:p>
            <w:pP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（3）应答人为事业单位的，应具有合法有效的事业单位法人证书，应答时需提供原件扫描件（原件备查）。</w:t>
            </w:r>
          </w:p>
          <w:p>
            <w:pPr>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2）制造商要求：应答人应为本次所投货物的制造商。本次公开询价不接受代理商或者贸易商应答。本次接受所投货物的制造商全资的销售公司或控股的销售公司，以及接受所投货物制造商的母公司参与投标，此类公司视同为制造商，应答时需提供相应的证明文件。同一制造商仅允许一家应答人参与应答，否则相关的所有应答将被否决。</w:t>
            </w:r>
          </w:p>
          <w:p>
            <w:pPr>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2.财务状况：</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答人须提供2022年至2024年经会计师事务所或审计机构审计的无保留意见的财务审计报告（成立时间不足三年应提供自成立之日起至2024年），该报告至少包括加盖会计师事务所印章的审计报告、资产负债表、现金流量表、利润表。</w:t>
            </w:r>
          </w:p>
          <w:p>
            <w:pPr>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.业绩要求：</w:t>
            </w:r>
          </w:p>
          <w:p>
            <w:pP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（1）2020年1月1日至</w:t>
            </w:r>
            <w:r>
              <w:rPr>
                <w:rFonts w:hint="eastAsia" w:ascii="宋体" w:hAnsi="宋体" w:eastAsia="宋体" w:cs="宋体"/>
                <w:sz w:val="24"/>
                <w:szCs w:val="24"/>
                <w:lang w:val="en-US" w:eastAsia="zh-CN"/>
              </w:rPr>
              <w:t>应答</w:t>
            </w:r>
            <w:r>
              <w:rPr>
                <w:rFonts w:hint="eastAsia" w:ascii="宋体" w:hAnsi="宋体" w:eastAsia="宋体" w:cs="宋体"/>
                <w:sz w:val="24"/>
                <w:szCs w:val="24"/>
                <w:lang w:val="zh-CN" w:eastAsia="zh-CN"/>
              </w:rPr>
              <w:t>截止日，应答人应具有至少一项同时符合以下</w:t>
            </w: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个条件的</w:t>
            </w:r>
            <w:r>
              <w:rPr>
                <w:rFonts w:hint="eastAsia" w:ascii="宋体" w:hAnsi="宋体" w:eastAsia="宋体" w:cs="宋体"/>
                <w:sz w:val="24"/>
                <w:szCs w:val="24"/>
                <w:lang w:val="en-US" w:eastAsia="zh-CN"/>
              </w:rPr>
              <w:t>供货</w:t>
            </w:r>
            <w:r>
              <w:rPr>
                <w:rFonts w:hint="eastAsia" w:ascii="宋体" w:hAnsi="宋体" w:eastAsia="宋体" w:cs="宋体"/>
                <w:sz w:val="24"/>
                <w:szCs w:val="24"/>
                <w:lang w:val="zh-CN" w:eastAsia="zh-CN"/>
              </w:rPr>
              <w:t>业绩：</w:t>
            </w:r>
          </w:p>
          <w:p>
            <w:pP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①已完成；</w:t>
            </w:r>
          </w:p>
          <w:p>
            <w:pPr>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②</w:t>
            </w:r>
            <w:r>
              <w:rPr>
                <w:rFonts w:hint="eastAsia" w:ascii="宋体" w:hAnsi="宋体" w:eastAsia="宋体" w:cs="宋体"/>
                <w:sz w:val="24"/>
                <w:szCs w:val="24"/>
                <w:lang w:val="en-US" w:eastAsia="zh-CN"/>
              </w:rPr>
              <w:t>供货范围包含以下任意一项内容：</w:t>
            </w:r>
          </w:p>
          <w:p>
            <w:pPr>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a.伺服液位计（测量介质温度参数：-160℃至40℃）</w:t>
            </w:r>
            <w:r>
              <w:rPr>
                <w:rFonts w:hint="eastAsia" w:ascii="宋体" w:hAnsi="宋体" w:eastAsia="宋体" w:cs="宋体"/>
                <w:sz w:val="24"/>
                <w:szCs w:val="24"/>
                <w:lang w:val="zh-CN" w:eastAsia="zh-CN"/>
              </w:rPr>
              <w:t>；</w:t>
            </w:r>
          </w:p>
          <w:p>
            <w:pPr>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b.液位温度密度计（测量介质温度参数：-160℃至40℃）。</w:t>
            </w:r>
          </w:p>
          <w:p>
            <w:pP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w:t>
            </w:r>
            <w:r>
              <w:rPr>
                <w:rFonts w:hint="eastAsia" w:ascii="宋体" w:hAnsi="宋体" w:eastAsia="宋体" w:cs="宋体"/>
                <w:sz w:val="24"/>
                <w:szCs w:val="24"/>
                <w:lang w:val="en-US" w:eastAsia="zh-CN"/>
              </w:rPr>
              <w:t>应答人</w:t>
            </w:r>
            <w:r>
              <w:rPr>
                <w:rFonts w:hint="eastAsia" w:ascii="宋体" w:hAnsi="宋体" w:eastAsia="宋体" w:cs="宋体"/>
                <w:sz w:val="24"/>
                <w:szCs w:val="24"/>
                <w:lang w:val="zh-CN" w:eastAsia="zh-CN"/>
              </w:rPr>
              <w:t>须按规定格式提交业绩表，并提交相关业绩证明文件。业绩证明文件应包括合同关键页复印件和</w:t>
            </w:r>
            <w:r>
              <w:rPr>
                <w:rFonts w:hint="eastAsia" w:ascii="宋体" w:hAnsi="宋体" w:eastAsia="宋体" w:cs="宋体"/>
                <w:sz w:val="24"/>
                <w:szCs w:val="24"/>
                <w:lang w:val="en-US" w:eastAsia="zh-CN"/>
              </w:rPr>
              <w:t>到货验收</w:t>
            </w:r>
            <w:r>
              <w:rPr>
                <w:rFonts w:hint="eastAsia" w:ascii="宋体" w:hAnsi="宋体" w:eastAsia="宋体" w:cs="宋体"/>
                <w:sz w:val="24"/>
                <w:szCs w:val="24"/>
                <w:lang w:val="zh-CN" w:eastAsia="zh-CN"/>
              </w:rPr>
              <w:t>证明文件（如：物资</w:t>
            </w:r>
            <w:r>
              <w:rPr>
                <w:rFonts w:hint="eastAsia" w:ascii="宋体" w:hAnsi="宋体" w:eastAsia="宋体" w:cs="宋体"/>
                <w:sz w:val="24"/>
                <w:szCs w:val="24"/>
                <w:lang w:val="en-US" w:eastAsia="zh-CN"/>
              </w:rPr>
              <w:t>入库</w:t>
            </w:r>
            <w:r>
              <w:rPr>
                <w:rFonts w:hint="eastAsia" w:ascii="宋体" w:hAnsi="宋体" w:eastAsia="宋体" w:cs="宋体"/>
                <w:sz w:val="24"/>
                <w:szCs w:val="24"/>
                <w:lang w:val="zh-CN" w:eastAsia="zh-CN"/>
              </w:rPr>
              <w:t>单</w:t>
            </w:r>
            <w:r>
              <w:rPr>
                <w:rFonts w:hint="eastAsia" w:ascii="宋体" w:hAnsi="宋体" w:eastAsia="宋体" w:cs="宋体"/>
                <w:sz w:val="24"/>
                <w:szCs w:val="24"/>
                <w:lang w:val="en-US" w:eastAsia="zh-CN"/>
              </w:rPr>
              <w:t>或物资验收单或结算证明文件</w:t>
            </w:r>
            <w:r>
              <w:rPr>
                <w:rFonts w:hint="eastAsia" w:ascii="宋体" w:hAnsi="宋体" w:eastAsia="宋体" w:cs="宋体"/>
                <w:sz w:val="24"/>
                <w:szCs w:val="24"/>
                <w:lang w:val="zh-CN" w:eastAsia="zh-CN"/>
              </w:rPr>
              <w:t>等能够证明</w:t>
            </w:r>
            <w:r>
              <w:rPr>
                <w:rFonts w:hint="eastAsia" w:ascii="宋体" w:hAnsi="宋体" w:eastAsia="宋体" w:cs="宋体"/>
                <w:sz w:val="24"/>
                <w:szCs w:val="24"/>
                <w:lang w:val="en-US" w:eastAsia="zh-CN"/>
              </w:rPr>
              <w:t>货物</w:t>
            </w:r>
            <w:r>
              <w:rPr>
                <w:rFonts w:hint="eastAsia" w:ascii="宋体" w:hAnsi="宋体" w:eastAsia="宋体" w:cs="宋体"/>
                <w:sz w:val="24"/>
                <w:szCs w:val="24"/>
                <w:lang w:val="zh-CN" w:eastAsia="zh-CN"/>
              </w:rPr>
              <w:t>到货</w:t>
            </w:r>
            <w:r>
              <w:rPr>
                <w:rFonts w:hint="eastAsia" w:ascii="宋体" w:hAnsi="宋体" w:eastAsia="宋体" w:cs="宋体"/>
                <w:sz w:val="24"/>
                <w:szCs w:val="24"/>
                <w:lang w:val="en-US" w:eastAsia="zh-CN"/>
              </w:rPr>
              <w:t>验收</w:t>
            </w:r>
            <w:r>
              <w:rPr>
                <w:rFonts w:hint="eastAsia" w:ascii="宋体" w:hAnsi="宋体" w:eastAsia="宋体" w:cs="宋体"/>
                <w:sz w:val="24"/>
                <w:szCs w:val="24"/>
                <w:lang w:val="zh-CN" w:eastAsia="zh-CN"/>
              </w:rPr>
              <w:t>的材料）等：</w:t>
            </w:r>
          </w:p>
          <w:p>
            <w:pP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①如业绩合同为单次合同。合同关键页应至少</w:t>
            </w:r>
            <w:r>
              <w:rPr>
                <w:rFonts w:hint="eastAsia" w:ascii="宋体" w:hAnsi="宋体" w:eastAsia="宋体" w:cs="宋体"/>
                <w:sz w:val="24"/>
                <w:szCs w:val="24"/>
                <w:lang w:val="en-US" w:eastAsia="zh-CN"/>
              </w:rPr>
              <w:t>体现以下内容：</w:t>
            </w:r>
            <w:r>
              <w:rPr>
                <w:rFonts w:hint="eastAsia" w:ascii="宋体" w:hAnsi="宋体" w:eastAsia="宋体" w:cs="宋体"/>
                <w:sz w:val="24"/>
                <w:szCs w:val="24"/>
                <w:lang w:val="zh-CN" w:eastAsia="zh-CN"/>
              </w:rPr>
              <w:t>合同项目名称、合同签署日期、合同签署页（</w:t>
            </w:r>
            <w:r>
              <w:rPr>
                <w:rFonts w:hint="eastAsia" w:ascii="宋体" w:hAnsi="宋体" w:eastAsia="宋体" w:cs="宋体"/>
                <w:sz w:val="24"/>
                <w:szCs w:val="24"/>
                <w:lang w:val="en-US" w:eastAsia="zh-CN"/>
              </w:rPr>
              <w:t>应有双方盖章）</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供货</w:t>
            </w:r>
            <w:r>
              <w:rPr>
                <w:rFonts w:hint="eastAsia" w:ascii="宋体" w:hAnsi="宋体" w:eastAsia="宋体" w:cs="宋体"/>
                <w:sz w:val="24"/>
                <w:szCs w:val="24"/>
                <w:lang w:val="zh-CN" w:eastAsia="zh-CN"/>
              </w:rPr>
              <w:t>范围描述或主要技术要求等；</w:t>
            </w:r>
            <w:r>
              <w:rPr>
                <w:rFonts w:hint="eastAsia" w:ascii="宋体" w:hAnsi="宋体" w:eastAsia="宋体" w:cs="宋体"/>
                <w:sz w:val="24"/>
                <w:szCs w:val="24"/>
                <w:lang w:val="en-US" w:eastAsia="zh-CN"/>
              </w:rPr>
              <w:t>到货验收</w:t>
            </w:r>
            <w:r>
              <w:rPr>
                <w:rFonts w:hint="eastAsia" w:ascii="宋体" w:hAnsi="宋体" w:eastAsia="宋体" w:cs="宋体"/>
                <w:sz w:val="24"/>
                <w:szCs w:val="24"/>
                <w:lang w:val="zh-CN" w:eastAsia="zh-CN"/>
              </w:rPr>
              <w:t>证明文件应能够证明合同</w:t>
            </w:r>
            <w:r>
              <w:rPr>
                <w:rFonts w:hint="eastAsia" w:ascii="宋体" w:hAnsi="宋体" w:eastAsia="宋体" w:cs="宋体"/>
                <w:sz w:val="24"/>
                <w:szCs w:val="24"/>
                <w:lang w:val="en-US" w:eastAsia="zh-CN"/>
              </w:rPr>
              <w:t>货物到货验收</w:t>
            </w:r>
            <w:r>
              <w:rPr>
                <w:rFonts w:hint="eastAsia" w:ascii="宋体" w:hAnsi="宋体" w:eastAsia="宋体" w:cs="宋体"/>
                <w:sz w:val="24"/>
                <w:szCs w:val="24"/>
                <w:lang w:val="zh-CN" w:eastAsia="zh-CN"/>
              </w:rPr>
              <w:t>的材料；</w:t>
            </w:r>
          </w:p>
          <w:p>
            <w:pP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②如业绩合同为框架协议或长期协议等以单价结算的订单方式执行的合同，则该协议视为1项</w:t>
            </w:r>
            <w:r>
              <w:rPr>
                <w:rFonts w:hint="eastAsia" w:ascii="宋体" w:hAnsi="宋体" w:eastAsia="宋体" w:cs="宋体"/>
                <w:sz w:val="24"/>
                <w:szCs w:val="24"/>
                <w:lang w:val="en-US" w:eastAsia="zh-CN"/>
              </w:rPr>
              <w:t>供货</w:t>
            </w:r>
            <w:r>
              <w:rPr>
                <w:rFonts w:hint="eastAsia" w:ascii="宋体" w:hAnsi="宋体" w:eastAsia="宋体" w:cs="宋体"/>
                <w:sz w:val="24"/>
                <w:szCs w:val="24"/>
                <w:lang w:val="zh-CN" w:eastAsia="zh-CN"/>
              </w:rPr>
              <w:t>业绩。合同关键页应至少</w:t>
            </w:r>
            <w:r>
              <w:rPr>
                <w:rFonts w:hint="eastAsia" w:ascii="宋体" w:hAnsi="宋体" w:eastAsia="宋体" w:cs="宋体"/>
                <w:sz w:val="24"/>
                <w:szCs w:val="24"/>
                <w:lang w:val="en-US" w:eastAsia="zh-CN"/>
              </w:rPr>
              <w:t>体现以下内容：</w:t>
            </w:r>
            <w:r>
              <w:rPr>
                <w:rFonts w:hint="eastAsia" w:ascii="宋体" w:hAnsi="宋体" w:eastAsia="宋体" w:cs="宋体"/>
                <w:sz w:val="24"/>
                <w:szCs w:val="24"/>
                <w:lang w:val="zh-CN" w:eastAsia="zh-CN"/>
              </w:rPr>
              <w:t>框架协议或长期协议的合同项目名称、合同签署日期、合同签署页（</w:t>
            </w:r>
            <w:r>
              <w:rPr>
                <w:rFonts w:hint="eastAsia" w:ascii="宋体" w:hAnsi="宋体" w:eastAsia="宋体" w:cs="宋体"/>
                <w:sz w:val="24"/>
                <w:szCs w:val="24"/>
                <w:lang w:val="en-US" w:eastAsia="zh-CN"/>
              </w:rPr>
              <w:t>应有双方盖章）</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供货</w:t>
            </w:r>
            <w:r>
              <w:rPr>
                <w:rFonts w:hint="eastAsia" w:ascii="宋体" w:hAnsi="宋体" w:eastAsia="宋体" w:cs="宋体"/>
                <w:sz w:val="24"/>
                <w:szCs w:val="24"/>
                <w:lang w:val="zh-CN" w:eastAsia="zh-CN"/>
              </w:rPr>
              <w:t>范围描述或主要技术要求等及已完成的订单项目名称、订单签署日期、订单签署页、</w:t>
            </w:r>
            <w:r>
              <w:rPr>
                <w:rFonts w:hint="eastAsia" w:ascii="宋体" w:hAnsi="宋体" w:eastAsia="宋体" w:cs="宋体"/>
                <w:sz w:val="24"/>
                <w:szCs w:val="24"/>
                <w:lang w:val="en-US" w:eastAsia="zh-CN"/>
              </w:rPr>
              <w:t>供货</w:t>
            </w:r>
            <w:r>
              <w:rPr>
                <w:rFonts w:hint="eastAsia" w:ascii="宋体" w:hAnsi="宋体" w:eastAsia="宋体" w:cs="宋体"/>
                <w:sz w:val="24"/>
                <w:szCs w:val="24"/>
                <w:lang w:val="zh-CN" w:eastAsia="zh-CN"/>
              </w:rPr>
              <w:t>范围描述或主要技术要求等。</w:t>
            </w:r>
            <w:r>
              <w:rPr>
                <w:rFonts w:hint="eastAsia" w:ascii="宋体" w:hAnsi="宋体" w:eastAsia="宋体" w:cs="宋体"/>
                <w:sz w:val="24"/>
                <w:szCs w:val="24"/>
                <w:lang w:val="en-US" w:eastAsia="zh-CN"/>
              </w:rPr>
              <w:t>到货验收</w:t>
            </w:r>
            <w:r>
              <w:rPr>
                <w:rFonts w:hint="eastAsia" w:ascii="宋体" w:hAnsi="宋体" w:eastAsia="宋体" w:cs="宋体"/>
                <w:sz w:val="24"/>
                <w:szCs w:val="24"/>
                <w:lang w:val="zh-CN" w:eastAsia="zh-CN"/>
              </w:rPr>
              <w:t>证明文件应为订单所对应的能够证明订单</w:t>
            </w:r>
            <w:r>
              <w:rPr>
                <w:rFonts w:hint="eastAsia" w:ascii="宋体" w:hAnsi="宋体" w:eastAsia="宋体" w:cs="宋体"/>
                <w:sz w:val="24"/>
                <w:szCs w:val="24"/>
                <w:lang w:val="en-US" w:eastAsia="zh-CN"/>
              </w:rPr>
              <w:t>货物到货验收</w:t>
            </w:r>
            <w:r>
              <w:rPr>
                <w:rFonts w:hint="eastAsia" w:ascii="宋体" w:hAnsi="宋体" w:eastAsia="宋体" w:cs="宋体"/>
                <w:sz w:val="24"/>
                <w:szCs w:val="24"/>
                <w:lang w:val="zh-CN" w:eastAsia="zh-CN"/>
              </w:rPr>
              <w:t>的材料；</w:t>
            </w:r>
          </w:p>
          <w:p>
            <w:pP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③未提供业绩证明文件或所提供的合同（及订单）关键页复印件和</w:t>
            </w:r>
            <w:r>
              <w:rPr>
                <w:rFonts w:hint="eastAsia" w:ascii="宋体" w:hAnsi="宋体" w:eastAsia="宋体" w:cs="宋体"/>
                <w:sz w:val="24"/>
                <w:szCs w:val="24"/>
                <w:lang w:val="en-US" w:eastAsia="zh-CN"/>
              </w:rPr>
              <w:t>到货验收</w:t>
            </w:r>
            <w:r>
              <w:rPr>
                <w:rFonts w:hint="eastAsia" w:ascii="宋体" w:hAnsi="宋体" w:eastAsia="宋体" w:cs="宋体"/>
                <w:sz w:val="24"/>
                <w:szCs w:val="24"/>
                <w:lang w:val="zh-CN" w:eastAsia="zh-CN"/>
              </w:rPr>
              <w:t>证明</w:t>
            </w:r>
            <w:r>
              <w:rPr>
                <w:rFonts w:hint="eastAsia" w:ascii="宋体" w:hAnsi="宋体" w:eastAsia="宋体" w:cs="宋体"/>
                <w:sz w:val="24"/>
                <w:szCs w:val="24"/>
                <w:lang w:val="en-US" w:eastAsia="zh-CN"/>
              </w:rPr>
              <w:t>文件</w:t>
            </w:r>
            <w:r>
              <w:rPr>
                <w:rFonts w:hint="eastAsia" w:ascii="宋体" w:hAnsi="宋体" w:eastAsia="宋体" w:cs="宋体"/>
                <w:sz w:val="24"/>
                <w:szCs w:val="24"/>
                <w:lang w:val="zh-CN" w:eastAsia="zh-CN"/>
              </w:rPr>
              <w:t>等证明材料无法认定上述业绩要求的，均视为无效业绩。</w:t>
            </w:r>
          </w:p>
          <w:p>
            <w:pP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④业绩认定时间：以</w:t>
            </w:r>
            <w:r>
              <w:rPr>
                <w:rFonts w:hint="eastAsia" w:ascii="宋体" w:hAnsi="宋体" w:eastAsia="宋体" w:cs="宋体"/>
                <w:sz w:val="24"/>
                <w:szCs w:val="24"/>
                <w:lang w:val="en-US" w:eastAsia="zh-CN"/>
              </w:rPr>
              <w:t>到货验收</w:t>
            </w:r>
            <w:r>
              <w:rPr>
                <w:rFonts w:hint="eastAsia" w:ascii="宋体" w:hAnsi="宋体" w:eastAsia="宋体" w:cs="宋体"/>
                <w:sz w:val="24"/>
                <w:szCs w:val="24"/>
                <w:lang w:val="zh-CN" w:eastAsia="zh-CN"/>
              </w:rPr>
              <w:t>证明文件签字时间为准；如材料中各方签字日期时间不一致，以最晚签字日期为准。</w:t>
            </w:r>
          </w:p>
          <w:p>
            <w:pPr>
              <w:rPr>
                <w:rFonts w:hint="eastAsia" w:ascii="宋体" w:hAnsi="宋体" w:eastAsia="宋体" w:cs="宋体"/>
                <w:kern w:val="2"/>
                <w:sz w:val="21"/>
                <w:szCs w:val="22"/>
                <w:lang w:val="en-US" w:eastAsia="zh-CN" w:bidi="ar-SA"/>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.须成立时间满1年（含1年）以上（提供世界或者国内首创产品的企业、市场无类似可替代产品的企业、或现有供应商因自身业务调整成立的全资/控股的子公司除外）。</w:t>
            </w:r>
          </w:p>
        </w:tc>
        <w:tc>
          <w:tcPr>
            <w:tcW w:w="709" w:type="dxa"/>
            <w:vAlign w:val="center"/>
          </w:tcPr>
          <w:p>
            <w:pPr>
              <w:spacing w:line="360" w:lineRule="auto"/>
              <w:jc w:val="lef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09" w:type="dxa"/>
            <w:vAlign w:val="center"/>
          </w:tcPr>
          <w:p>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672" w:type="dxa"/>
            <w:vAlign w:val="center"/>
          </w:tcPr>
          <w:p>
            <w:pPr>
              <w:pageBreakBefore w:val="0"/>
              <w:kinsoku/>
              <w:wordWrap w:val="0"/>
              <w:overflowPunct/>
              <w:topLinePunct w:val="0"/>
              <w:bidi w:val="0"/>
              <w:snapToGrid/>
              <w:spacing w:line="240" w:lineRule="auto"/>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rPr>
              <w:t>浙江LNG2025-2028年海水阀门整阀与备件采购</w:t>
            </w:r>
          </w:p>
        </w:tc>
        <w:tc>
          <w:tcPr>
            <w:tcW w:w="2297" w:type="dxa"/>
            <w:vAlign w:val="center"/>
          </w:tcPr>
          <w:p>
            <w:pPr>
              <w:pageBreakBefore w:val="0"/>
              <w:kinsoku/>
              <w:wordWrap/>
              <w:overflowPunct/>
              <w:topLinePunct w:val="0"/>
              <w:bidi w:val="0"/>
              <w:snapToGrid/>
              <w:spacing w:line="240" w:lineRule="auto"/>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海水阀是浙江LNG接收站海水系统的关键设备，为保障接收站海水系统稳定运行，根据设备检维修计划，拟进行海水阀门整阀及备件的采购。</w:t>
            </w:r>
          </w:p>
        </w:tc>
        <w:tc>
          <w:tcPr>
            <w:tcW w:w="1701" w:type="dxa"/>
            <w:vAlign w:val="center"/>
          </w:tcPr>
          <w:p>
            <w:pPr>
              <w:pageBreakBefore w:val="0"/>
              <w:kinsoku/>
              <w:wordWrap/>
              <w:overflowPunct/>
              <w:topLinePunct w:val="0"/>
              <w:bidi w:val="0"/>
              <w:snapToGrid/>
              <w:spacing w:line="240" w:lineRule="auto"/>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2025年8月</w:t>
            </w:r>
          </w:p>
        </w:tc>
        <w:tc>
          <w:tcPr>
            <w:tcW w:w="2410" w:type="dxa"/>
            <w:shd w:val="clear" w:color="auto" w:fill="auto"/>
            <w:vAlign w:val="center"/>
          </w:tcPr>
          <w:p>
            <w:pPr>
              <w:pStyle w:val="10"/>
              <w:spacing w:before="0" w:beforeAutospacing="0" w:after="0" w:afterAutospacing="0" w:line="240" w:lineRule="auto"/>
              <w:rPr>
                <w:rFonts w:hint="eastAsia" w:ascii="宋体" w:hAnsi="宋体" w:eastAsia="宋体" w:cs="宋体"/>
              </w:rPr>
            </w:pPr>
            <w:r>
              <w:rPr>
                <w:rFonts w:hint="eastAsia" w:ascii="宋体" w:hAnsi="宋体" w:eastAsia="宋体" w:cs="宋体"/>
              </w:rPr>
              <w:t>1.资格要求：</w:t>
            </w:r>
          </w:p>
          <w:p>
            <w:pPr>
              <w:pStyle w:val="10"/>
              <w:spacing w:before="0" w:beforeAutospacing="0" w:after="0" w:afterAutospacing="0" w:line="240" w:lineRule="auto"/>
              <w:rPr>
                <w:rFonts w:hint="eastAsia" w:ascii="宋体" w:hAnsi="宋体" w:eastAsia="宋体" w:cs="宋体"/>
              </w:rPr>
            </w:pPr>
            <w:r>
              <w:rPr>
                <w:rFonts w:hint="eastAsia" w:ascii="宋体" w:hAnsi="宋体" w:eastAsia="宋体" w:cs="宋体"/>
              </w:rPr>
              <w:t>1）应答人应是符合下列条件的中华人民共和国境内具有独立承担民事责任能力的法人，或具备国家认可经营资格的其他组织：</w:t>
            </w:r>
          </w:p>
          <w:p>
            <w:pPr>
              <w:pStyle w:val="10"/>
              <w:spacing w:before="0" w:beforeAutospacing="0" w:after="0" w:afterAutospacing="0" w:line="240" w:lineRule="auto"/>
              <w:rPr>
                <w:rFonts w:hint="eastAsia" w:ascii="宋体" w:hAnsi="宋体" w:eastAsia="宋体" w:cs="宋体"/>
              </w:rPr>
            </w:pPr>
            <w:r>
              <w:rPr>
                <w:rFonts w:hint="eastAsia" w:ascii="宋体" w:hAnsi="宋体" w:eastAsia="宋体" w:cs="宋体"/>
              </w:rPr>
              <w:t>（1）应答人为企业的，应具有合法有效的企业法人营业执照、税务登记证及组织机构代码证或证照合一的营业执照，应答时需提供原件扫描件（原件备查）；</w:t>
            </w:r>
          </w:p>
          <w:p>
            <w:pPr>
              <w:pStyle w:val="10"/>
              <w:spacing w:before="0" w:beforeAutospacing="0" w:after="0" w:afterAutospacing="0" w:line="240" w:lineRule="auto"/>
              <w:rPr>
                <w:rFonts w:hint="eastAsia" w:ascii="宋体" w:hAnsi="宋体" w:eastAsia="宋体" w:cs="宋体"/>
              </w:rPr>
            </w:pPr>
            <w:r>
              <w:rPr>
                <w:rFonts w:hint="eastAsia" w:ascii="宋体" w:hAnsi="宋体" w:eastAsia="宋体" w:cs="宋体"/>
              </w:rPr>
              <w:t>（2）应答人为分公司的，应具有合法有效的营业执照和上级法人单位授权书，应答时需提供原件扫描件（原件备查）。分公司与上级法人单位只可一家参与应答，同时参与应答的，应答均无效；</w:t>
            </w:r>
          </w:p>
          <w:p>
            <w:pPr>
              <w:pStyle w:val="10"/>
              <w:spacing w:before="0" w:beforeAutospacing="0" w:after="0" w:afterAutospacing="0" w:line="240" w:lineRule="auto"/>
              <w:rPr>
                <w:rFonts w:hint="eastAsia" w:ascii="宋体" w:hAnsi="宋体" w:eastAsia="宋体" w:cs="宋体"/>
              </w:rPr>
            </w:pPr>
            <w:r>
              <w:rPr>
                <w:rFonts w:hint="eastAsia" w:ascii="宋体" w:hAnsi="宋体" w:eastAsia="宋体" w:cs="宋体"/>
              </w:rPr>
              <w:t>（3）应答人为事业单位的，应具有合法有效的事业单位法人证书，应答时需提供原件扫描件（原件备查）。</w:t>
            </w:r>
          </w:p>
          <w:p>
            <w:pPr>
              <w:pStyle w:val="10"/>
              <w:spacing w:before="0" w:beforeAutospacing="0" w:after="0" w:afterAutospacing="0" w:line="240" w:lineRule="auto"/>
              <w:rPr>
                <w:rFonts w:hint="eastAsia" w:ascii="宋体" w:hAnsi="宋体" w:eastAsia="宋体" w:cs="宋体"/>
              </w:rPr>
            </w:pPr>
            <w:r>
              <w:rPr>
                <w:rFonts w:hint="eastAsia" w:ascii="宋体" w:hAnsi="宋体" w:eastAsia="宋体" w:cs="宋体"/>
              </w:rPr>
              <w:t>2）制造商要求：应答人应为本次所投货物的制造商。本次公开询价不接受代理商或者贸易商应答。本次接受所投货物的制造商全资的销售公司或控股的销售公司，以及接受所投货物制造商的母公司参与投标，此类公司视同为制造商，应答时需提供相应的证明文件。同一制造商仅允许一家应答人参与应答，否则相关的所有应答将被否决。</w:t>
            </w:r>
          </w:p>
          <w:p>
            <w:pPr>
              <w:pStyle w:val="10"/>
              <w:spacing w:before="0" w:beforeAutospacing="0" w:after="0" w:afterAutospacing="0" w:line="240" w:lineRule="auto"/>
              <w:rPr>
                <w:rFonts w:hint="eastAsia" w:ascii="宋体" w:hAnsi="宋体" w:eastAsia="宋体" w:cs="宋体"/>
              </w:rPr>
            </w:pPr>
            <w:r>
              <w:rPr>
                <w:rFonts w:hint="eastAsia" w:ascii="宋体" w:hAnsi="宋体" w:eastAsia="宋体" w:cs="宋体"/>
              </w:rPr>
              <w:t>2.财务状况：应答人须提供2022年至2024年经会计师事务所或审计机构审计的无保留意见的财务审计报告（成立时间不足三年应提供自成立之日起至2024年），该报告至少包括加盖会计师事务所印章的审计报告、资产负债表、现金流量表、利润表。</w:t>
            </w:r>
          </w:p>
          <w:p>
            <w:pPr>
              <w:pStyle w:val="10"/>
              <w:spacing w:before="0" w:beforeAutospacing="0" w:after="0" w:afterAutospacing="0" w:line="240" w:lineRule="auto"/>
              <w:rPr>
                <w:rFonts w:hint="eastAsia" w:ascii="宋体" w:hAnsi="宋体" w:eastAsia="宋体" w:cs="宋体"/>
              </w:rPr>
            </w:pPr>
            <w:r>
              <w:rPr>
                <w:rFonts w:hint="eastAsia" w:ascii="宋体" w:hAnsi="宋体" w:eastAsia="宋体" w:cs="宋体"/>
              </w:rPr>
              <w:t>3.业绩要求：</w:t>
            </w:r>
          </w:p>
          <w:p>
            <w:pPr>
              <w:pStyle w:val="10"/>
              <w:spacing w:before="0" w:beforeAutospacing="0" w:after="0" w:afterAutospacing="0" w:line="240" w:lineRule="auto"/>
              <w:rPr>
                <w:rFonts w:hint="eastAsia" w:ascii="宋体" w:hAnsi="宋体" w:eastAsia="宋体" w:cs="宋体"/>
              </w:rPr>
            </w:pPr>
            <w:r>
              <w:rPr>
                <w:rFonts w:hint="eastAsia" w:ascii="宋体" w:hAnsi="宋体" w:eastAsia="宋体" w:cs="宋体"/>
              </w:rPr>
              <w:t>（1）2020年1月1日至应答截止日，应答人应具有至少一项同时符合以下2个条件的供货业绩：</w:t>
            </w:r>
          </w:p>
          <w:p>
            <w:pPr>
              <w:pStyle w:val="10"/>
              <w:spacing w:before="0" w:beforeAutospacing="0" w:after="0" w:afterAutospacing="0" w:line="240" w:lineRule="auto"/>
              <w:rPr>
                <w:rFonts w:hint="eastAsia" w:ascii="宋体" w:hAnsi="宋体" w:eastAsia="宋体" w:cs="宋体"/>
              </w:rPr>
            </w:pPr>
            <w:r>
              <w:rPr>
                <w:rFonts w:hint="eastAsia" w:ascii="宋体" w:hAnsi="宋体" w:eastAsia="宋体" w:cs="宋体"/>
              </w:rPr>
              <w:t>①已完成；</w:t>
            </w:r>
          </w:p>
          <w:p>
            <w:pPr>
              <w:pStyle w:val="10"/>
              <w:spacing w:before="0" w:beforeAutospacing="0" w:after="0" w:afterAutospacing="0" w:line="240" w:lineRule="auto"/>
              <w:rPr>
                <w:rFonts w:hint="eastAsia" w:ascii="宋体" w:hAnsi="宋体" w:eastAsia="宋体" w:cs="宋体"/>
              </w:rPr>
            </w:pPr>
            <w:r>
              <w:rPr>
                <w:rFonts w:hint="eastAsia" w:ascii="宋体" w:hAnsi="宋体" w:eastAsia="宋体" w:cs="宋体"/>
              </w:rPr>
              <w:t>②供货业绩的供货范围包含DN1000以上规格（含DN1000）的阀门，且介质为海水；</w:t>
            </w:r>
          </w:p>
          <w:p>
            <w:pPr>
              <w:pStyle w:val="10"/>
              <w:spacing w:before="0" w:beforeAutospacing="0" w:after="0" w:afterAutospacing="0" w:line="240" w:lineRule="auto"/>
              <w:rPr>
                <w:rFonts w:hint="eastAsia" w:ascii="宋体" w:hAnsi="宋体" w:eastAsia="宋体" w:cs="宋体"/>
              </w:rPr>
            </w:pPr>
            <w:r>
              <w:rPr>
                <w:rFonts w:hint="eastAsia" w:ascii="宋体" w:hAnsi="宋体" w:eastAsia="宋体" w:cs="宋体"/>
              </w:rPr>
              <w:t>（2）应答人须按规定格式提交业绩表，并提交相关业绩证明文件。业绩证明文件应包括合同关键页复印件和到货验收证明文件（如：物资入库单或物资验收单或结算证明文件等能够证明到货验收的材料）等。</w:t>
            </w:r>
          </w:p>
          <w:p>
            <w:pPr>
              <w:pStyle w:val="10"/>
              <w:spacing w:before="0" w:beforeAutospacing="0" w:after="0" w:afterAutospacing="0" w:line="240" w:lineRule="auto"/>
              <w:rPr>
                <w:rFonts w:hint="eastAsia" w:ascii="宋体" w:hAnsi="宋体" w:eastAsia="宋体" w:cs="宋体"/>
              </w:rPr>
            </w:pPr>
            <w:r>
              <w:rPr>
                <w:rFonts w:hint="eastAsia" w:ascii="宋体" w:hAnsi="宋体" w:eastAsia="宋体" w:cs="宋体"/>
              </w:rPr>
              <w:t>①如业绩合同为单次合同。合同关键页至少体现以下内容:合同项目名称、合同签署日期、合同签署页（应有双方盖章）、供货范围描述或主要技术要求等；到货验收证明文件应能够证明合同货物到货验收的材料；</w:t>
            </w:r>
          </w:p>
          <w:p>
            <w:pPr>
              <w:pStyle w:val="10"/>
              <w:spacing w:before="0" w:beforeAutospacing="0" w:after="0" w:afterAutospacing="0" w:line="240" w:lineRule="auto"/>
              <w:rPr>
                <w:rFonts w:hint="eastAsia" w:ascii="宋体" w:hAnsi="宋体" w:eastAsia="宋体" w:cs="宋体"/>
              </w:rPr>
            </w:pPr>
            <w:r>
              <w:rPr>
                <w:rFonts w:hint="eastAsia" w:ascii="宋体" w:hAnsi="宋体" w:eastAsia="宋体" w:cs="宋体"/>
              </w:rPr>
              <w:t>②如业绩合同为框架协议或长期协议等以单价结算的订单方式执行的合同，则该协议视为1项供货业绩。合同关键页至少体现以下内容:框架协议或长期协议的合同项目名称、合同签署日期、合同签署页（应有双方盖章）、供货范围描述或主要技术要求等及已完成的订单项目名称、订单签署日期、订单签署页、供货范围描述或主要技术要求等。到货验收证明文件应为订单所对应的能够证明订单货物到货验收的材料；</w:t>
            </w:r>
          </w:p>
          <w:p>
            <w:pPr>
              <w:pStyle w:val="10"/>
              <w:spacing w:before="0" w:beforeAutospacing="0" w:after="0" w:afterAutospacing="0" w:line="240" w:lineRule="auto"/>
              <w:rPr>
                <w:rFonts w:hint="eastAsia" w:ascii="宋体" w:hAnsi="宋体" w:eastAsia="宋体" w:cs="宋体"/>
              </w:rPr>
            </w:pPr>
            <w:r>
              <w:rPr>
                <w:rFonts w:hint="eastAsia" w:ascii="宋体" w:hAnsi="宋体" w:eastAsia="宋体" w:cs="宋体"/>
              </w:rPr>
              <w:t>③未提供业绩证明文件或所提供的合同（及订单）关键页复印件和到货验收证明文件等证明材料无法认定上述业绩要求的，均视为无效业绩；</w:t>
            </w:r>
          </w:p>
          <w:p>
            <w:pPr>
              <w:pStyle w:val="10"/>
              <w:spacing w:before="0" w:beforeAutospacing="0" w:after="0" w:afterAutospacing="0" w:line="240" w:lineRule="auto"/>
              <w:ind w:left="0" w:leftChars="0" w:right="0" w:rightChars="0" w:firstLine="0" w:firstLineChars="0"/>
              <w:rPr>
                <w:rFonts w:hint="eastAsia" w:ascii="宋体" w:hAnsi="宋体" w:eastAsia="宋体" w:cs="宋体"/>
                <w:kern w:val="0"/>
                <w:sz w:val="24"/>
                <w:szCs w:val="24"/>
                <w:lang w:val="en-US" w:eastAsia="zh-CN" w:bidi="ar-SA"/>
              </w:rPr>
            </w:pPr>
            <w:r>
              <w:rPr>
                <w:rFonts w:hint="eastAsia" w:ascii="宋体" w:hAnsi="宋体" w:eastAsia="宋体" w:cs="宋体"/>
              </w:rPr>
              <w:t>④业绩认定时间：以到货验收证明文件签字时间为准；如各方签字日期时间不一致，以最晚签字日期为准。</w:t>
            </w:r>
          </w:p>
        </w:tc>
        <w:tc>
          <w:tcPr>
            <w:tcW w:w="709" w:type="dxa"/>
            <w:vAlign w:val="center"/>
          </w:tcPr>
          <w:p>
            <w:pPr>
              <w:spacing w:line="360" w:lineRule="auto"/>
              <w:jc w:val="left"/>
              <w:rPr>
                <w:rFonts w:hint="eastAsia" w:ascii="宋体" w:hAnsi="宋体" w:eastAsia="宋体" w:cs="宋体"/>
                <w:kern w:val="0"/>
                <w:sz w:val="24"/>
                <w:szCs w:val="24"/>
              </w:rPr>
            </w:pPr>
          </w:p>
        </w:tc>
      </w:tr>
    </w:tbl>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本次公开的采购计划是本项目采购工作的初步安排，实际采购应以相关采购公告和采购文件为准，所有提供和反馈的信息只作为项目采购参考。</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本次公告自发布之日起五个工作日内有效。在此期间，有意参与该采办包的系统用户可在中国海洋石油集团有限公司供应链数字化平台中提交反馈材料。</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为促进供应商诚信投标，守法经营，进一步净化采办招投标环境，对存在下述情况之一的，按照集团公司供应商管理相关规定在全海油范围内进行处理：</w:t>
      </w:r>
    </w:p>
    <w:p>
      <w:pPr>
        <w:keepNext w:val="0"/>
        <w:keepLines w:val="0"/>
        <w:widowControl/>
        <w:numPr>
          <w:ilvl w:val="0"/>
          <w:numId w:val="1"/>
        </w:numPr>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提供虚假材料参与投标的，视造成损失程度给予至少“禁用一年”处理；</w:t>
      </w:r>
    </w:p>
    <w:p>
      <w:pPr>
        <w:keepNext w:val="0"/>
        <w:keepLines w:val="0"/>
        <w:widowControl/>
        <w:numPr>
          <w:ilvl w:val="0"/>
          <w:numId w:val="1"/>
        </w:numPr>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在招投标环节围标、串标的，给予“禁用两年”至“长期禁用”处理；</w:t>
      </w:r>
    </w:p>
    <w:p>
      <w:pPr>
        <w:keepNext w:val="0"/>
        <w:keepLines w:val="0"/>
        <w:widowControl/>
        <w:numPr>
          <w:ilvl w:val="0"/>
          <w:numId w:val="1"/>
        </w:numPr>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开标后在有效期内无正当理由中途撤销投标的，获取中标资格或成交资格拒绝签订合同的，给予“禁用一年”至“禁用两年”处理；</w:t>
      </w:r>
    </w:p>
    <w:p>
      <w:pPr>
        <w:keepNext w:val="0"/>
        <w:keepLines w:val="0"/>
        <w:widowControl/>
        <w:numPr>
          <w:ilvl w:val="0"/>
          <w:numId w:val="1"/>
        </w:numPr>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无事实依据对采购过程或采购结果进行乱投诉、举报的，视情节轻重给予“警告”至“长期禁用”处理。</w:t>
      </w:r>
      <w:bookmarkEnd w:id="0"/>
    </w:p>
    <w:p>
      <w:pPr>
        <w:pageBreakBefore w:val="0"/>
        <w:tabs>
          <w:tab w:val="left" w:pos="993"/>
          <w:tab w:val="left" w:pos="1134"/>
          <w:tab w:val="left" w:pos="1418"/>
        </w:tabs>
        <w:kinsoku/>
        <w:wordWrap/>
        <w:overflowPunct/>
        <w:topLinePunct w:val="0"/>
        <w:bidi w:val="0"/>
        <w:snapToGrid/>
        <w:spacing w:line="360" w:lineRule="auto"/>
        <w:textAlignment w:val="auto"/>
        <w:rPr>
          <w:rFonts w:hint="eastAsia" w:ascii="宋体" w:hAnsi="宋体" w:eastAsia="宋体" w:cs="宋体"/>
          <w:sz w:val="24"/>
          <w:szCs w:val="24"/>
        </w:rPr>
      </w:pPr>
    </w:p>
    <w:p>
      <w:pPr>
        <w:pageBreakBefore w:val="0"/>
        <w:tabs>
          <w:tab w:val="left" w:pos="993"/>
          <w:tab w:val="left" w:pos="1134"/>
          <w:tab w:val="left" w:pos="1418"/>
        </w:tabs>
        <w:kinsoku/>
        <w:wordWrap/>
        <w:overflowPunct/>
        <w:topLinePunct w:val="0"/>
        <w:bidi w:val="0"/>
        <w:snapToGrid/>
        <w:spacing w:line="360" w:lineRule="auto"/>
        <w:ind w:right="320" w:firstLine="720" w:firstLineChars="300"/>
        <w:jc w:val="right"/>
        <w:textAlignment w:val="auto"/>
        <w:rPr>
          <w:rFonts w:hint="eastAsia" w:ascii="宋体" w:hAnsi="宋体" w:eastAsia="宋体" w:cs="宋体"/>
          <w:sz w:val="24"/>
          <w:szCs w:val="24"/>
        </w:rPr>
      </w:pPr>
      <w:r>
        <w:rPr>
          <w:rFonts w:hint="eastAsia" w:ascii="宋体" w:hAnsi="宋体" w:eastAsia="宋体" w:cs="宋体"/>
          <w:sz w:val="24"/>
          <w:szCs w:val="24"/>
        </w:rPr>
        <w:t>中海浙江宁波液化天然气有限公司</w:t>
      </w:r>
      <w:bookmarkEnd w:id="1"/>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8486C6"/>
    <w:multiLevelType w:val="singleLevel"/>
    <w:tmpl w:val="4F8486C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AB"/>
    <w:rsid w:val="00017DE1"/>
    <w:rsid w:val="0008149E"/>
    <w:rsid w:val="00094575"/>
    <w:rsid w:val="00097562"/>
    <w:rsid w:val="000A5D91"/>
    <w:rsid w:val="000B50D4"/>
    <w:rsid w:val="000D6607"/>
    <w:rsid w:val="000E3F0F"/>
    <w:rsid w:val="000F4333"/>
    <w:rsid w:val="00123DAD"/>
    <w:rsid w:val="001504AC"/>
    <w:rsid w:val="00160C04"/>
    <w:rsid w:val="00177268"/>
    <w:rsid w:val="00177CF6"/>
    <w:rsid w:val="00192B62"/>
    <w:rsid w:val="001A2967"/>
    <w:rsid w:val="001A6F23"/>
    <w:rsid w:val="001F30B9"/>
    <w:rsid w:val="0026776D"/>
    <w:rsid w:val="002A7AB9"/>
    <w:rsid w:val="002C74E6"/>
    <w:rsid w:val="002E3C4A"/>
    <w:rsid w:val="002E710C"/>
    <w:rsid w:val="00362DA7"/>
    <w:rsid w:val="00363954"/>
    <w:rsid w:val="0037267E"/>
    <w:rsid w:val="00384355"/>
    <w:rsid w:val="003C560F"/>
    <w:rsid w:val="003C6B4E"/>
    <w:rsid w:val="003D40B6"/>
    <w:rsid w:val="004029A6"/>
    <w:rsid w:val="004434AB"/>
    <w:rsid w:val="00450485"/>
    <w:rsid w:val="00491350"/>
    <w:rsid w:val="004A45B0"/>
    <w:rsid w:val="004F2C55"/>
    <w:rsid w:val="00521123"/>
    <w:rsid w:val="00535764"/>
    <w:rsid w:val="00571252"/>
    <w:rsid w:val="005779DA"/>
    <w:rsid w:val="005B72E6"/>
    <w:rsid w:val="00620495"/>
    <w:rsid w:val="006262DD"/>
    <w:rsid w:val="0065496F"/>
    <w:rsid w:val="00656C16"/>
    <w:rsid w:val="00690C03"/>
    <w:rsid w:val="006D316B"/>
    <w:rsid w:val="006D6573"/>
    <w:rsid w:val="006E1EC1"/>
    <w:rsid w:val="0070461C"/>
    <w:rsid w:val="007841A7"/>
    <w:rsid w:val="007A1DF3"/>
    <w:rsid w:val="007D0398"/>
    <w:rsid w:val="007D6562"/>
    <w:rsid w:val="007D7D61"/>
    <w:rsid w:val="0081093C"/>
    <w:rsid w:val="0083797D"/>
    <w:rsid w:val="00847E0B"/>
    <w:rsid w:val="008553A4"/>
    <w:rsid w:val="008652E3"/>
    <w:rsid w:val="00884BCD"/>
    <w:rsid w:val="008C0D73"/>
    <w:rsid w:val="008D0A25"/>
    <w:rsid w:val="008E12C5"/>
    <w:rsid w:val="008E175A"/>
    <w:rsid w:val="008F47DD"/>
    <w:rsid w:val="009005E6"/>
    <w:rsid w:val="0093437A"/>
    <w:rsid w:val="00944F9E"/>
    <w:rsid w:val="009935ED"/>
    <w:rsid w:val="00A11546"/>
    <w:rsid w:val="00A16C55"/>
    <w:rsid w:val="00A2279D"/>
    <w:rsid w:val="00A34DB0"/>
    <w:rsid w:val="00AB278F"/>
    <w:rsid w:val="00AE20AB"/>
    <w:rsid w:val="00B2286C"/>
    <w:rsid w:val="00B91805"/>
    <w:rsid w:val="00BA604C"/>
    <w:rsid w:val="00C615DD"/>
    <w:rsid w:val="00CC0D57"/>
    <w:rsid w:val="00D51926"/>
    <w:rsid w:val="00D52856"/>
    <w:rsid w:val="00D67C58"/>
    <w:rsid w:val="00DA292C"/>
    <w:rsid w:val="00DE0477"/>
    <w:rsid w:val="00E1338F"/>
    <w:rsid w:val="00E15A52"/>
    <w:rsid w:val="00E638FC"/>
    <w:rsid w:val="00ED0037"/>
    <w:rsid w:val="00ED277A"/>
    <w:rsid w:val="00EE143D"/>
    <w:rsid w:val="00F051AD"/>
    <w:rsid w:val="00F26669"/>
    <w:rsid w:val="00F66A69"/>
    <w:rsid w:val="00F8514B"/>
    <w:rsid w:val="018F7700"/>
    <w:rsid w:val="02277D98"/>
    <w:rsid w:val="0314671B"/>
    <w:rsid w:val="032924D7"/>
    <w:rsid w:val="034F0B7A"/>
    <w:rsid w:val="03F31506"/>
    <w:rsid w:val="05C84C14"/>
    <w:rsid w:val="066761DB"/>
    <w:rsid w:val="06982586"/>
    <w:rsid w:val="06A64AF0"/>
    <w:rsid w:val="06B22EF0"/>
    <w:rsid w:val="06EB7CB3"/>
    <w:rsid w:val="074A3B33"/>
    <w:rsid w:val="074C2934"/>
    <w:rsid w:val="07593D76"/>
    <w:rsid w:val="082149F0"/>
    <w:rsid w:val="084010FA"/>
    <w:rsid w:val="08BD6DDC"/>
    <w:rsid w:val="08E51639"/>
    <w:rsid w:val="096441A3"/>
    <w:rsid w:val="09B5725D"/>
    <w:rsid w:val="0A1246B0"/>
    <w:rsid w:val="0A2148F3"/>
    <w:rsid w:val="0A381246"/>
    <w:rsid w:val="0AD136B1"/>
    <w:rsid w:val="0B1A381C"/>
    <w:rsid w:val="0BAC1E46"/>
    <w:rsid w:val="0BBB192D"/>
    <w:rsid w:val="0C450D6C"/>
    <w:rsid w:val="0D0A6AD4"/>
    <w:rsid w:val="0D2C7836"/>
    <w:rsid w:val="0D3E57C4"/>
    <w:rsid w:val="0DA6796F"/>
    <w:rsid w:val="0E2E012D"/>
    <w:rsid w:val="0EA43128"/>
    <w:rsid w:val="0EE20AF5"/>
    <w:rsid w:val="0FD51FF2"/>
    <w:rsid w:val="11072A94"/>
    <w:rsid w:val="115D4462"/>
    <w:rsid w:val="135710BE"/>
    <w:rsid w:val="136A056A"/>
    <w:rsid w:val="13A764C0"/>
    <w:rsid w:val="13B4728D"/>
    <w:rsid w:val="148752B4"/>
    <w:rsid w:val="14C63E2D"/>
    <w:rsid w:val="15001D50"/>
    <w:rsid w:val="15EC4007"/>
    <w:rsid w:val="16A07B82"/>
    <w:rsid w:val="16F609D3"/>
    <w:rsid w:val="17681DB3"/>
    <w:rsid w:val="195B229D"/>
    <w:rsid w:val="19D96F98"/>
    <w:rsid w:val="19E80F89"/>
    <w:rsid w:val="19FF2AAD"/>
    <w:rsid w:val="1AC245B4"/>
    <w:rsid w:val="1BBD0F0D"/>
    <w:rsid w:val="1CAB3BA7"/>
    <w:rsid w:val="1CB00F24"/>
    <w:rsid w:val="1CB72B3F"/>
    <w:rsid w:val="1CEB632A"/>
    <w:rsid w:val="1D2624F4"/>
    <w:rsid w:val="1D886D0B"/>
    <w:rsid w:val="1DB25993"/>
    <w:rsid w:val="1DCA029C"/>
    <w:rsid w:val="1E1338C7"/>
    <w:rsid w:val="1E6C03DB"/>
    <w:rsid w:val="1E75581F"/>
    <w:rsid w:val="1EEF4D4A"/>
    <w:rsid w:val="1F3233D2"/>
    <w:rsid w:val="1F3802BD"/>
    <w:rsid w:val="1F4D48FE"/>
    <w:rsid w:val="1F5A16FC"/>
    <w:rsid w:val="1FDB56AB"/>
    <w:rsid w:val="1FFE1506"/>
    <w:rsid w:val="201A152D"/>
    <w:rsid w:val="20232D1B"/>
    <w:rsid w:val="203A62EF"/>
    <w:rsid w:val="20AC2D10"/>
    <w:rsid w:val="212F1C12"/>
    <w:rsid w:val="21494EBF"/>
    <w:rsid w:val="21CB5284"/>
    <w:rsid w:val="21D97B35"/>
    <w:rsid w:val="221172F5"/>
    <w:rsid w:val="221B7E07"/>
    <w:rsid w:val="22302908"/>
    <w:rsid w:val="2358620C"/>
    <w:rsid w:val="235D6544"/>
    <w:rsid w:val="25080CE0"/>
    <w:rsid w:val="257F6C45"/>
    <w:rsid w:val="25A85CDD"/>
    <w:rsid w:val="25C603D0"/>
    <w:rsid w:val="26661BB3"/>
    <w:rsid w:val="2674607E"/>
    <w:rsid w:val="26762DAD"/>
    <w:rsid w:val="26E7162D"/>
    <w:rsid w:val="275908B5"/>
    <w:rsid w:val="27856069"/>
    <w:rsid w:val="27F93368"/>
    <w:rsid w:val="28E15521"/>
    <w:rsid w:val="29B34877"/>
    <w:rsid w:val="29F97662"/>
    <w:rsid w:val="2A480BE5"/>
    <w:rsid w:val="2AD95B3B"/>
    <w:rsid w:val="2B65243A"/>
    <w:rsid w:val="2B7C4FF5"/>
    <w:rsid w:val="2BAD03AD"/>
    <w:rsid w:val="2BB05FC2"/>
    <w:rsid w:val="2C54076B"/>
    <w:rsid w:val="2CD45AC9"/>
    <w:rsid w:val="2CF06633"/>
    <w:rsid w:val="2D693B27"/>
    <w:rsid w:val="2E0512D8"/>
    <w:rsid w:val="2E0A3763"/>
    <w:rsid w:val="2E4B1573"/>
    <w:rsid w:val="2F827C31"/>
    <w:rsid w:val="2FB4573E"/>
    <w:rsid w:val="301571A4"/>
    <w:rsid w:val="302E54F0"/>
    <w:rsid w:val="30907F59"/>
    <w:rsid w:val="31BA6EE9"/>
    <w:rsid w:val="32161E2D"/>
    <w:rsid w:val="321F121D"/>
    <w:rsid w:val="32EA1597"/>
    <w:rsid w:val="334A432A"/>
    <w:rsid w:val="33874302"/>
    <w:rsid w:val="349C3765"/>
    <w:rsid w:val="34E42621"/>
    <w:rsid w:val="34ED62CA"/>
    <w:rsid w:val="3514479A"/>
    <w:rsid w:val="35F6459C"/>
    <w:rsid w:val="361D3CE7"/>
    <w:rsid w:val="36603F29"/>
    <w:rsid w:val="36DB2559"/>
    <w:rsid w:val="37EC4D9E"/>
    <w:rsid w:val="38114A18"/>
    <w:rsid w:val="3818160C"/>
    <w:rsid w:val="383E3623"/>
    <w:rsid w:val="38461655"/>
    <w:rsid w:val="38DD6086"/>
    <w:rsid w:val="38F04D4F"/>
    <w:rsid w:val="394179A1"/>
    <w:rsid w:val="3A181C5E"/>
    <w:rsid w:val="3A4626BE"/>
    <w:rsid w:val="3A774476"/>
    <w:rsid w:val="3AF64E5C"/>
    <w:rsid w:val="3B000013"/>
    <w:rsid w:val="3B1D0B41"/>
    <w:rsid w:val="3B91694A"/>
    <w:rsid w:val="3BF76434"/>
    <w:rsid w:val="3CD70CBD"/>
    <w:rsid w:val="3CDD7E68"/>
    <w:rsid w:val="3D49081C"/>
    <w:rsid w:val="3D6562C9"/>
    <w:rsid w:val="3E832EAB"/>
    <w:rsid w:val="3E921340"/>
    <w:rsid w:val="3EE32543"/>
    <w:rsid w:val="3FD634AE"/>
    <w:rsid w:val="3FE51DA0"/>
    <w:rsid w:val="402E57E1"/>
    <w:rsid w:val="403112B6"/>
    <w:rsid w:val="404762E9"/>
    <w:rsid w:val="40A370C2"/>
    <w:rsid w:val="41526B64"/>
    <w:rsid w:val="422229DB"/>
    <w:rsid w:val="42350CB8"/>
    <w:rsid w:val="424A7ED3"/>
    <w:rsid w:val="42AD3BE5"/>
    <w:rsid w:val="42F4198B"/>
    <w:rsid w:val="43040332"/>
    <w:rsid w:val="439711A6"/>
    <w:rsid w:val="43F14D5A"/>
    <w:rsid w:val="441F6698"/>
    <w:rsid w:val="44DE410B"/>
    <w:rsid w:val="461A7FC4"/>
    <w:rsid w:val="46395FC3"/>
    <w:rsid w:val="471869C3"/>
    <w:rsid w:val="478B6E0D"/>
    <w:rsid w:val="49780FD3"/>
    <w:rsid w:val="49990EA3"/>
    <w:rsid w:val="4A34190E"/>
    <w:rsid w:val="4B5F0E37"/>
    <w:rsid w:val="4CB45CB3"/>
    <w:rsid w:val="4CC823D1"/>
    <w:rsid w:val="4CE365EE"/>
    <w:rsid w:val="4D0C7EAB"/>
    <w:rsid w:val="4DED4259"/>
    <w:rsid w:val="4E2F2707"/>
    <w:rsid w:val="50491327"/>
    <w:rsid w:val="50AB003F"/>
    <w:rsid w:val="50AD2009"/>
    <w:rsid w:val="50F33EC0"/>
    <w:rsid w:val="51983026"/>
    <w:rsid w:val="51B83A91"/>
    <w:rsid w:val="520D0FB1"/>
    <w:rsid w:val="544607AB"/>
    <w:rsid w:val="546649A9"/>
    <w:rsid w:val="554F368F"/>
    <w:rsid w:val="557C0211"/>
    <w:rsid w:val="55957CB8"/>
    <w:rsid w:val="55C834AE"/>
    <w:rsid w:val="567C23A2"/>
    <w:rsid w:val="568F549E"/>
    <w:rsid w:val="56AD303B"/>
    <w:rsid w:val="57497BC3"/>
    <w:rsid w:val="578F32B4"/>
    <w:rsid w:val="58101089"/>
    <w:rsid w:val="58A23C29"/>
    <w:rsid w:val="5A470DD9"/>
    <w:rsid w:val="5AC308F8"/>
    <w:rsid w:val="5AF60B5A"/>
    <w:rsid w:val="5B565901"/>
    <w:rsid w:val="5BDA3BA4"/>
    <w:rsid w:val="5C7E26CE"/>
    <w:rsid w:val="5CA73DB1"/>
    <w:rsid w:val="5D227D33"/>
    <w:rsid w:val="5D8C00C2"/>
    <w:rsid w:val="5EAC3207"/>
    <w:rsid w:val="5EB6652D"/>
    <w:rsid w:val="5F021772"/>
    <w:rsid w:val="601B50B8"/>
    <w:rsid w:val="60822B6A"/>
    <w:rsid w:val="608B4130"/>
    <w:rsid w:val="608C1C3B"/>
    <w:rsid w:val="608F2F7E"/>
    <w:rsid w:val="60B415D8"/>
    <w:rsid w:val="61092F1D"/>
    <w:rsid w:val="61ED04B8"/>
    <w:rsid w:val="621E6D33"/>
    <w:rsid w:val="62233ED9"/>
    <w:rsid w:val="628B15D4"/>
    <w:rsid w:val="62C945F1"/>
    <w:rsid w:val="62E62FCC"/>
    <w:rsid w:val="63A7118E"/>
    <w:rsid w:val="63E93516"/>
    <w:rsid w:val="641937E6"/>
    <w:rsid w:val="64BD0615"/>
    <w:rsid w:val="65157ECD"/>
    <w:rsid w:val="6522491C"/>
    <w:rsid w:val="657C3143"/>
    <w:rsid w:val="65DD0843"/>
    <w:rsid w:val="65F36123"/>
    <w:rsid w:val="66684044"/>
    <w:rsid w:val="676452E9"/>
    <w:rsid w:val="676550B0"/>
    <w:rsid w:val="680C5410"/>
    <w:rsid w:val="680E2CCB"/>
    <w:rsid w:val="69E20620"/>
    <w:rsid w:val="6A1B5A77"/>
    <w:rsid w:val="6ABF49BB"/>
    <w:rsid w:val="6AF57248"/>
    <w:rsid w:val="6B195B68"/>
    <w:rsid w:val="6B341D47"/>
    <w:rsid w:val="6C2A45F9"/>
    <w:rsid w:val="6C360CAD"/>
    <w:rsid w:val="6C784200"/>
    <w:rsid w:val="6C7C56F6"/>
    <w:rsid w:val="6C953C26"/>
    <w:rsid w:val="6D0112BB"/>
    <w:rsid w:val="6D282CEC"/>
    <w:rsid w:val="6D545733"/>
    <w:rsid w:val="6D6E281D"/>
    <w:rsid w:val="6DAA5058"/>
    <w:rsid w:val="6DAE1443"/>
    <w:rsid w:val="6E261F87"/>
    <w:rsid w:val="6E2E4332"/>
    <w:rsid w:val="6E51728C"/>
    <w:rsid w:val="6E5C06C8"/>
    <w:rsid w:val="6EF96FB8"/>
    <w:rsid w:val="6EFD2342"/>
    <w:rsid w:val="6F1E3142"/>
    <w:rsid w:val="6FD72449"/>
    <w:rsid w:val="6FDD600F"/>
    <w:rsid w:val="70A66401"/>
    <w:rsid w:val="70B028CB"/>
    <w:rsid w:val="70D5749C"/>
    <w:rsid w:val="71746D19"/>
    <w:rsid w:val="719170F3"/>
    <w:rsid w:val="71CA2EF6"/>
    <w:rsid w:val="72494E4B"/>
    <w:rsid w:val="735018BD"/>
    <w:rsid w:val="73876742"/>
    <w:rsid w:val="74642F75"/>
    <w:rsid w:val="747B1953"/>
    <w:rsid w:val="74AB4965"/>
    <w:rsid w:val="74C74B98"/>
    <w:rsid w:val="752E19D8"/>
    <w:rsid w:val="76047BAD"/>
    <w:rsid w:val="763C0071"/>
    <w:rsid w:val="76697098"/>
    <w:rsid w:val="768C7DC4"/>
    <w:rsid w:val="76F1414E"/>
    <w:rsid w:val="76FA17F4"/>
    <w:rsid w:val="770A2BE4"/>
    <w:rsid w:val="77E31CE9"/>
    <w:rsid w:val="78025942"/>
    <w:rsid w:val="78337A3D"/>
    <w:rsid w:val="788F4CD8"/>
    <w:rsid w:val="790616BC"/>
    <w:rsid w:val="79ED6E4F"/>
    <w:rsid w:val="7A6C06BC"/>
    <w:rsid w:val="7A9244A9"/>
    <w:rsid w:val="7AB77F29"/>
    <w:rsid w:val="7ACC171F"/>
    <w:rsid w:val="7AF237D9"/>
    <w:rsid w:val="7B0703E4"/>
    <w:rsid w:val="7B9A4E4D"/>
    <w:rsid w:val="7C20496A"/>
    <w:rsid w:val="7C570369"/>
    <w:rsid w:val="7CFB1B87"/>
    <w:rsid w:val="7DF135C4"/>
    <w:rsid w:val="7E7E6C0F"/>
    <w:rsid w:val="7F004D49"/>
    <w:rsid w:val="7F9B2946"/>
    <w:rsid w:val="7FBD1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overflowPunct w:val="0"/>
      <w:autoSpaceDE w:val="0"/>
      <w:autoSpaceDN w:val="0"/>
      <w:adjustRightInd w:val="0"/>
      <w:jc w:val="left"/>
      <w:textAlignment w:val="baseline"/>
    </w:pPr>
    <w:rPr>
      <w:rFonts w:ascii="楷体" w:hAnsi="Times New Roman" w:eastAsia="楷体" w:cs="Times New Roman"/>
      <w:i/>
      <w:iCs/>
      <w:kern w:val="0"/>
      <w:sz w:val="20"/>
      <w:szCs w:val="20"/>
    </w:rPr>
  </w:style>
  <w:style w:type="paragraph" w:styleId="3">
    <w:name w:val="Note Heading"/>
    <w:basedOn w:val="1"/>
    <w:next w:val="1"/>
    <w:qFormat/>
    <w:uiPriority w:val="0"/>
    <w:pPr>
      <w:jc w:val="center"/>
    </w:pPr>
    <w:rPr>
      <w:szCs w:val="20"/>
    </w:rPr>
  </w:style>
  <w:style w:type="paragraph" w:styleId="4">
    <w:name w:val="annotation text"/>
    <w:basedOn w:val="1"/>
    <w:semiHidden/>
    <w:unhideWhenUsed/>
    <w:qFormat/>
    <w:uiPriority w:val="99"/>
    <w:pPr>
      <w:jc w:val="left"/>
    </w:pPr>
  </w:style>
  <w:style w:type="paragraph" w:styleId="5">
    <w:name w:val="Body Text Indent"/>
    <w:basedOn w:val="1"/>
    <w:next w:val="6"/>
    <w:qFormat/>
    <w:uiPriority w:val="0"/>
    <w:pPr>
      <w:spacing w:line="312" w:lineRule="atLeast"/>
      <w:ind w:firstLine="540"/>
    </w:pPr>
    <w:rPr>
      <w:rFonts w:ascii="Times New Roman" w:hAnsi="Times New Roman" w:eastAsia="楷体" w:cs="Times New Roman"/>
      <w:snapToGrid w:val="0"/>
      <w:kern w:val="0"/>
      <w:szCs w:val="20"/>
    </w:rPr>
  </w:style>
  <w:style w:type="paragraph" w:styleId="6">
    <w:name w:val="envelope return"/>
    <w:basedOn w:val="1"/>
    <w:qFormat/>
    <w:uiPriority w:val="0"/>
    <w:pPr>
      <w:snapToGrid w:val="0"/>
    </w:pPr>
    <w:rPr>
      <w:rFonts w:ascii="Arial" w:hAnsi="Arial" w:eastAsia="等线" w:cs="等线"/>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6"/>
    <w:basedOn w:val="1"/>
    <w:next w:val="1"/>
    <w:qFormat/>
    <w:uiPriority w:val="0"/>
    <w:pPr>
      <w:widowControl/>
      <w:overflowPunct w:val="0"/>
      <w:autoSpaceDE w:val="0"/>
      <w:autoSpaceDN w:val="0"/>
      <w:adjustRightInd w:val="0"/>
      <w:ind w:left="1000"/>
      <w:jc w:val="left"/>
      <w:textAlignment w:val="baseline"/>
    </w:pPr>
    <w:rPr>
      <w:rFonts w:ascii="Times New Roman" w:hAnsi="Times New Roman" w:cs="Times New Roman"/>
      <w:kern w:val="0"/>
      <w:sz w:val="18"/>
      <w:szCs w:val="20"/>
      <w:lang w:eastAsia="en-US"/>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w:basedOn w:val="2"/>
    <w:next w:val="9"/>
    <w:qFormat/>
    <w:uiPriority w:val="0"/>
    <w:pPr>
      <w:widowControl w:val="0"/>
      <w:overflowPunct/>
      <w:autoSpaceDE/>
      <w:autoSpaceDN/>
      <w:adjustRightInd/>
      <w:spacing w:after="120"/>
      <w:ind w:firstLine="420" w:firstLineChars="100"/>
      <w:jc w:val="both"/>
      <w:textAlignment w:val="auto"/>
    </w:pPr>
    <w:rPr>
      <w:rFonts w:ascii="Calibri" w:hAnsi="Calibri" w:eastAsia="宋体" w:cs="宋体"/>
      <w:i w:val="0"/>
      <w:iCs w:val="0"/>
      <w:kern w:val="2"/>
      <w:sz w:val="21"/>
      <w:szCs w:val="22"/>
    </w:rPr>
  </w:style>
  <w:style w:type="paragraph" w:styleId="12">
    <w:name w:val="Body Text First Indent 2"/>
    <w:basedOn w:val="5"/>
    <w:next w:val="2"/>
    <w:qFormat/>
    <w:uiPriority w:val="0"/>
    <w:pPr>
      <w:widowControl/>
      <w:spacing w:after="120" w:line="360" w:lineRule="auto"/>
      <w:ind w:left="420" w:firstLine="210" w:firstLineChars="200"/>
      <w:jc w:val="left"/>
    </w:pPr>
    <w:rPr>
      <w:rFonts w:eastAsia="宋体"/>
      <w:snapToGrid/>
      <w:sz w:val="24"/>
    </w:rPr>
  </w:style>
  <w:style w:type="table" w:styleId="14">
    <w:name w:val="Table Grid"/>
    <w:basedOn w:val="13"/>
    <w:qFormat/>
    <w:uiPriority w:val="0"/>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semiHidden/>
    <w:unhideWhenUsed/>
    <w:qFormat/>
    <w:uiPriority w:val="99"/>
    <w:rPr>
      <w:color w:val="0000FF"/>
      <w:u w:val="single"/>
    </w:rPr>
  </w:style>
  <w:style w:type="character" w:styleId="17">
    <w:name w:val="annotation reference"/>
    <w:basedOn w:val="15"/>
    <w:qFormat/>
    <w:uiPriority w:val="99"/>
    <w:rPr>
      <w:sz w:val="21"/>
      <w:szCs w:val="21"/>
    </w:rPr>
  </w:style>
  <w:style w:type="paragraph" w:customStyle="1" w:styleId="18">
    <w:name w:val="Normal_0"/>
    <w:next w:val="12"/>
    <w:qFormat/>
    <w:uiPriority w:val="0"/>
    <w:pPr>
      <w:widowControl w:val="0"/>
      <w:jc w:val="both"/>
    </w:pPr>
    <w:rPr>
      <w:rFonts w:ascii="Calibri" w:hAnsi="Calibri" w:eastAsia="宋体" w:cs="Times New Roman"/>
      <w:lang w:val="en-US" w:eastAsia="zh-CN" w:bidi="ar-SA"/>
    </w:rPr>
  </w:style>
  <w:style w:type="character" w:customStyle="1" w:styleId="19">
    <w:name w:val="页眉 字符"/>
    <w:basedOn w:val="15"/>
    <w:link w:val="8"/>
    <w:qFormat/>
    <w:uiPriority w:val="99"/>
    <w:rPr>
      <w:sz w:val="18"/>
      <w:szCs w:val="18"/>
    </w:rPr>
  </w:style>
  <w:style w:type="character" w:customStyle="1" w:styleId="20">
    <w:name w:val="页脚 字符"/>
    <w:basedOn w:val="15"/>
    <w:link w:val="7"/>
    <w:qFormat/>
    <w:uiPriority w:val="99"/>
    <w:rPr>
      <w:sz w:val="18"/>
      <w:szCs w:val="18"/>
    </w:rPr>
  </w:style>
  <w:style w:type="paragraph" w:styleId="21">
    <w:name w:val="List Paragraph"/>
    <w:basedOn w:val="1"/>
    <w:qFormat/>
    <w:uiPriority w:val="34"/>
    <w:pPr>
      <w:ind w:firstLine="420" w:firstLineChars="200"/>
    </w:pPr>
  </w:style>
  <w:style w:type="table" w:customStyle="1" w:styleId="22">
    <w:name w:val="网格型1"/>
    <w:basedOn w:val="13"/>
    <w:qFormat/>
    <w:uiPriority w:val="0"/>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2DE0A-F5DB-4D25-B71C-DB70B434CCB3}">
  <ds:schemaRefs/>
</ds:datastoreItem>
</file>

<file path=docProps/app.xml><?xml version="1.0" encoding="utf-8"?>
<Properties xmlns="http://schemas.openxmlformats.org/officeDocument/2006/extended-properties" xmlns:vt="http://schemas.openxmlformats.org/officeDocument/2006/docPropsVTypes">
  <Template>Normal</Template>
  <Pages>7</Pages>
  <Words>5397</Words>
  <Characters>5582</Characters>
  <Lines>244</Lines>
  <Paragraphs>68</Paragraphs>
  <TotalTime>2</TotalTime>
  <ScaleCrop>false</ScaleCrop>
  <LinksUpToDate>false</LinksUpToDate>
  <CharactersWithSpaces>5593</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2021-04-29T03:47:00Z</dcterms:created>
  <dc:creator>季云峰/采办项目组/集团公司机关</dc:creator>
  <cp:lastModifiedBy>叶露</cp:lastModifiedBy>
  <dcterms:modified xsi:type="dcterms:W3CDTF">2025-08-12T02:02:49Z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35F8ECF2DBBE48EBAB4BAAA6DE912E9B</vt:lpwstr>
  </property>
  <property fmtid="{D5CDD505-2E9C-101B-9397-08002B2CF9AE}" pid="4" name="KSOTemplateDocerSaveRecord">
    <vt:lpwstr>eyJoZGlkIjoiZDY4MDUzZmQ3M2RjMmY4YWI4ZjViZjhiMGQyYzNkOGEiLCJ1c2VySWQiOiIxMjMxNzUwMTU5In0=</vt:lpwstr>
  </property>
</Properties>
</file>