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hint="eastAsia" w:ascii="Times New Roman" w:hAnsi="Times New Roman" w:eastAsia="方正小标宋简体" w:cs="Times New Roman"/>
          <w:bCs/>
          <w:color w:val="auto"/>
          <w:kern w:val="44"/>
          <w:sz w:val="44"/>
          <w:szCs w:val="44"/>
          <w:highlight w:val="none"/>
          <w:lang w:eastAsia="zh-CN"/>
        </w:rPr>
      </w:pPr>
      <w:bookmarkStart w:id="0" w:name="OLE_LINK1"/>
      <w:r>
        <w:rPr>
          <w:rFonts w:ascii="Times New Roman" w:hAnsi="Times New Roman" w:eastAsia="方正小标宋简体" w:cs="Times New Roman"/>
          <w:bCs/>
          <w:color w:val="auto"/>
          <w:kern w:val="44"/>
          <w:sz w:val="44"/>
          <w:szCs w:val="44"/>
          <w:highlight w:val="none"/>
        </w:rPr>
        <w:t>采办计划公告</w:t>
      </w:r>
    </w:p>
    <w:p>
      <w:pPr>
        <w:spacing w:line="560" w:lineRule="exact"/>
        <w:rPr>
          <w:rFonts w:ascii="Times New Roman" w:hAnsi="Times New Roman" w:eastAsia="等线" w:cs="Times New Roman"/>
          <w:color w:val="auto"/>
          <w:sz w:val="32"/>
          <w:highlight w:val="none"/>
        </w:rPr>
      </w:pP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56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采办包名称：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海油发展-化工品类部-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工程技术公司2025年陵水项目缓蚀剂采购项目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采办计划公开如下：</w:t>
      </w:r>
    </w:p>
    <w:tbl>
      <w:tblPr>
        <w:tblStyle w:val="10"/>
        <w:tblW w:w="933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700"/>
        <w:gridCol w:w="1785"/>
        <w:gridCol w:w="1782"/>
        <w:gridCol w:w="1567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采办包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采购范围与主要技术指标</w:t>
            </w: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预计发标时间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供应商资质基本要求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工程技术公司2025年陵水项目缓蚀剂采购项目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  <w:t>见附件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1</w:t>
            </w: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  <w:t>月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  <w:t>见附件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本次公开的采办计划是本项目采办工作的初步安排，实际采购应以相关采购公告和采购文件为准，所有提供和反馈的信息只作为项目采办参考。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本次公告有效期是（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日）至（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日）止。在此期间，有意参与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该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采办包的系统用户可在集团公司采办系统中提交反馈材料。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请感兴趣的供应商于2025年12月16日17:00前，与我方联系人接洽。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联系人：吴迪    电  话：022-25803746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邮  箱：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instrText xml:space="preserve"> HYPERLINK "mailto:liufx2@cnooc.com.cn" </w:instrTex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wudi13@cnooc.com.cn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end"/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如对上述公开内容真实、有效性存疑，请拨打社会监督电话：022-25802262，其他事项不受理。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1600" w:firstLineChars="5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中海油能源发展股份有限公司采办共享中心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日  </w:t>
      </w:r>
    </w:p>
    <w:bookmarkEnd w:id="0"/>
    <w:p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outlineLvl w:val="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采购范围与主要技术指标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textAlignment w:val="auto"/>
        <w:outlineLvl w:val="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bookmarkStart w:id="1" w:name="_Toc13249325"/>
      <w:bookmarkStart w:id="2" w:name="_Toc13248928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一、需求一览表</w:t>
      </w:r>
      <w:bookmarkEnd w:id="1"/>
      <w:bookmarkEnd w:id="2"/>
    </w:p>
    <w:p>
      <w:pPr>
        <w:pStyle w:val="4"/>
        <w:spacing w:line="257" w:lineRule="auto"/>
        <w:ind w:left="220" w:right="122" w:firstLine="420"/>
        <w:jc w:val="center"/>
        <w:rPr>
          <w:rFonts w:hint="eastAsia" w:ascii="CESI仿宋-GB2312" w:hAnsi="CESI仿宋-GB2312" w:eastAsia="CESI仿宋-GB2312" w:cs="CESI仿宋-GB2312"/>
          <w:sz w:val="28"/>
          <w:szCs w:val="28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highlight w:val="none"/>
          <w:lang w:eastAsia="zh-CN"/>
        </w:rPr>
        <w:t>表1 需求一览表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421"/>
        <w:gridCol w:w="831"/>
        <w:gridCol w:w="3235"/>
        <w:gridCol w:w="1467"/>
        <w:gridCol w:w="628"/>
        <w:gridCol w:w="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75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833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物料号</w:t>
            </w:r>
          </w:p>
        </w:tc>
        <w:tc>
          <w:tcPr>
            <w:tcW w:w="487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物资名称</w:t>
            </w:r>
          </w:p>
        </w:tc>
        <w:tc>
          <w:tcPr>
            <w:tcW w:w="1898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规格型号</w:t>
            </w:r>
          </w:p>
        </w:tc>
        <w:tc>
          <w:tcPr>
            <w:tcW w:w="860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数量（KG）</w:t>
            </w:r>
          </w:p>
        </w:tc>
        <w:tc>
          <w:tcPr>
            <w:tcW w:w="368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交货期</w:t>
            </w:r>
          </w:p>
        </w:tc>
        <w:tc>
          <w:tcPr>
            <w:tcW w:w="276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75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833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84114286</w:t>
            </w:r>
          </w:p>
        </w:tc>
        <w:tc>
          <w:tcPr>
            <w:tcW w:w="487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油气集输用缓蚀剂原材料</w:t>
            </w:r>
          </w:p>
        </w:tc>
        <w:tc>
          <w:tcPr>
            <w:tcW w:w="18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YTHG-04-NY-079/CORR21133A\1000kg/桶</w:t>
            </w:r>
          </w:p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0" w:type="pct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144000</w:t>
            </w:r>
          </w:p>
        </w:tc>
        <w:tc>
          <w:tcPr>
            <w:tcW w:w="62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合同签订后三年内</w:t>
            </w:r>
          </w:p>
        </w:tc>
        <w:tc>
          <w:tcPr>
            <w:tcW w:w="471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深圳盐田港或者指定港口</w:t>
            </w:r>
          </w:p>
        </w:tc>
      </w:tr>
    </w:tbl>
    <w:p>
      <w:pPr>
        <w:pStyle w:val="4"/>
        <w:spacing w:line="257" w:lineRule="auto"/>
        <w:ind w:left="0" w:leftChars="0" w:right="122" w:firstLine="0" w:firstLineChars="0"/>
        <w:jc w:val="both"/>
        <w:rPr>
          <w:rFonts w:hint="eastAsia" w:ascii="CESI仿宋-GB2312" w:hAnsi="CESI仿宋-GB2312" w:eastAsia="CESI仿宋-GB2312" w:cs="CESI仿宋-GB2312"/>
          <w:sz w:val="28"/>
          <w:szCs w:val="28"/>
          <w:highlight w:val="none"/>
          <w:lang w:eastAsia="zh-CN"/>
        </w:rPr>
      </w:pPr>
    </w:p>
    <w:p>
      <w:pPr>
        <w:pStyle w:val="4"/>
        <w:numPr>
          <w:ilvl w:val="0"/>
          <w:numId w:val="1"/>
        </w:numPr>
        <w:spacing w:line="257" w:lineRule="auto"/>
        <w:ind w:left="0" w:leftChars="0" w:right="122" w:firstLine="0" w:firstLineChars="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技术要求</w:t>
      </w:r>
    </w:p>
    <w:p>
      <w:pPr>
        <w:pStyle w:val="12"/>
        <w:numPr>
          <w:ilvl w:val="0"/>
          <w:numId w:val="2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★技术指标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621"/>
        <w:gridCol w:w="2528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4" w:type="pct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产品技术要求</w:t>
            </w:r>
          </w:p>
        </w:tc>
        <w:tc>
          <w:tcPr>
            <w:tcW w:w="1538" w:type="pct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分析项目</w:t>
            </w:r>
          </w:p>
        </w:tc>
        <w:tc>
          <w:tcPr>
            <w:tcW w:w="1483" w:type="pct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指标范围</w:t>
            </w:r>
          </w:p>
        </w:tc>
        <w:tc>
          <w:tcPr>
            <w:tcW w:w="973" w:type="pct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包装要求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04" w:type="pct"/>
            <w:vMerge w:val="restart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技术要求</w:t>
            </w:r>
          </w:p>
        </w:tc>
        <w:tc>
          <w:tcPr>
            <w:tcW w:w="1538" w:type="pct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外观</w:t>
            </w:r>
          </w:p>
        </w:tc>
        <w:tc>
          <w:tcPr>
            <w:tcW w:w="1483" w:type="pct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澄清琥珀色液体</w:t>
            </w:r>
          </w:p>
        </w:tc>
        <w:tc>
          <w:tcPr>
            <w:tcW w:w="973" w:type="pct"/>
            <w:vMerge w:val="restart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1000kg/桶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04" w:type="pct"/>
            <w:vMerge w:val="continue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8" w:type="pct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粘度（60℃）/mPa·s</w:t>
            </w:r>
          </w:p>
        </w:tc>
        <w:tc>
          <w:tcPr>
            <w:tcW w:w="1483" w:type="pct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default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0～60</w:t>
            </w:r>
          </w:p>
        </w:tc>
        <w:tc>
          <w:tcPr>
            <w:tcW w:w="973" w:type="pct"/>
            <w:vMerge w:val="continue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4" w:type="pct"/>
            <w:vMerge w:val="continue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8" w:type="pct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密度（25℃）g/cm3</w:t>
            </w:r>
          </w:p>
        </w:tc>
        <w:tc>
          <w:tcPr>
            <w:tcW w:w="1483" w:type="pct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default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1.0140～1.1140</w:t>
            </w:r>
          </w:p>
        </w:tc>
        <w:tc>
          <w:tcPr>
            <w:tcW w:w="973" w:type="pct"/>
            <w:vMerge w:val="continue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04" w:type="pct"/>
            <w:vMerge w:val="continue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8" w:type="pct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PH（25℃）</w:t>
            </w:r>
          </w:p>
        </w:tc>
        <w:tc>
          <w:tcPr>
            <w:tcW w:w="1483" w:type="pct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default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9.2～11.2</w:t>
            </w:r>
          </w:p>
        </w:tc>
        <w:tc>
          <w:tcPr>
            <w:tcW w:w="973" w:type="pct"/>
            <w:vMerge w:val="continue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04" w:type="pct"/>
            <w:vMerge w:val="continue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8" w:type="pct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有效物含量/%</w:t>
            </w:r>
          </w:p>
        </w:tc>
        <w:tc>
          <w:tcPr>
            <w:tcW w:w="1483" w:type="pct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default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  <w:t>≥10</w:t>
            </w:r>
          </w:p>
        </w:tc>
        <w:tc>
          <w:tcPr>
            <w:tcW w:w="973" w:type="pct"/>
            <w:vMerge w:val="continue"/>
            <w:vAlign w:val="center"/>
          </w:tcPr>
          <w:p>
            <w:pPr>
              <w:pStyle w:val="15"/>
              <w:spacing w:line="36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12"/>
        <w:numPr>
          <w:ilvl w:val="0"/>
          <w:numId w:val="2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★洁净度要求</w:t>
      </w:r>
    </w:p>
    <w:p>
      <w:pPr>
        <w:spacing w:line="360" w:lineRule="auto"/>
        <w:ind w:right="-357" w:rightChars="-170" w:firstLine="560" w:firstLineChars="200"/>
        <w:rPr>
          <w:rFonts w:hint="eastAsia" w:ascii="仿宋" w:hAnsi="仿宋" w:eastAsia="仿宋" w:cstheme="minorBidi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kern w:val="0"/>
          <w:sz w:val="28"/>
          <w:szCs w:val="28"/>
          <w:lang w:val="en-US" w:eastAsia="zh-CN" w:bidi="ar-SA"/>
        </w:rPr>
        <w:t>符合美国航天标准International particle count standards NAS 1638 (National Aerospace standard)达到NAS 8级要求，并提供第三方检测报告。检测报告需按照送货批次，提供每批次的清洁度报告，随产品提供。</w:t>
      </w:r>
    </w:p>
    <w:p>
      <w:pPr>
        <w:pStyle w:val="12"/>
        <w:numPr>
          <w:ilvl w:val="0"/>
          <w:numId w:val="2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产品包装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theme="minorBidi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lang w:val="en-US" w:eastAsia="zh-CN" w:bidi="ar-SA"/>
        </w:rPr>
        <w:t>包装形式要求为1000kg/桶；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theme="minorBidi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lang w:val="en-US" w:eastAsia="zh-CN" w:bidi="ar-SA"/>
        </w:rPr>
        <w:t>同时满足采购合同中其它相关包装要求。</w:t>
      </w:r>
    </w:p>
    <w:tbl>
      <w:tblPr>
        <w:tblStyle w:val="9"/>
        <w:tblW w:w="517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3"/>
        <w:gridCol w:w="4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3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标准要求</w:t>
            </w:r>
          </w:p>
        </w:tc>
        <w:tc>
          <w:tcPr>
            <w:tcW w:w="260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3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IBC药剂罐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3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大盖严紧</w:t>
            </w:r>
          </w:p>
        </w:tc>
        <w:tc>
          <w:tcPr>
            <w:tcW w:w="26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3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表面干净</w:t>
            </w:r>
          </w:p>
        </w:tc>
        <w:tc>
          <w:tcPr>
            <w:tcW w:w="26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3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无破损</w:t>
            </w:r>
          </w:p>
        </w:tc>
        <w:tc>
          <w:tcPr>
            <w:tcW w:w="26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3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标识清晰</w:t>
            </w:r>
          </w:p>
        </w:tc>
        <w:tc>
          <w:tcPr>
            <w:tcW w:w="26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3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生产日期及有效期</w:t>
            </w:r>
          </w:p>
        </w:tc>
        <w:tc>
          <w:tcPr>
            <w:tcW w:w="26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3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到厂日期</w:t>
            </w:r>
          </w:p>
        </w:tc>
        <w:tc>
          <w:tcPr>
            <w:tcW w:w="26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3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合格证</w:t>
            </w:r>
          </w:p>
        </w:tc>
        <w:tc>
          <w:tcPr>
            <w:tcW w:w="26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3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药剂简述</w:t>
            </w:r>
          </w:p>
        </w:tc>
        <w:tc>
          <w:tcPr>
            <w:tcW w:w="26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3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药剂毛重</w:t>
            </w:r>
          </w:p>
        </w:tc>
        <w:tc>
          <w:tcPr>
            <w:tcW w:w="26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3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药剂净重</w:t>
            </w:r>
          </w:p>
        </w:tc>
        <w:tc>
          <w:tcPr>
            <w:tcW w:w="26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3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顶上喷药剂名称</w:t>
            </w:r>
          </w:p>
        </w:tc>
        <w:tc>
          <w:tcPr>
            <w:tcW w:w="26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3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四周喷药剂名称</w:t>
            </w:r>
          </w:p>
        </w:tc>
        <w:tc>
          <w:tcPr>
            <w:tcW w:w="26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四周喷厂家名称（简称）</w:t>
            </w:r>
          </w:p>
        </w:tc>
        <w:tc>
          <w:tcPr>
            <w:tcW w:w="26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需回收的四周喷“回收”</w:t>
            </w:r>
          </w:p>
        </w:tc>
        <w:tc>
          <w:tcPr>
            <w:tcW w:w="26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3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两寸快速接头一体式球阀出料口</w:t>
            </w:r>
          </w:p>
        </w:tc>
        <w:tc>
          <w:tcPr>
            <w:tcW w:w="26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39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出料口带封盖</w:t>
            </w:r>
          </w:p>
        </w:tc>
        <w:tc>
          <w:tcPr>
            <w:tcW w:w="26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000" w:type="pct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注：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5000" w:type="pct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1、“√”请严格执行。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000" w:type="pct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2、包装物回收：供应商不对包装物进行回收，我公司自行组织处置。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00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color w:val="auto"/>
                <w:kern w:val="0"/>
                <w:sz w:val="28"/>
                <w:szCs w:val="28"/>
                <w:lang w:val="en-US" w:eastAsia="zh-CN" w:bidi="ar-SA"/>
              </w:rPr>
              <w:t>3、如卖方未按上述包装物标准组织送货，我公司有权要求退换货。</w:t>
            </w:r>
          </w:p>
        </w:tc>
      </w:tr>
    </w:tbl>
    <w:p>
      <w:pPr>
        <w:pStyle w:val="12"/>
        <w:numPr>
          <w:numId w:val="0"/>
        </w:numPr>
        <w:spacing w:before="120" w:after="120" w:line="360" w:lineRule="auto"/>
        <w:outlineLvl w:val="0"/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 w:bidi="ar-SA"/>
        </w:rPr>
      </w:pPr>
      <w:bookmarkStart w:id="3" w:name="_GoBack"/>
      <w:bookmarkEnd w:id="3"/>
    </w:p>
    <w:p>
      <w:pPr>
        <w:pStyle w:val="12"/>
        <w:numPr>
          <w:ilvl w:val="0"/>
          <w:numId w:val="2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执行标准/规范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eastAsia" w:ascii="仿宋" w:hAnsi="仿宋" w:eastAsia="仿宋" w:cstheme="minorBidi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lang w:val="en-US" w:eastAsia="zh-CN" w:bidi="ar-SA"/>
        </w:rPr>
        <w:t>GB/T 2013 液体石油化工产品密度测定法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eastAsia" w:ascii="仿宋" w:hAnsi="仿宋" w:eastAsia="仿宋" w:cstheme="minorBidi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lang w:val="en-US" w:eastAsia="zh-CN" w:bidi="ar-SA"/>
        </w:rPr>
        <w:t>GB/T 22592 水处理剂 pH值测定方法通则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eastAsia" w:ascii="仿宋" w:hAnsi="仿宋" w:eastAsia="仿宋" w:cstheme="minorBidi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0"/>
          <w:sz w:val="28"/>
          <w:szCs w:val="28"/>
          <w:lang w:val="en-US" w:eastAsia="zh-CN" w:bidi="ar-SA"/>
        </w:rPr>
        <w:t xml:space="preserve">GB/T 1723 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lang w:val="en-US" w:eastAsia="zh-CN" w:bidi="ar-SA"/>
        </w:rPr>
        <w:t>涂料粘度测定法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default" w:ascii="仿宋" w:hAnsi="仿宋" w:eastAsia="仿宋" w:cstheme="minorBidi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0"/>
          <w:sz w:val="28"/>
          <w:szCs w:val="28"/>
          <w:lang w:val="en-US" w:eastAsia="zh-CN" w:bidi="ar-SA"/>
        </w:rPr>
        <w:t xml:space="preserve">GB/T 6682 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lang w:val="en-US" w:eastAsia="zh-CN" w:bidi="ar-SA"/>
        </w:rPr>
        <w:t>分析实验室用水规格和试验方法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textAlignment w:val="center"/>
        <w:rPr>
          <w:rFonts w:hint="eastAsia" w:ascii="仿宋" w:hAnsi="仿宋" w:eastAsia="仿宋" w:cstheme="minorBidi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0"/>
          <w:sz w:val="28"/>
          <w:szCs w:val="28"/>
          <w:lang w:val="en-US" w:eastAsia="zh-CN" w:bidi="ar-SA"/>
        </w:rPr>
        <w:t xml:space="preserve">NAS 1638-2011 </w:t>
      </w:r>
      <w:r>
        <w:rPr>
          <w:rFonts w:hint="eastAsia" w:ascii="仿宋" w:hAnsi="仿宋" w:eastAsia="仿宋" w:cstheme="minorBidi"/>
          <w:color w:val="auto"/>
          <w:kern w:val="0"/>
          <w:sz w:val="28"/>
          <w:szCs w:val="28"/>
          <w:lang w:val="en-US" w:eastAsia="zh-CN" w:bidi="ar-SA"/>
        </w:rPr>
        <w:t>清洁度要求</w:t>
      </w:r>
    </w:p>
    <w:p>
      <w:pPr>
        <w:pStyle w:val="12"/>
        <w:numPr>
          <w:ilvl w:val="0"/>
          <w:numId w:val="0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7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供应商资质基本要求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tbl>
      <w:tblPr>
        <w:tblStyle w:val="9"/>
        <w:tblW w:w="504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70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00" w:lineRule="exact"/>
              <w:jc w:val="center"/>
              <w:rPr>
                <w:rFonts w:hint="eastAsia" w:ascii="仿宋" w:hAnsi="仿宋" w:eastAsia="仿宋" w:cs="Calibri"/>
                <w:b/>
                <w:bCs/>
                <w:color w:val="FF0000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资质要求</w:t>
            </w:r>
          </w:p>
          <w:p>
            <w:pPr>
              <w:pStyle w:val="13"/>
              <w:spacing w:line="300" w:lineRule="exact"/>
              <w:jc w:val="center"/>
              <w:rPr>
                <w:rFonts w:hint="eastAsia" w:ascii="仿宋" w:hAnsi="仿宋" w:eastAsia="仿宋" w:cs="Calibri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1.申请人须是中华人民共和国境内注册的独立法人单位，具有合法有效的企业法人营业执照、税务登记证及组织机构代码证或证照合一的营业执照；</w:t>
            </w:r>
          </w:p>
          <w:p>
            <w:pPr>
              <w:pStyle w:val="13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2.申请人须是中华人民共和国境内具有独立承担民事责任能力的法人，或具备国家认可经营资格的其他组织。</w:t>
            </w:r>
          </w:p>
          <w:p>
            <w:pPr>
              <w:pStyle w:val="13"/>
              <w:jc w:val="both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3.本项目仅允许制造商参与。</w:t>
            </w:r>
          </w:p>
        </w:tc>
      </w:tr>
    </w:tbl>
    <w:p>
      <w:pPr>
        <w:pStyle w:val="8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ascii="Times New Roman" w:hAnsi="Times New Roman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CC6377"/>
    <w:multiLevelType w:val="singleLevel"/>
    <w:tmpl w:val="E6CC6377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F9AEBCB2"/>
    <w:multiLevelType w:val="singleLevel"/>
    <w:tmpl w:val="F9AEBC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7900891"/>
    <w:multiLevelType w:val="singleLevel"/>
    <w:tmpl w:val="5790089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BEF633E"/>
    <w:rsid w:val="3CB4A9AF"/>
    <w:rsid w:val="46BB5C51"/>
    <w:rsid w:val="4A1947CF"/>
    <w:rsid w:val="4F6E853F"/>
    <w:rsid w:val="5F6F6A00"/>
    <w:rsid w:val="6FF7C6E3"/>
    <w:rsid w:val="76ECFE8D"/>
    <w:rsid w:val="7B096C74"/>
    <w:rsid w:val="7EF363FF"/>
    <w:rsid w:val="7EF5DB09"/>
    <w:rsid w:val="9BD9EE6E"/>
    <w:rsid w:val="A6F4E9A6"/>
    <w:rsid w:val="AF7BAA25"/>
    <w:rsid w:val="BFBB32D6"/>
    <w:rsid w:val="CFFF7BBB"/>
    <w:rsid w:val="D1DCE082"/>
    <w:rsid w:val="E7EB5664"/>
    <w:rsid w:val="ECFC8467"/>
    <w:rsid w:val="EEB8FCDA"/>
    <w:rsid w:val="EEED05F1"/>
    <w:rsid w:val="F7F5D0AE"/>
    <w:rsid w:val="FB7D1AA4"/>
    <w:rsid w:val="FBBBD278"/>
    <w:rsid w:val="FD332FBA"/>
    <w:rsid w:val="FEB31551"/>
    <w:rsid w:val="FEFE5ED4"/>
    <w:rsid w:val="FF2F2082"/>
    <w:rsid w:val="FF6FF04F"/>
    <w:rsid w:val="FF7D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479" w:lineRule="exact"/>
      <w:outlineLvl w:val="1"/>
    </w:pPr>
    <w:rPr>
      <w:rFonts w:ascii="Microsoft YaHei UI" w:hAnsi="Microsoft YaHei UI" w:eastAsia="Microsoft YaHei UI"/>
      <w:spacing w:val="2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1"/>
    <w:pPr>
      <w:ind w:firstLine="200" w:firstLineChars="200"/>
    </w:pPr>
    <w:rPr>
      <w:rFonts w:ascii="Microsoft YaHei UI" w:hAnsi="Microsoft YaHei UI" w:eastAsia="Microsoft YaHei UI"/>
      <w:szCs w:val="21"/>
    </w:rPr>
  </w:style>
  <w:style w:type="paragraph" w:styleId="5">
    <w:name w:val="index 4"/>
    <w:basedOn w:val="1"/>
    <w:next w:val="1"/>
    <w:unhideWhenUsed/>
    <w:qFormat/>
    <w:uiPriority w:val="99"/>
    <w:pPr>
      <w:ind w:left="1260" w:leftChars="600"/>
      <w:jc w:val="left"/>
    </w:pPr>
  </w:style>
  <w:style w:type="paragraph" w:styleId="6">
    <w:name w:val="Plain Text"/>
    <w:basedOn w:val="1"/>
    <w:qFormat/>
    <w:uiPriority w:val="99"/>
    <w:rPr>
      <w:rFonts w:eastAsia="楷体_GB2312"/>
      <w:color w:val="002060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"/>
    <w:basedOn w:val="4"/>
    <w:unhideWhenUsed/>
    <w:qFormat/>
    <w:uiPriority w:val="99"/>
    <w:pPr>
      <w:ind w:firstLine="567"/>
    </w:pPr>
  </w:style>
  <w:style w:type="table" w:styleId="10">
    <w:name w:val="Table Grid"/>
    <w:basedOn w:val="9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13">
    <w:name w:val="Table Paragraph"/>
    <w:basedOn w:val="1"/>
    <w:qFormat/>
    <w:uiPriority w:val="0"/>
    <w:pPr>
      <w:jc w:val="left"/>
    </w:pPr>
    <w:rPr>
      <w:kern w:val="0"/>
      <w:sz w:val="22"/>
      <w:lang w:eastAsia="en-US"/>
    </w:rPr>
  </w:style>
  <w:style w:type="table" w:customStyle="1" w:styleId="14">
    <w:name w:val="网格型3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No Spacing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paragraph" w:customStyle="1" w:styleId="16">
    <w:name w:val="标题1"/>
    <w:basedOn w:val="1"/>
    <w:next w:val="1"/>
    <w:qFormat/>
    <w:uiPriority w:val="0"/>
    <w:pPr>
      <w:spacing w:before="156" w:beforeLines="50" w:after="156" w:afterLines="50" w:line="360" w:lineRule="auto"/>
      <w:outlineLvl w:val="0"/>
    </w:pPr>
    <w:rPr>
      <w:rFonts w:ascii="宋体" w:hAnsi="宋体" w:eastAsia="宋体" w:cs="Times New Roman"/>
      <w:color w:val="000000"/>
      <w:kern w:val="2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2018-07-14T23:11:00Z</dcterms:created>
  <dc:creator>d</dc:creator>
  <cp:lastModifiedBy>wudi13</cp:lastModifiedBy>
  <dcterms:modified xsi:type="dcterms:W3CDTF">2025-12-16T17:10:33Z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F8230E7D290F4682BFFDFCE545D79E16</vt:lpwstr>
  </property>
</Properties>
</file>