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E5E1F">
      <w:pPr>
        <w:pageBreakBefore w:val="0"/>
        <w:kinsoku/>
        <w:overflowPunct/>
        <w:topLinePunct w:val="0"/>
        <w:bidi w:val="0"/>
        <w:spacing w:beforeLines="100" w:line="360" w:lineRule="auto"/>
        <w:ind w:left="0" w:leftChars="0" w:right="-108" w:firstLine="0" w:firstLineChars="0"/>
        <w:jc w:val="center"/>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 xml:space="preserve"> </w:t>
      </w:r>
    </w:p>
    <w:p w14:paraId="4E4AFD96">
      <w:pPr>
        <w:pStyle w:val="89"/>
        <w:pageBreakBefore w:val="0"/>
        <w:kinsoku/>
        <w:overflowPunct/>
        <w:topLinePunct w:val="0"/>
        <w:bidi w:val="0"/>
        <w:spacing w:line="360" w:lineRule="auto"/>
        <w:ind w:left="0" w:leftChars="0" w:firstLine="0" w:firstLineChars="0"/>
        <w:textAlignment w:val="auto"/>
        <w:rPr>
          <w:rFonts w:hint="eastAsia" w:ascii="宋体" w:hAnsi="宋体" w:eastAsia="宋体" w:cs="宋体"/>
          <w:color w:val="auto"/>
          <w:sz w:val="22"/>
          <w:szCs w:val="18"/>
        </w:rPr>
      </w:pPr>
    </w:p>
    <w:p w14:paraId="5EC327E4">
      <w:pPr>
        <w:pStyle w:val="89"/>
        <w:pageBreakBefore w:val="0"/>
        <w:kinsoku/>
        <w:overflowPunct/>
        <w:topLinePunct w:val="0"/>
        <w:bidi w:val="0"/>
        <w:spacing w:line="360" w:lineRule="auto"/>
        <w:ind w:left="0" w:leftChars="0" w:firstLine="0" w:firstLineChars="0"/>
        <w:textAlignment w:val="auto"/>
        <w:rPr>
          <w:rFonts w:hint="eastAsia" w:ascii="宋体" w:hAnsi="宋体" w:eastAsia="宋体" w:cs="宋体"/>
          <w:color w:val="auto"/>
          <w:sz w:val="22"/>
          <w:szCs w:val="18"/>
        </w:rPr>
      </w:pPr>
    </w:p>
    <w:p w14:paraId="6F1010A0">
      <w:pPr>
        <w:pageBreakBefore w:val="0"/>
        <w:kinsoku/>
        <w:overflowPunct/>
        <w:topLinePunct w:val="0"/>
        <w:bidi w:val="0"/>
        <w:spacing w:beforeLines="100" w:line="360" w:lineRule="auto"/>
        <w:ind w:left="0" w:leftChars="0" w:right="-108" w:firstLine="0" w:firstLineChars="0"/>
        <w:jc w:val="center"/>
        <w:textAlignment w:val="auto"/>
        <w:outlineLvl w:val="0"/>
        <w:rPr>
          <w:rFonts w:hint="eastAsia" w:ascii="宋体" w:hAnsi="宋体" w:eastAsia="宋体" w:cs="宋体"/>
          <w:b/>
          <w:bCs/>
          <w:color w:val="auto"/>
          <w:sz w:val="52"/>
          <w:szCs w:val="52"/>
          <w:lang w:eastAsia="zh-CN"/>
        </w:rPr>
      </w:pPr>
      <w:r>
        <w:rPr>
          <w:rFonts w:hint="eastAsia" w:ascii="宋体" w:hAnsi="宋体" w:cs="宋体"/>
          <w:b/>
          <w:bCs/>
          <w:color w:val="auto"/>
          <w:sz w:val="44"/>
          <w:szCs w:val="44"/>
          <w:lang w:val="en-US" w:eastAsia="zh-CN"/>
        </w:rPr>
        <w:t>柳林县中医院(新院区)信息化建设项目</w:t>
      </w:r>
    </w:p>
    <w:p w14:paraId="72ED0F94">
      <w:pPr>
        <w:pStyle w:val="22"/>
        <w:pageBreakBefore w:val="0"/>
        <w:kinsoku/>
        <w:overflowPunct/>
        <w:topLinePunct w:val="0"/>
        <w:bidi w:val="0"/>
        <w:spacing w:line="360" w:lineRule="auto"/>
        <w:ind w:left="0" w:leftChars="0" w:firstLine="0" w:firstLineChars="0"/>
        <w:textAlignment w:val="auto"/>
        <w:rPr>
          <w:rFonts w:hint="eastAsia" w:ascii="宋体" w:hAnsi="宋体" w:eastAsia="宋体" w:cs="宋体"/>
          <w:color w:val="auto"/>
        </w:rPr>
      </w:pPr>
    </w:p>
    <w:p w14:paraId="1BC739FE">
      <w:pPr>
        <w:pStyle w:val="22"/>
        <w:pageBreakBefore w:val="0"/>
        <w:kinsoku/>
        <w:overflowPunct/>
        <w:topLinePunct w:val="0"/>
        <w:bidi w:val="0"/>
        <w:spacing w:line="360" w:lineRule="auto"/>
        <w:ind w:left="0" w:leftChars="0" w:firstLine="0" w:firstLineChars="0"/>
        <w:textAlignment w:val="auto"/>
        <w:rPr>
          <w:rFonts w:hint="eastAsia" w:ascii="宋体" w:hAnsi="宋体" w:eastAsia="宋体" w:cs="宋体"/>
          <w:color w:val="auto"/>
        </w:rPr>
      </w:pPr>
    </w:p>
    <w:p w14:paraId="58A60177">
      <w:pPr>
        <w:pStyle w:val="22"/>
        <w:pageBreakBefore w:val="0"/>
        <w:kinsoku/>
        <w:overflowPunct/>
        <w:topLinePunct w:val="0"/>
        <w:bidi w:val="0"/>
        <w:spacing w:line="360" w:lineRule="auto"/>
        <w:ind w:left="0" w:leftChars="0" w:firstLine="0" w:firstLineChars="0"/>
        <w:textAlignment w:val="auto"/>
        <w:rPr>
          <w:rFonts w:hint="eastAsia" w:ascii="宋体" w:hAnsi="宋体" w:eastAsia="宋体" w:cs="宋体"/>
          <w:color w:val="auto"/>
        </w:rPr>
      </w:pPr>
    </w:p>
    <w:p w14:paraId="42331AAF">
      <w:pPr>
        <w:pageBreakBefore w:val="0"/>
        <w:kinsoku/>
        <w:overflowPunct/>
        <w:topLinePunct w:val="0"/>
        <w:bidi w:val="0"/>
        <w:spacing w:beforeLines="100" w:line="360" w:lineRule="auto"/>
        <w:ind w:left="0" w:leftChars="0" w:right="-108" w:firstLine="0" w:firstLineChars="0"/>
        <w:jc w:val="center"/>
        <w:textAlignment w:val="auto"/>
        <w:rPr>
          <w:rFonts w:hint="eastAsia" w:ascii="宋体" w:hAnsi="宋体" w:eastAsia="宋体" w:cs="宋体"/>
          <w:color w:val="auto"/>
          <w:sz w:val="84"/>
          <w:szCs w:val="84"/>
        </w:rPr>
      </w:pPr>
      <w:r>
        <w:rPr>
          <w:rFonts w:hint="eastAsia" w:ascii="宋体" w:hAnsi="宋体" w:eastAsia="宋体" w:cs="宋体"/>
          <w:b/>
          <w:bCs/>
          <w:color w:val="auto"/>
          <w:sz w:val="84"/>
          <w:szCs w:val="84"/>
        </w:rPr>
        <w:t>招 标 文 件</w:t>
      </w:r>
    </w:p>
    <w:p w14:paraId="4AC6A475">
      <w:pPr>
        <w:pageBreakBefore w:val="0"/>
        <w:kinsoku/>
        <w:overflowPunct/>
        <w:topLinePunct w:val="0"/>
        <w:bidi w:val="0"/>
        <w:spacing w:beforeLines="100" w:line="360" w:lineRule="auto"/>
        <w:ind w:left="0" w:leftChars="0" w:right="-108" w:firstLine="0" w:firstLineChars="0"/>
        <w:jc w:val="center"/>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val="en-US" w:eastAsia="zh-CN"/>
        </w:rPr>
        <w:t xml:space="preserve"> </w:t>
      </w:r>
    </w:p>
    <w:p w14:paraId="4E84B4C0">
      <w:pPr>
        <w:pageBreakBefore w:val="0"/>
        <w:kinsoku/>
        <w:overflowPunct/>
        <w:topLinePunct w:val="0"/>
        <w:bidi w:val="0"/>
        <w:spacing w:beforeLines="100" w:line="360" w:lineRule="auto"/>
        <w:ind w:left="0" w:leftChars="0" w:right="-108" w:firstLine="0" w:firstLineChars="0"/>
        <w:jc w:val="center"/>
        <w:textAlignment w:val="auto"/>
        <w:rPr>
          <w:rFonts w:hint="eastAsia" w:ascii="宋体" w:hAnsi="宋体" w:eastAsia="宋体" w:cs="宋体"/>
          <w:b/>
          <w:bCs/>
          <w:color w:val="auto"/>
          <w:sz w:val="28"/>
          <w:szCs w:val="28"/>
        </w:rPr>
      </w:pPr>
    </w:p>
    <w:p w14:paraId="5422BA85">
      <w:pPr>
        <w:pageBreakBefore w:val="0"/>
        <w:kinsoku/>
        <w:overflowPunct/>
        <w:topLinePunct w:val="0"/>
        <w:bidi w:val="0"/>
        <w:spacing w:line="360" w:lineRule="auto"/>
        <w:ind w:left="0" w:leftChars="0" w:right="0" w:firstLine="0" w:firstLineChars="0"/>
        <w:jc w:val="both"/>
        <w:textAlignment w:val="auto"/>
        <w:rPr>
          <w:rFonts w:hint="eastAsia"/>
          <w:color w:val="auto"/>
          <w:lang w:val="en-US" w:eastAsia="zh-CN"/>
        </w:rPr>
      </w:pPr>
    </w:p>
    <w:p w14:paraId="1CC534D6">
      <w:pPr>
        <w:pStyle w:val="92"/>
        <w:pageBreakBefore w:val="0"/>
        <w:pBdr>
          <w:top w:val="none" w:color="auto" w:sz="0" w:space="1"/>
          <w:left w:val="none" w:color="auto" w:sz="0" w:space="4"/>
          <w:bottom w:val="none" w:color="auto" w:sz="0" w:space="1"/>
          <w:right w:val="none" w:color="auto" w:sz="0" w:space="4"/>
        </w:pBdr>
        <w:kinsoku/>
        <w:overflowPunct/>
        <w:topLinePunct w:val="0"/>
        <w:bidi w:val="0"/>
        <w:spacing w:after="120" w:line="360" w:lineRule="auto"/>
        <w:ind w:left="0" w:leftChars="0" w:right="105" w:rightChars="50" w:firstLine="0" w:firstLineChars="0"/>
        <w:textAlignment w:val="auto"/>
        <w:rPr>
          <w:rFonts w:hint="eastAsia" w:ascii="宋体" w:hAnsi="宋体" w:eastAsia="宋体" w:cs="宋体"/>
          <w:b/>
          <w:color w:val="auto"/>
          <w:szCs w:val="24"/>
        </w:rPr>
      </w:pPr>
    </w:p>
    <w:p w14:paraId="1555B930">
      <w:pPr>
        <w:pageBreakBefore w:val="0"/>
        <w:kinsoku/>
        <w:overflowPunct/>
        <w:topLinePunct w:val="0"/>
        <w:bidi w:val="0"/>
        <w:spacing w:line="360" w:lineRule="auto"/>
        <w:ind w:left="0" w:leftChars="0" w:firstLine="1478" w:firstLineChars="462"/>
        <w:jc w:val="both"/>
        <w:textAlignment w:val="auto"/>
        <w:rPr>
          <w:rFonts w:hint="eastAsia" w:ascii="宋体" w:hAnsi="宋体" w:eastAsia="宋体" w:cs="宋体"/>
          <w:b/>
          <w:color w:val="auto"/>
          <w:sz w:val="32"/>
          <w:szCs w:val="32"/>
          <w:u w:val="single"/>
          <w:lang w:val="en-US" w:eastAsia="zh-CN"/>
        </w:rPr>
      </w:pPr>
      <w:r>
        <w:rPr>
          <w:rFonts w:hint="eastAsia" w:ascii="宋体" w:hAnsi="宋体" w:eastAsia="宋体" w:cs="宋体"/>
          <w:b/>
          <w:color w:val="auto"/>
          <w:sz w:val="32"/>
          <w:szCs w:val="32"/>
        </w:rPr>
        <w:t>采 购 人</w:t>
      </w: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u w:val="single"/>
          <w:lang w:val="en-US" w:eastAsia="zh-CN"/>
        </w:rPr>
        <w:t xml:space="preserve"> </w:t>
      </w:r>
      <w:r>
        <w:rPr>
          <w:rFonts w:hint="eastAsia" w:ascii="宋体" w:hAnsi="宋体" w:cs="宋体"/>
          <w:b/>
          <w:color w:val="auto"/>
          <w:sz w:val="32"/>
          <w:szCs w:val="32"/>
          <w:u w:val="single"/>
          <w:lang w:val="en-US" w:eastAsia="zh-CN"/>
        </w:rPr>
        <w:t xml:space="preserve">       柳林县中医院 </w:t>
      </w:r>
      <w:r>
        <w:rPr>
          <w:rFonts w:hint="eastAsia" w:ascii="宋体" w:hAnsi="宋体" w:eastAsia="宋体" w:cs="宋体"/>
          <w:b/>
          <w:color w:val="auto"/>
          <w:sz w:val="32"/>
          <w:szCs w:val="32"/>
          <w:u w:val="single"/>
          <w:lang w:val="en-US" w:eastAsia="zh-CN"/>
        </w:rPr>
        <w:t xml:space="preserve">  </w:t>
      </w:r>
      <w:r>
        <w:rPr>
          <w:rFonts w:hint="eastAsia" w:ascii="宋体" w:hAnsi="宋体" w:cs="宋体"/>
          <w:b/>
          <w:color w:val="auto"/>
          <w:sz w:val="32"/>
          <w:szCs w:val="32"/>
          <w:u w:val="single"/>
          <w:lang w:val="en-US" w:eastAsia="zh-CN"/>
        </w:rPr>
        <w:t xml:space="preserve">         </w:t>
      </w:r>
      <w:r>
        <w:rPr>
          <w:rFonts w:hint="eastAsia" w:ascii="宋体" w:hAnsi="宋体" w:eastAsia="宋体" w:cs="宋体"/>
          <w:b/>
          <w:color w:val="auto"/>
          <w:sz w:val="32"/>
          <w:szCs w:val="32"/>
          <w:u w:val="single"/>
          <w:lang w:val="en-US" w:eastAsia="zh-CN"/>
        </w:rPr>
        <w:t xml:space="preserve"> </w:t>
      </w:r>
    </w:p>
    <w:p w14:paraId="0718317E">
      <w:pPr>
        <w:pageBreakBefore w:val="0"/>
        <w:kinsoku/>
        <w:overflowPunct/>
        <w:topLinePunct w:val="0"/>
        <w:bidi w:val="0"/>
        <w:spacing w:after="159" w:afterLines="50" w:afterAutospacing="0" w:line="360" w:lineRule="auto"/>
        <w:ind w:left="0" w:leftChars="0" w:firstLine="1478" w:firstLineChars="462"/>
        <w:textAlignment w:val="auto"/>
        <w:rPr>
          <w:rFonts w:hint="eastAsia" w:ascii="宋体" w:hAnsi="宋体" w:eastAsia="宋体" w:cs="宋体"/>
          <w:b/>
          <w:color w:val="auto"/>
          <w:sz w:val="32"/>
          <w:szCs w:val="32"/>
          <w:u w:val="single"/>
        </w:rPr>
      </w:pPr>
      <w:r>
        <w:rPr>
          <w:rFonts w:hint="eastAsia" w:ascii="宋体" w:hAnsi="宋体" w:eastAsia="宋体" w:cs="宋体"/>
          <w:b/>
          <w:color w:val="auto"/>
          <w:sz w:val="32"/>
          <w:szCs w:val="32"/>
        </w:rPr>
        <w:t>代理机构</w:t>
      </w: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r>
        <w:rPr>
          <w:rFonts w:hint="eastAsia" w:ascii="宋体" w:hAnsi="宋体" w:cs="宋体"/>
          <w:b/>
          <w:color w:val="auto"/>
          <w:sz w:val="32"/>
          <w:szCs w:val="32"/>
          <w:u w:val="single"/>
          <w:lang w:eastAsia="zh-CN"/>
        </w:rPr>
        <w:t>山西润德工程造价咨询有限公司</w:t>
      </w:r>
      <w:r>
        <w:rPr>
          <w:rFonts w:hint="eastAsia" w:ascii="宋体" w:hAnsi="宋体" w:eastAsia="宋体" w:cs="宋体"/>
          <w:b/>
          <w:color w:val="auto"/>
          <w:sz w:val="32"/>
          <w:szCs w:val="32"/>
          <w:u w:val="single"/>
        </w:rPr>
        <w:t xml:space="preserve"> </w:t>
      </w:r>
      <w:r>
        <w:rPr>
          <w:rFonts w:hint="eastAsia" w:ascii="宋体" w:hAnsi="宋体" w:eastAsia="宋体" w:cs="宋体"/>
          <w:b/>
          <w:color w:val="auto"/>
          <w:sz w:val="32"/>
          <w:szCs w:val="32"/>
          <w:u w:val="single"/>
          <w:lang w:val="en-US" w:eastAsia="zh-CN"/>
        </w:rPr>
        <w:t xml:space="preserve">  </w:t>
      </w:r>
    </w:p>
    <w:p w14:paraId="2A5C8EE8">
      <w:pPr>
        <w:pageBreakBefore w:val="0"/>
        <w:kinsoku/>
        <w:overflowPunct/>
        <w:topLinePunct w:val="0"/>
        <w:bidi w:val="0"/>
        <w:adjustRightInd w:val="0"/>
        <w:snapToGrid w:val="0"/>
        <w:spacing w:beforeAutospacing="0" w:line="360" w:lineRule="auto"/>
        <w:ind w:left="0" w:leftChars="0" w:firstLine="1478" w:firstLineChars="462"/>
        <w:textAlignment w:val="auto"/>
        <w:rPr>
          <w:rFonts w:ascii="宋体" w:hAnsi="宋体"/>
          <w:b/>
          <w:color w:val="auto"/>
          <w:sz w:val="24"/>
        </w:rPr>
        <w:sectPr>
          <w:footerReference r:id="rId3" w:type="default"/>
          <w:pgSz w:w="11906" w:h="16838"/>
          <w:pgMar w:top="1440" w:right="1080" w:bottom="1440" w:left="1080" w:header="851" w:footer="992" w:gutter="0"/>
          <w:pgNumType w:start="1"/>
          <w:cols w:space="720" w:num="1"/>
          <w:docGrid w:type="linesAndChars" w:linePitch="312" w:charSpace="0"/>
        </w:sectPr>
      </w:pPr>
      <w:r>
        <w:rPr>
          <w:rFonts w:hint="eastAsia" w:ascii="宋体" w:hAnsi="宋体" w:eastAsia="宋体" w:cs="宋体"/>
          <w:b/>
          <w:color w:val="auto"/>
          <w:sz w:val="32"/>
          <w:szCs w:val="32"/>
        </w:rPr>
        <w:t>日    期：</w:t>
      </w:r>
      <w:r>
        <w:rPr>
          <w:rFonts w:hint="eastAsia" w:ascii="宋体" w:hAnsi="宋体" w:eastAsia="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r>
        <w:rPr>
          <w:rFonts w:hint="eastAsia" w:ascii="宋体" w:hAnsi="宋体" w:eastAsia="宋体" w:cs="宋体"/>
          <w:b/>
          <w:color w:val="auto"/>
          <w:sz w:val="32"/>
          <w:szCs w:val="32"/>
          <w:u w:val="single"/>
          <w:lang w:val="en-US" w:eastAsia="zh-CN"/>
        </w:rPr>
        <w:t xml:space="preserve"> </w:t>
      </w:r>
      <w:r>
        <w:rPr>
          <w:rFonts w:hint="eastAsia" w:ascii="宋体" w:hAnsi="宋体" w:cs="宋体"/>
          <w:b/>
          <w:color w:val="auto"/>
          <w:sz w:val="32"/>
          <w:szCs w:val="32"/>
          <w:u w:val="single"/>
          <w:lang w:val="en-US" w:eastAsia="zh-CN"/>
        </w:rPr>
        <w:t xml:space="preserve"> </w:t>
      </w:r>
      <w:r>
        <w:rPr>
          <w:rFonts w:hint="eastAsia" w:ascii="宋体" w:hAnsi="宋体" w:cs="宋体"/>
          <w:b/>
          <w:color w:val="auto"/>
          <w:sz w:val="32"/>
          <w:szCs w:val="32"/>
          <w:u w:val="single"/>
          <w:lang w:eastAsia="zh-CN"/>
        </w:rPr>
        <w:t>2025年</w:t>
      </w:r>
      <w:r>
        <w:rPr>
          <w:rFonts w:hint="eastAsia" w:ascii="宋体" w:hAnsi="宋体" w:cs="宋体"/>
          <w:b/>
          <w:color w:val="auto"/>
          <w:sz w:val="32"/>
          <w:szCs w:val="32"/>
          <w:u w:val="single"/>
          <w:lang w:val="en-US" w:eastAsia="zh-CN"/>
        </w:rPr>
        <w:t>12</w:t>
      </w:r>
      <w:r>
        <w:rPr>
          <w:rFonts w:hint="eastAsia" w:ascii="宋体" w:hAnsi="宋体" w:cs="宋体"/>
          <w:b/>
          <w:color w:val="auto"/>
          <w:sz w:val="32"/>
          <w:szCs w:val="32"/>
          <w:u w:val="single"/>
          <w:lang w:eastAsia="zh-CN"/>
        </w:rPr>
        <w:t>月</w:t>
      </w:r>
      <w:r>
        <w:rPr>
          <w:rFonts w:hint="eastAsia" w:ascii="宋体" w:hAnsi="宋体" w:eastAsia="宋体" w:cs="宋体"/>
          <w:b/>
          <w:color w:val="auto"/>
          <w:sz w:val="32"/>
          <w:szCs w:val="32"/>
          <w:u w:val="single"/>
        </w:rPr>
        <w:t xml:space="preserve">    </w:t>
      </w:r>
      <w:r>
        <w:rPr>
          <w:rFonts w:hint="eastAsia" w:ascii="宋体" w:hAnsi="宋体" w:eastAsia="宋体" w:cs="宋体"/>
          <w:b/>
          <w:color w:val="auto"/>
          <w:sz w:val="32"/>
          <w:szCs w:val="32"/>
          <w:u w:val="single"/>
          <w:lang w:val="en-US" w:eastAsia="zh-CN"/>
        </w:rPr>
        <w:t xml:space="preserve">     </w:t>
      </w:r>
      <w:r>
        <w:rPr>
          <w:rFonts w:hint="eastAsia" w:ascii="宋体" w:hAnsi="宋体" w:cs="宋体"/>
          <w:b/>
          <w:color w:val="auto"/>
          <w:sz w:val="32"/>
          <w:szCs w:val="32"/>
          <w:u w:val="single"/>
          <w:lang w:val="en-US" w:eastAsia="zh-CN"/>
        </w:rPr>
        <w:t xml:space="preserve"> </w:t>
      </w:r>
      <w:r>
        <w:rPr>
          <w:rFonts w:hint="eastAsia" w:ascii="宋体" w:hAnsi="宋体" w:eastAsia="宋体" w:cs="宋体"/>
          <w:b/>
          <w:color w:val="auto"/>
          <w:sz w:val="32"/>
          <w:szCs w:val="32"/>
          <w:u w:val="single"/>
          <w:lang w:val="en-US" w:eastAsia="zh-CN"/>
        </w:rPr>
        <w:t xml:space="preserve">   </w:t>
      </w:r>
    </w:p>
    <w:p w14:paraId="4F8E057F">
      <w:pPr>
        <w:pageBreakBefore w:val="0"/>
        <w:kinsoku/>
        <w:overflowPunct/>
        <w:topLinePunct w:val="0"/>
        <w:bidi w:val="0"/>
        <w:spacing w:line="360" w:lineRule="auto"/>
        <w:ind w:left="0" w:leftChars="0" w:firstLine="0" w:firstLineChars="0"/>
        <w:jc w:val="center"/>
        <w:textAlignment w:val="auto"/>
        <w:rPr>
          <w:rFonts w:ascii="宋体" w:hAnsi="宋体"/>
          <w:b/>
          <w:color w:val="auto"/>
          <w:sz w:val="32"/>
        </w:rPr>
      </w:pPr>
      <w:r>
        <w:rPr>
          <w:rFonts w:hint="eastAsia" w:ascii="宋体" w:hAnsi="宋体" w:eastAsia="宋体" w:cs="宋体"/>
          <w:b/>
          <w:bCs/>
          <w:color w:val="auto"/>
          <w:sz w:val="44"/>
          <w:szCs w:val="48"/>
        </w:rPr>
        <w:t>目录</w:t>
      </w:r>
    </w:p>
    <w:p w14:paraId="4E46D9E9">
      <w:pPr>
        <w:pStyle w:val="24"/>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TOC \o "1-3" \h \z \u </w:instrText>
      </w:r>
      <w:r>
        <w:rPr>
          <w:rFonts w:hint="eastAsia" w:ascii="宋体" w:hAnsi="宋体" w:eastAsia="宋体" w:cs="宋体"/>
          <w:b w:val="0"/>
          <w:bCs w:val="0"/>
          <w:color w:val="auto"/>
          <w:sz w:val="24"/>
          <w:szCs w:val="24"/>
        </w:rPr>
        <w:fldChar w:fldCharType="separate"/>
      </w:r>
      <w:r>
        <w:rPr>
          <w:rFonts w:hint="eastAsia" w:ascii="宋体" w:hAnsi="宋体" w:eastAsia="宋体" w:cs="宋体"/>
          <w:bCs w:val="0"/>
          <w:color w:val="auto"/>
          <w:sz w:val="24"/>
          <w:szCs w:val="24"/>
        </w:rPr>
        <w:fldChar w:fldCharType="begin"/>
      </w:r>
      <w:r>
        <w:rPr>
          <w:rFonts w:hint="eastAsia" w:ascii="宋体" w:hAnsi="宋体" w:eastAsia="宋体" w:cs="宋体"/>
          <w:bCs w:val="0"/>
          <w:color w:val="auto"/>
          <w:sz w:val="24"/>
          <w:szCs w:val="24"/>
        </w:rPr>
        <w:instrText xml:space="preserve"> HYPERLINK \l _Toc17449 </w:instrText>
      </w:r>
      <w:r>
        <w:rPr>
          <w:rFonts w:hint="eastAsia" w:ascii="宋体" w:hAnsi="宋体" w:eastAsia="宋体" w:cs="宋体"/>
          <w:bCs w:val="0"/>
          <w:color w:val="auto"/>
          <w:sz w:val="24"/>
          <w:szCs w:val="24"/>
        </w:rPr>
        <w:fldChar w:fldCharType="separate"/>
      </w:r>
      <w:r>
        <w:rPr>
          <w:rFonts w:hint="eastAsia" w:ascii="宋体" w:hAnsi="宋体" w:eastAsia="宋体" w:cs="宋体"/>
          <w:color w:val="auto"/>
          <w:sz w:val="24"/>
          <w:szCs w:val="24"/>
        </w:rPr>
        <w:t>第一章  招标公告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_Toc17449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rPr>
        <w:fldChar w:fldCharType="end"/>
      </w:r>
    </w:p>
    <w:p w14:paraId="1004FC6C">
      <w:pPr>
        <w:pStyle w:val="24"/>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_Toc18497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第二章  投标须知前附表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_Toc18497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- 3 -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1E078478">
      <w:pPr>
        <w:pStyle w:val="24"/>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_Toc7931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第三章  投标人须知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_Toc7931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- 9 -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53C6FCB1">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_Toc16443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一  总则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_Toc16443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- 9 -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0B9919EA">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_Toc16610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二  招标文件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_Toc16610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- 10 -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6E6D1C84">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_Toc21413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三  投标文件的编制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_Toc21413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- 11 -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2B1A1B10">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_Toc22371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四  投标文件的递交</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_Toc22371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- 13 -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20AA1339">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_Toc27017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五  开标及评标</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_Toc27017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- 13 -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39DDD493">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_Toc9896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六  确定中标</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_Toc9896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- 17 -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7ACDD439">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_Toc29059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rPr>
        <w:t>附件1：</w:t>
      </w:r>
      <w:r>
        <w:rPr>
          <w:rFonts w:hint="eastAsia" w:ascii="宋体" w:hAnsi="宋体" w:eastAsia="宋体" w:cs="宋体"/>
          <w:bCs/>
          <w:color w:val="auto"/>
          <w:kern w:val="0"/>
          <w:sz w:val="24"/>
          <w:szCs w:val="24"/>
        </w:rPr>
        <w:t>资格审查表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_Toc29059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- 20 -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7D833237">
      <w:pPr>
        <w:pStyle w:val="24"/>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_Toc13177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highlight w:val="none"/>
        </w:rPr>
        <w:t>第四章 评标方法和标准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_Toc13177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- 21 -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54E52462">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_Toc19060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rPr>
        <w:t>一、评标程序与方法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_Toc19060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- 21 -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2B5B1067">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_Toc24988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二、商务符合性审查表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_Toc24988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- 25 -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5B0F54C7">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_Toc28618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三、技术符合性审查表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_Toc28618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- 26 -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738C6D30">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_Toc21121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四、评审因素和指标（采用综合评分法时适用）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_Toc21121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- 27 -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11981791">
      <w:pPr>
        <w:pStyle w:val="24"/>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_Toc10756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第五章  服务及伴随货物需求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_Toc10756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- 30 -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77BF6A78">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_Toc28215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kern w:val="0"/>
          <w:sz w:val="24"/>
          <w:szCs w:val="24"/>
        </w:rPr>
        <w:t>一、项目概况</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_Toc28215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- 30 -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05A59429">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_Toc9307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kern w:val="0"/>
          <w:sz w:val="24"/>
          <w:szCs w:val="24"/>
        </w:rPr>
        <w:t>二、采购内容</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_Toc9307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- 30 -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16D027AC">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_Toc4330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kern w:val="0"/>
          <w:sz w:val="24"/>
          <w:szCs w:val="24"/>
        </w:rPr>
        <w:t>（一）</w:t>
      </w:r>
      <w:r>
        <w:rPr>
          <w:rFonts w:hint="eastAsia" w:ascii="宋体" w:hAnsi="宋体" w:cs="宋体"/>
          <w:bCs/>
          <w:color w:val="auto"/>
          <w:kern w:val="0"/>
          <w:sz w:val="24"/>
          <w:szCs w:val="24"/>
          <w:lang w:eastAsia="zh-CN"/>
        </w:rPr>
        <w:t>柳林县中医院</w:t>
      </w:r>
      <w:r>
        <w:rPr>
          <w:rFonts w:hint="eastAsia" w:ascii="宋体" w:hAnsi="宋体" w:eastAsia="宋体" w:cs="宋体"/>
          <w:bCs/>
          <w:color w:val="auto"/>
          <w:kern w:val="0"/>
          <w:sz w:val="24"/>
          <w:szCs w:val="24"/>
          <w:lang w:val="en-US" w:eastAsia="zh-CN"/>
        </w:rPr>
        <w:t>服务</w:t>
      </w:r>
      <w:r>
        <w:rPr>
          <w:rFonts w:hint="eastAsia" w:ascii="宋体" w:hAnsi="宋体" w:eastAsia="宋体" w:cs="宋体"/>
          <w:bCs/>
          <w:color w:val="auto"/>
          <w:kern w:val="0"/>
          <w:sz w:val="24"/>
          <w:szCs w:val="24"/>
        </w:rPr>
        <w:t>项目采购清单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_Toc4330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- 30 -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191E28B4">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_Toc6331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kern w:val="0"/>
          <w:sz w:val="24"/>
          <w:szCs w:val="24"/>
        </w:rPr>
        <w:t>（二）</w:t>
      </w:r>
      <w:r>
        <w:rPr>
          <w:rFonts w:hint="eastAsia" w:ascii="宋体" w:hAnsi="宋体" w:cs="宋体"/>
          <w:bCs/>
          <w:color w:val="auto"/>
          <w:kern w:val="0"/>
          <w:sz w:val="24"/>
          <w:szCs w:val="24"/>
          <w:lang w:eastAsia="zh-CN"/>
        </w:rPr>
        <w:t>柳林县中医院</w:t>
      </w:r>
      <w:r>
        <w:rPr>
          <w:rFonts w:hint="eastAsia" w:ascii="宋体" w:hAnsi="宋体" w:eastAsia="宋体" w:cs="宋体"/>
          <w:bCs/>
          <w:color w:val="auto"/>
          <w:kern w:val="0"/>
          <w:sz w:val="24"/>
          <w:szCs w:val="24"/>
          <w:lang w:val="en-US" w:eastAsia="zh-CN"/>
        </w:rPr>
        <w:t>伴随</w:t>
      </w:r>
      <w:r>
        <w:rPr>
          <w:rFonts w:hint="eastAsia" w:ascii="宋体" w:hAnsi="宋体" w:eastAsia="宋体" w:cs="宋体"/>
          <w:bCs/>
          <w:color w:val="auto"/>
          <w:kern w:val="0"/>
          <w:sz w:val="24"/>
          <w:szCs w:val="24"/>
        </w:rPr>
        <w:t>货物采购清单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_Toc6331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- 104 -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418199F0">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_Toc27010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kern w:val="0"/>
          <w:sz w:val="24"/>
          <w:szCs w:val="24"/>
        </w:rPr>
        <w:t>三、</w:t>
      </w:r>
      <w:r>
        <w:rPr>
          <w:rFonts w:hint="eastAsia" w:ascii="宋体" w:hAnsi="宋体" w:cs="宋体"/>
          <w:bCs/>
          <w:color w:val="auto"/>
          <w:kern w:val="0"/>
          <w:sz w:val="24"/>
          <w:szCs w:val="24"/>
          <w:lang w:eastAsia="zh-CN"/>
        </w:rPr>
        <w:t>服务周期</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_Toc27010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- 119 -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43575FB3">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_Toc3179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kern w:val="0"/>
          <w:sz w:val="24"/>
          <w:szCs w:val="24"/>
        </w:rPr>
        <w:t>四、合同付款条件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_Toc3179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- 119 -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275F49EC">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_Toc14882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kern w:val="0"/>
          <w:sz w:val="24"/>
          <w:szCs w:val="24"/>
        </w:rPr>
        <w:t>五、履约验收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_Toc14882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- 119 -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18CB77B7">
      <w:pPr>
        <w:pStyle w:val="24"/>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_Toc11033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第六章  政府采购合同</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_Toc11033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- 121 -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672B96AF">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_Toc29066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合同格式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_Toc29066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- 121 -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6588AFE8">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_Toc31528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合同条款</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_Toc31528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- 123 -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29C6FE35">
      <w:pPr>
        <w:pStyle w:val="24"/>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_Toc3247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第七章  投标文件格式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_Toc3247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- 129 -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3DA6892F">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_Toc15718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rPr>
        <w:t>第一部分 资格证明文件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_Toc15718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- 129 -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34270760">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_Toc27150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rPr>
        <w:t>1 法人或者非法人组织的营业执照等证明文件或自然人的身份证明</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_Toc27150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- 131 -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6CB8C6B7">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_Toc7071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rPr>
        <w:t>2 法定代表人身份证明书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_Toc7071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- 132 -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689C5B1F">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_Toc17532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rPr>
        <w:t>3 法定代表人授权委托书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_Toc17532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- 133 -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31227DBF">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_Toc9387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rPr>
        <w:t>4 投标保证金</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_Toc9387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- 134 -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7756F869">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_Toc31100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rPr>
        <w:t>5 供应商信用承诺书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_Toc31100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- 138 -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425A0CAF">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_Toc18909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rPr>
        <w:t>6 投标须知前附表要求的其他资格证明文件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_Toc18909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- 139 -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33E133DB">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_Toc8048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rPr>
        <w:t>7 中小企业声明函</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_Toc8048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- 140 -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042EAD97">
      <w:pPr>
        <w:pStyle w:val="28"/>
        <w:keepNext w:val="0"/>
        <w:keepLines w:val="0"/>
        <w:pageBreakBefore w:val="0"/>
        <w:widowControl w:val="0"/>
        <w:tabs>
          <w:tab w:val="right" w:leader="dot" w:pos="10082"/>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_Toc28930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rPr>
        <w:t>第二部分  商务及技术文件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_Toc28930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- 141 -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455518AA">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_Toc21020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rPr>
        <w:t>1 投标书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_Toc21020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- 143 -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798D16C4">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_Toc1876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rPr>
        <w:t>2 开标一览表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_Toc1876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- 145 -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14D08EBE">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_Toc4165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rPr>
        <w:t>3 投标分项报价表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_Toc4165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- 146 -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30BA3FA4">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_Toc9487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color w:val="auto"/>
          <w:sz w:val="24"/>
          <w:szCs w:val="24"/>
        </w:rPr>
        <w:t xml:space="preserve">4 </w:t>
      </w:r>
      <w:r>
        <w:rPr>
          <w:rFonts w:hint="eastAsia" w:ascii="宋体" w:hAnsi="宋体" w:eastAsia="宋体" w:cs="宋体"/>
          <w:bCs/>
          <w:color w:val="auto"/>
          <w:sz w:val="24"/>
          <w:szCs w:val="24"/>
        </w:rPr>
        <w:t>技术规格偏离表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_Toc9487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- 149 -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1C5AD235">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_Toc7050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rPr>
        <w:t>5 商务条款偏离表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_Toc7050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- 150 -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1CA3235C">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_Toc3713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rPr>
        <w:t>6 政府采购相关政策要求（如涉及）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_Toc3713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- 151 -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7EE8FE44">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_Toc5016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rPr>
        <w:t xml:space="preserve"> 评审所需要的其他商务文件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_Toc5016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- 161 -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3256FB22">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_Toc1743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lang w:val="en-US" w:eastAsia="zh-CN"/>
        </w:rPr>
        <w:t xml:space="preserve">8 </w:t>
      </w:r>
      <w:r>
        <w:rPr>
          <w:rFonts w:hint="eastAsia" w:ascii="宋体" w:hAnsi="宋体" w:eastAsia="宋体" w:cs="宋体"/>
          <w:bCs/>
          <w:color w:val="auto"/>
          <w:sz w:val="24"/>
          <w:szCs w:val="24"/>
        </w:rPr>
        <w:t>投标人须知第10条的所有技术文件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_Toc1743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- 162 -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42C5EE90">
      <w:pPr>
        <w:pStyle w:val="16"/>
        <w:keepNext w:val="0"/>
        <w:keepLines w:val="0"/>
        <w:pageBreakBefore w:val="0"/>
        <w:widowControl w:val="0"/>
        <w:tabs>
          <w:tab w:val="right" w:leader="dot" w:pos="10082"/>
          <w:tab w:val="clear" w:pos="1260"/>
          <w:tab w:val="clear" w:pos="8630"/>
        </w:tabs>
        <w:kinsoku/>
        <w:wordWrap/>
        <w:overflowPunct/>
        <w:topLinePunct w:val="0"/>
        <w:autoSpaceDE/>
        <w:autoSpaceDN/>
        <w:bidi w:val="0"/>
        <w:adjustRightInd/>
        <w:snapToGrid/>
        <w:spacing w:line="360" w:lineRule="auto"/>
        <w:ind w:left="0" w:leftChars="0" w:firstLine="0" w:firstLineChars="0"/>
        <w:textAlignment w:val="auto"/>
        <w:rPr>
          <w:color w:val="auto"/>
        </w:rPr>
      </w:pPr>
      <w:r>
        <w:rPr>
          <w:rFonts w:hint="eastAsia" w:ascii="宋体" w:hAnsi="宋体" w:eastAsia="宋体" w:cs="宋体"/>
          <w:bCs w:val="0"/>
          <w:color w:val="auto"/>
          <w:sz w:val="24"/>
          <w:szCs w:val="24"/>
          <w:lang w:val="zh-CN"/>
        </w:rPr>
        <w:fldChar w:fldCharType="begin"/>
      </w:r>
      <w:r>
        <w:rPr>
          <w:rFonts w:hint="eastAsia" w:ascii="宋体" w:hAnsi="宋体" w:eastAsia="宋体" w:cs="宋体"/>
          <w:bCs w:val="0"/>
          <w:color w:val="auto"/>
          <w:sz w:val="24"/>
          <w:szCs w:val="24"/>
          <w:lang w:val="zh-CN"/>
        </w:rPr>
        <w:instrText xml:space="preserve"> HYPERLINK \l _Toc4201 </w:instrText>
      </w:r>
      <w:r>
        <w:rPr>
          <w:rFonts w:hint="eastAsia" w:ascii="宋体" w:hAnsi="宋体" w:eastAsia="宋体" w:cs="宋体"/>
          <w:bCs w:val="0"/>
          <w:color w:val="auto"/>
          <w:sz w:val="24"/>
          <w:szCs w:val="24"/>
          <w:lang w:val="zh-CN"/>
        </w:rPr>
        <w:fldChar w:fldCharType="separate"/>
      </w:r>
      <w:r>
        <w:rPr>
          <w:rFonts w:hint="eastAsia" w:ascii="宋体" w:hAnsi="宋体" w:eastAsia="宋体" w:cs="宋体"/>
          <w:bCs/>
          <w:color w:val="auto"/>
          <w:sz w:val="24"/>
          <w:szCs w:val="24"/>
          <w:lang w:val="en-US" w:eastAsia="zh-CN"/>
        </w:rPr>
        <w:t>9</w:t>
      </w:r>
      <w:r>
        <w:rPr>
          <w:rFonts w:hint="eastAsia" w:ascii="宋体" w:hAnsi="宋体" w:eastAsia="宋体" w:cs="宋体"/>
          <w:bCs/>
          <w:color w:val="auto"/>
          <w:sz w:val="24"/>
          <w:szCs w:val="24"/>
        </w:rPr>
        <w:t xml:space="preserve"> 投标须知前附表要求的其他文件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_Toc4201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- 163 -</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lang w:val="zh-CN"/>
        </w:rPr>
        <w:fldChar w:fldCharType="end"/>
      </w:r>
    </w:p>
    <w:p w14:paraId="0A2F8EC7">
      <w:pPr>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4"/>
          <w:szCs w:val="24"/>
        </w:rPr>
      </w:pPr>
      <w:r>
        <w:rPr>
          <w:rFonts w:hint="eastAsia" w:ascii="宋体" w:hAnsi="宋体" w:eastAsia="宋体" w:cs="宋体"/>
          <w:bCs w:val="0"/>
          <w:color w:val="auto"/>
          <w:szCs w:val="24"/>
          <w:lang w:val="zh-CN"/>
        </w:rPr>
        <w:fldChar w:fldCharType="end"/>
      </w:r>
    </w:p>
    <w:p w14:paraId="47F53170">
      <w:pPr>
        <w:pageBreakBefore w:val="0"/>
        <w:kinsoku/>
        <w:overflowPunct/>
        <w:topLinePunct w:val="0"/>
        <w:bidi w:val="0"/>
        <w:spacing w:line="360" w:lineRule="auto"/>
        <w:ind w:left="0" w:leftChars="0" w:firstLine="0" w:firstLineChars="0"/>
        <w:jc w:val="center"/>
        <w:textAlignment w:val="auto"/>
        <w:rPr>
          <w:rFonts w:hint="eastAsia" w:ascii="宋体" w:hAnsi="宋体"/>
          <w:b/>
          <w:color w:val="auto"/>
          <w:sz w:val="32"/>
        </w:rPr>
      </w:pPr>
    </w:p>
    <w:p w14:paraId="5015E076">
      <w:pPr>
        <w:pStyle w:val="17"/>
        <w:pageBreakBefore w:val="0"/>
        <w:kinsoku/>
        <w:overflowPunct/>
        <w:topLinePunct w:val="0"/>
        <w:bidi w:val="0"/>
        <w:spacing w:line="360" w:lineRule="auto"/>
        <w:ind w:left="0" w:leftChars="0" w:firstLine="0" w:firstLineChars="0"/>
        <w:textAlignment w:val="auto"/>
        <w:rPr>
          <w:rFonts w:hint="eastAsia" w:ascii="宋体" w:hAnsi="宋体"/>
          <w:b/>
          <w:color w:val="auto"/>
          <w:sz w:val="32"/>
        </w:rPr>
      </w:pPr>
    </w:p>
    <w:p w14:paraId="74677D5E">
      <w:pPr>
        <w:pStyle w:val="17"/>
        <w:pageBreakBefore w:val="0"/>
        <w:kinsoku/>
        <w:overflowPunct/>
        <w:topLinePunct w:val="0"/>
        <w:bidi w:val="0"/>
        <w:spacing w:line="360" w:lineRule="auto"/>
        <w:ind w:left="0" w:leftChars="0" w:firstLine="0" w:firstLineChars="0"/>
        <w:textAlignment w:val="auto"/>
        <w:rPr>
          <w:rFonts w:hint="eastAsia" w:ascii="宋体" w:hAnsi="宋体"/>
          <w:b/>
          <w:color w:val="auto"/>
          <w:sz w:val="32"/>
        </w:rPr>
      </w:pPr>
    </w:p>
    <w:p w14:paraId="766508B2">
      <w:pPr>
        <w:pStyle w:val="17"/>
        <w:pageBreakBefore w:val="0"/>
        <w:kinsoku/>
        <w:overflowPunct/>
        <w:topLinePunct w:val="0"/>
        <w:bidi w:val="0"/>
        <w:spacing w:line="360" w:lineRule="auto"/>
        <w:ind w:left="0" w:leftChars="0" w:firstLine="0" w:firstLineChars="0"/>
        <w:textAlignment w:val="auto"/>
        <w:rPr>
          <w:rFonts w:hint="eastAsia" w:ascii="宋体" w:hAnsi="宋体"/>
          <w:b/>
          <w:color w:val="auto"/>
          <w:sz w:val="32"/>
        </w:rPr>
      </w:pPr>
    </w:p>
    <w:p w14:paraId="74FA1355">
      <w:pPr>
        <w:pStyle w:val="17"/>
        <w:pageBreakBefore w:val="0"/>
        <w:kinsoku/>
        <w:overflowPunct/>
        <w:topLinePunct w:val="0"/>
        <w:bidi w:val="0"/>
        <w:spacing w:line="360" w:lineRule="auto"/>
        <w:ind w:left="0" w:leftChars="0" w:firstLine="0" w:firstLineChars="0"/>
        <w:textAlignment w:val="auto"/>
        <w:rPr>
          <w:rFonts w:hint="eastAsia" w:ascii="宋体" w:hAnsi="宋体"/>
          <w:b/>
          <w:color w:val="auto"/>
          <w:sz w:val="32"/>
        </w:rPr>
        <w:sectPr>
          <w:footerReference r:id="rId4" w:type="default"/>
          <w:pgSz w:w="11906" w:h="16838"/>
          <w:pgMar w:top="1440" w:right="1080" w:bottom="1440" w:left="1080" w:header="0" w:footer="932" w:gutter="0"/>
          <w:pgNumType w:fmt="upperRoman" w:start="1"/>
          <w:cols w:space="720" w:num="1"/>
        </w:sectPr>
      </w:pPr>
    </w:p>
    <w:p w14:paraId="3F2B3A6C">
      <w:pPr>
        <w:pageBreakBefore w:val="0"/>
        <w:kinsoku/>
        <w:overflowPunct/>
        <w:topLinePunct w:val="0"/>
        <w:bidi w:val="0"/>
        <w:spacing w:line="360" w:lineRule="auto"/>
        <w:ind w:left="0" w:leftChars="0" w:firstLine="0" w:firstLineChars="0"/>
        <w:jc w:val="center"/>
        <w:textAlignment w:val="auto"/>
        <w:outlineLvl w:val="0"/>
        <w:rPr>
          <w:rFonts w:hint="eastAsia" w:ascii="宋体" w:hAnsi="宋体"/>
          <w:b/>
          <w:color w:val="auto"/>
          <w:sz w:val="32"/>
        </w:rPr>
      </w:pPr>
      <w:bookmarkStart w:id="0" w:name="_Toc219175634"/>
      <w:bookmarkStart w:id="1" w:name="_Toc16370"/>
      <w:bookmarkStart w:id="2" w:name="_Toc218935350"/>
      <w:bookmarkStart w:id="3" w:name="_Toc216582822"/>
      <w:bookmarkStart w:id="4" w:name="_Toc532044537"/>
      <w:bookmarkStart w:id="5" w:name="_Toc515647829"/>
      <w:bookmarkStart w:id="6" w:name="_Toc507399902"/>
      <w:bookmarkStart w:id="7" w:name="_Toc532473519"/>
      <w:bookmarkStart w:id="8" w:name="_Toc28765"/>
      <w:bookmarkStart w:id="9" w:name="_Toc2582333"/>
      <w:bookmarkStart w:id="10" w:name="_Toc17449"/>
      <w:bookmarkStart w:id="11" w:name="_Toc2582262"/>
      <w:bookmarkStart w:id="12" w:name="_Toc216582804"/>
      <w:bookmarkStart w:id="13" w:name="_Toc22782"/>
      <w:bookmarkStart w:id="14" w:name="_Toc532473448"/>
      <w:bookmarkStart w:id="15" w:name="_Toc17230"/>
      <w:bookmarkStart w:id="16" w:name="_Toc515647756"/>
      <w:r>
        <w:rPr>
          <w:rFonts w:hint="eastAsia" w:ascii="宋体" w:hAnsi="宋体"/>
          <w:b/>
          <w:color w:val="auto"/>
          <w:sz w:val="32"/>
        </w:rPr>
        <w:t xml:space="preserve">第一章  </w:t>
      </w:r>
      <w:bookmarkEnd w:id="0"/>
      <w:bookmarkEnd w:id="1"/>
      <w:bookmarkEnd w:id="2"/>
      <w:bookmarkEnd w:id="3"/>
      <w:bookmarkEnd w:id="4"/>
      <w:bookmarkEnd w:id="5"/>
      <w:bookmarkEnd w:id="6"/>
      <w:bookmarkEnd w:id="7"/>
      <w:bookmarkEnd w:id="8"/>
      <w:bookmarkEnd w:id="9"/>
      <w:r>
        <w:rPr>
          <w:rFonts w:hint="eastAsia" w:ascii="宋体" w:hAnsi="宋体"/>
          <w:b/>
          <w:color w:val="auto"/>
          <w:sz w:val="32"/>
        </w:rPr>
        <w:t>招标公告</w:t>
      </w:r>
      <w:bookmarkEnd w:id="10"/>
    </w:p>
    <w:tbl>
      <w:tblPr>
        <w:tblStyle w:val="33"/>
        <w:tblpPr w:leftFromText="180" w:rightFromText="180" w:vertAnchor="text" w:horzAnchor="page" w:tblpX="1130" w:tblpY="304"/>
        <w:tblOverlap w:val="never"/>
        <w:tblW w:w="10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3"/>
      </w:tblGrid>
      <w:tr w14:paraId="763C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10123" w:type="dxa"/>
            <w:tcBorders>
              <w:top w:val="single" w:color="auto" w:sz="4" w:space="0"/>
              <w:left w:val="single" w:color="auto" w:sz="4" w:space="0"/>
              <w:bottom w:val="single" w:color="auto" w:sz="4" w:space="0"/>
              <w:right w:val="single" w:color="auto" w:sz="4" w:space="0"/>
            </w:tcBorders>
            <w:noWrap w:val="0"/>
            <w:vAlign w:val="top"/>
          </w:tcPr>
          <w:p w14:paraId="7C0BA801">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szCs w:val="32"/>
              </w:rPr>
            </w:pPr>
            <w:r>
              <w:rPr>
                <w:rFonts w:hint="eastAsia" w:ascii="宋体" w:hAnsi="宋体" w:cs="宋体"/>
                <w:color w:val="auto"/>
                <w:sz w:val="24"/>
                <w:szCs w:val="32"/>
              </w:rPr>
              <w:t>项目概况：</w:t>
            </w:r>
          </w:p>
          <w:p w14:paraId="7AEB91B4">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szCs w:val="32"/>
                <w:lang w:eastAsia="zh-CN"/>
              </w:rPr>
              <w:t>柳林县中医院(新院区)信息化建设项目</w:t>
            </w:r>
            <w:r>
              <w:rPr>
                <w:rFonts w:hint="eastAsia" w:ascii="宋体" w:hAnsi="宋体" w:cs="宋体"/>
                <w:color w:val="auto"/>
                <w:sz w:val="24"/>
                <w:szCs w:val="32"/>
              </w:rPr>
              <w:t>投标的潜在投标人应在</w:t>
            </w:r>
            <w:r>
              <w:rPr>
                <w:rFonts w:hint="eastAsia" w:ascii="宋体" w:hAnsi="宋体" w:cs="宋体"/>
                <w:color w:val="auto"/>
                <w:sz w:val="24"/>
                <w:szCs w:val="32"/>
                <w:highlight w:val="none"/>
                <w:lang w:eastAsia="zh-CN"/>
              </w:rPr>
              <w:t>中国政府采购网山西分网（www.ccgp-shanxi.gov.cn）线</w:t>
            </w:r>
            <w:r>
              <w:rPr>
                <w:rFonts w:hint="eastAsia" w:ascii="宋体" w:hAnsi="宋体" w:cs="宋体"/>
                <w:color w:val="auto"/>
                <w:sz w:val="24"/>
                <w:szCs w:val="32"/>
              </w:rPr>
              <w:t>上获取招标文件，并于</w:t>
            </w:r>
            <w:bookmarkStart w:id="473" w:name="_GoBack"/>
            <w:bookmarkEnd w:id="473"/>
            <w:r>
              <w:rPr>
                <w:rFonts w:hint="eastAsia" w:ascii="宋体" w:hAnsi="宋体" w:cs="宋体"/>
                <w:color w:val="auto"/>
                <w:sz w:val="24"/>
                <w:szCs w:val="24"/>
                <w:lang w:eastAsia="zh-CN"/>
              </w:rPr>
              <w:t>2026年4月2日9:00</w:t>
            </w:r>
            <w:r>
              <w:rPr>
                <w:rFonts w:hint="eastAsia" w:ascii="宋体" w:hAnsi="宋体" w:cs="宋体"/>
                <w:color w:val="auto"/>
                <w:sz w:val="24"/>
                <w:szCs w:val="32"/>
              </w:rPr>
              <w:t>（北京时间）前提交（上传）投标文件。</w:t>
            </w:r>
          </w:p>
        </w:tc>
      </w:tr>
    </w:tbl>
    <w:p w14:paraId="0A313A5D">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p>
    <w:p w14:paraId="1A109A42">
      <w:pPr>
        <w:pageBreakBefore w:val="0"/>
        <w:kinsoku/>
        <w:overflowPunct/>
        <w:topLinePunct w:val="0"/>
        <w:bidi w:val="0"/>
        <w:spacing w:line="360" w:lineRule="auto"/>
        <w:ind w:left="0" w:leftChars="0" w:firstLine="0" w:firstLineChars="0"/>
        <w:jc w:val="left"/>
        <w:textAlignment w:val="auto"/>
        <w:outlineLvl w:val="1"/>
        <w:rPr>
          <w:rFonts w:hint="eastAsia" w:ascii="宋体" w:hAnsi="宋体" w:eastAsia="宋体" w:cs="宋体"/>
          <w:b/>
          <w:bCs/>
          <w:color w:val="auto"/>
          <w:sz w:val="24"/>
          <w:szCs w:val="24"/>
        </w:rPr>
      </w:pPr>
      <w:bookmarkStart w:id="17" w:name="_Toc28359002"/>
      <w:bookmarkStart w:id="18" w:name="_Toc35393621"/>
      <w:bookmarkStart w:id="19" w:name="_Toc28359079"/>
      <w:bookmarkStart w:id="20" w:name="_Toc35393790"/>
      <w:bookmarkStart w:id="21" w:name="_Hlk24379207"/>
      <w:bookmarkStart w:id="22" w:name="_Toc512937850"/>
      <w:r>
        <w:rPr>
          <w:rFonts w:hint="eastAsia" w:ascii="宋体" w:hAnsi="宋体" w:eastAsia="宋体" w:cs="宋体"/>
          <w:b/>
          <w:bCs/>
          <w:color w:val="auto"/>
          <w:sz w:val="24"/>
          <w:szCs w:val="24"/>
        </w:rPr>
        <w:t>一、项目基本情况</w:t>
      </w:r>
      <w:bookmarkEnd w:id="17"/>
      <w:bookmarkEnd w:id="18"/>
      <w:bookmarkEnd w:id="19"/>
      <w:bookmarkEnd w:id="20"/>
    </w:p>
    <w:p w14:paraId="5DB30F1C">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lang w:eastAsia="zh-CN"/>
        </w:rPr>
      </w:pPr>
      <w:bookmarkStart w:id="23" w:name="_Hlk175844026"/>
      <w:r>
        <w:rPr>
          <w:rFonts w:hint="eastAsia" w:ascii="宋体" w:hAnsi="宋体" w:cs="宋体"/>
          <w:color w:val="auto"/>
          <w:sz w:val="24"/>
          <w:szCs w:val="24"/>
          <w:lang w:val="en-US" w:eastAsia="zh-CN"/>
        </w:rPr>
        <w:t>1.</w:t>
      </w:r>
      <w:r>
        <w:rPr>
          <w:rFonts w:hint="eastAsia" w:ascii="宋体" w:hAnsi="宋体" w:eastAsia="宋体" w:cs="宋体"/>
          <w:color w:val="auto"/>
          <w:sz w:val="24"/>
          <w:szCs w:val="24"/>
        </w:rPr>
        <w:t>项目编号</w:t>
      </w:r>
      <w:bookmarkEnd w:id="23"/>
      <w:r>
        <w:rPr>
          <w:rFonts w:hint="eastAsia" w:ascii="宋体" w:hAnsi="宋体" w:eastAsia="宋体" w:cs="宋体"/>
          <w:color w:val="auto"/>
          <w:sz w:val="24"/>
          <w:szCs w:val="24"/>
        </w:rPr>
        <w:t>：</w:t>
      </w:r>
      <w:r>
        <w:rPr>
          <w:rFonts w:hint="eastAsia" w:ascii="宋体" w:hAnsi="宋体" w:cs="宋体"/>
          <w:color w:val="auto"/>
          <w:sz w:val="24"/>
          <w:szCs w:val="24"/>
          <w:lang w:eastAsia="zh-CN"/>
        </w:rPr>
        <w:t>1411252025CGK00170</w:t>
      </w:r>
    </w:p>
    <w:p w14:paraId="00FFC5FD">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项目名称：</w:t>
      </w:r>
      <w:bookmarkEnd w:id="21"/>
      <w:r>
        <w:rPr>
          <w:rFonts w:hint="eastAsia" w:ascii="宋体" w:hAnsi="宋体" w:cs="宋体"/>
          <w:color w:val="auto"/>
          <w:sz w:val="24"/>
          <w:szCs w:val="24"/>
          <w:lang w:eastAsia="zh-CN"/>
        </w:rPr>
        <w:t>柳林县中医院(新院区)信息化建设项目</w:t>
      </w:r>
    </w:p>
    <w:p w14:paraId="733A11FF">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采购方式：公开招标</w:t>
      </w:r>
    </w:p>
    <w:p w14:paraId="3D5C9257">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预算金额：</w:t>
      </w:r>
      <w:r>
        <w:rPr>
          <w:rFonts w:hint="default" w:ascii="宋体" w:hAnsi="宋体" w:cs="宋体"/>
          <w:color w:val="auto"/>
          <w:sz w:val="24"/>
          <w:szCs w:val="24"/>
          <w:highlight w:val="none"/>
          <w:lang w:eastAsia="zh-CN"/>
        </w:rPr>
        <w:t>8408100</w:t>
      </w:r>
      <w:r>
        <w:rPr>
          <w:rFonts w:hint="eastAsia" w:ascii="宋体" w:hAnsi="宋体" w:eastAsia="宋体" w:cs="宋体"/>
          <w:color w:val="auto"/>
          <w:sz w:val="24"/>
          <w:szCs w:val="24"/>
          <w:highlight w:val="none"/>
        </w:rPr>
        <w:t>元</w:t>
      </w:r>
    </w:p>
    <w:p w14:paraId="69453F50">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最高限价：</w:t>
      </w:r>
      <w:r>
        <w:rPr>
          <w:rFonts w:hint="eastAsia" w:ascii="宋体" w:hAnsi="宋体" w:cs="宋体"/>
          <w:color w:val="auto"/>
          <w:sz w:val="24"/>
          <w:szCs w:val="24"/>
          <w:highlight w:val="none"/>
          <w:lang w:eastAsia="zh-CN"/>
        </w:rPr>
        <w:t>6884604.97元</w:t>
      </w:r>
    </w:p>
    <w:p w14:paraId="08601C6F">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采购需求：</w:t>
      </w:r>
    </w:p>
    <w:p w14:paraId="089BF77C">
      <w:pPr>
        <w:pageBreakBefore w:val="0"/>
        <w:kinsoku/>
        <w:overflowPunct/>
        <w:topLinePunct w:val="0"/>
        <w:bidi w:val="0"/>
        <w:spacing w:line="360" w:lineRule="auto"/>
        <w:ind w:left="0" w:leftChars="0" w:firstLine="0" w:firstLineChars="0"/>
        <w:jc w:val="left"/>
        <w:textAlignment w:val="auto"/>
        <w:rPr>
          <w:rFonts w:hint="default" w:ascii="宋体" w:hAnsi="宋体" w:eastAsia="宋体" w:cs="宋体"/>
          <w:color w:val="auto"/>
          <w:sz w:val="24"/>
          <w:szCs w:val="24"/>
          <w:lang w:eastAsia="zh-CN"/>
        </w:rPr>
      </w:pPr>
      <w:r>
        <w:rPr>
          <w:rFonts w:hint="default" w:ascii="宋体" w:hAnsi="宋体" w:cs="宋体"/>
          <w:color w:val="auto"/>
          <w:sz w:val="24"/>
          <w:szCs w:val="24"/>
          <w:lang w:eastAsia="zh-CN"/>
        </w:rPr>
        <w:t>建设内容包括：医疗信息系统建设、数据中心建设</w:t>
      </w:r>
      <w:r>
        <w:rPr>
          <w:rFonts w:hint="eastAsia" w:ascii="宋体" w:hAnsi="宋体" w:cs="宋体"/>
          <w:color w:val="auto"/>
          <w:sz w:val="24"/>
          <w:szCs w:val="24"/>
          <w:lang w:eastAsia="zh-CN"/>
        </w:rPr>
        <w:t>、</w:t>
      </w:r>
      <w:r>
        <w:rPr>
          <w:rFonts w:hint="default" w:ascii="宋体" w:hAnsi="宋体" w:cs="宋体"/>
          <w:color w:val="auto"/>
          <w:sz w:val="24"/>
          <w:szCs w:val="24"/>
          <w:lang w:eastAsia="zh-CN"/>
        </w:rPr>
        <w:t>安全体系建设、机房工程。</w:t>
      </w:r>
    </w:p>
    <w:p w14:paraId="21B5B0C0">
      <w:pPr>
        <w:pageBreakBefore w:val="0"/>
        <w:kinsoku/>
        <w:overflowPunct/>
        <w:topLinePunct w:val="0"/>
        <w:bidi w:val="0"/>
        <w:spacing w:line="360" w:lineRule="auto"/>
        <w:ind w:left="0" w:leftChars="0" w:firstLine="0" w:firstLineChars="0"/>
        <w:jc w:val="left"/>
        <w:textAlignment w:val="auto"/>
        <w:rPr>
          <w:rFonts w:hint="default" w:ascii="宋体" w:hAnsi="宋体" w:eastAsia="宋体" w:cs="宋体"/>
          <w:color w:val="auto"/>
          <w:sz w:val="24"/>
          <w:szCs w:val="24"/>
          <w:lang w:eastAsia="zh-CN"/>
        </w:rPr>
      </w:pPr>
      <w:r>
        <w:rPr>
          <w:rFonts w:hint="default" w:ascii="宋体" w:hAnsi="宋体" w:cs="宋体"/>
          <w:color w:val="auto"/>
          <w:sz w:val="24"/>
          <w:szCs w:val="24"/>
          <w:lang w:eastAsia="zh-CN"/>
        </w:rPr>
        <w:t>建设规模</w:t>
      </w:r>
      <w:r>
        <w:rPr>
          <w:rFonts w:hint="eastAsia" w:ascii="宋体" w:hAnsi="宋体" w:cs="宋体"/>
          <w:color w:val="auto"/>
          <w:sz w:val="24"/>
          <w:szCs w:val="24"/>
          <w:lang w:eastAsia="zh-CN"/>
        </w:rPr>
        <w:t>：</w:t>
      </w:r>
      <w:r>
        <w:rPr>
          <w:rFonts w:hint="default" w:ascii="宋体" w:hAnsi="宋体" w:cs="宋体"/>
          <w:color w:val="auto"/>
          <w:sz w:val="24"/>
          <w:szCs w:val="24"/>
          <w:lang w:eastAsia="zh-CN"/>
        </w:rPr>
        <w:t>医疗信息系统136个模块，数据中心18台硬件设备，等保安全二级建设，配套终端124台设备，</w:t>
      </w:r>
      <w:r>
        <w:rPr>
          <w:rFonts w:hint="eastAsia" w:ascii="宋体" w:hAnsi="宋体" w:cs="宋体"/>
          <w:color w:val="auto"/>
          <w:sz w:val="24"/>
          <w:szCs w:val="24"/>
          <w:lang w:eastAsia="zh-CN"/>
        </w:rPr>
        <w:t>机房工程建设（</w:t>
      </w:r>
      <w:r>
        <w:rPr>
          <w:rFonts w:hint="default" w:ascii="宋体" w:hAnsi="宋体" w:cs="宋体"/>
          <w:color w:val="auto"/>
          <w:sz w:val="24"/>
          <w:szCs w:val="24"/>
          <w:lang w:eastAsia="zh-CN"/>
        </w:rPr>
        <w:t>2台机柜，精密空调1台，消防系统1套，动环系统1套</w:t>
      </w:r>
      <w:r>
        <w:rPr>
          <w:rFonts w:hint="eastAsia" w:ascii="宋体" w:hAnsi="宋体" w:cs="宋体"/>
          <w:color w:val="auto"/>
          <w:sz w:val="24"/>
          <w:szCs w:val="24"/>
          <w:lang w:eastAsia="zh-CN"/>
        </w:rPr>
        <w:t>）</w:t>
      </w:r>
      <w:r>
        <w:rPr>
          <w:rFonts w:hint="default" w:ascii="宋体" w:hAnsi="宋体" w:cs="宋体"/>
          <w:color w:val="auto"/>
          <w:sz w:val="24"/>
          <w:szCs w:val="24"/>
          <w:lang w:eastAsia="zh-CN"/>
        </w:rPr>
        <w:t>。</w:t>
      </w:r>
    </w:p>
    <w:p w14:paraId="5A810AFF">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cs="宋体"/>
          <w:color w:val="auto"/>
          <w:sz w:val="24"/>
          <w:szCs w:val="24"/>
          <w:lang w:eastAsia="zh-CN"/>
        </w:rPr>
        <w:t>供货期</w:t>
      </w:r>
      <w:r>
        <w:rPr>
          <w:rFonts w:hint="eastAsia" w:ascii="宋体" w:hAnsi="宋体" w:eastAsia="宋体" w:cs="宋体"/>
          <w:color w:val="auto"/>
          <w:sz w:val="24"/>
          <w:szCs w:val="24"/>
        </w:rPr>
        <w:t>：</w:t>
      </w:r>
      <w:r>
        <w:rPr>
          <w:rFonts w:hint="eastAsia" w:ascii="宋体" w:hAnsi="宋体" w:cs="宋体"/>
          <w:color w:val="auto"/>
          <w:sz w:val="24"/>
          <w:szCs w:val="24"/>
          <w:lang w:eastAsia="zh-CN"/>
        </w:rPr>
        <w:t>3个月内完成项目的供货、安装、调试、验收</w:t>
      </w:r>
      <w:r>
        <w:rPr>
          <w:rFonts w:hint="eastAsia" w:ascii="宋体" w:hAnsi="宋体" w:eastAsia="宋体" w:cs="宋体"/>
          <w:color w:val="auto"/>
          <w:sz w:val="24"/>
          <w:szCs w:val="24"/>
        </w:rPr>
        <w:t>；</w:t>
      </w:r>
    </w:p>
    <w:p w14:paraId="30D57355">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8.建设地点：</w:t>
      </w:r>
      <w:r>
        <w:rPr>
          <w:rFonts w:hint="eastAsia" w:ascii="宋体" w:hAnsi="宋体" w:eastAsia="宋体" w:cs="宋体"/>
          <w:color w:val="auto"/>
          <w:sz w:val="24"/>
          <w:szCs w:val="24"/>
          <w:highlight w:val="none"/>
          <w:u w:val="none"/>
          <w:lang w:val="en-US" w:eastAsia="zh-CN"/>
        </w:rPr>
        <w:t>山西省吕梁市柳林县清河西路146号</w:t>
      </w:r>
    </w:p>
    <w:p w14:paraId="6A5705DB">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本项目不接受联合体投标。</w:t>
      </w:r>
    </w:p>
    <w:p w14:paraId="5514F533">
      <w:pPr>
        <w:pageBreakBefore w:val="0"/>
        <w:kinsoku/>
        <w:overflowPunct/>
        <w:topLinePunct w:val="0"/>
        <w:bidi w:val="0"/>
        <w:spacing w:line="360" w:lineRule="auto"/>
        <w:ind w:left="0" w:leftChars="0" w:firstLine="0" w:firstLineChars="0"/>
        <w:jc w:val="left"/>
        <w:textAlignment w:val="auto"/>
        <w:outlineLvl w:val="1"/>
        <w:rPr>
          <w:rFonts w:hint="eastAsia" w:ascii="宋体" w:hAnsi="宋体" w:eastAsia="宋体" w:cs="宋体"/>
          <w:b/>
          <w:bCs/>
          <w:color w:val="auto"/>
          <w:sz w:val="24"/>
          <w:szCs w:val="24"/>
        </w:rPr>
      </w:pPr>
      <w:bookmarkStart w:id="24" w:name="_Toc28359003"/>
      <w:bookmarkStart w:id="25" w:name="_Toc28359080"/>
      <w:bookmarkStart w:id="26" w:name="_Toc35393791"/>
      <w:bookmarkStart w:id="27" w:name="_Toc35393622"/>
      <w:r>
        <w:rPr>
          <w:rFonts w:hint="eastAsia" w:ascii="宋体" w:hAnsi="宋体" w:eastAsia="宋体" w:cs="宋体"/>
          <w:b/>
          <w:bCs/>
          <w:color w:val="auto"/>
          <w:sz w:val="24"/>
          <w:szCs w:val="24"/>
        </w:rPr>
        <w:t>二、申请人的资格要求</w:t>
      </w:r>
      <w:bookmarkEnd w:id="24"/>
      <w:bookmarkEnd w:id="25"/>
      <w:bookmarkEnd w:id="26"/>
      <w:bookmarkEnd w:id="27"/>
    </w:p>
    <w:p w14:paraId="1665482F">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7BEDE47D">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bookmarkStart w:id="28" w:name="_Toc28359081"/>
      <w:bookmarkStart w:id="29" w:name="_Toc28359004"/>
      <w:r>
        <w:rPr>
          <w:rFonts w:hint="eastAsia" w:ascii="宋体" w:hAnsi="宋体" w:eastAsia="宋体" w:cs="宋体"/>
          <w:color w:val="auto"/>
          <w:sz w:val="24"/>
          <w:szCs w:val="24"/>
        </w:rPr>
        <w:t>2.落实政府采购政策需满足的资格要求：</w:t>
      </w:r>
      <w:r>
        <w:rPr>
          <w:rFonts w:hint="eastAsia" w:ascii="宋体" w:hAnsi="宋体" w:cs="宋体"/>
          <w:color w:val="auto"/>
          <w:sz w:val="24"/>
          <w:szCs w:val="24"/>
          <w:highlight w:val="none"/>
          <w:lang w:val="en-US" w:eastAsia="zh-CN"/>
        </w:rPr>
        <w:t>本项目面向中小企业采购；</w:t>
      </w:r>
    </w:p>
    <w:p w14:paraId="5489EC2E">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3.本项目的特定资格要求：</w:t>
      </w:r>
      <w:r>
        <w:rPr>
          <w:rFonts w:hint="eastAsia" w:ascii="宋体" w:hAnsi="宋体" w:cs="宋体"/>
          <w:color w:val="auto"/>
          <w:sz w:val="24"/>
          <w:szCs w:val="24"/>
          <w:highlight w:val="none"/>
          <w:lang w:eastAsia="zh-CN"/>
        </w:rPr>
        <w:t>无</w:t>
      </w:r>
    </w:p>
    <w:p w14:paraId="5AAC0562">
      <w:pPr>
        <w:pageBreakBefore w:val="0"/>
        <w:kinsoku/>
        <w:overflowPunct/>
        <w:topLinePunct w:val="0"/>
        <w:bidi w:val="0"/>
        <w:spacing w:line="360" w:lineRule="auto"/>
        <w:ind w:left="0" w:leftChars="0" w:firstLine="0" w:firstLineChars="0"/>
        <w:jc w:val="left"/>
        <w:textAlignment w:val="auto"/>
        <w:outlineLvl w:val="1"/>
        <w:rPr>
          <w:rFonts w:hint="eastAsia" w:ascii="宋体" w:hAnsi="宋体" w:eastAsia="宋体" w:cs="宋体"/>
          <w:b/>
          <w:bCs/>
          <w:color w:val="auto"/>
          <w:sz w:val="24"/>
          <w:szCs w:val="24"/>
        </w:rPr>
      </w:pPr>
      <w:bookmarkStart w:id="30" w:name="_Toc35393623"/>
      <w:bookmarkStart w:id="31" w:name="_Toc35393792"/>
      <w:r>
        <w:rPr>
          <w:rFonts w:hint="eastAsia" w:ascii="宋体" w:hAnsi="宋体" w:eastAsia="宋体" w:cs="宋体"/>
          <w:b/>
          <w:bCs/>
          <w:color w:val="auto"/>
          <w:sz w:val="24"/>
          <w:szCs w:val="24"/>
        </w:rPr>
        <w:t>三、获取招标文件</w:t>
      </w:r>
      <w:bookmarkEnd w:id="28"/>
      <w:bookmarkEnd w:id="29"/>
      <w:bookmarkEnd w:id="30"/>
      <w:bookmarkEnd w:id="31"/>
    </w:p>
    <w:p w14:paraId="08D0D312">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2025年</w:t>
      </w:r>
      <w:r>
        <w:rPr>
          <w:rFonts w:hint="eastAsia" w:ascii="宋体" w:hAnsi="宋体" w:cs="宋体"/>
          <w:color w:val="auto"/>
          <w:sz w:val="24"/>
          <w:szCs w:val="24"/>
          <w:lang w:val="en-US" w:eastAsia="zh-CN"/>
        </w:rPr>
        <w:t>12</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日至</w:t>
      </w:r>
      <w:r>
        <w:rPr>
          <w:rFonts w:hint="eastAsia" w:ascii="宋体" w:hAnsi="宋体" w:eastAsia="宋体" w:cs="宋体"/>
          <w:color w:val="auto"/>
          <w:sz w:val="24"/>
          <w:szCs w:val="24"/>
          <w:lang w:eastAsia="zh-CN"/>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cs="宋体"/>
          <w:color w:val="auto"/>
          <w:sz w:val="24"/>
          <w:szCs w:val="24"/>
          <w:lang w:val="en-US" w:eastAsia="zh-CN"/>
        </w:rPr>
        <w:t>01</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06</w:t>
      </w:r>
      <w:r>
        <w:rPr>
          <w:rFonts w:hint="eastAsia" w:ascii="宋体" w:hAnsi="宋体" w:eastAsia="宋体" w:cs="宋体"/>
          <w:color w:val="auto"/>
          <w:sz w:val="24"/>
          <w:szCs w:val="24"/>
        </w:rPr>
        <w:t>日23：59（北京时间，下同）</w:t>
      </w:r>
    </w:p>
    <w:p w14:paraId="68566BFB">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地点：政采云平台线上获取。</w:t>
      </w:r>
    </w:p>
    <w:p w14:paraId="15350E3A">
      <w:pPr>
        <w:pageBreakBefore w:val="0"/>
        <w:kinsoku/>
        <w:wordWrap w:val="0"/>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方式：供应商登录</w:t>
      </w:r>
      <w:r>
        <w:rPr>
          <w:rFonts w:hint="eastAsia" w:ascii="宋体" w:hAnsi="宋体" w:cs="宋体"/>
          <w:color w:val="auto"/>
          <w:sz w:val="24"/>
          <w:szCs w:val="24"/>
          <w:lang w:eastAsia="zh-CN"/>
        </w:rPr>
        <w:t>中国政府采购网山西分网（www.ccgp-shanxi.gov.cn）</w:t>
      </w:r>
      <w:r>
        <w:rPr>
          <w:rFonts w:hint="eastAsia" w:ascii="宋体" w:hAnsi="宋体" w:eastAsia="宋体" w:cs="宋体"/>
          <w:color w:val="auto"/>
          <w:sz w:val="24"/>
          <w:szCs w:val="24"/>
        </w:rPr>
        <w:t>自行下载招标文件。</w:t>
      </w:r>
    </w:p>
    <w:p w14:paraId="4D332C7F">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售价：（0元）。</w:t>
      </w:r>
    </w:p>
    <w:p w14:paraId="0B7CD13B">
      <w:pPr>
        <w:pageBreakBefore w:val="0"/>
        <w:kinsoku/>
        <w:overflowPunct/>
        <w:topLinePunct w:val="0"/>
        <w:bidi w:val="0"/>
        <w:spacing w:line="360" w:lineRule="auto"/>
        <w:ind w:left="0" w:leftChars="0" w:firstLine="0" w:firstLineChars="0"/>
        <w:jc w:val="left"/>
        <w:textAlignment w:val="auto"/>
        <w:outlineLvl w:val="1"/>
        <w:rPr>
          <w:rFonts w:hint="eastAsia" w:ascii="宋体" w:hAnsi="宋体" w:eastAsia="宋体" w:cs="宋体"/>
          <w:b/>
          <w:bCs/>
          <w:color w:val="auto"/>
          <w:sz w:val="24"/>
          <w:szCs w:val="24"/>
        </w:rPr>
      </w:pPr>
      <w:bookmarkStart w:id="32" w:name="_Toc28359082"/>
      <w:bookmarkStart w:id="33" w:name="_Toc28359005"/>
      <w:bookmarkStart w:id="34" w:name="_Toc35393624"/>
      <w:bookmarkStart w:id="35" w:name="_Toc35393793"/>
      <w:r>
        <w:rPr>
          <w:rFonts w:hint="eastAsia" w:ascii="宋体" w:hAnsi="宋体" w:eastAsia="宋体" w:cs="宋体"/>
          <w:b/>
          <w:bCs/>
          <w:color w:val="auto"/>
          <w:sz w:val="24"/>
          <w:szCs w:val="24"/>
        </w:rPr>
        <w:t>四、提交投标文件</w:t>
      </w:r>
      <w:bookmarkEnd w:id="32"/>
      <w:bookmarkEnd w:id="33"/>
      <w:r>
        <w:rPr>
          <w:rFonts w:hint="eastAsia" w:ascii="宋体" w:hAnsi="宋体" w:eastAsia="宋体" w:cs="宋体"/>
          <w:b/>
          <w:bCs/>
          <w:color w:val="auto"/>
          <w:sz w:val="24"/>
          <w:szCs w:val="24"/>
        </w:rPr>
        <w:t>截止时间、开标时间和地点</w:t>
      </w:r>
      <w:bookmarkEnd w:id="34"/>
      <w:bookmarkEnd w:id="35"/>
    </w:p>
    <w:p w14:paraId="5FA3942F">
      <w:pPr>
        <w:pageBreakBefore w:val="0"/>
        <w:kinsoku/>
        <w:wordWrap w:val="0"/>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截止时间：</w:t>
      </w:r>
      <w:r>
        <w:rPr>
          <w:rFonts w:hint="eastAsia" w:ascii="宋体" w:hAnsi="宋体" w:cs="宋体"/>
          <w:color w:val="auto"/>
          <w:sz w:val="24"/>
          <w:szCs w:val="24"/>
          <w:lang w:eastAsia="zh-CN"/>
        </w:rPr>
        <w:t>2026年4月2日9:00</w:t>
      </w:r>
      <w:r>
        <w:rPr>
          <w:rFonts w:hint="eastAsia" w:ascii="宋体" w:hAnsi="宋体" w:eastAsia="宋体" w:cs="宋体"/>
          <w:color w:val="auto"/>
          <w:sz w:val="24"/>
          <w:szCs w:val="24"/>
        </w:rPr>
        <w:t>（北京时间）；电子投标文件须使用系统提供的投标文件编制工具编制完成，截止时间前在</w:t>
      </w:r>
      <w:r>
        <w:rPr>
          <w:rFonts w:hint="eastAsia" w:ascii="宋体" w:hAnsi="宋体" w:cs="宋体"/>
          <w:color w:val="auto"/>
          <w:sz w:val="24"/>
          <w:szCs w:val="24"/>
          <w:lang w:eastAsia="zh-CN"/>
        </w:rPr>
        <w:t>中国政府采购网山西分网（www.ccgp-shanxi.gov.cn）</w:t>
      </w:r>
      <w:r>
        <w:rPr>
          <w:rFonts w:hint="eastAsia" w:ascii="宋体" w:hAnsi="宋体" w:eastAsia="宋体" w:cs="宋体"/>
          <w:color w:val="auto"/>
          <w:sz w:val="24"/>
          <w:szCs w:val="24"/>
        </w:rPr>
        <w:t>中完成递交（上传），截止时间前未完成投标文件上传的，视为撤回投标文件，投标人自行承担责任。</w:t>
      </w:r>
    </w:p>
    <w:p w14:paraId="4CC264E7">
      <w:pPr>
        <w:pageBreakBefore w:val="0"/>
        <w:kinsoku/>
        <w:wordWrap w:val="0"/>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宋体" w:hAnsi="宋体" w:cs="宋体"/>
          <w:color w:val="auto"/>
          <w:sz w:val="24"/>
          <w:szCs w:val="24"/>
          <w:lang w:eastAsia="zh-CN"/>
        </w:rPr>
        <w:t>2026年4月2日9:00</w:t>
      </w:r>
      <w:r>
        <w:rPr>
          <w:rFonts w:hint="eastAsia" w:ascii="宋体" w:hAnsi="宋体" w:eastAsia="宋体" w:cs="宋体"/>
          <w:color w:val="auto"/>
          <w:sz w:val="24"/>
          <w:szCs w:val="24"/>
        </w:rPr>
        <w:t>（北京时间）</w:t>
      </w:r>
    </w:p>
    <w:p w14:paraId="5C157904">
      <w:pPr>
        <w:pageBreakBefore w:val="0"/>
        <w:kinsoku/>
        <w:wordWrap w:val="0"/>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开标地点：</w:t>
      </w:r>
      <w:r>
        <w:rPr>
          <w:rFonts w:hint="eastAsia" w:ascii="宋体" w:hAnsi="宋体" w:cs="宋体"/>
          <w:color w:val="auto"/>
          <w:sz w:val="24"/>
          <w:szCs w:val="24"/>
          <w:highlight w:val="none"/>
          <w:lang w:eastAsia="zh-CN"/>
        </w:rPr>
        <w:t>太原市千峰南路115号IU酒店（万象城店）四楼会议室</w:t>
      </w:r>
    </w:p>
    <w:p w14:paraId="3C5A0D66">
      <w:pPr>
        <w:pageBreakBefore w:val="0"/>
        <w:kinsoku/>
        <w:wordWrap w:val="0"/>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开标方式：</w:t>
      </w:r>
      <w:r>
        <w:rPr>
          <w:rFonts w:hint="eastAsia" w:ascii="宋体" w:hAnsi="宋体" w:eastAsia="宋体" w:cs="宋体"/>
          <w:b w:val="0"/>
          <w:bCs w:val="0"/>
          <w:color w:val="auto"/>
          <w:sz w:val="24"/>
          <w:szCs w:val="24"/>
          <w:highlight w:val="none"/>
          <w:lang w:eastAsia="zh-CN"/>
        </w:rPr>
        <w:t>政采云平台线上开启</w:t>
      </w:r>
    </w:p>
    <w:p w14:paraId="22376C8B">
      <w:pPr>
        <w:pageBreakBefore w:val="0"/>
        <w:kinsoku/>
        <w:overflowPunct/>
        <w:topLinePunct w:val="0"/>
        <w:bidi w:val="0"/>
        <w:spacing w:line="360" w:lineRule="auto"/>
        <w:ind w:left="0" w:leftChars="0" w:firstLine="0" w:firstLineChars="0"/>
        <w:jc w:val="left"/>
        <w:textAlignment w:val="auto"/>
        <w:outlineLvl w:val="1"/>
        <w:rPr>
          <w:rFonts w:hint="eastAsia" w:ascii="宋体" w:hAnsi="宋体" w:eastAsia="宋体" w:cs="宋体"/>
          <w:b/>
          <w:bCs/>
          <w:color w:val="auto"/>
          <w:sz w:val="24"/>
          <w:szCs w:val="24"/>
        </w:rPr>
      </w:pPr>
      <w:bookmarkStart w:id="36" w:name="_Toc35393625"/>
      <w:bookmarkStart w:id="37" w:name="_Toc35393794"/>
      <w:bookmarkStart w:id="38" w:name="_Toc28359007"/>
      <w:bookmarkStart w:id="39" w:name="_Toc28359084"/>
      <w:r>
        <w:rPr>
          <w:rFonts w:hint="eastAsia" w:ascii="宋体" w:hAnsi="宋体" w:eastAsia="宋体" w:cs="宋体"/>
          <w:b/>
          <w:bCs/>
          <w:color w:val="auto"/>
          <w:sz w:val="24"/>
          <w:szCs w:val="24"/>
        </w:rPr>
        <w:t>五、公告期限</w:t>
      </w:r>
      <w:bookmarkEnd w:id="36"/>
      <w:bookmarkEnd w:id="37"/>
      <w:bookmarkEnd w:id="38"/>
      <w:bookmarkEnd w:id="39"/>
    </w:p>
    <w:p w14:paraId="4C7A45EC">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自本公告发布之日起5个工作日。</w:t>
      </w:r>
    </w:p>
    <w:p w14:paraId="65A290DF">
      <w:pPr>
        <w:pageBreakBefore w:val="0"/>
        <w:kinsoku/>
        <w:overflowPunct/>
        <w:topLinePunct w:val="0"/>
        <w:bidi w:val="0"/>
        <w:spacing w:line="360" w:lineRule="auto"/>
        <w:ind w:left="0" w:leftChars="0" w:firstLine="0" w:firstLineChars="0"/>
        <w:jc w:val="left"/>
        <w:textAlignment w:val="auto"/>
        <w:outlineLvl w:val="1"/>
        <w:rPr>
          <w:rFonts w:hint="eastAsia" w:ascii="宋体" w:hAnsi="宋体" w:eastAsia="宋体" w:cs="宋体"/>
          <w:b/>
          <w:bCs/>
          <w:color w:val="auto"/>
          <w:sz w:val="24"/>
          <w:szCs w:val="24"/>
        </w:rPr>
      </w:pPr>
      <w:bookmarkStart w:id="40" w:name="_Toc35393626"/>
      <w:bookmarkStart w:id="41" w:name="_Toc35393795"/>
      <w:r>
        <w:rPr>
          <w:rFonts w:hint="eastAsia" w:ascii="宋体" w:hAnsi="宋体" w:eastAsia="宋体" w:cs="宋体"/>
          <w:b/>
          <w:bCs/>
          <w:color w:val="auto"/>
          <w:sz w:val="24"/>
          <w:szCs w:val="24"/>
        </w:rPr>
        <w:t>六、其他补充事宜</w:t>
      </w:r>
      <w:bookmarkEnd w:id="40"/>
      <w:bookmarkEnd w:id="41"/>
    </w:p>
    <w:p w14:paraId="3495CC96">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1.针对本项目同一采购程序环节的质疑需一次性提出，多次提出将不予受理。</w:t>
      </w:r>
    </w:p>
    <w:p w14:paraId="3AF30E23">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2.供应商应完成山西省政府采购网全部注册步骤并成为正式供应商。</w:t>
      </w:r>
    </w:p>
    <w:p w14:paraId="379D6E7A">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3.为确保在电子竞标过程中能够对相关数据电文进行加密和使用电子签章，需要提前申领 CA 数字证书，详见“山西政府网采购网-办事指南-下载专区”。</w:t>
      </w:r>
    </w:p>
    <w:p w14:paraId="0D3C8776">
      <w:pPr>
        <w:pageBreakBefore w:val="0"/>
        <w:kinsoku/>
        <w:overflowPunct/>
        <w:topLinePunct w:val="0"/>
        <w:bidi w:val="0"/>
        <w:spacing w:line="360" w:lineRule="auto"/>
        <w:ind w:left="0" w:leftChars="0" w:firstLine="0" w:firstLineChars="0"/>
        <w:jc w:val="left"/>
        <w:textAlignment w:val="auto"/>
        <w:outlineLvl w:val="1"/>
        <w:rPr>
          <w:rFonts w:hint="eastAsia" w:ascii="宋体" w:hAnsi="宋体" w:eastAsia="宋体" w:cs="宋体"/>
          <w:b/>
          <w:bCs/>
          <w:color w:val="auto"/>
          <w:sz w:val="24"/>
          <w:szCs w:val="24"/>
        </w:rPr>
      </w:pPr>
      <w:bookmarkStart w:id="42" w:name="_Toc28359085"/>
      <w:bookmarkStart w:id="43" w:name="_Toc35393796"/>
      <w:bookmarkStart w:id="44" w:name="_Toc35393627"/>
      <w:bookmarkStart w:id="45" w:name="_Toc28359008"/>
      <w:r>
        <w:rPr>
          <w:rFonts w:hint="eastAsia" w:ascii="宋体" w:hAnsi="宋体" w:eastAsia="宋体" w:cs="宋体"/>
          <w:b/>
          <w:bCs/>
          <w:color w:val="auto"/>
          <w:sz w:val="24"/>
          <w:szCs w:val="24"/>
        </w:rPr>
        <w:t>七、对本次招标提出询问，请按以下方式联系。</w:t>
      </w:r>
      <w:bookmarkEnd w:id="42"/>
      <w:bookmarkEnd w:id="43"/>
      <w:bookmarkEnd w:id="44"/>
      <w:bookmarkEnd w:id="45"/>
    </w:p>
    <w:p w14:paraId="3D051EFA">
      <w:pPr>
        <w:adjustRightInd w:val="0"/>
        <w:spacing w:line="360" w:lineRule="auto"/>
        <w:ind w:firstLine="480" w:firstLineChars="200"/>
        <w:rPr>
          <w:rFonts w:hint="eastAsia" w:ascii="宋体" w:hAnsi="宋体"/>
          <w:b/>
          <w:color w:val="auto"/>
          <w:sz w:val="24"/>
          <w:szCs w:val="24"/>
        </w:rPr>
      </w:pPr>
      <w:r>
        <w:rPr>
          <w:rFonts w:hint="eastAsia" w:ascii="宋体" w:hAnsi="宋体"/>
          <w:color w:val="auto"/>
          <w:sz w:val="24"/>
          <w:szCs w:val="24"/>
        </w:rPr>
        <w:t>1、采购人信息</w:t>
      </w:r>
    </w:p>
    <w:p w14:paraId="07C4BB21">
      <w:pPr>
        <w:adjustRightInd w:val="0"/>
        <w:snapToGrid w:val="0"/>
        <w:spacing w:line="312" w:lineRule="auto"/>
        <w:ind w:firstLine="480" w:firstLineChars="200"/>
        <w:rPr>
          <w:rFonts w:hint="eastAsia" w:ascii="宋体" w:hAnsi="宋体" w:cs="宋体"/>
          <w:color w:val="auto"/>
          <w:sz w:val="24"/>
        </w:rPr>
      </w:pPr>
      <w:r>
        <w:rPr>
          <w:rFonts w:hint="eastAsia" w:ascii="宋体" w:hAnsi="宋体" w:cs="宋体"/>
          <w:color w:val="auto"/>
          <w:sz w:val="24"/>
        </w:rPr>
        <w:t>名    称：柳林县中医院</w:t>
      </w:r>
    </w:p>
    <w:p w14:paraId="036624CF">
      <w:pPr>
        <w:adjustRightInd w:val="0"/>
        <w:snapToGrid w:val="0"/>
        <w:spacing w:line="312" w:lineRule="auto"/>
        <w:ind w:firstLine="480" w:firstLineChars="200"/>
        <w:rPr>
          <w:rFonts w:hint="eastAsia" w:ascii="宋体" w:hAnsi="宋体" w:cs="宋体"/>
          <w:color w:val="auto"/>
          <w:sz w:val="24"/>
        </w:rPr>
      </w:pPr>
      <w:r>
        <w:rPr>
          <w:rFonts w:hint="eastAsia" w:ascii="宋体" w:hAnsi="宋体" w:cs="宋体"/>
          <w:color w:val="auto"/>
          <w:sz w:val="24"/>
        </w:rPr>
        <w:t>地    址：柳林县柳林镇青龙高家巷23号</w:t>
      </w:r>
    </w:p>
    <w:p w14:paraId="000625DE">
      <w:pPr>
        <w:adjustRightInd w:val="0"/>
        <w:snapToGrid w:val="0"/>
        <w:spacing w:line="312"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联系方式：</w:t>
      </w:r>
      <w:r>
        <w:rPr>
          <w:rFonts w:hint="eastAsia" w:ascii="宋体" w:hAnsi="宋体" w:cs="宋体"/>
          <w:color w:val="auto"/>
          <w:sz w:val="24"/>
          <w:lang w:eastAsia="zh-CN"/>
        </w:rPr>
        <w:t>0358-4011382</w:t>
      </w:r>
    </w:p>
    <w:p w14:paraId="0414A96D">
      <w:pPr>
        <w:adjustRightInd w:val="0"/>
        <w:snapToGrid w:val="0"/>
        <w:spacing w:line="312" w:lineRule="auto"/>
        <w:ind w:firstLine="480" w:firstLineChars="200"/>
        <w:rPr>
          <w:rFonts w:ascii="宋体" w:hAnsi="宋体" w:cs="宋体"/>
          <w:color w:val="auto"/>
          <w:sz w:val="24"/>
        </w:rPr>
      </w:pPr>
      <w:r>
        <w:rPr>
          <w:rFonts w:hint="eastAsia" w:ascii="宋体" w:hAnsi="宋体" w:cs="宋体"/>
          <w:color w:val="auto"/>
          <w:sz w:val="24"/>
        </w:rPr>
        <w:t>2、采购代理机构信息</w:t>
      </w:r>
    </w:p>
    <w:p w14:paraId="3F6A6952">
      <w:pPr>
        <w:adjustRightInd w:val="0"/>
        <w:snapToGrid w:val="0"/>
        <w:spacing w:line="312"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名    称：</w:t>
      </w:r>
      <w:r>
        <w:rPr>
          <w:rFonts w:hint="eastAsia" w:ascii="宋体" w:hAnsi="宋体" w:cs="宋体"/>
          <w:color w:val="auto"/>
          <w:sz w:val="24"/>
          <w:lang w:eastAsia="zh-CN"/>
        </w:rPr>
        <w:t>山西润德工程造价咨询有限公司</w:t>
      </w:r>
    </w:p>
    <w:p w14:paraId="3E70F789">
      <w:pPr>
        <w:adjustRightInd w:val="0"/>
        <w:snapToGrid w:val="0"/>
        <w:spacing w:line="312"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地    址：</w:t>
      </w:r>
      <w:r>
        <w:rPr>
          <w:rFonts w:hint="eastAsia" w:ascii="宋体" w:hAnsi="宋体" w:cs="宋体"/>
          <w:color w:val="auto"/>
          <w:sz w:val="24"/>
          <w:lang w:eastAsia="zh-CN"/>
        </w:rPr>
        <w:t>太原市万柏林区长风西街50号丽景苑小区4幢2单元1503号</w:t>
      </w:r>
    </w:p>
    <w:p w14:paraId="4AFA5876">
      <w:pPr>
        <w:adjustRightInd w:val="0"/>
        <w:snapToGrid w:val="0"/>
        <w:spacing w:line="312"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联系方式：</w:t>
      </w:r>
      <w:r>
        <w:rPr>
          <w:rFonts w:hint="eastAsia" w:ascii="宋体" w:hAnsi="宋体" w:cs="宋体"/>
          <w:color w:val="auto"/>
          <w:sz w:val="24"/>
          <w:lang w:eastAsia="zh-CN"/>
        </w:rPr>
        <w:t>0351-4062038</w:t>
      </w:r>
    </w:p>
    <w:p w14:paraId="66353F23">
      <w:pPr>
        <w:adjustRightInd w:val="0"/>
        <w:snapToGrid w:val="0"/>
        <w:spacing w:line="312" w:lineRule="auto"/>
        <w:ind w:firstLine="480" w:firstLineChars="200"/>
        <w:rPr>
          <w:rFonts w:ascii="宋体" w:hAnsi="宋体" w:cs="宋体"/>
          <w:color w:val="auto"/>
          <w:sz w:val="24"/>
        </w:rPr>
      </w:pPr>
      <w:r>
        <w:rPr>
          <w:rFonts w:hint="eastAsia" w:ascii="宋体" w:hAnsi="宋体" w:cs="宋体"/>
          <w:color w:val="auto"/>
          <w:sz w:val="24"/>
        </w:rPr>
        <w:t>3、项目联系方式</w:t>
      </w:r>
    </w:p>
    <w:p w14:paraId="74D84AE7">
      <w:pPr>
        <w:adjustRightInd w:val="0"/>
        <w:snapToGrid w:val="0"/>
        <w:spacing w:line="312"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项目联系人：</w:t>
      </w:r>
      <w:r>
        <w:rPr>
          <w:rFonts w:hint="eastAsia" w:ascii="宋体" w:hAnsi="宋体" w:cs="宋体"/>
          <w:color w:val="auto"/>
          <w:sz w:val="24"/>
          <w:lang w:eastAsia="zh-CN"/>
        </w:rPr>
        <w:t>李先生</w:t>
      </w:r>
    </w:p>
    <w:p w14:paraId="09AA291C">
      <w:pPr>
        <w:adjustRightInd w:val="0"/>
        <w:snapToGrid w:val="0"/>
        <w:spacing w:line="312"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电　　话：</w:t>
      </w:r>
      <w:r>
        <w:rPr>
          <w:rFonts w:hint="eastAsia" w:ascii="宋体" w:hAnsi="宋体" w:cs="宋体"/>
          <w:color w:val="auto"/>
          <w:sz w:val="24"/>
          <w:lang w:eastAsia="zh-CN"/>
        </w:rPr>
        <w:t>0351-4062038</w:t>
      </w:r>
    </w:p>
    <w:p w14:paraId="2D1F2160">
      <w:pPr>
        <w:pageBreakBefore w:val="0"/>
        <w:kinsoku/>
        <w:overflowPunct/>
        <w:topLinePunct w:val="0"/>
        <w:bidi w:val="0"/>
        <w:spacing w:line="360" w:lineRule="auto"/>
        <w:ind w:left="0" w:leftChars="0" w:firstLine="0" w:firstLineChars="0"/>
        <w:jc w:val="center"/>
        <w:textAlignment w:val="auto"/>
        <w:outlineLvl w:val="0"/>
        <w:rPr>
          <w:rFonts w:hint="eastAsia" w:ascii="宋体" w:hAnsi="宋体"/>
          <w:b/>
          <w:color w:val="auto"/>
          <w:sz w:val="32"/>
        </w:rPr>
      </w:pPr>
      <w:r>
        <w:rPr>
          <w:rFonts w:ascii="宋体" w:hAnsi="宋体"/>
          <w:color w:val="auto"/>
          <w:sz w:val="24"/>
        </w:rPr>
        <w:br w:type="page"/>
      </w:r>
      <w:bookmarkStart w:id="46" w:name="_Toc2582334"/>
      <w:bookmarkStart w:id="47" w:name="_Toc18497"/>
      <w:bookmarkStart w:id="48" w:name="_Toc532044538"/>
      <w:r>
        <w:rPr>
          <w:rFonts w:hint="eastAsia" w:ascii="宋体" w:hAnsi="宋体"/>
          <w:b/>
          <w:color w:val="auto"/>
          <w:sz w:val="32"/>
        </w:rPr>
        <w:t>第二章  投标须知前附表</w:t>
      </w:r>
      <w:bookmarkEnd w:id="46"/>
      <w:bookmarkEnd w:id="47"/>
    </w:p>
    <w:p w14:paraId="5C720CC0">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本表是本</w:t>
      </w:r>
      <w:r>
        <w:rPr>
          <w:rFonts w:ascii="宋体" w:hAnsi="宋体"/>
          <w:color w:val="auto"/>
          <w:sz w:val="24"/>
        </w:rPr>
        <w:t>招标项目</w:t>
      </w:r>
      <w:r>
        <w:rPr>
          <w:rFonts w:hint="eastAsia" w:ascii="宋体" w:hAnsi="宋体"/>
          <w:color w:val="auto"/>
          <w:sz w:val="24"/>
        </w:rPr>
        <w:t>的具体资料，是对投标人须知的具体补充和修改，如有矛盾，应以本资料表为准。</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369"/>
        <w:gridCol w:w="8491"/>
      </w:tblGrid>
      <w:tr w14:paraId="7CF1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blHeader/>
        </w:trPr>
        <w:tc>
          <w:tcPr>
            <w:tcW w:w="694" w:type="pct"/>
            <w:noWrap w:val="0"/>
            <w:tcMar>
              <w:top w:w="57" w:type="dxa"/>
              <w:left w:w="57" w:type="dxa"/>
              <w:bottom w:w="57" w:type="dxa"/>
              <w:right w:w="57" w:type="dxa"/>
            </w:tcMar>
            <w:vAlign w:val="center"/>
          </w:tcPr>
          <w:p w14:paraId="6B15BBBA">
            <w:pPr>
              <w:pageBreakBefore w:val="0"/>
              <w:kinsoku/>
              <w:overflowPunct/>
              <w:topLinePunct w:val="0"/>
              <w:bidi w:val="0"/>
              <w:spacing w:line="360" w:lineRule="auto"/>
              <w:ind w:left="0" w:leftChars="0" w:firstLine="0" w:firstLineChars="0"/>
              <w:jc w:val="left"/>
              <w:textAlignment w:val="auto"/>
              <w:rPr>
                <w:rFonts w:ascii="宋体" w:hAnsi="宋体"/>
                <w:b/>
                <w:color w:val="auto"/>
                <w:sz w:val="24"/>
              </w:rPr>
            </w:pPr>
            <w:r>
              <w:rPr>
                <w:rFonts w:hint="eastAsia" w:ascii="宋体" w:hAnsi="宋体"/>
                <w:b/>
                <w:color w:val="auto"/>
                <w:sz w:val="24"/>
              </w:rPr>
              <w:t>条款号</w:t>
            </w:r>
          </w:p>
        </w:tc>
        <w:tc>
          <w:tcPr>
            <w:tcW w:w="4305" w:type="pct"/>
            <w:noWrap w:val="0"/>
            <w:tcMar>
              <w:top w:w="57" w:type="dxa"/>
              <w:left w:w="57" w:type="dxa"/>
              <w:bottom w:w="57" w:type="dxa"/>
              <w:right w:w="57" w:type="dxa"/>
            </w:tcMar>
            <w:vAlign w:val="center"/>
          </w:tcPr>
          <w:p w14:paraId="60EF3ED8">
            <w:pPr>
              <w:pageBreakBefore w:val="0"/>
              <w:kinsoku/>
              <w:overflowPunct/>
              <w:topLinePunct w:val="0"/>
              <w:bidi w:val="0"/>
              <w:spacing w:line="360" w:lineRule="auto"/>
              <w:ind w:left="0" w:leftChars="0" w:firstLine="0" w:firstLineChars="0"/>
              <w:jc w:val="center"/>
              <w:textAlignment w:val="auto"/>
              <w:rPr>
                <w:rFonts w:ascii="宋体" w:hAnsi="宋体"/>
                <w:b/>
                <w:color w:val="auto"/>
                <w:sz w:val="24"/>
              </w:rPr>
            </w:pPr>
            <w:r>
              <w:rPr>
                <w:rFonts w:hint="eastAsia" w:ascii="宋体" w:hAnsi="宋体"/>
                <w:b/>
                <w:color w:val="auto"/>
                <w:sz w:val="24"/>
              </w:rPr>
              <w:t>内容</w:t>
            </w:r>
          </w:p>
        </w:tc>
      </w:tr>
      <w:tr w14:paraId="35A2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1657E9B1">
            <w:pPr>
              <w:pageBreakBefore w:val="0"/>
              <w:kinsoku/>
              <w:overflowPunct/>
              <w:topLinePunct w:val="0"/>
              <w:bidi w:val="0"/>
              <w:spacing w:line="360" w:lineRule="auto"/>
              <w:ind w:left="0" w:leftChars="0" w:firstLine="0" w:firstLineChars="0"/>
              <w:jc w:val="center"/>
              <w:textAlignment w:val="auto"/>
              <w:rPr>
                <w:rFonts w:ascii="宋体" w:hAnsi="宋体"/>
                <w:color w:val="auto"/>
                <w:sz w:val="24"/>
              </w:rPr>
            </w:pPr>
            <w:r>
              <w:rPr>
                <w:rFonts w:ascii="宋体" w:hAnsi="宋体"/>
                <w:color w:val="auto"/>
                <w:sz w:val="24"/>
              </w:rPr>
              <w:t>1.1</w:t>
            </w:r>
          </w:p>
        </w:tc>
        <w:tc>
          <w:tcPr>
            <w:tcW w:w="4305" w:type="pct"/>
            <w:noWrap w:val="0"/>
            <w:tcMar>
              <w:top w:w="57" w:type="dxa"/>
              <w:left w:w="57" w:type="dxa"/>
              <w:bottom w:w="57" w:type="dxa"/>
              <w:right w:w="57" w:type="dxa"/>
            </w:tcMar>
            <w:vAlign w:val="center"/>
          </w:tcPr>
          <w:p w14:paraId="7957A425">
            <w:pPr>
              <w:pageBreakBefore w:val="0"/>
              <w:kinsoku/>
              <w:overflowPunct/>
              <w:topLinePunct w:val="0"/>
              <w:bidi w:val="0"/>
              <w:spacing w:line="360" w:lineRule="auto"/>
              <w:ind w:left="0" w:leftChars="0" w:firstLine="0" w:firstLineChars="0"/>
              <w:jc w:val="both"/>
              <w:textAlignment w:val="auto"/>
              <w:rPr>
                <w:rFonts w:hint="eastAsia" w:ascii="宋体" w:hAnsi="宋体" w:eastAsia="宋体"/>
                <w:color w:val="auto"/>
                <w:sz w:val="24"/>
                <w:lang w:eastAsia="zh-CN"/>
              </w:rPr>
            </w:pPr>
            <w:r>
              <w:rPr>
                <w:rFonts w:hint="eastAsia" w:ascii="宋体" w:hAnsi="宋体"/>
                <w:color w:val="auto"/>
                <w:sz w:val="24"/>
                <w:lang w:eastAsia="zh-CN"/>
              </w:rPr>
              <w:t>采</w:t>
            </w:r>
            <w:r>
              <w:rPr>
                <w:rFonts w:hint="eastAsia" w:ascii="宋体" w:hAnsi="宋体"/>
                <w:color w:val="auto"/>
                <w:sz w:val="24"/>
                <w:lang w:val="en-US" w:eastAsia="zh-CN"/>
              </w:rPr>
              <w:t xml:space="preserve"> </w:t>
            </w:r>
            <w:r>
              <w:rPr>
                <w:rFonts w:hint="eastAsia" w:ascii="宋体" w:hAnsi="宋体"/>
                <w:color w:val="auto"/>
                <w:sz w:val="24"/>
                <w:lang w:eastAsia="zh-CN"/>
              </w:rPr>
              <w:t>购</w:t>
            </w:r>
            <w:r>
              <w:rPr>
                <w:rFonts w:hint="eastAsia" w:ascii="宋体" w:hAnsi="宋体"/>
                <w:color w:val="auto"/>
                <w:sz w:val="24"/>
                <w:lang w:val="en-US" w:eastAsia="zh-CN"/>
              </w:rPr>
              <w:t xml:space="preserve"> </w:t>
            </w:r>
            <w:r>
              <w:rPr>
                <w:rFonts w:hint="eastAsia" w:ascii="宋体" w:hAnsi="宋体"/>
                <w:color w:val="auto"/>
                <w:sz w:val="24"/>
                <w:lang w:eastAsia="zh-CN"/>
              </w:rPr>
              <w:t>人</w:t>
            </w:r>
            <w:r>
              <w:rPr>
                <w:rFonts w:hint="eastAsia" w:ascii="宋体" w:hAnsi="宋体" w:eastAsia="宋体"/>
                <w:color w:val="auto"/>
                <w:sz w:val="24"/>
                <w:lang w:eastAsia="zh-CN"/>
              </w:rPr>
              <w:t>：柳林县中医院</w:t>
            </w:r>
          </w:p>
          <w:p w14:paraId="3A39A3F1">
            <w:pPr>
              <w:pageBreakBefore w:val="0"/>
              <w:kinsoku/>
              <w:overflowPunct/>
              <w:topLinePunct w:val="0"/>
              <w:bidi w:val="0"/>
              <w:spacing w:line="360" w:lineRule="auto"/>
              <w:ind w:left="0" w:leftChars="0" w:firstLine="0" w:firstLineChars="0"/>
              <w:jc w:val="both"/>
              <w:textAlignment w:val="auto"/>
              <w:rPr>
                <w:rFonts w:hint="eastAsia" w:ascii="宋体" w:hAnsi="宋体" w:eastAsia="宋体"/>
                <w:color w:val="auto"/>
                <w:sz w:val="24"/>
                <w:lang w:eastAsia="zh-CN"/>
              </w:rPr>
            </w:pPr>
            <w:r>
              <w:rPr>
                <w:rFonts w:hint="eastAsia" w:ascii="宋体" w:hAnsi="宋体" w:eastAsia="宋体"/>
                <w:color w:val="auto"/>
                <w:sz w:val="24"/>
                <w:lang w:eastAsia="zh-CN"/>
              </w:rPr>
              <w:t>地    址：柳林县柳林镇青龙高家巷23号</w:t>
            </w:r>
          </w:p>
          <w:p w14:paraId="6B43D7AE">
            <w:pPr>
              <w:pageBreakBefore w:val="0"/>
              <w:kinsoku/>
              <w:overflowPunct/>
              <w:topLinePunct w:val="0"/>
              <w:bidi w:val="0"/>
              <w:spacing w:line="360" w:lineRule="auto"/>
              <w:ind w:left="0" w:leftChars="0" w:firstLine="0" w:firstLineChars="0"/>
              <w:jc w:val="both"/>
              <w:textAlignment w:val="auto"/>
              <w:rPr>
                <w:rFonts w:hint="eastAsia" w:ascii="宋体" w:hAnsi="宋体" w:eastAsia="宋体"/>
                <w:color w:val="auto"/>
                <w:sz w:val="24"/>
                <w:lang w:eastAsia="zh-CN"/>
              </w:rPr>
            </w:pPr>
            <w:r>
              <w:rPr>
                <w:rFonts w:hint="eastAsia" w:ascii="宋体" w:hAnsi="宋体" w:eastAsia="宋体"/>
                <w:color w:val="auto"/>
                <w:sz w:val="24"/>
                <w:lang w:eastAsia="zh-CN"/>
              </w:rPr>
              <w:t>联系方式：0358-4011382</w:t>
            </w:r>
          </w:p>
        </w:tc>
      </w:tr>
      <w:tr w14:paraId="38DF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15DB9086">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ascii="宋体" w:hAnsi="宋体"/>
                <w:color w:val="auto"/>
                <w:sz w:val="24"/>
              </w:rPr>
              <w:t>1.2</w:t>
            </w:r>
          </w:p>
        </w:tc>
        <w:tc>
          <w:tcPr>
            <w:tcW w:w="4305" w:type="pct"/>
            <w:noWrap w:val="0"/>
            <w:tcMar>
              <w:top w:w="57" w:type="dxa"/>
              <w:left w:w="57" w:type="dxa"/>
              <w:bottom w:w="57" w:type="dxa"/>
              <w:right w:w="57" w:type="dxa"/>
            </w:tcMar>
            <w:vAlign w:val="center"/>
          </w:tcPr>
          <w:p w14:paraId="0451DA95">
            <w:pPr>
              <w:pageBreakBefore w:val="0"/>
              <w:kinsoku/>
              <w:overflowPunct/>
              <w:topLinePunct w:val="0"/>
              <w:bidi w:val="0"/>
              <w:spacing w:line="360" w:lineRule="auto"/>
              <w:ind w:left="0" w:leftChars="0" w:firstLine="0" w:firstLineChars="0"/>
              <w:jc w:val="left"/>
              <w:textAlignment w:val="auto"/>
              <w:rPr>
                <w:rFonts w:hint="eastAsia" w:ascii="宋体" w:hAnsi="宋体" w:eastAsia="宋体"/>
                <w:color w:val="auto"/>
                <w:sz w:val="24"/>
                <w:lang w:eastAsia="zh-CN"/>
              </w:rPr>
            </w:pPr>
            <w:r>
              <w:rPr>
                <w:rFonts w:hint="eastAsia" w:ascii="宋体" w:hAnsi="宋体"/>
                <w:color w:val="auto"/>
                <w:sz w:val="24"/>
                <w:lang w:eastAsia="zh-CN"/>
              </w:rPr>
              <w:t>代理机构</w:t>
            </w:r>
            <w:r>
              <w:rPr>
                <w:rFonts w:hint="eastAsia" w:ascii="宋体" w:hAnsi="宋体" w:eastAsia="宋体"/>
                <w:color w:val="auto"/>
                <w:sz w:val="24"/>
                <w:lang w:eastAsia="zh-CN"/>
              </w:rPr>
              <w:t>：山西润德工程造价咨询有限公司</w:t>
            </w:r>
          </w:p>
          <w:p w14:paraId="2466B289">
            <w:pPr>
              <w:pageBreakBefore w:val="0"/>
              <w:kinsoku/>
              <w:overflowPunct/>
              <w:topLinePunct w:val="0"/>
              <w:bidi w:val="0"/>
              <w:spacing w:line="360" w:lineRule="auto"/>
              <w:ind w:left="0" w:leftChars="0" w:firstLine="0" w:firstLineChars="0"/>
              <w:jc w:val="left"/>
              <w:textAlignment w:val="auto"/>
              <w:rPr>
                <w:rFonts w:hint="eastAsia" w:ascii="宋体" w:hAnsi="宋体" w:eastAsia="宋体"/>
                <w:color w:val="auto"/>
                <w:sz w:val="24"/>
                <w:lang w:eastAsia="zh-CN"/>
              </w:rPr>
            </w:pPr>
            <w:r>
              <w:rPr>
                <w:rFonts w:hint="eastAsia" w:ascii="宋体" w:hAnsi="宋体" w:eastAsia="宋体"/>
                <w:color w:val="auto"/>
                <w:sz w:val="24"/>
                <w:lang w:eastAsia="zh-CN"/>
              </w:rPr>
              <w:t>地    址：太原市万柏林区长风西街50号丽景苑小区4幢2单元1503号</w:t>
            </w:r>
          </w:p>
          <w:p w14:paraId="09556B99">
            <w:pPr>
              <w:pageBreakBefore w:val="0"/>
              <w:kinsoku/>
              <w:overflowPunct/>
              <w:topLinePunct w:val="0"/>
              <w:bidi w:val="0"/>
              <w:spacing w:line="360" w:lineRule="auto"/>
              <w:ind w:left="0" w:leftChars="0" w:firstLine="0" w:firstLineChars="0"/>
              <w:jc w:val="left"/>
              <w:textAlignment w:val="auto"/>
              <w:rPr>
                <w:rFonts w:hint="eastAsia" w:ascii="宋体" w:hAnsi="宋体" w:eastAsia="宋体"/>
                <w:color w:val="auto"/>
                <w:sz w:val="24"/>
                <w:lang w:eastAsia="zh-CN"/>
              </w:rPr>
            </w:pPr>
            <w:r>
              <w:rPr>
                <w:rFonts w:hint="eastAsia" w:ascii="宋体" w:hAnsi="宋体" w:eastAsia="宋体"/>
                <w:color w:val="auto"/>
                <w:sz w:val="24"/>
                <w:lang w:eastAsia="zh-CN"/>
              </w:rPr>
              <w:t>联系方式：</w:t>
            </w:r>
            <w:r>
              <w:rPr>
                <w:rFonts w:hint="eastAsia" w:ascii="宋体" w:hAnsi="宋体"/>
                <w:color w:val="auto"/>
                <w:sz w:val="24"/>
                <w:lang w:eastAsia="zh-CN"/>
              </w:rPr>
              <w:t>0351-4062038</w:t>
            </w:r>
          </w:p>
        </w:tc>
      </w:tr>
      <w:tr w14:paraId="79BD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5C4694D2">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highlight w:val="none"/>
              </w:rPr>
            </w:pPr>
            <w:r>
              <w:rPr>
                <w:rFonts w:hint="eastAsia" w:ascii="宋体" w:hAnsi="宋体"/>
                <w:color w:val="auto"/>
                <w:sz w:val="24"/>
                <w:highlight w:val="none"/>
              </w:rPr>
              <w:t>1.3.4</w:t>
            </w:r>
          </w:p>
        </w:tc>
        <w:tc>
          <w:tcPr>
            <w:tcW w:w="4305" w:type="pct"/>
            <w:noWrap w:val="0"/>
            <w:tcMar>
              <w:top w:w="57" w:type="dxa"/>
              <w:left w:w="57" w:type="dxa"/>
              <w:bottom w:w="57" w:type="dxa"/>
              <w:right w:w="57" w:type="dxa"/>
            </w:tcMar>
            <w:vAlign w:val="center"/>
          </w:tcPr>
          <w:p w14:paraId="4F73C06F">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highlight w:val="none"/>
              </w:rPr>
            </w:pPr>
            <w:r>
              <w:rPr>
                <w:rFonts w:hint="eastAsia" w:ascii="宋体" w:hAnsi="宋体"/>
                <w:color w:val="auto"/>
                <w:sz w:val="24"/>
                <w:highlight w:val="none"/>
              </w:rPr>
              <w:t>合格投标人的其他资格要求：</w:t>
            </w:r>
            <w:r>
              <w:rPr>
                <w:rFonts w:hint="eastAsia" w:ascii="宋体" w:hAnsi="宋体"/>
                <w:color w:val="auto"/>
                <w:sz w:val="24"/>
                <w:highlight w:val="none"/>
                <w:u w:val="none"/>
                <w:lang w:eastAsia="zh-CN"/>
              </w:rPr>
              <w:t>无</w:t>
            </w:r>
          </w:p>
        </w:tc>
      </w:tr>
      <w:tr w14:paraId="1EA4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13634D20">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3</w:t>
            </w:r>
            <w:r>
              <w:rPr>
                <w:rFonts w:hint="eastAsia" w:ascii="宋体" w:hAnsi="宋体"/>
                <w:color w:val="auto"/>
                <w:sz w:val="24"/>
                <w:highlight w:val="none"/>
              </w:rPr>
              <w:t>.5</w:t>
            </w:r>
          </w:p>
        </w:tc>
        <w:tc>
          <w:tcPr>
            <w:tcW w:w="4305" w:type="pct"/>
            <w:noWrap w:val="0"/>
            <w:tcMar>
              <w:top w:w="57" w:type="dxa"/>
              <w:left w:w="57" w:type="dxa"/>
              <w:bottom w:w="57" w:type="dxa"/>
              <w:right w:w="57" w:type="dxa"/>
            </w:tcMar>
            <w:vAlign w:val="center"/>
          </w:tcPr>
          <w:p w14:paraId="2B1999A8">
            <w:pPr>
              <w:pageBreakBefore w:val="0"/>
              <w:kinsoku/>
              <w:overflowPunct/>
              <w:topLinePunct w:val="0"/>
              <w:bidi w:val="0"/>
              <w:spacing w:line="360" w:lineRule="auto"/>
              <w:ind w:left="0" w:leftChars="0" w:firstLine="0" w:firstLineChars="0"/>
              <w:jc w:val="left"/>
              <w:textAlignment w:val="auto"/>
              <w:rPr>
                <w:rFonts w:hint="eastAsia" w:ascii="宋体" w:hAnsi="宋体"/>
                <w:i/>
                <w:color w:val="auto"/>
                <w:sz w:val="24"/>
                <w:highlight w:val="none"/>
              </w:rPr>
            </w:pPr>
            <w:r>
              <w:rPr>
                <w:rFonts w:hint="eastAsia" w:ascii="宋体" w:hAnsi="宋体"/>
                <w:color w:val="auto"/>
                <w:sz w:val="24"/>
                <w:highlight w:val="none"/>
              </w:rPr>
              <w:t>是否为专门面向</w:t>
            </w:r>
            <w:r>
              <w:rPr>
                <w:rFonts w:ascii="宋体" w:hAnsi="宋体"/>
                <w:color w:val="auto"/>
                <w:sz w:val="24"/>
                <w:highlight w:val="none"/>
              </w:rPr>
              <w:t>中小企业采购</w:t>
            </w:r>
            <w:r>
              <w:rPr>
                <w:rFonts w:hint="eastAsia" w:ascii="宋体" w:hAnsi="宋体"/>
                <w:color w:val="auto"/>
                <w:sz w:val="24"/>
                <w:highlight w:val="none"/>
              </w:rPr>
              <w:t>：</w:t>
            </w:r>
            <w:r>
              <w:rPr>
                <w:rFonts w:hint="eastAsia" w:ascii="宋体" w:hAnsi="宋体" w:eastAsia="宋体" w:cs="宋体"/>
                <w:color w:val="auto"/>
                <w:sz w:val="24"/>
                <w:highlight w:val="none"/>
              </w:rPr>
              <w:t>是</w:t>
            </w: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 xml:space="preserve">    否</w:t>
            </w:r>
            <w:r>
              <w:rPr>
                <w:rFonts w:hint="eastAsia" w:ascii="宋体" w:hAnsi="宋体" w:eastAsia="宋体" w:cs="宋体"/>
                <w:color w:val="auto"/>
                <w:sz w:val="24"/>
                <w:highlight w:val="none"/>
              </w:rPr>
              <w:sym w:font="Wingdings 2" w:char="00A3"/>
            </w:r>
          </w:p>
          <w:p w14:paraId="3C5E2F66">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highlight w:val="none"/>
              </w:rPr>
            </w:pPr>
            <w:r>
              <w:rPr>
                <w:rFonts w:hint="eastAsia" w:ascii="宋体" w:hAnsi="宋体"/>
                <w:color w:val="auto"/>
                <w:sz w:val="24"/>
                <w:highlight w:val="none"/>
              </w:rPr>
              <w:t>本项目所属行业：</w:t>
            </w:r>
            <w:r>
              <w:rPr>
                <w:rFonts w:hint="eastAsia" w:ascii="宋体" w:hAnsi="宋体"/>
                <w:color w:val="auto"/>
                <w:sz w:val="24"/>
                <w:highlight w:val="none"/>
                <w:u w:val="none"/>
              </w:rPr>
              <w:t xml:space="preserve">软件和信息技术服务业  </w:t>
            </w:r>
          </w:p>
        </w:tc>
      </w:tr>
      <w:tr w14:paraId="24E2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4EA00B26">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1.</w:t>
            </w:r>
            <w:r>
              <w:rPr>
                <w:rFonts w:ascii="宋体" w:hAnsi="宋体"/>
                <w:color w:val="auto"/>
                <w:sz w:val="24"/>
              </w:rPr>
              <w:t>4</w:t>
            </w:r>
          </w:p>
        </w:tc>
        <w:tc>
          <w:tcPr>
            <w:tcW w:w="4305" w:type="pct"/>
            <w:noWrap w:val="0"/>
            <w:tcMar>
              <w:top w:w="57" w:type="dxa"/>
              <w:left w:w="57" w:type="dxa"/>
              <w:bottom w:w="57" w:type="dxa"/>
              <w:right w:w="57" w:type="dxa"/>
            </w:tcMar>
            <w:vAlign w:val="center"/>
          </w:tcPr>
          <w:p w14:paraId="2576B2CF">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是否允许联合体投标：</w:t>
            </w:r>
            <w:r>
              <w:rPr>
                <w:rFonts w:hint="eastAsia" w:ascii="宋体" w:hAnsi="宋体" w:eastAsia="宋体" w:cs="宋体"/>
                <w:color w:val="auto"/>
                <w:sz w:val="24"/>
              </w:rPr>
              <w:t>是</w:t>
            </w:r>
            <w:r>
              <w:rPr>
                <w:rFonts w:hint="eastAsia" w:ascii="宋体" w:hAnsi="宋体" w:eastAsia="宋体" w:cs="宋体"/>
                <w:color w:val="auto"/>
                <w:sz w:val="24"/>
              </w:rPr>
              <w:sym w:font="Wingdings 2" w:char="00A3"/>
            </w:r>
            <w:r>
              <w:rPr>
                <w:rFonts w:hint="eastAsia" w:ascii="宋体" w:hAnsi="宋体" w:eastAsia="宋体" w:cs="宋体"/>
                <w:color w:val="auto"/>
                <w:sz w:val="24"/>
              </w:rPr>
              <w:t xml:space="preserve">    否</w:t>
            </w:r>
            <w:r>
              <w:rPr>
                <w:rFonts w:hint="eastAsia" w:ascii="宋体" w:hAnsi="宋体" w:eastAsia="宋体" w:cs="宋体"/>
                <w:color w:val="auto"/>
                <w:sz w:val="24"/>
              </w:rPr>
              <w:sym w:font="Wingdings 2" w:char="F052"/>
            </w:r>
          </w:p>
        </w:tc>
      </w:tr>
      <w:tr w14:paraId="6778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23DB5821">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1.</w:t>
            </w:r>
            <w:r>
              <w:rPr>
                <w:rFonts w:ascii="宋体" w:hAnsi="宋体"/>
                <w:color w:val="auto"/>
                <w:sz w:val="24"/>
              </w:rPr>
              <w:t>4</w:t>
            </w:r>
            <w:r>
              <w:rPr>
                <w:rFonts w:hint="eastAsia" w:ascii="宋体" w:hAnsi="宋体"/>
                <w:color w:val="auto"/>
                <w:sz w:val="24"/>
              </w:rPr>
              <w:t>.</w:t>
            </w:r>
            <w:r>
              <w:rPr>
                <w:rFonts w:ascii="宋体" w:hAnsi="宋体"/>
                <w:color w:val="auto"/>
                <w:sz w:val="24"/>
              </w:rPr>
              <w:t>7</w:t>
            </w:r>
          </w:p>
        </w:tc>
        <w:tc>
          <w:tcPr>
            <w:tcW w:w="4305" w:type="pct"/>
            <w:noWrap w:val="0"/>
            <w:tcMar>
              <w:top w:w="57" w:type="dxa"/>
              <w:left w:w="57" w:type="dxa"/>
              <w:bottom w:w="57" w:type="dxa"/>
              <w:right w:w="57" w:type="dxa"/>
            </w:tcMar>
            <w:vAlign w:val="center"/>
          </w:tcPr>
          <w:p w14:paraId="3C1A66AC">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联合体的其他资格要求：</w:t>
            </w:r>
            <w:r>
              <w:rPr>
                <w:rFonts w:hint="eastAsia" w:ascii="宋体" w:hAnsi="宋体"/>
                <w:color w:val="auto"/>
                <w:sz w:val="24"/>
                <w:lang w:val="en-US" w:eastAsia="zh-CN"/>
              </w:rPr>
              <w:t>/</w:t>
            </w:r>
          </w:p>
        </w:tc>
      </w:tr>
      <w:tr w14:paraId="54555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0C33CC81">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2.2</w:t>
            </w:r>
          </w:p>
        </w:tc>
        <w:tc>
          <w:tcPr>
            <w:tcW w:w="4305" w:type="pct"/>
            <w:noWrap w:val="0"/>
            <w:tcMar>
              <w:top w:w="57" w:type="dxa"/>
              <w:left w:w="57" w:type="dxa"/>
              <w:bottom w:w="57" w:type="dxa"/>
              <w:right w:w="57" w:type="dxa"/>
            </w:tcMar>
            <w:vAlign w:val="center"/>
          </w:tcPr>
          <w:p w14:paraId="763DB71F">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预算金额：</w:t>
            </w:r>
            <w:r>
              <w:rPr>
                <w:rFonts w:hint="default" w:ascii="宋体" w:hAnsi="宋体"/>
                <w:color w:val="auto"/>
                <w:sz w:val="24"/>
                <w:u w:val="none"/>
                <w:lang w:eastAsia="zh-CN"/>
              </w:rPr>
              <w:t>8408100</w:t>
            </w:r>
            <w:r>
              <w:rPr>
                <w:rFonts w:hint="eastAsia" w:ascii="宋体" w:hAnsi="宋体"/>
                <w:color w:val="auto"/>
                <w:sz w:val="24"/>
              </w:rPr>
              <w:t>元；</w:t>
            </w:r>
          </w:p>
          <w:p w14:paraId="2D6162A7">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最高限价：</w:t>
            </w:r>
            <w:r>
              <w:rPr>
                <w:rFonts w:hint="eastAsia" w:ascii="宋体" w:hAnsi="宋体"/>
                <w:color w:val="auto"/>
                <w:sz w:val="24"/>
                <w:highlight w:val="none"/>
                <w:u w:val="none"/>
                <w:lang w:eastAsia="zh-CN"/>
              </w:rPr>
              <w:t>6884604.97元</w:t>
            </w:r>
          </w:p>
        </w:tc>
      </w:tr>
      <w:tr w14:paraId="6A47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5D90BA4C">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5.4</w:t>
            </w:r>
          </w:p>
        </w:tc>
        <w:tc>
          <w:tcPr>
            <w:tcW w:w="4305" w:type="pct"/>
            <w:noWrap w:val="0"/>
            <w:tcMar>
              <w:top w:w="57" w:type="dxa"/>
              <w:left w:w="57" w:type="dxa"/>
              <w:bottom w:w="57" w:type="dxa"/>
              <w:right w:w="57" w:type="dxa"/>
            </w:tcMar>
            <w:vAlign w:val="center"/>
          </w:tcPr>
          <w:p w14:paraId="6CAF5531">
            <w:pPr>
              <w:pageBreakBefore w:val="0"/>
              <w:kinsoku/>
              <w:overflowPunct/>
              <w:topLinePunct w:val="0"/>
              <w:bidi w:val="0"/>
              <w:spacing w:line="360" w:lineRule="auto"/>
              <w:ind w:left="0" w:leftChars="0" w:firstLine="0" w:firstLineChars="0"/>
              <w:jc w:val="left"/>
              <w:textAlignment w:val="auto"/>
              <w:rPr>
                <w:rFonts w:ascii="宋体" w:hAnsi="宋体"/>
                <w:i/>
                <w:color w:val="auto"/>
                <w:sz w:val="24"/>
              </w:rPr>
            </w:pPr>
            <w:r>
              <w:rPr>
                <w:rFonts w:hint="eastAsia" w:ascii="宋体" w:hAnsi="宋体"/>
                <w:color w:val="auto"/>
                <w:sz w:val="24"/>
              </w:rPr>
              <w:t>是否</w:t>
            </w:r>
            <w:r>
              <w:rPr>
                <w:rFonts w:ascii="宋体" w:hAnsi="宋体"/>
                <w:color w:val="auto"/>
                <w:sz w:val="24"/>
              </w:rPr>
              <w:t>组织现场考察或者召开答疑会</w:t>
            </w:r>
            <w:r>
              <w:rPr>
                <w:rFonts w:hint="eastAsia" w:ascii="宋体" w:hAnsi="宋体"/>
                <w:color w:val="auto"/>
                <w:sz w:val="24"/>
              </w:rPr>
              <w:t>：</w:t>
            </w:r>
            <w:r>
              <w:rPr>
                <w:rFonts w:hint="eastAsia" w:ascii="宋体" w:hAnsi="宋体" w:eastAsia="宋体" w:cs="宋体"/>
                <w:color w:val="auto"/>
                <w:sz w:val="24"/>
              </w:rPr>
              <w:t>是</w:t>
            </w:r>
            <w:r>
              <w:rPr>
                <w:rFonts w:hint="eastAsia" w:ascii="宋体" w:hAnsi="宋体" w:eastAsia="宋体" w:cs="宋体"/>
                <w:color w:val="auto"/>
                <w:sz w:val="24"/>
              </w:rPr>
              <w:sym w:font="Wingdings 2" w:char="00A3"/>
            </w:r>
            <w:r>
              <w:rPr>
                <w:rFonts w:hint="eastAsia" w:ascii="宋体" w:hAnsi="宋体" w:eastAsia="宋体" w:cs="宋体"/>
                <w:color w:val="auto"/>
                <w:sz w:val="24"/>
              </w:rPr>
              <w:t xml:space="preserve">    否</w:t>
            </w:r>
            <w:r>
              <w:rPr>
                <w:rFonts w:hint="eastAsia" w:ascii="宋体" w:hAnsi="宋体" w:eastAsia="宋体" w:cs="宋体"/>
                <w:color w:val="auto"/>
                <w:sz w:val="24"/>
              </w:rPr>
              <w:sym w:font="Wingdings 2" w:char="F052"/>
            </w:r>
          </w:p>
          <w:p w14:paraId="2C41CF06">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ascii="宋体" w:hAnsi="宋体"/>
                <w:color w:val="auto"/>
                <w:sz w:val="24"/>
              </w:rPr>
              <w:t>组织现场考察或者召开答疑会</w:t>
            </w:r>
            <w:r>
              <w:rPr>
                <w:rFonts w:hint="eastAsia" w:ascii="宋体" w:hAnsi="宋体"/>
                <w:color w:val="auto"/>
                <w:sz w:val="24"/>
              </w:rPr>
              <w:t>相关</w:t>
            </w:r>
            <w:r>
              <w:rPr>
                <w:rFonts w:ascii="宋体" w:hAnsi="宋体"/>
                <w:color w:val="auto"/>
                <w:sz w:val="24"/>
              </w:rPr>
              <w:t>要求：</w:t>
            </w:r>
          </w:p>
          <w:p w14:paraId="6BD07C73">
            <w:pPr>
              <w:pageBreakBefore w:val="0"/>
              <w:kinsoku/>
              <w:overflowPunct/>
              <w:topLinePunct w:val="0"/>
              <w:bidi w:val="0"/>
              <w:spacing w:line="360" w:lineRule="auto"/>
              <w:ind w:left="0" w:leftChars="0" w:firstLine="0" w:firstLineChars="0"/>
              <w:jc w:val="left"/>
              <w:textAlignment w:val="auto"/>
              <w:rPr>
                <w:rFonts w:ascii="宋体" w:hAnsi="宋体"/>
                <w:color w:val="auto"/>
                <w:sz w:val="24"/>
                <w:u w:val="single"/>
              </w:rPr>
            </w:pPr>
            <w:r>
              <w:rPr>
                <w:rFonts w:ascii="宋体" w:hAnsi="宋体"/>
                <w:color w:val="auto"/>
                <w:sz w:val="24"/>
              </w:rPr>
              <w:t>□</w:t>
            </w:r>
            <w:r>
              <w:rPr>
                <w:rFonts w:ascii="宋体" w:hAnsi="宋体"/>
                <w:color w:val="auto"/>
                <w:sz w:val="24"/>
                <w:u w:val="single"/>
              </w:rPr>
              <w:t xml:space="preserve">             </w:t>
            </w:r>
          </w:p>
          <w:p w14:paraId="1EFBFFD5">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□将在招标文件提供期限截止后以书面形式通知所有获取招标文件的潜在投标人</w:t>
            </w:r>
          </w:p>
        </w:tc>
      </w:tr>
      <w:tr w14:paraId="3F9E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3FC6A223">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8.1</w:t>
            </w:r>
          </w:p>
        </w:tc>
        <w:tc>
          <w:tcPr>
            <w:tcW w:w="4305" w:type="pct"/>
            <w:noWrap w:val="0"/>
            <w:tcMar>
              <w:top w:w="57" w:type="dxa"/>
              <w:left w:w="57" w:type="dxa"/>
              <w:bottom w:w="57" w:type="dxa"/>
              <w:right w:w="57" w:type="dxa"/>
            </w:tcMar>
            <w:vAlign w:val="center"/>
          </w:tcPr>
          <w:p w14:paraId="777C8D5F">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如投标人对多个包进行投标，可以中标</w:t>
            </w:r>
            <w:r>
              <w:rPr>
                <w:rFonts w:hint="eastAsia" w:ascii="宋体" w:hAnsi="宋体"/>
                <w:color w:val="auto"/>
                <w:sz w:val="24"/>
                <w:u w:val="single"/>
              </w:rPr>
              <w:t xml:space="preserve"> </w:t>
            </w:r>
            <w:r>
              <w:rPr>
                <w:rFonts w:ascii="宋体" w:hAnsi="宋体"/>
                <w:color w:val="auto"/>
                <w:sz w:val="24"/>
                <w:u w:val="single"/>
              </w:rPr>
              <w:t>/</w:t>
            </w:r>
            <w:r>
              <w:rPr>
                <w:rFonts w:hint="eastAsia" w:ascii="宋体" w:hAnsi="宋体"/>
                <w:color w:val="auto"/>
                <w:sz w:val="24"/>
                <w:u w:val="single"/>
              </w:rPr>
              <w:t xml:space="preserve"> </w:t>
            </w:r>
            <w:r>
              <w:rPr>
                <w:rFonts w:hint="eastAsia" w:ascii="宋体" w:hAnsi="宋体"/>
                <w:color w:val="auto"/>
                <w:sz w:val="24"/>
              </w:rPr>
              <w:t>包</w:t>
            </w:r>
          </w:p>
        </w:tc>
      </w:tr>
      <w:tr w14:paraId="6B4F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0EEE8808">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1</w:t>
            </w:r>
            <w:r>
              <w:rPr>
                <w:rFonts w:ascii="宋体" w:hAnsi="宋体"/>
                <w:color w:val="auto"/>
                <w:sz w:val="24"/>
              </w:rPr>
              <w:t>2</w:t>
            </w:r>
            <w:r>
              <w:rPr>
                <w:rFonts w:hint="eastAsia" w:ascii="宋体" w:hAnsi="宋体"/>
                <w:color w:val="auto"/>
                <w:sz w:val="24"/>
              </w:rPr>
              <w:t>.1</w:t>
            </w:r>
          </w:p>
        </w:tc>
        <w:tc>
          <w:tcPr>
            <w:tcW w:w="4305" w:type="pct"/>
            <w:noWrap w:val="0"/>
            <w:tcMar>
              <w:top w:w="57" w:type="dxa"/>
              <w:left w:w="57" w:type="dxa"/>
              <w:bottom w:w="57" w:type="dxa"/>
              <w:right w:w="57" w:type="dxa"/>
            </w:tcMar>
            <w:vAlign w:val="center"/>
          </w:tcPr>
          <w:p w14:paraId="2D64A318">
            <w:pPr>
              <w:snapToGrid w:val="0"/>
              <w:spacing w:line="360" w:lineRule="auto"/>
              <w:rPr>
                <w:rFonts w:ascii="宋体" w:hAnsi="宋体" w:cs="宋体"/>
                <w:color w:val="auto"/>
                <w:sz w:val="24"/>
                <w:szCs w:val="24"/>
              </w:rPr>
            </w:pPr>
            <w:r>
              <w:rPr>
                <w:rFonts w:hint="eastAsia" w:ascii="宋体" w:hAnsi="宋体" w:cs="宋体"/>
                <w:color w:val="auto"/>
                <w:sz w:val="24"/>
                <w:szCs w:val="24"/>
              </w:rPr>
              <w:t>本项目是否要求投标人缴纳投标保证金：</w:t>
            </w:r>
          </w:p>
          <w:p w14:paraId="0B4E35A1">
            <w:pPr>
              <w:snapToGrid w:val="0"/>
              <w:spacing w:line="360" w:lineRule="auto"/>
              <w:rPr>
                <w:rFonts w:ascii="宋体" w:hAnsi="宋体" w:cs="宋体"/>
                <w:color w:val="auto"/>
                <w:sz w:val="24"/>
                <w:szCs w:val="24"/>
              </w:rPr>
            </w:pPr>
            <w:r>
              <w:rPr>
                <w:rFonts w:hint="eastAsia" w:ascii="宋体" w:hAnsi="宋体" w:cs="宋体"/>
                <w:color w:val="auto"/>
                <w:sz w:val="24"/>
                <w:szCs w:val="24"/>
              </w:rPr>
              <w:sym w:font="Wingdings" w:char="00A8"/>
            </w:r>
            <w:r>
              <w:rPr>
                <w:rFonts w:hint="eastAsia" w:ascii="宋体" w:hAnsi="宋体" w:cs="宋体"/>
                <w:color w:val="auto"/>
                <w:sz w:val="24"/>
                <w:szCs w:val="24"/>
              </w:rPr>
              <w:t>否</w:t>
            </w:r>
          </w:p>
          <w:p w14:paraId="4096900E">
            <w:pPr>
              <w:snapToGrid w:val="0"/>
              <w:spacing w:line="360" w:lineRule="auto"/>
              <w:rPr>
                <w:rFonts w:ascii="宋体" w:hAnsi="宋体" w:cs="宋体"/>
                <w:color w:val="auto"/>
                <w:sz w:val="24"/>
                <w:szCs w:val="24"/>
              </w:rPr>
            </w:pPr>
            <w:r>
              <w:rPr>
                <w:rFonts w:hint="eastAsia" w:ascii="宋体" w:hAnsi="宋体" w:cs="宋体"/>
                <w:color w:val="auto"/>
                <w:sz w:val="24"/>
                <w:szCs w:val="24"/>
              </w:rPr>
              <w:sym w:font="Wingdings" w:char="00FE"/>
            </w:r>
            <w:r>
              <w:rPr>
                <w:rFonts w:hint="eastAsia" w:ascii="宋体" w:hAnsi="宋体" w:cs="宋体"/>
                <w:color w:val="auto"/>
                <w:sz w:val="24"/>
                <w:szCs w:val="24"/>
              </w:rPr>
              <w:t>是，</w:t>
            </w:r>
          </w:p>
          <w:p w14:paraId="74CF21B9">
            <w:pPr>
              <w:snapToGrid w:val="0"/>
              <w:spacing w:line="360" w:lineRule="auto"/>
              <w:rPr>
                <w:rFonts w:ascii="宋体" w:hAnsi="宋体" w:cs="宋体"/>
                <w:color w:val="auto"/>
                <w:sz w:val="24"/>
                <w:szCs w:val="24"/>
              </w:rPr>
            </w:pPr>
            <w:r>
              <w:rPr>
                <w:rFonts w:hint="eastAsia" w:ascii="宋体" w:hAnsi="宋体" w:cs="宋体"/>
                <w:color w:val="auto"/>
                <w:sz w:val="24"/>
                <w:szCs w:val="24"/>
              </w:rPr>
              <w:t>投标保证金金额：人民币</w:t>
            </w:r>
            <w:r>
              <w:rPr>
                <w:rFonts w:hint="eastAsia" w:ascii="宋体" w:hAnsi="宋体" w:cs="宋体"/>
                <w:color w:val="auto"/>
                <w:sz w:val="24"/>
                <w:szCs w:val="24"/>
                <w:highlight w:val="none"/>
                <w:lang w:val="en-US" w:eastAsia="zh-CN"/>
              </w:rPr>
              <w:t>陆万捌仟</w:t>
            </w:r>
            <w:r>
              <w:rPr>
                <w:rFonts w:hint="eastAsia" w:ascii="宋体" w:hAnsi="宋体" w:cs="宋体"/>
                <w:color w:val="auto"/>
                <w:sz w:val="24"/>
                <w:szCs w:val="24"/>
                <w:highlight w:val="none"/>
              </w:rPr>
              <w:t>元整（￥</w:t>
            </w:r>
            <w:r>
              <w:rPr>
                <w:rFonts w:hint="eastAsia" w:ascii="宋体" w:hAnsi="宋体" w:cs="宋体"/>
                <w:color w:val="auto"/>
                <w:sz w:val="24"/>
                <w:szCs w:val="24"/>
                <w:highlight w:val="none"/>
                <w:lang w:val="en-US" w:eastAsia="zh-CN"/>
              </w:rPr>
              <w:t>68000</w:t>
            </w:r>
            <w:r>
              <w:rPr>
                <w:rFonts w:hint="eastAsia" w:ascii="宋体" w:hAnsi="宋体" w:cs="宋体"/>
                <w:color w:val="auto"/>
                <w:sz w:val="24"/>
                <w:szCs w:val="24"/>
                <w:highlight w:val="none"/>
              </w:rPr>
              <w:t>元）</w:t>
            </w:r>
            <w:r>
              <w:rPr>
                <w:rFonts w:hint="eastAsia" w:ascii="宋体" w:hAnsi="宋体" w:cs="宋体"/>
                <w:color w:val="auto"/>
                <w:sz w:val="24"/>
                <w:szCs w:val="24"/>
              </w:rPr>
              <w:t>；</w:t>
            </w:r>
          </w:p>
          <w:p w14:paraId="6CAC29DC">
            <w:pPr>
              <w:snapToGrid w:val="0"/>
              <w:spacing w:line="360" w:lineRule="auto"/>
              <w:rPr>
                <w:rFonts w:hint="eastAsia" w:ascii="宋体" w:hAnsi="宋体" w:cs="宋体"/>
                <w:color w:val="auto"/>
                <w:sz w:val="24"/>
                <w:szCs w:val="24"/>
              </w:rPr>
            </w:pPr>
            <w:r>
              <w:rPr>
                <w:rFonts w:hint="eastAsia" w:ascii="宋体" w:hAnsi="宋体" w:cs="宋体"/>
                <w:color w:val="auto"/>
                <w:sz w:val="24"/>
                <w:szCs w:val="24"/>
                <w:lang w:eastAsia="zh-CN"/>
              </w:rPr>
              <w:t>投标保证金缴纳形式</w:t>
            </w:r>
            <w:r>
              <w:rPr>
                <w:rFonts w:hint="eastAsia" w:ascii="宋体" w:hAnsi="宋体" w:cs="宋体"/>
                <w:color w:val="auto"/>
                <w:sz w:val="24"/>
                <w:szCs w:val="24"/>
                <w:lang w:val="en-US" w:eastAsia="zh-CN"/>
              </w:rPr>
              <w:t>：以电汇、转账、</w:t>
            </w:r>
            <w:r>
              <w:rPr>
                <w:rFonts w:hint="eastAsia" w:ascii="宋体" w:hAnsi="宋体" w:cs="宋体"/>
                <w:color w:val="auto"/>
                <w:sz w:val="24"/>
                <w:szCs w:val="24"/>
              </w:rPr>
              <w:t>支票、汇票、本票或者金融机构、担保机构出具的保函等非现金形式</w:t>
            </w:r>
            <w:r>
              <w:rPr>
                <w:rFonts w:hint="eastAsia" w:ascii="宋体" w:hAnsi="宋体" w:cs="宋体"/>
                <w:color w:val="auto"/>
                <w:sz w:val="24"/>
                <w:szCs w:val="24"/>
                <w:lang w:val="en-US" w:eastAsia="zh-CN"/>
              </w:rPr>
              <w:t>缴纳</w:t>
            </w:r>
            <w:r>
              <w:rPr>
                <w:rFonts w:hint="eastAsia" w:ascii="宋体" w:hAnsi="宋体" w:cs="宋体"/>
                <w:color w:val="auto"/>
                <w:sz w:val="24"/>
                <w:szCs w:val="24"/>
                <w:lang w:eastAsia="zh-CN"/>
              </w:rPr>
              <w:t>投标保证金</w:t>
            </w:r>
            <w:r>
              <w:rPr>
                <w:rFonts w:hint="eastAsia" w:ascii="宋体" w:hAnsi="宋体" w:cs="宋体"/>
                <w:color w:val="auto"/>
                <w:sz w:val="24"/>
                <w:szCs w:val="24"/>
              </w:rPr>
              <w:t>；</w:t>
            </w:r>
          </w:p>
          <w:p w14:paraId="752E9B45">
            <w:pPr>
              <w:snapToGrid w:val="0"/>
              <w:spacing w:line="360" w:lineRule="auto"/>
              <w:rPr>
                <w:rFonts w:ascii="宋体" w:hAnsi="宋体" w:cs="宋体"/>
                <w:color w:val="auto"/>
                <w:sz w:val="24"/>
                <w:szCs w:val="24"/>
              </w:rPr>
            </w:pPr>
            <w:r>
              <w:rPr>
                <w:rFonts w:hint="eastAsia" w:ascii="宋体" w:hAnsi="宋体" w:cs="宋体"/>
                <w:color w:val="auto"/>
                <w:sz w:val="24"/>
                <w:szCs w:val="24"/>
              </w:rPr>
              <w:t>（1）采用电汇、转账形式</w:t>
            </w:r>
            <w:r>
              <w:rPr>
                <w:rFonts w:hint="eastAsia" w:ascii="宋体" w:hAnsi="宋体" w:cs="宋体"/>
                <w:color w:val="auto"/>
                <w:sz w:val="24"/>
                <w:szCs w:val="24"/>
                <w:lang w:val="en-US" w:eastAsia="zh-CN"/>
              </w:rPr>
              <w:t>缴纳</w:t>
            </w:r>
            <w:r>
              <w:rPr>
                <w:rFonts w:hint="eastAsia" w:ascii="宋体" w:hAnsi="宋体" w:cs="宋体"/>
                <w:color w:val="auto"/>
                <w:sz w:val="24"/>
                <w:szCs w:val="24"/>
              </w:rPr>
              <w:t>保证金的，应于投标截止时间前将投标保证金，由投标人的基本账户一次性汇入采购人指定账户，并注明“项目名称和项目编号”，以银行到账时间和金额为准。</w:t>
            </w:r>
          </w:p>
          <w:p w14:paraId="36F274E8">
            <w:pPr>
              <w:snapToGrid w:val="0"/>
              <w:spacing w:line="360" w:lineRule="auto"/>
              <w:rPr>
                <w:rFonts w:ascii="宋体" w:hAnsi="宋体" w:cs="宋体"/>
                <w:color w:val="auto"/>
                <w:sz w:val="24"/>
                <w:szCs w:val="24"/>
              </w:rPr>
            </w:pPr>
            <w:r>
              <w:rPr>
                <w:rFonts w:hint="eastAsia" w:ascii="宋体" w:hAnsi="宋体" w:cs="宋体"/>
                <w:color w:val="auto"/>
                <w:sz w:val="24"/>
                <w:szCs w:val="24"/>
              </w:rPr>
              <w:t>（2）采用银行保函：银行保函应当是银行直接出具的保函或者金融服务平台出具的银行保函，响应文件中附保函文件，采购人将对供应商提交保函进行核实，若供应商提供虚假保函将否决其投标，响应文件中附原件扫描件。</w:t>
            </w:r>
          </w:p>
          <w:p w14:paraId="2A18B5AD">
            <w:pPr>
              <w:snapToGrid w:val="0"/>
              <w:spacing w:line="360" w:lineRule="auto"/>
              <w:rPr>
                <w:rFonts w:ascii="宋体" w:hAnsi="宋体" w:cs="宋体"/>
                <w:color w:val="auto"/>
                <w:sz w:val="24"/>
                <w:szCs w:val="24"/>
              </w:rPr>
            </w:pPr>
            <w:r>
              <w:rPr>
                <w:rFonts w:hint="eastAsia" w:ascii="宋体" w:hAnsi="宋体" w:cs="宋体"/>
                <w:color w:val="auto"/>
                <w:sz w:val="24"/>
                <w:szCs w:val="24"/>
              </w:rPr>
              <w:t>（3）指定账户：</w:t>
            </w:r>
          </w:p>
          <w:p w14:paraId="27CEB500">
            <w:pPr>
              <w:keepNext w:val="0"/>
              <w:keepLines w:val="0"/>
              <w:pageBreakBefore w:val="0"/>
              <w:widowControl w:val="0"/>
              <w:kinsoku/>
              <w:wordWrap/>
              <w:overflowPunct/>
              <w:topLinePunct w:val="0"/>
              <w:bidi w:val="0"/>
              <w:adjustRightInd/>
              <w:spacing w:line="360" w:lineRule="auto"/>
              <w:rPr>
                <w:rFonts w:hint="eastAsia" w:eastAsia="宋体"/>
                <w:b/>
                <w:bCs/>
                <w:color w:val="auto"/>
                <w:sz w:val="24"/>
                <w:szCs w:val="24"/>
                <w:highlight w:val="none"/>
                <w:lang w:eastAsia="zh-CN"/>
              </w:rPr>
            </w:pPr>
            <w:r>
              <w:rPr>
                <w:rFonts w:hint="eastAsia"/>
                <w:b/>
                <w:bCs/>
                <w:color w:val="auto"/>
                <w:sz w:val="24"/>
                <w:szCs w:val="24"/>
                <w:highlight w:val="none"/>
              </w:rPr>
              <w:t>收款单位：</w:t>
            </w:r>
            <w:r>
              <w:rPr>
                <w:rFonts w:hint="eastAsia"/>
                <w:b/>
                <w:bCs/>
                <w:color w:val="auto"/>
                <w:sz w:val="24"/>
                <w:szCs w:val="24"/>
                <w:highlight w:val="none"/>
                <w:lang w:eastAsia="zh-CN"/>
              </w:rPr>
              <w:t>山西润德工程造价咨询有限公司</w:t>
            </w:r>
          </w:p>
          <w:p w14:paraId="0C7E826E">
            <w:pPr>
              <w:keepNext w:val="0"/>
              <w:keepLines w:val="0"/>
              <w:pageBreakBefore w:val="0"/>
              <w:widowControl w:val="0"/>
              <w:kinsoku/>
              <w:wordWrap/>
              <w:overflowPunct/>
              <w:topLinePunct w:val="0"/>
              <w:bidi w:val="0"/>
              <w:adjustRightInd/>
              <w:spacing w:line="360" w:lineRule="auto"/>
              <w:rPr>
                <w:b/>
                <w:bCs/>
                <w:color w:val="auto"/>
                <w:sz w:val="24"/>
                <w:szCs w:val="24"/>
                <w:highlight w:val="none"/>
              </w:rPr>
            </w:pPr>
            <w:r>
              <w:rPr>
                <w:rFonts w:hint="eastAsia"/>
                <w:b/>
                <w:bCs/>
                <w:color w:val="auto"/>
                <w:sz w:val="24"/>
                <w:szCs w:val="24"/>
                <w:highlight w:val="none"/>
              </w:rPr>
              <w:t>开户行：中国民生银行股份有限公司太原晋阳街支行</w:t>
            </w:r>
          </w:p>
          <w:p w14:paraId="69A035DD">
            <w:pPr>
              <w:keepNext w:val="0"/>
              <w:keepLines w:val="0"/>
              <w:pageBreakBefore w:val="0"/>
              <w:widowControl w:val="0"/>
              <w:kinsoku/>
              <w:wordWrap/>
              <w:overflowPunct/>
              <w:topLinePunct w:val="0"/>
              <w:bidi w:val="0"/>
              <w:adjustRightInd/>
              <w:spacing w:line="360" w:lineRule="auto"/>
              <w:rPr>
                <w:rFonts w:hint="eastAsia"/>
                <w:b/>
                <w:bCs/>
                <w:color w:val="auto"/>
                <w:sz w:val="24"/>
                <w:szCs w:val="24"/>
                <w:highlight w:val="none"/>
              </w:rPr>
            </w:pPr>
            <w:r>
              <w:rPr>
                <w:rFonts w:hint="eastAsia"/>
                <w:b/>
                <w:bCs/>
                <w:color w:val="auto"/>
                <w:sz w:val="24"/>
                <w:szCs w:val="24"/>
                <w:highlight w:val="none"/>
                <w:lang w:eastAsia="zh-CN"/>
              </w:rPr>
              <w:t>账号</w:t>
            </w:r>
            <w:r>
              <w:rPr>
                <w:rFonts w:hint="eastAsia"/>
                <w:b/>
                <w:bCs/>
                <w:color w:val="auto"/>
                <w:sz w:val="24"/>
                <w:szCs w:val="24"/>
                <w:highlight w:val="none"/>
              </w:rPr>
              <w:t>：155173145</w:t>
            </w:r>
          </w:p>
          <w:p w14:paraId="3971FBEF">
            <w:pPr>
              <w:keepNext w:val="0"/>
              <w:keepLines w:val="0"/>
              <w:pageBreakBefore w:val="0"/>
              <w:widowControl w:val="0"/>
              <w:kinsoku/>
              <w:wordWrap/>
              <w:overflowPunct/>
              <w:topLinePunct w:val="0"/>
              <w:bidi w:val="0"/>
              <w:adjustRightInd/>
              <w:spacing w:line="360" w:lineRule="auto"/>
              <w:rPr>
                <w:rFonts w:hint="eastAsia"/>
                <w:b/>
                <w:bCs/>
                <w:color w:val="auto"/>
                <w:sz w:val="24"/>
                <w:szCs w:val="24"/>
                <w:highlight w:val="none"/>
                <w:lang w:val="en-US" w:eastAsia="zh-CN"/>
              </w:rPr>
            </w:pPr>
            <w:r>
              <w:rPr>
                <w:rFonts w:hint="eastAsia"/>
                <w:b/>
                <w:bCs/>
                <w:color w:val="auto"/>
                <w:sz w:val="24"/>
                <w:szCs w:val="24"/>
                <w:highlight w:val="none"/>
                <w:lang w:val="en-US" w:eastAsia="zh-CN"/>
              </w:rPr>
              <w:t>行号：305161009241</w:t>
            </w:r>
          </w:p>
          <w:p w14:paraId="223F32FC">
            <w:pPr>
              <w:snapToGrid w:val="0"/>
              <w:spacing w:line="360" w:lineRule="auto"/>
              <w:rPr>
                <w:rFonts w:ascii="宋体" w:hAnsi="宋体" w:cs="宋体"/>
                <w:color w:val="auto"/>
                <w:sz w:val="24"/>
                <w:szCs w:val="24"/>
              </w:rPr>
            </w:pPr>
            <w:r>
              <w:rPr>
                <w:rFonts w:hint="eastAsia" w:ascii="宋体" w:hAnsi="宋体" w:cs="宋体"/>
                <w:color w:val="auto"/>
                <w:sz w:val="24"/>
                <w:szCs w:val="24"/>
              </w:rPr>
              <w:t>注：</w:t>
            </w:r>
          </w:p>
          <w:p w14:paraId="1E7700BE">
            <w:pPr>
              <w:snapToGrid w:val="0"/>
              <w:spacing w:line="360" w:lineRule="auto"/>
              <w:rPr>
                <w:rFonts w:ascii="宋体" w:hAnsi="宋体" w:cs="宋体"/>
                <w:color w:val="auto"/>
                <w:sz w:val="24"/>
                <w:szCs w:val="24"/>
              </w:rPr>
            </w:pPr>
            <w:r>
              <w:rPr>
                <w:rFonts w:hint="eastAsia" w:ascii="宋体" w:hAnsi="宋体" w:cs="宋体"/>
                <w:color w:val="auto"/>
                <w:sz w:val="24"/>
                <w:szCs w:val="24"/>
              </w:rPr>
              <w:t>（1）未按要求提交投标保证金或未足额</w:t>
            </w:r>
            <w:r>
              <w:rPr>
                <w:rFonts w:hint="eastAsia" w:ascii="宋体" w:hAnsi="宋体" w:cs="宋体"/>
                <w:color w:val="auto"/>
                <w:sz w:val="24"/>
                <w:szCs w:val="24"/>
                <w:lang w:eastAsia="zh-CN"/>
              </w:rPr>
              <w:t>缴纳</w:t>
            </w:r>
            <w:r>
              <w:rPr>
                <w:rFonts w:hint="eastAsia" w:ascii="宋体" w:hAnsi="宋体" w:cs="宋体"/>
                <w:color w:val="auto"/>
                <w:sz w:val="24"/>
                <w:szCs w:val="24"/>
              </w:rPr>
              <w:t>投标保证金或未在开启时间之前到账的，均将被视为无效响应。</w:t>
            </w:r>
          </w:p>
          <w:p w14:paraId="4E8828A7">
            <w:pPr>
              <w:snapToGrid w:val="0"/>
              <w:spacing w:line="360" w:lineRule="auto"/>
              <w:rPr>
                <w:rFonts w:ascii="宋体" w:hAnsi="宋体" w:cs="宋体"/>
                <w:color w:val="auto"/>
                <w:sz w:val="24"/>
                <w:szCs w:val="24"/>
              </w:rPr>
            </w:pPr>
            <w:r>
              <w:rPr>
                <w:rFonts w:hint="eastAsia" w:ascii="宋体" w:hAnsi="宋体" w:cs="宋体"/>
                <w:color w:val="auto"/>
                <w:sz w:val="24"/>
                <w:szCs w:val="24"/>
              </w:rPr>
              <w:t>（2）投标人</w:t>
            </w:r>
            <w:r>
              <w:rPr>
                <w:rFonts w:hint="eastAsia" w:ascii="宋体" w:hAnsi="宋体" w:cs="宋体"/>
                <w:color w:val="auto"/>
                <w:sz w:val="24"/>
                <w:szCs w:val="24"/>
                <w:lang w:eastAsia="zh-CN"/>
              </w:rPr>
              <w:t>缴纳</w:t>
            </w:r>
            <w:r>
              <w:rPr>
                <w:rFonts w:hint="eastAsia" w:ascii="宋体" w:hAnsi="宋体" w:cs="宋体"/>
                <w:color w:val="auto"/>
                <w:sz w:val="24"/>
                <w:szCs w:val="24"/>
              </w:rPr>
              <w:t>投标保证金时，须在凭单用途栏中注明项目名称和项目编号（可简写）。</w:t>
            </w:r>
          </w:p>
          <w:p w14:paraId="4F10E25A">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s="宋体"/>
                <w:color w:val="auto"/>
                <w:sz w:val="24"/>
                <w:szCs w:val="24"/>
              </w:rPr>
              <w:t>未按前述各款要求提交保证金，或所提交保证金不完全符合各项要求的报价，将被视为无效报价。</w:t>
            </w:r>
          </w:p>
        </w:tc>
      </w:tr>
      <w:tr w14:paraId="6E0E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0D36B466">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1</w:t>
            </w:r>
            <w:r>
              <w:rPr>
                <w:rFonts w:ascii="宋体" w:hAnsi="宋体"/>
                <w:color w:val="auto"/>
                <w:sz w:val="24"/>
              </w:rPr>
              <w:t>2.4</w:t>
            </w:r>
          </w:p>
        </w:tc>
        <w:tc>
          <w:tcPr>
            <w:tcW w:w="4305" w:type="pct"/>
            <w:noWrap w:val="0"/>
            <w:tcMar>
              <w:top w:w="57" w:type="dxa"/>
              <w:left w:w="57" w:type="dxa"/>
              <w:bottom w:w="57" w:type="dxa"/>
              <w:right w:w="57" w:type="dxa"/>
            </w:tcMar>
            <w:vAlign w:val="center"/>
          </w:tcPr>
          <w:p w14:paraId="67473A0D">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其他可以不予退还投标保证金的情形：/</w:t>
            </w:r>
          </w:p>
        </w:tc>
      </w:tr>
      <w:tr w14:paraId="3252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37C51941">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13.1</w:t>
            </w:r>
          </w:p>
        </w:tc>
        <w:tc>
          <w:tcPr>
            <w:tcW w:w="4305" w:type="pct"/>
            <w:noWrap w:val="0"/>
            <w:tcMar>
              <w:top w:w="57" w:type="dxa"/>
              <w:left w:w="57" w:type="dxa"/>
              <w:bottom w:w="57" w:type="dxa"/>
              <w:right w:w="57" w:type="dxa"/>
            </w:tcMar>
            <w:vAlign w:val="center"/>
          </w:tcPr>
          <w:p w14:paraId="65406ABF">
            <w:pPr>
              <w:pageBreakBefore w:val="0"/>
              <w:kinsoku/>
              <w:overflowPunct/>
              <w:topLinePunct w:val="0"/>
              <w:bidi w:val="0"/>
              <w:spacing w:line="360" w:lineRule="auto"/>
              <w:ind w:left="0" w:leftChars="0" w:firstLine="0" w:firstLineChars="0"/>
              <w:jc w:val="left"/>
              <w:textAlignment w:val="auto"/>
              <w:rPr>
                <w:rFonts w:ascii="宋体" w:hAnsi="宋体"/>
                <w:color w:val="auto"/>
                <w:sz w:val="24"/>
                <w:u w:val="single"/>
              </w:rPr>
            </w:pPr>
            <w:r>
              <w:rPr>
                <w:rFonts w:hint="eastAsia" w:ascii="宋体" w:hAnsi="宋体"/>
                <w:color w:val="auto"/>
                <w:sz w:val="24"/>
              </w:rPr>
              <w:t>投标有效期：提交投标文件截止之日起</w:t>
            </w:r>
            <w:r>
              <w:rPr>
                <w:rFonts w:hint="eastAsia" w:ascii="宋体" w:hAnsi="宋体"/>
                <w:color w:val="auto"/>
                <w:sz w:val="24"/>
                <w:u w:val="single"/>
              </w:rPr>
              <w:t xml:space="preserve"> </w:t>
            </w:r>
            <w:r>
              <w:rPr>
                <w:rFonts w:ascii="宋体" w:hAnsi="宋体"/>
                <w:color w:val="auto"/>
                <w:sz w:val="24"/>
                <w:u w:val="single"/>
              </w:rPr>
              <w:t xml:space="preserve">90 </w:t>
            </w:r>
            <w:r>
              <w:rPr>
                <w:rFonts w:hint="eastAsia" w:ascii="宋体" w:hAnsi="宋体"/>
                <w:color w:val="auto"/>
                <w:sz w:val="24"/>
              </w:rPr>
              <w:t>日历日</w:t>
            </w:r>
          </w:p>
        </w:tc>
      </w:tr>
      <w:tr w14:paraId="4C68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51EF7C9D">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16.1</w:t>
            </w:r>
          </w:p>
        </w:tc>
        <w:tc>
          <w:tcPr>
            <w:tcW w:w="4305" w:type="pct"/>
            <w:noWrap w:val="0"/>
            <w:tcMar>
              <w:top w:w="57" w:type="dxa"/>
              <w:left w:w="57" w:type="dxa"/>
              <w:bottom w:w="57" w:type="dxa"/>
              <w:right w:w="57" w:type="dxa"/>
            </w:tcMar>
            <w:vAlign w:val="center"/>
          </w:tcPr>
          <w:p w14:paraId="44C1A4B4">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u w:val="none"/>
              </w:rPr>
            </w:pPr>
            <w:r>
              <w:rPr>
                <w:rFonts w:hint="eastAsia" w:ascii="宋体" w:hAnsi="宋体"/>
                <w:color w:val="auto"/>
                <w:sz w:val="24"/>
                <w:u w:val="none"/>
              </w:rPr>
              <w:t>投标截止时间：</w:t>
            </w:r>
            <w:r>
              <w:rPr>
                <w:rFonts w:hint="eastAsia" w:ascii="宋体" w:hAnsi="宋体" w:cs="宋体"/>
                <w:color w:val="auto"/>
                <w:sz w:val="24"/>
                <w:szCs w:val="24"/>
                <w:lang w:eastAsia="zh-CN"/>
              </w:rPr>
              <w:t>2026年4月2日9:00</w:t>
            </w:r>
            <w:r>
              <w:rPr>
                <w:rFonts w:hint="eastAsia" w:ascii="宋体" w:hAnsi="宋体" w:cs="宋体"/>
                <w:color w:val="auto"/>
                <w:sz w:val="24"/>
                <w:szCs w:val="32"/>
              </w:rPr>
              <w:t>（北京时间）</w:t>
            </w:r>
          </w:p>
        </w:tc>
      </w:tr>
      <w:tr w14:paraId="4A1E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72249C12">
            <w:pPr>
              <w:pageBreakBefore w:val="0"/>
              <w:kinsoku/>
              <w:overflowPunct/>
              <w:topLinePunct w:val="0"/>
              <w:bidi w:val="0"/>
              <w:spacing w:line="360" w:lineRule="auto"/>
              <w:ind w:left="0" w:leftChars="0" w:firstLine="0" w:firstLineChars="0"/>
              <w:jc w:val="center"/>
              <w:textAlignment w:val="auto"/>
              <w:rPr>
                <w:rFonts w:ascii="宋体" w:hAnsi="宋体"/>
                <w:color w:val="auto"/>
                <w:sz w:val="24"/>
              </w:rPr>
            </w:pPr>
            <w:r>
              <w:rPr>
                <w:rFonts w:hint="eastAsia" w:ascii="宋体" w:hAnsi="宋体"/>
                <w:color w:val="auto"/>
                <w:sz w:val="24"/>
              </w:rPr>
              <w:t>18</w:t>
            </w:r>
            <w:r>
              <w:rPr>
                <w:rFonts w:ascii="宋体" w:hAnsi="宋体"/>
                <w:color w:val="auto"/>
                <w:sz w:val="24"/>
              </w:rPr>
              <w:t>.1</w:t>
            </w:r>
          </w:p>
        </w:tc>
        <w:tc>
          <w:tcPr>
            <w:tcW w:w="4305" w:type="pct"/>
            <w:noWrap w:val="0"/>
            <w:tcMar>
              <w:top w:w="57" w:type="dxa"/>
              <w:left w:w="57" w:type="dxa"/>
              <w:bottom w:w="57" w:type="dxa"/>
              <w:right w:w="57" w:type="dxa"/>
            </w:tcMar>
            <w:vAlign w:val="center"/>
          </w:tcPr>
          <w:p w14:paraId="4956468C">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u w:val="none"/>
              </w:rPr>
            </w:pPr>
            <w:r>
              <w:rPr>
                <w:rFonts w:hint="eastAsia" w:ascii="宋体" w:hAnsi="宋体"/>
                <w:color w:val="auto"/>
                <w:sz w:val="24"/>
                <w:u w:val="none"/>
              </w:rPr>
              <w:t>开标时间：</w:t>
            </w:r>
            <w:r>
              <w:rPr>
                <w:rFonts w:hint="eastAsia" w:ascii="宋体" w:hAnsi="宋体" w:cs="宋体"/>
                <w:color w:val="auto"/>
                <w:sz w:val="24"/>
                <w:szCs w:val="24"/>
                <w:lang w:eastAsia="zh-CN"/>
              </w:rPr>
              <w:t>2026年4月2日9:00</w:t>
            </w:r>
            <w:r>
              <w:rPr>
                <w:rFonts w:hint="eastAsia" w:ascii="宋体" w:hAnsi="宋体" w:cs="宋体"/>
                <w:color w:val="auto"/>
                <w:sz w:val="24"/>
                <w:szCs w:val="32"/>
              </w:rPr>
              <w:t>（北京时间）</w:t>
            </w:r>
          </w:p>
          <w:p w14:paraId="44949A51">
            <w:pPr>
              <w:pageBreakBefore w:val="0"/>
              <w:kinsoku/>
              <w:overflowPunct/>
              <w:topLinePunct w:val="0"/>
              <w:bidi w:val="0"/>
              <w:spacing w:line="360" w:lineRule="auto"/>
              <w:ind w:left="0" w:leftChars="0" w:firstLine="0" w:firstLineChars="0"/>
              <w:jc w:val="left"/>
              <w:textAlignment w:val="auto"/>
              <w:rPr>
                <w:rFonts w:ascii="宋体" w:hAnsi="宋体"/>
                <w:color w:val="auto"/>
                <w:sz w:val="24"/>
                <w:u w:val="none"/>
              </w:rPr>
            </w:pPr>
            <w:r>
              <w:rPr>
                <w:rFonts w:hint="eastAsia" w:ascii="宋体" w:hAnsi="宋体"/>
                <w:color w:val="auto"/>
                <w:sz w:val="24"/>
                <w:u w:val="none"/>
              </w:rPr>
              <w:t>开标地点：</w:t>
            </w:r>
            <w:r>
              <w:rPr>
                <w:rFonts w:hint="eastAsia" w:ascii="宋体" w:hAnsi="宋体"/>
                <w:color w:val="auto"/>
                <w:sz w:val="24"/>
                <w:u w:val="none"/>
                <w:lang w:eastAsia="zh-CN"/>
              </w:rPr>
              <w:t>太原市千峰南路115号IU酒店（万象城店）四楼会议室</w:t>
            </w:r>
          </w:p>
        </w:tc>
      </w:tr>
      <w:tr w14:paraId="3A5A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454B6226">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19.2</w:t>
            </w:r>
          </w:p>
        </w:tc>
        <w:tc>
          <w:tcPr>
            <w:tcW w:w="4305" w:type="pct"/>
            <w:noWrap w:val="0"/>
            <w:tcMar>
              <w:top w:w="57" w:type="dxa"/>
              <w:left w:w="57" w:type="dxa"/>
              <w:bottom w:w="57" w:type="dxa"/>
              <w:right w:w="57" w:type="dxa"/>
            </w:tcMar>
            <w:vAlign w:val="center"/>
          </w:tcPr>
          <w:p w14:paraId="7F906A43">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u w:val="none"/>
              </w:rPr>
            </w:pPr>
            <w:r>
              <w:rPr>
                <w:rFonts w:hint="eastAsia" w:ascii="宋体" w:hAnsi="宋体"/>
                <w:color w:val="auto"/>
                <w:sz w:val="24"/>
                <w:u w:val="none"/>
              </w:rPr>
              <w:t xml:space="preserve">信用查询时间: 开标后资格审查同时查询 </w:t>
            </w:r>
          </w:p>
        </w:tc>
      </w:tr>
      <w:tr w14:paraId="2932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07D249D2">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2</w:t>
            </w:r>
            <w:r>
              <w:rPr>
                <w:rFonts w:ascii="宋体" w:hAnsi="宋体"/>
                <w:color w:val="auto"/>
                <w:sz w:val="24"/>
              </w:rPr>
              <w:t>3</w:t>
            </w:r>
            <w:r>
              <w:rPr>
                <w:rFonts w:hint="eastAsia" w:ascii="宋体" w:hAnsi="宋体"/>
                <w:color w:val="auto"/>
                <w:sz w:val="24"/>
              </w:rPr>
              <w:t>.2</w:t>
            </w:r>
          </w:p>
        </w:tc>
        <w:tc>
          <w:tcPr>
            <w:tcW w:w="4305" w:type="pct"/>
            <w:noWrap w:val="0"/>
            <w:tcMar>
              <w:top w:w="57" w:type="dxa"/>
              <w:left w:w="57" w:type="dxa"/>
              <w:bottom w:w="57" w:type="dxa"/>
              <w:right w:w="57" w:type="dxa"/>
            </w:tcMar>
            <w:vAlign w:val="center"/>
          </w:tcPr>
          <w:p w14:paraId="6DD978DC">
            <w:pPr>
              <w:pageBreakBefore w:val="0"/>
              <w:kinsoku/>
              <w:overflowPunct/>
              <w:topLinePunct w:val="0"/>
              <w:bidi w:val="0"/>
              <w:spacing w:line="360" w:lineRule="auto"/>
              <w:ind w:left="0" w:leftChars="0" w:firstLine="0" w:firstLineChars="0"/>
              <w:jc w:val="left"/>
              <w:textAlignment w:val="auto"/>
              <w:rPr>
                <w:rFonts w:hint="eastAsia" w:ascii="宋体" w:hAnsi="宋体"/>
                <w:i/>
                <w:color w:val="auto"/>
                <w:sz w:val="24"/>
              </w:rPr>
            </w:pPr>
            <w:r>
              <w:rPr>
                <w:rFonts w:hint="eastAsia" w:ascii="宋体" w:hAnsi="宋体"/>
                <w:color w:val="auto"/>
                <w:sz w:val="24"/>
              </w:rPr>
              <w:t>评标方法：适用综合评分法</w:t>
            </w:r>
          </w:p>
        </w:tc>
      </w:tr>
      <w:tr w14:paraId="7554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3124D6DD">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27.1</w:t>
            </w:r>
          </w:p>
        </w:tc>
        <w:tc>
          <w:tcPr>
            <w:tcW w:w="4305" w:type="pct"/>
            <w:noWrap w:val="0"/>
            <w:tcMar>
              <w:top w:w="57" w:type="dxa"/>
              <w:left w:w="57" w:type="dxa"/>
              <w:bottom w:w="57" w:type="dxa"/>
              <w:right w:w="57" w:type="dxa"/>
            </w:tcMar>
            <w:vAlign w:val="center"/>
          </w:tcPr>
          <w:p w14:paraId="186A0EC5">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推荐</w:t>
            </w:r>
            <w:r>
              <w:rPr>
                <w:rFonts w:ascii="宋体" w:hAnsi="宋体"/>
                <w:color w:val="auto"/>
                <w:sz w:val="24"/>
              </w:rPr>
              <w:t>中标候选</w:t>
            </w:r>
            <w:r>
              <w:rPr>
                <w:rFonts w:hint="eastAsia" w:ascii="宋体" w:hAnsi="宋体"/>
                <w:color w:val="auto"/>
                <w:sz w:val="24"/>
              </w:rPr>
              <w:t>人</w:t>
            </w:r>
            <w:r>
              <w:rPr>
                <w:rFonts w:ascii="宋体" w:hAnsi="宋体"/>
                <w:color w:val="auto"/>
                <w:sz w:val="24"/>
              </w:rPr>
              <w:t>的数量：</w:t>
            </w:r>
            <w:r>
              <w:rPr>
                <w:rFonts w:hint="eastAsia" w:ascii="宋体" w:hAnsi="宋体"/>
                <w:color w:val="auto"/>
                <w:sz w:val="24"/>
                <w:u w:val="single"/>
              </w:rPr>
              <w:t xml:space="preserve"> </w:t>
            </w:r>
            <w:r>
              <w:rPr>
                <w:rFonts w:hint="eastAsia" w:ascii="宋体" w:hAnsi="宋体"/>
                <w:color w:val="auto"/>
                <w:sz w:val="24"/>
                <w:u w:val="single"/>
                <w:lang w:val="en-US" w:eastAsia="zh-CN"/>
              </w:rPr>
              <w:t>3</w:t>
            </w:r>
            <w:r>
              <w:rPr>
                <w:rFonts w:hint="eastAsia" w:ascii="宋体" w:hAnsi="宋体"/>
                <w:color w:val="auto"/>
                <w:sz w:val="24"/>
                <w:u w:val="single"/>
              </w:rPr>
              <w:t xml:space="preserve">名 </w:t>
            </w:r>
          </w:p>
        </w:tc>
      </w:tr>
      <w:tr w14:paraId="6E5B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518F55B4">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27.2</w:t>
            </w:r>
          </w:p>
        </w:tc>
        <w:tc>
          <w:tcPr>
            <w:tcW w:w="4305" w:type="pct"/>
            <w:noWrap w:val="0"/>
            <w:tcMar>
              <w:top w:w="57" w:type="dxa"/>
              <w:left w:w="57" w:type="dxa"/>
              <w:bottom w:w="57" w:type="dxa"/>
              <w:right w:w="57" w:type="dxa"/>
            </w:tcMar>
            <w:vAlign w:val="center"/>
          </w:tcPr>
          <w:p w14:paraId="062E628C">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招标人是否委托评标委员会直接确定中标供应商：</w:t>
            </w:r>
            <w:r>
              <w:rPr>
                <w:rFonts w:hint="eastAsia" w:ascii="宋体" w:hAnsi="宋体" w:eastAsia="宋体" w:cs="宋体"/>
                <w:color w:val="auto"/>
                <w:sz w:val="24"/>
              </w:rPr>
              <w:t>是</w:t>
            </w:r>
            <w:r>
              <w:rPr>
                <w:rFonts w:hint="eastAsia" w:ascii="宋体" w:hAnsi="宋体" w:eastAsia="宋体" w:cs="宋体"/>
                <w:color w:val="auto"/>
                <w:sz w:val="24"/>
              </w:rPr>
              <w:sym w:font="Wingdings 2" w:char="00A3"/>
            </w:r>
            <w:r>
              <w:rPr>
                <w:rFonts w:hint="eastAsia" w:ascii="宋体" w:hAnsi="宋体" w:eastAsia="宋体" w:cs="宋体"/>
                <w:color w:val="auto"/>
                <w:sz w:val="24"/>
              </w:rPr>
              <w:t xml:space="preserve">    否</w:t>
            </w:r>
            <w:r>
              <w:rPr>
                <w:rFonts w:hint="eastAsia" w:ascii="宋体" w:hAnsi="宋体" w:eastAsia="宋体" w:cs="宋体"/>
                <w:color w:val="auto"/>
                <w:sz w:val="24"/>
              </w:rPr>
              <w:sym w:font="Wingdings 2" w:char="0052"/>
            </w:r>
          </w:p>
        </w:tc>
      </w:tr>
      <w:tr w14:paraId="00B3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719AFAF5">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ascii="宋体" w:hAnsi="宋体"/>
                <w:color w:val="auto"/>
                <w:sz w:val="24"/>
              </w:rPr>
              <w:t>31</w:t>
            </w:r>
            <w:r>
              <w:rPr>
                <w:rFonts w:hint="eastAsia" w:ascii="宋体" w:hAnsi="宋体"/>
                <w:color w:val="auto"/>
                <w:sz w:val="24"/>
              </w:rPr>
              <w:t>.1</w:t>
            </w:r>
          </w:p>
        </w:tc>
        <w:tc>
          <w:tcPr>
            <w:tcW w:w="4305" w:type="pct"/>
            <w:noWrap w:val="0"/>
            <w:tcMar>
              <w:top w:w="57" w:type="dxa"/>
              <w:left w:w="57" w:type="dxa"/>
              <w:bottom w:w="57" w:type="dxa"/>
              <w:right w:w="57" w:type="dxa"/>
            </w:tcMar>
            <w:vAlign w:val="center"/>
          </w:tcPr>
          <w:p w14:paraId="3ABEE25E">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是否提交履约保证金：是</w:t>
            </w:r>
            <w:r>
              <w:rPr>
                <w:rFonts w:hint="eastAsia" w:ascii="宋体" w:hAnsi="宋体" w:eastAsia="宋体" w:cs="Times New Roman"/>
                <w:color w:val="auto"/>
                <w:sz w:val="24"/>
              </w:rPr>
              <w:sym w:font="Wingdings 2" w:char="00A3"/>
            </w:r>
            <w:r>
              <w:rPr>
                <w:rFonts w:hint="eastAsia" w:ascii="宋体" w:hAnsi="宋体" w:eastAsia="宋体" w:cs="Times New Roman"/>
                <w:color w:val="auto"/>
                <w:sz w:val="24"/>
              </w:rPr>
              <w:t xml:space="preserve">    否</w:t>
            </w:r>
            <w:r>
              <w:rPr>
                <w:rFonts w:hint="eastAsia" w:ascii="宋体" w:hAnsi="宋体" w:eastAsia="宋体" w:cs="Times New Roman"/>
                <w:color w:val="auto"/>
                <w:sz w:val="24"/>
              </w:rPr>
              <w:sym w:font="Wingdings 2" w:char="0052"/>
            </w:r>
          </w:p>
          <w:p w14:paraId="7B827C77">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履约保证金金额：</w:t>
            </w:r>
            <w:r>
              <w:rPr>
                <w:rFonts w:hint="eastAsia" w:ascii="宋体" w:hAnsi="宋体" w:eastAsia="宋体" w:cs="Times New Roman"/>
                <w:color w:val="auto"/>
                <w:sz w:val="24"/>
                <w:lang w:val="en-US" w:eastAsia="zh-CN"/>
              </w:rPr>
              <w:t>无</w:t>
            </w:r>
            <w:r>
              <w:rPr>
                <w:rFonts w:hint="eastAsia" w:ascii="宋体" w:hAnsi="宋体" w:eastAsia="宋体" w:cs="Times New Roman"/>
                <w:color w:val="auto"/>
                <w:sz w:val="24"/>
              </w:rPr>
              <w:t>；</w:t>
            </w:r>
          </w:p>
          <w:p w14:paraId="22AFCDA5">
            <w:pPr>
              <w:pageBreakBefore w:val="0"/>
              <w:kinsoku/>
              <w:overflowPunct/>
              <w:topLinePunct w:val="0"/>
              <w:bidi w:val="0"/>
              <w:spacing w:line="360" w:lineRule="auto"/>
              <w:ind w:left="0" w:leftChars="0" w:firstLine="0" w:firstLineChars="0"/>
              <w:jc w:val="left"/>
              <w:textAlignment w:val="auto"/>
              <w:rPr>
                <w:rFonts w:hint="eastAsia" w:ascii="宋体" w:hAnsi="宋体" w:eastAsia="宋体"/>
                <w:color w:val="auto"/>
                <w:sz w:val="24"/>
                <w:u w:val="single"/>
                <w:lang w:val="en-US" w:eastAsia="zh-CN"/>
              </w:rPr>
            </w:pPr>
            <w:r>
              <w:rPr>
                <w:rFonts w:hint="eastAsia" w:ascii="宋体" w:hAnsi="宋体" w:eastAsia="宋体" w:cs="Times New Roman"/>
                <w:color w:val="auto"/>
                <w:sz w:val="24"/>
              </w:rPr>
              <w:t>提交履约保证金的时间：</w:t>
            </w:r>
            <w:r>
              <w:rPr>
                <w:rFonts w:hint="eastAsia" w:ascii="宋体" w:hAnsi="宋体" w:eastAsia="宋体" w:cs="Times New Roman"/>
                <w:color w:val="auto"/>
                <w:sz w:val="24"/>
                <w:lang w:val="en-US" w:eastAsia="zh-CN"/>
              </w:rPr>
              <w:t>/</w:t>
            </w:r>
          </w:p>
        </w:tc>
      </w:tr>
      <w:tr w14:paraId="4788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2FD30FC2">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ascii="宋体" w:hAnsi="宋体"/>
                <w:color w:val="auto"/>
                <w:sz w:val="24"/>
              </w:rPr>
              <w:t>33</w:t>
            </w:r>
          </w:p>
        </w:tc>
        <w:tc>
          <w:tcPr>
            <w:tcW w:w="4305" w:type="pct"/>
            <w:noWrap w:val="0"/>
            <w:tcMar>
              <w:top w:w="57" w:type="dxa"/>
              <w:left w:w="57" w:type="dxa"/>
              <w:bottom w:w="57" w:type="dxa"/>
              <w:right w:w="57" w:type="dxa"/>
            </w:tcMar>
            <w:vAlign w:val="center"/>
          </w:tcPr>
          <w:p w14:paraId="328D1C2B">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eastAsia="宋体" w:cs="仿宋"/>
                <w:color w:val="auto"/>
                <w:sz w:val="24"/>
                <w:szCs w:val="24"/>
                <w:highlight w:val="none"/>
              </w:rPr>
              <w:t>参照国家发展和改革委员会文件，《计价格【2002】1980号》、《发改价格【2003】857号》、《发改价格【2011】534号》文件，</w:t>
            </w:r>
            <w:r>
              <w:rPr>
                <w:rFonts w:hint="eastAsia" w:ascii="宋体" w:hAnsi="宋体" w:eastAsia="宋体" w:cs="仿宋"/>
                <w:color w:val="auto"/>
                <w:sz w:val="24"/>
                <w:szCs w:val="24"/>
                <w:highlight w:val="none"/>
                <w:lang w:eastAsia="zh-CN"/>
              </w:rPr>
              <w:t>代理服务费由采购人支付。</w:t>
            </w:r>
          </w:p>
        </w:tc>
      </w:tr>
      <w:tr w14:paraId="2EDC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4ACAC45D">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3</w:t>
            </w:r>
            <w:r>
              <w:rPr>
                <w:rFonts w:ascii="宋体" w:hAnsi="宋体"/>
                <w:color w:val="auto"/>
                <w:sz w:val="24"/>
              </w:rPr>
              <w:t>7</w:t>
            </w:r>
            <w:r>
              <w:rPr>
                <w:rFonts w:hint="eastAsia" w:ascii="宋体" w:hAnsi="宋体"/>
                <w:color w:val="auto"/>
                <w:sz w:val="24"/>
              </w:rPr>
              <w:t>.2</w:t>
            </w:r>
          </w:p>
        </w:tc>
        <w:tc>
          <w:tcPr>
            <w:tcW w:w="4305" w:type="pct"/>
            <w:noWrap w:val="0"/>
            <w:tcMar>
              <w:top w:w="57" w:type="dxa"/>
              <w:left w:w="57" w:type="dxa"/>
              <w:bottom w:w="57" w:type="dxa"/>
              <w:right w:w="57" w:type="dxa"/>
            </w:tcMar>
            <w:vAlign w:val="center"/>
          </w:tcPr>
          <w:p w14:paraId="66EA3CD4">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针对</w:t>
            </w:r>
            <w:r>
              <w:rPr>
                <w:rFonts w:ascii="宋体" w:hAnsi="宋体"/>
                <w:color w:val="auto"/>
                <w:sz w:val="24"/>
              </w:rPr>
              <w:t>同一采购程序环节的质疑次数：</w:t>
            </w:r>
            <w:r>
              <w:rPr>
                <w:rFonts w:hint="eastAsia" w:ascii="宋体" w:hAnsi="宋体"/>
                <w:color w:val="auto"/>
                <w:sz w:val="24"/>
              </w:rPr>
              <w:t>■</w:t>
            </w:r>
            <w:r>
              <w:rPr>
                <w:rFonts w:ascii="宋体" w:hAnsi="宋体"/>
                <w:color w:val="auto"/>
                <w:sz w:val="24"/>
              </w:rPr>
              <w:t>一次性提出</w:t>
            </w:r>
          </w:p>
          <w:p w14:paraId="4DB59D51">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w:t>
            </w:r>
            <w:r>
              <w:rPr>
                <w:rFonts w:hint="eastAsia" w:ascii="宋体" w:hAnsi="宋体"/>
                <w:color w:val="auto"/>
                <w:sz w:val="24"/>
              </w:rPr>
              <w:t>多次</w:t>
            </w:r>
            <w:r>
              <w:rPr>
                <w:rFonts w:ascii="宋体" w:hAnsi="宋体"/>
                <w:color w:val="auto"/>
                <w:sz w:val="24"/>
              </w:rPr>
              <w:t>提出</w:t>
            </w:r>
          </w:p>
        </w:tc>
      </w:tr>
      <w:tr w14:paraId="27F9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05B04DE3">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3</w:t>
            </w:r>
            <w:r>
              <w:rPr>
                <w:rFonts w:ascii="宋体" w:hAnsi="宋体"/>
                <w:color w:val="auto"/>
                <w:sz w:val="24"/>
              </w:rPr>
              <w:t>7</w:t>
            </w:r>
            <w:r>
              <w:rPr>
                <w:rFonts w:hint="eastAsia" w:ascii="宋体" w:hAnsi="宋体"/>
                <w:color w:val="auto"/>
                <w:sz w:val="24"/>
              </w:rPr>
              <w:t>.</w:t>
            </w:r>
            <w:r>
              <w:rPr>
                <w:rFonts w:ascii="宋体" w:hAnsi="宋体"/>
                <w:color w:val="auto"/>
                <w:sz w:val="24"/>
              </w:rPr>
              <w:t>3</w:t>
            </w:r>
          </w:p>
        </w:tc>
        <w:tc>
          <w:tcPr>
            <w:tcW w:w="4305" w:type="pct"/>
            <w:noWrap w:val="0"/>
            <w:tcMar>
              <w:top w:w="57" w:type="dxa"/>
              <w:left w:w="57" w:type="dxa"/>
              <w:bottom w:w="57" w:type="dxa"/>
              <w:right w:w="57" w:type="dxa"/>
            </w:tcMar>
            <w:vAlign w:val="center"/>
          </w:tcPr>
          <w:p w14:paraId="3FEB0238">
            <w:pPr>
              <w:pageBreakBefore w:val="0"/>
              <w:kinsoku/>
              <w:overflowPunct/>
              <w:topLinePunct w:val="0"/>
              <w:bidi w:val="0"/>
              <w:spacing w:line="360" w:lineRule="auto"/>
              <w:ind w:left="0" w:leftChars="0" w:firstLine="0" w:firstLineChars="0"/>
              <w:jc w:val="left"/>
              <w:textAlignment w:val="auto"/>
              <w:rPr>
                <w:rFonts w:hint="eastAsia" w:ascii="宋体" w:hAnsi="宋体" w:eastAsia="宋体"/>
                <w:color w:val="auto"/>
                <w:sz w:val="24"/>
                <w:u w:val="none"/>
                <w:lang w:eastAsia="zh-CN"/>
              </w:rPr>
            </w:pPr>
            <w:r>
              <w:rPr>
                <w:rFonts w:hint="eastAsia" w:ascii="宋体" w:hAnsi="宋体"/>
                <w:color w:val="auto"/>
                <w:sz w:val="24"/>
                <w:u w:val="none"/>
              </w:rPr>
              <w:t>联系部门：</w:t>
            </w:r>
            <w:r>
              <w:rPr>
                <w:rFonts w:hint="eastAsia" w:ascii="宋体" w:hAnsi="宋体"/>
                <w:color w:val="auto"/>
                <w:sz w:val="24"/>
                <w:u w:val="none"/>
                <w:lang w:eastAsia="zh-CN"/>
              </w:rPr>
              <w:t>山西润德工程造价咨询有限公司</w:t>
            </w:r>
          </w:p>
          <w:p w14:paraId="03F2DD42">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u w:val="none"/>
                <w:lang w:eastAsia="zh-CN"/>
              </w:rPr>
            </w:pPr>
            <w:r>
              <w:rPr>
                <w:rFonts w:hint="eastAsia" w:ascii="宋体" w:hAnsi="宋体" w:eastAsia="宋体" w:cs="Times New Roman"/>
                <w:color w:val="auto"/>
                <w:sz w:val="24"/>
                <w:u w:val="none"/>
              </w:rPr>
              <w:t>地    址：</w:t>
            </w:r>
            <w:r>
              <w:rPr>
                <w:rFonts w:hint="eastAsia" w:ascii="宋体" w:hAnsi="宋体" w:eastAsia="宋体" w:cs="Times New Roman"/>
                <w:color w:val="auto"/>
                <w:sz w:val="24"/>
                <w:u w:val="none"/>
                <w:lang w:eastAsia="zh-CN"/>
              </w:rPr>
              <w:t>太原市万柏林区长风西街50号丽景苑小区4幢2单元1503号</w:t>
            </w:r>
          </w:p>
          <w:p w14:paraId="23D6B3EE">
            <w:pPr>
              <w:pageBreakBefore w:val="0"/>
              <w:kinsoku/>
              <w:overflowPunct/>
              <w:topLinePunct w:val="0"/>
              <w:bidi w:val="0"/>
              <w:spacing w:line="360" w:lineRule="auto"/>
              <w:ind w:left="0" w:leftChars="0" w:firstLine="0" w:firstLineChars="0"/>
              <w:jc w:val="left"/>
              <w:textAlignment w:val="auto"/>
              <w:rPr>
                <w:rFonts w:hint="eastAsia" w:ascii="宋体" w:hAnsi="宋体" w:eastAsia="宋体"/>
                <w:color w:val="auto"/>
                <w:sz w:val="24"/>
                <w:lang w:eastAsia="zh-CN"/>
              </w:rPr>
            </w:pPr>
            <w:r>
              <w:rPr>
                <w:rFonts w:hint="eastAsia" w:ascii="宋体" w:hAnsi="宋体" w:eastAsia="宋体" w:cs="Times New Roman"/>
                <w:color w:val="auto"/>
                <w:sz w:val="24"/>
                <w:u w:val="none"/>
              </w:rPr>
              <w:t>联系方式：</w:t>
            </w:r>
            <w:r>
              <w:rPr>
                <w:rFonts w:hint="eastAsia" w:ascii="宋体" w:hAnsi="宋体" w:cs="Times New Roman"/>
                <w:color w:val="auto"/>
                <w:sz w:val="24"/>
                <w:u w:val="none"/>
                <w:lang w:eastAsia="zh-CN"/>
              </w:rPr>
              <w:t>0351-4062038</w:t>
            </w:r>
            <w:r>
              <w:rPr>
                <w:rFonts w:hint="eastAsia" w:ascii="宋体" w:hAnsi="宋体" w:eastAsia="宋体" w:cs="Times New Roman"/>
                <w:color w:val="auto"/>
                <w:sz w:val="24"/>
                <w:u w:val="none"/>
                <w:lang w:val="en-US" w:eastAsia="zh-CN"/>
              </w:rPr>
              <w:t xml:space="preserve">  （李先生）</w:t>
            </w:r>
          </w:p>
        </w:tc>
      </w:tr>
      <w:tr w14:paraId="0524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000" w:type="pct"/>
            <w:gridSpan w:val="2"/>
            <w:noWrap w:val="0"/>
            <w:tcMar>
              <w:top w:w="57" w:type="dxa"/>
              <w:left w:w="57" w:type="dxa"/>
              <w:bottom w:w="57" w:type="dxa"/>
              <w:right w:w="57" w:type="dxa"/>
            </w:tcMar>
            <w:vAlign w:val="center"/>
          </w:tcPr>
          <w:p w14:paraId="403F347B">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适用于本投标人须知的额外增加的变动：</w:t>
            </w:r>
          </w:p>
        </w:tc>
      </w:tr>
      <w:tr w14:paraId="33D9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noWrap w:val="0"/>
            <w:tcMar>
              <w:top w:w="57" w:type="dxa"/>
              <w:left w:w="57" w:type="dxa"/>
              <w:bottom w:w="57" w:type="dxa"/>
              <w:right w:w="57" w:type="dxa"/>
            </w:tcMar>
            <w:vAlign w:val="center"/>
          </w:tcPr>
          <w:p w14:paraId="762A322A">
            <w:pPr>
              <w:pageBreakBefore w:val="0"/>
              <w:kinsoku/>
              <w:overflowPunct/>
              <w:topLinePunct w:val="0"/>
              <w:bidi w:val="0"/>
              <w:spacing w:line="360" w:lineRule="auto"/>
              <w:ind w:left="0" w:leftChars="0" w:firstLine="0" w:firstLineChars="0"/>
              <w:jc w:val="center"/>
              <w:textAlignment w:val="auto"/>
              <w:rPr>
                <w:rFonts w:hint="eastAsia" w:ascii="宋体" w:hAnsi="宋体"/>
                <w:color w:val="auto"/>
                <w:sz w:val="24"/>
                <w:highlight w:val="none"/>
              </w:rPr>
            </w:pPr>
            <w:r>
              <w:rPr>
                <w:rFonts w:hint="eastAsia" w:ascii="宋体" w:hAnsi="宋体"/>
                <w:color w:val="auto"/>
                <w:sz w:val="24"/>
                <w:highlight w:val="none"/>
              </w:rPr>
              <w:t>1</w:t>
            </w:r>
          </w:p>
        </w:tc>
        <w:tc>
          <w:tcPr>
            <w:tcW w:w="4305" w:type="pct"/>
            <w:noWrap w:val="0"/>
            <w:tcMar>
              <w:top w:w="57" w:type="dxa"/>
              <w:left w:w="57" w:type="dxa"/>
              <w:bottom w:w="57" w:type="dxa"/>
              <w:right w:w="57" w:type="dxa"/>
            </w:tcMar>
            <w:vAlign w:val="center"/>
          </w:tcPr>
          <w:p w14:paraId="43E4B8BB">
            <w:pPr>
              <w:pageBreakBefore w:val="0"/>
              <w:kinsoku/>
              <w:overflowPunct/>
              <w:topLinePunct w:val="0"/>
              <w:bidi w:val="0"/>
              <w:spacing w:line="360" w:lineRule="auto"/>
              <w:ind w:left="0" w:leftChars="0" w:firstLine="0" w:firstLineChars="0"/>
              <w:jc w:val="left"/>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根据本项目特点，投标人应提交的其他资格证明文件：</w:t>
            </w:r>
            <w:r>
              <w:rPr>
                <w:rFonts w:hint="eastAsia" w:ascii="宋体" w:hAnsi="宋体"/>
                <w:color w:val="auto"/>
                <w:sz w:val="24"/>
                <w:highlight w:val="none"/>
                <w:lang w:eastAsia="zh-CN"/>
              </w:rPr>
              <w:t>无</w:t>
            </w:r>
          </w:p>
        </w:tc>
      </w:tr>
      <w:tr w14:paraId="5FA2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694" w:type="pct"/>
            <w:noWrap w:val="0"/>
            <w:tcMar>
              <w:top w:w="57" w:type="dxa"/>
              <w:left w:w="57" w:type="dxa"/>
              <w:bottom w:w="57" w:type="dxa"/>
              <w:right w:w="57" w:type="dxa"/>
            </w:tcMar>
            <w:vAlign w:val="center"/>
          </w:tcPr>
          <w:p w14:paraId="7317BB73">
            <w:pPr>
              <w:pageBreakBefore w:val="0"/>
              <w:kinsoku/>
              <w:overflowPunct/>
              <w:topLinePunct w:val="0"/>
              <w:bidi w:val="0"/>
              <w:spacing w:line="360" w:lineRule="auto"/>
              <w:ind w:left="0" w:leftChars="0" w:firstLine="0" w:firstLineChars="0"/>
              <w:jc w:val="center"/>
              <w:textAlignment w:val="auto"/>
              <w:rPr>
                <w:rFonts w:hint="eastAsia" w:ascii="宋体" w:hAnsi="宋体" w:eastAsia="宋体"/>
                <w:color w:val="auto"/>
                <w:sz w:val="24"/>
                <w:lang w:val="en-US" w:eastAsia="zh-CN"/>
              </w:rPr>
            </w:pPr>
            <w:r>
              <w:rPr>
                <w:rFonts w:hint="eastAsia" w:ascii="宋体" w:hAnsi="宋体"/>
                <w:color w:val="auto"/>
                <w:sz w:val="24"/>
                <w:lang w:val="en-US" w:eastAsia="zh-CN"/>
              </w:rPr>
              <w:t>2</w:t>
            </w:r>
          </w:p>
        </w:tc>
        <w:tc>
          <w:tcPr>
            <w:tcW w:w="4305" w:type="pct"/>
            <w:noWrap w:val="0"/>
            <w:tcMar>
              <w:top w:w="57" w:type="dxa"/>
              <w:left w:w="57" w:type="dxa"/>
              <w:bottom w:w="57" w:type="dxa"/>
              <w:right w:w="57" w:type="dxa"/>
            </w:tcMar>
            <w:vAlign w:val="center"/>
          </w:tcPr>
          <w:p w14:paraId="4D219C56">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b/>
                <w:bCs/>
                <w:color w:val="auto"/>
                <w:sz w:val="24"/>
                <w:u w:val="none"/>
                <w:lang w:eastAsia="zh-CN"/>
              </w:rPr>
            </w:pPr>
            <w:r>
              <w:rPr>
                <w:rFonts w:hint="eastAsia" w:ascii="宋体" w:hAnsi="宋体" w:eastAsia="宋体" w:cs="Times New Roman"/>
                <w:b/>
                <w:bCs/>
                <w:color w:val="auto"/>
                <w:sz w:val="24"/>
                <w:u w:val="none"/>
                <w:lang w:eastAsia="zh-CN"/>
              </w:rPr>
              <w:t>政府采购相关政策要求（如涉及）</w:t>
            </w:r>
          </w:p>
          <w:p w14:paraId="1EF8F6F5">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1．涉及进口产品的要求：</w:t>
            </w:r>
          </w:p>
          <w:p w14:paraId="19DBBEAA">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（1）本项目采购标的物未特别注明“进口产品”（通过中国海关报关验放进入中国境内且产自境外的产品）字样的，均必须采购国产产品。</w:t>
            </w:r>
          </w:p>
          <w:p w14:paraId="61926CAE">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74D4061B">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2．涉及“节能产品政府采购品目清单”政府强制采购产品的要求：</w:t>
            </w:r>
          </w:p>
          <w:p w14:paraId="4C7D5DD5">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（1）本文件列出政府强制采购产品的，投标人必须投报“节能产品政府采购品目清单”范围内的产品，须提供处于有效期之内的节能产品认证证书扫描件，并将政府强制采购产品如实填写到</w:t>
            </w:r>
            <w:r>
              <w:rPr>
                <w:rFonts w:hint="eastAsia" w:ascii="宋体" w:hAnsi="宋体" w:eastAsia="宋体" w:cs="Times New Roman"/>
                <w:color w:val="auto"/>
                <w:sz w:val="24"/>
                <w:highlight w:val="none"/>
              </w:rPr>
              <w:t>《政府强制采购产品明细表》</w:t>
            </w:r>
            <w:r>
              <w:rPr>
                <w:rFonts w:hint="eastAsia" w:ascii="宋体" w:hAnsi="宋体" w:eastAsia="宋体" w:cs="Times New Roman"/>
                <w:color w:val="auto"/>
                <w:sz w:val="24"/>
              </w:rPr>
              <w:t>。</w:t>
            </w:r>
          </w:p>
          <w:p w14:paraId="610B29F6">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（2）本文件未列出政府强制采购产品的，投标人可投报“节能产品政府采购品目清单、环境标志产品政府采购品目清单”中非政府强制采购产品或其范围以外的产品。</w:t>
            </w:r>
          </w:p>
          <w:p w14:paraId="28A7D08D">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3．涉及非政府强制采购产品的要求：</w:t>
            </w:r>
          </w:p>
          <w:p w14:paraId="20842EF0">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（1）投标货物有“节能产品政府采购品目清单、环境标志产品政府采购品目清单”中非政府强制采购产品的将给予适当加分。</w:t>
            </w:r>
          </w:p>
          <w:p w14:paraId="1A2C27D3">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（2）投标人提供处于有效期之内的节能产品、环境标志产品认证证书扫描件，并需如实填写《</w:t>
            </w:r>
            <w:r>
              <w:rPr>
                <w:rFonts w:hint="eastAsia" w:ascii="宋体" w:hAnsi="宋体" w:eastAsia="宋体" w:cs="Times New Roman"/>
                <w:color w:val="auto"/>
                <w:sz w:val="24"/>
                <w:lang w:eastAsia="zh-CN"/>
              </w:rPr>
              <w:t>非政府强制采购产品明细表</w:t>
            </w:r>
            <w:r>
              <w:rPr>
                <w:rFonts w:hint="eastAsia" w:ascii="宋体" w:hAnsi="宋体" w:eastAsia="宋体" w:cs="Times New Roman"/>
                <w:color w:val="auto"/>
                <w:sz w:val="24"/>
              </w:rPr>
              <w:t>》。</w:t>
            </w:r>
          </w:p>
          <w:p w14:paraId="5E43B72A">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3</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无线局域网产品政府采购政策：</w:t>
            </w:r>
          </w:p>
          <w:p w14:paraId="6A90A0D5">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投标人提供</w:t>
            </w:r>
            <w:r>
              <w:rPr>
                <w:rFonts w:hint="eastAsia" w:ascii="宋体" w:hAnsi="宋体" w:eastAsia="宋体" w:cs="Times New Roman"/>
                <w:color w:val="auto"/>
                <w:sz w:val="24"/>
              </w:rPr>
              <w:t>的</w:t>
            </w:r>
            <w:r>
              <w:rPr>
                <w:rFonts w:hint="eastAsia" w:ascii="宋体" w:hAnsi="宋体" w:eastAsia="宋体" w:cs="Times New Roman"/>
                <w:color w:val="auto"/>
                <w:sz w:val="24"/>
                <w:lang w:val="en-US" w:eastAsia="zh-CN"/>
              </w:rPr>
              <w:t>无线局域网产品和含有无线局域网功能的产品属于中国</w:t>
            </w:r>
            <w:r>
              <w:rPr>
                <w:rFonts w:hint="eastAsia" w:ascii="宋体" w:hAnsi="宋体" w:eastAsia="宋体" w:cs="Times New Roman"/>
                <w:color w:val="auto"/>
                <w:sz w:val="24"/>
              </w:rPr>
              <w:t>政府采购网公布的《无线局域网认证产品政府采购清单》且在有效期内的，提供《中国政府采购网》公布的无线局域网产品政府采购清单封面及对应页，实行优先采购。</w:t>
            </w:r>
            <w:r>
              <w:rPr>
                <w:rFonts w:hint="eastAsia" w:ascii="宋体" w:hAnsi="宋体" w:eastAsia="宋体" w:cs="Times New Roman"/>
                <w:color w:val="auto"/>
                <w:sz w:val="24"/>
                <w:lang w:val="en-US" w:eastAsia="zh-CN"/>
              </w:rPr>
              <w:t>详情参见财库〔2005〕366号文件《无线局域网产品政府采购实施意见》。</w:t>
            </w:r>
          </w:p>
          <w:p w14:paraId="50CC3BA8">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4．涉及正版软件的要求：</w:t>
            </w:r>
          </w:p>
          <w:p w14:paraId="69F79266">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rPr>
              <w:t>本项目采购标的物涉及计算机产品或硬件产品内预装软件的，投标人须填写</w:t>
            </w:r>
            <w:r>
              <w:rPr>
                <w:rFonts w:hint="eastAsia" w:ascii="宋体" w:hAnsi="宋体" w:eastAsia="宋体" w:cs="Times New Roman"/>
                <w:color w:val="auto"/>
                <w:sz w:val="24"/>
                <w:highlight w:val="none"/>
              </w:rPr>
              <w:t>《正版软件承诺》。</w:t>
            </w:r>
          </w:p>
          <w:p w14:paraId="14A7C20D">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5．涉及网络安全专用产品的要求：</w:t>
            </w:r>
          </w:p>
          <w:p w14:paraId="28D9DE4A">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投标货物中如含有</w:t>
            </w:r>
            <w:r>
              <w:rPr>
                <w:rFonts w:hint="eastAsia" w:ascii="宋体" w:hAnsi="宋体" w:eastAsia="宋体" w:cs="Times New Roman"/>
                <w:color w:val="auto"/>
                <w:sz w:val="24"/>
                <w:lang w:val="en-US" w:eastAsia="zh-CN"/>
              </w:rPr>
              <w:t>工信部</w:t>
            </w:r>
            <w:r>
              <w:rPr>
                <w:rFonts w:hint="eastAsia" w:ascii="宋体" w:hAnsi="宋体" w:eastAsia="宋体" w:cs="Times New Roman"/>
                <w:color w:val="auto"/>
                <w:sz w:val="24"/>
              </w:rPr>
              <w:t>会同有关部门制定下发的《网络关键设备和网络安全专用产品目录》中的产品，须提供提供由具备资格的机构安全认证合格或者安全检测符合要求的有效</w:t>
            </w:r>
            <w:r>
              <w:rPr>
                <w:rFonts w:hint="eastAsia" w:ascii="宋体" w:hAnsi="宋体" w:eastAsia="宋体" w:cs="Times New Roman"/>
                <w:color w:val="auto"/>
                <w:sz w:val="24"/>
                <w:lang w:val="en-US" w:eastAsia="zh-CN"/>
              </w:rPr>
              <w:t>证明材料</w:t>
            </w:r>
            <w:r>
              <w:rPr>
                <w:rFonts w:hint="eastAsia" w:ascii="宋体" w:hAnsi="宋体" w:eastAsia="宋体" w:cs="Times New Roman"/>
                <w:color w:val="auto"/>
                <w:sz w:val="24"/>
              </w:rPr>
              <w:t>扫描件。</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具备资格的机构是指列入《承担网络关键设备和网络安全专用产品安全认证和安全检测任务机构名录》的机构</w:t>
            </w: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详情参加国务院2023年第1号《</w:t>
            </w:r>
            <w:r>
              <w:rPr>
                <w:rFonts w:hint="eastAsia" w:ascii="宋体" w:hAnsi="宋体" w:eastAsia="宋体" w:cs="Times New Roman"/>
                <w:color w:val="auto"/>
                <w:sz w:val="24"/>
              </w:rPr>
              <w:t>关于调整网络安全专用产品安全管理有关事项的公告</w:t>
            </w:r>
            <w:r>
              <w:rPr>
                <w:rFonts w:hint="eastAsia" w:ascii="宋体" w:hAnsi="宋体" w:eastAsia="宋体" w:cs="Times New Roman"/>
                <w:color w:val="auto"/>
                <w:sz w:val="24"/>
                <w:lang w:val="en-US" w:eastAsia="zh-CN"/>
              </w:rPr>
              <w:t>》。</w:t>
            </w:r>
          </w:p>
          <w:p w14:paraId="76492C03">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6．涉及小型、微型企业参加投标的要求：</w:t>
            </w:r>
          </w:p>
          <w:p w14:paraId="7D4DFF07">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rPr>
              <w:t>（1）小型、微型企业指在中华人民共和国境内依法设立，依据《中小企业划型标准规定》确定的小型企业、微型企业，但与大型企业的负责人为同一人，或者与大型企业存在直接控</w:t>
            </w:r>
            <w:r>
              <w:rPr>
                <w:rFonts w:hint="eastAsia" w:ascii="宋体" w:hAnsi="宋体" w:eastAsia="宋体" w:cs="Times New Roman"/>
                <w:color w:val="auto"/>
                <w:sz w:val="24"/>
                <w:highlight w:val="none"/>
              </w:rPr>
              <w:t>股、管理关系的除外。属于小型、微型企业的，需如实填写《</w:t>
            </w:r>
            <w:r>
              <w:rPr>
                <w:rFonts w:hint="eastAsia" w:ascii="宋体" w:hAnsi="宋体" w:eastAsia="宋体" w:cs="Times New Roman"/>
                <w:color w:val="auto"/>
                <w:sz w:val="24"/>
                <w:highlight w:val="none"/>
                <w:lang w:val="en-US" w:eastAsia="zh-CN"/>
              </w:rPr>
              <w:t>中小</w:t>
            </w:r>
            <w:r>
              <w:rPr>
                <w:rFonts w:hint="eastAsia" w:ascii="宋体" w:hAnsi="宋体" w:eastAsia="宋体" w:cs="Times New Roman"/>
                <w:color w:val="auto"/>
                <w:sz w:val="24"/>
                <w:highlight w:val="none"/>
              </w:rPr>
              <w:t>企业声明函》。</w:t>
            </w:r>
          </w:p>
          <w:p w14:paraId="432FFC7C">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（2）企业只有提供小型、微企业制造的货物，</w:t>
            </w:r>
            <w:r>
              <w:rPr>
                <w:rFonts w:hint="eastAsia" w:ascii="宋体" w:hAnsi="宋体" w:eastAsia="宋体" w:cs="Times New Roman"/>
                <w:color w:val="auto"/>
                <w:sz w:val="24"/>
                <w:highlight w:val="none"/>
                <w:lang w:val="en-US" w:eastAsia="zh-CN"/>
              </w:rPr>
              <w:t>才能</w:t>
            </w:r>
            <w:r>
              <w:rPr>
                <w:rFonts w:hint="eastAsia" w:ascii="宋体" w:hAnsi="宋体" w:eastAsia="宋体" w:cs="Times New Roman"/>
                <w:color w:val="auto"/>
                <w:sz w:val="24"/>
                <w:highlight w:val="none"/>
              </w:rPr>
              <w:t>享受投标货物的价格折扣。</w:t>
            </w:r>
          </w:p>
          <w:p w14:paraId="0360E12E">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（3）小型、微型企业提供的货物既有中小企业制造货物，也有大型企业制造货物的，不享受价格折扣。</w:t>
            </w:r>
          </w:p>
          <w:p w14:paraId="36F4A86B">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w:t>
            </w:r>
            <w:r>
              <w:rPr>
                <w:rFonts w:hint="eastAsia" w:ascii="宋体" w:hAnsi="宋体" w:eastAsia="宋体" w:cs="Times New Roman"/>
                <w:color w:val="auto"/>
                <w:sz w:val="24"/>
                <w:highlight w:val="none"/>
                <w:lang w:val="en-US" w:eastAsia="zh-CN"/>
              </w:rPr>
              <w:t>其中联合体中小微企业需按采购文件格式要求，如实填写《中小企业声明函》</w:t>
            </w:r>
            <w:r>
              <w:rPr>
                <w:rFonts w:hint="eastAsia" w:ascii="宋体" w:hAnsi="宋体" w:eastAsia="宋体" w:cs="Times New Roman"/>
                <w:color w:val="auto"/>
                <w:sz w:val="24"/>
                <w:highlight w:val="none"/>
              </w:rPr>
              <w:t>。</w:t>
            </w:r>
          </w:p>
          <w:p w14:paraId="3E855FD6">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（5）</w:t>
            </w:r>
            <w:r>
              <w:rPr>
                <w:rFonts w:hint="eastAsia" w:ascii="宋体" w:hAnsi="宋体" w:eastAsia="宋体" w:cs="Times New Roman"/>
                <w:color w:val="auto"/>
                <w:sz w:val="24"/>
                <w:highlight w:val="none"/>
                <w:lang w:val="en-US" w:eastAsia="zh-CN"/>
              </w:rPr>
              <w:t>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w:t>
            </w:r>
          </w:p>
          <w:p w14:paraId="7FA33035">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lang w:eastAsia="zh-CN"/>
              </w:rPr>
            </w:pP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6</w:t>
            </w: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通过</w:t>
            </w:r>
            <w:r>
              <w:rPr>
                <w:rFonts w:hint="eastAsia" w:ascii="宋体" w:hAnsi="宋体" w:eastAsia="宋体" w:cs="Times New Roman"/>
                <w:color w:val="auto"/>
                <w:sz w:val="24"/>
                <w:lang w:eastAsia="zh-CN"/>
              </w:rPr>
              <w:t>享受扶持政策、</w:t>
            </w:r>
            <w:r>
              <w:rPr>
                <w:rFonts w:hint="eastAsia" w:ascii="宋体" w:hAnsi="宋体" w:eastAsia="宋体" w:cs="Times New Roman"/>
                <w:color w:val="auto"/>
                <w:sz w:val="24"/>
                <w:lang w:val="en-US" w:eastAsia="zh-CN"/>
              </w:rPr>
              <w:t>价格折扣并</w:t>
            </w:r>
            <w:r>
              <w:rPr>
                <w:rFonts w:hint="eastAsia" w:ascii="宋体" w:hAnsi="宋体" w:eastAsia="宋体" w:cs="Times New Roman"/>
                <w:color w:val="auto"/>
                <w:sz w:val="24"/>
                <w:lang w:eastAsia="zh-CN"/>
              </w:rPr>
              <w:t>获得政府采购合同的：小微企业不得将合同分包给大中型企业；中型企业不得将合同分包给大型企业。</w:t>
            </w:r>
          </w:p>
          <w:p w14:paraId="57228FD8">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7）若评标委员会在评审过程中发现有投标人提供的《中小企业声明函》内容不实的，可将有关上报财政部门，经财政部门核实后，按照有关法律法规予以处罚；若投标人发现中标供应商所提供的《中小企业声明函》内容不实，可按照采购文件中规定流程提出相关质疑材料，若质疑成立，集采机构将上报财政部门，经财政部门核实后，按照有关法律法规予以处罚</w:t>
            </w:r>
            <w:r>
              <w:rPr>
                <w:rFonts w:hint="eastAsia" w:ascii="宋体" w:hAnsi="宋体" w:eastAsia="宋体" w:cs="Times New Roman"/>
                <w:color w:val="auto"/>
                <w:sz w:val="24"/>
              </w:rPr>
              <w:t>。</w:t>
            </w:r>
          </w:p>
          <w:p w14:paraId="5B29AF8F">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7．涉及残疾人福利性单位参加投标的要求：</w:t>
            </w:r>
          </w:p>
          <w:p w14:paraId="76613A87">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（1）须根据财库【2017】141号《关于促进残疾人就业政府采购政策的通知》的要求，如实填写</w:t>
            </w:r>
            <w:r>
              <w:rPr>
                <w:rFonts w:hint="eastAsia" w:ascii="宋体" w:hAnsi="宋体" w:eastAsia="宋体" w:cs="Times New Roman"/>
                <w:color w:val="auto"/>
                <w:sz w:val="24"/>
                <w:highlight w:val="none"/>
              </w:rPr>
              <w:t>《残疾人福利性单位声明函》</w:t>
            </w:r>
            <w:r>
              <w:rPr>
                <w:rFonts w:hint="eastAsia" w:ascii="宋体" w:hAnsi="宋体" w:eastAsia="宋体" w:cs="Times New Roman"/>
                <w:color w:val="auto"/>
                <w:sz w:val="24"/>
              </w:rPr>
              <w:t>。</w:t>
            </w:r>
          </w:p>
          <w:p w14:paraId="4C886DA1">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（2）残疾人福利性单位提供本企业制造的货物或者服务，或者提供其他残疾人福利性单位制造的货物或服务</w:t>
            </w:r>
            <w:r>
              <w:rPr>
                <w:rFonts w:hint="eastAsia" w:ascii="宋体" w:hAnsi="宋体" w:eastAsia="宋体" w:cs="Times New Roman"/>
                <w:color w:val="auto"/>
                <w:sz w:val="24"/>
                <w:lang w:eastAsia="zh-CN"/>
              </w:rPr>
              <w:t>的</w:t>
            </w:r>
            <w:r>
              <w:rPr>
                <w:rFonts w:hint="eastAsia" w:ascii="宋体" w:hAnsi="宋体" w:eastAsia="宋体" w:cs="Times New Roman"/>
                <w:color w:val="auto"/>
                <w:sz w:val="24"/>
              </w:rPr>
              <w:t>，</w:t>
            </w:r>
            <w:r>
              <w:rPr>
                <w:rFonts w:hint="eastAsia" w:ascii="宋体" w:hAnsi="宋体" w:eastAsia="宋体" w:cs="Times New Roman"/>
                <w:color w:val="auto"/>
                <w:sz w:val="24"/>
                <w:lang w:val="en-US" w:eastAsia="zh-CN"/>
              </w:rPr>
              <w:t>视同小微企业，</w:t>
            </w:r>
            <w:r>
              <w:rPr>
                <w:rFonts w:hint="eastAsia" w:ascii="宋体" w:hAnsi="宋体" w:eastAsia="宋体" w:cs="Times New Roman"/>
                <w:color w:val="auto"/>
                <w:sz w:val="24"/>
              </w:rPr>
              <w:t>享受投标货物或服务的价格折扣。</w:t>
            </w:r>
          </w:p>
          <w:p w14:paraId="084423FF">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8．涉及创新产品、创新服务的要求：</w:t>
            </w:r>
          </w:p>
          <w:p w14:paraId="6DE808DF">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（1）投标人投标产品或服务属于《山西省创新产品和服务推荐清单》中创新产品或创新服务的，在评审时，享受投标产品价格折扣。</w:t>
            </w:r>
          </w:p>
          <w:p w14:paraId="29CD9FC9">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（2）投标人投标创新产品或创新服务的，需如实填写《创新产品或创新服务明细表》，并提供《山西省创新产品和服务推荐清单》。</w:t>
            </w:r>
          </w:p>
          <w:p w14:paraId="37A1D6F1">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9．涉及监狱企业参加投标的要求：</w:t>
            </w:r>
          </w:p>
          <w:p w14:paraId="7BD83324">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（1）监狱企业参加投标视同小、微企业，需提供由省级以上监狱管理局或戒毒管理局出具的属于监狱企业的证明文件。</w:t>
            </w:r>
          </w:p>
          <w:p w14:paraId="4649DEB7">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（2）监狱企业只有提供本企业制造的货物或服务，或者提供其他小、微企业制造的货物，享受投标货物的价格折扣。</w:t>
            </w:r>
          </w:p>
          <w:p w14:paraId="2C1BCDA1">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rPr>
              <w:t>（3）监狱企业与中型企业组成联合体参加投标的，或者向监狱企业分包，且联合体协议或分包意向协议约定监狱企业的协议金额占到合同金额30%以上的，享受投标标的价格折扣，用扣除后的价格参与评审。</w:t>
            </w:r>
          </w:p>
          <w:p w14:paraId="15140B66">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10</w:t>
            </w:r>
            <w:r>
              <w:rPr>
                <w:rFonts w:hint="eastAsia" w:ascii="宋体" w:hAnsi="宋体" w:eastAsia="宋体" w:cs="Times New Roman"/>
                <w:color w:val="auto"/>
                <w:sz w:val="24"/>
              </w:rPr>
              <w:t>．涉及商品包装和快递包装的要求：</w:t>
            </w:r>
          </w:p>
          <w:p w14:paraId="5B1F51E2">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eastAsia="宋体" w:cs="Times New Roman"/>
                <w:color w:val="auto"/>
                <w:sz w:val="24"/>
              </w:rPr>
              <w:t>本项目涉及商品包装和快递包装要求的，投标人须填写《商品包装和快递包装承</w:t>
            </w:r>
            <w:r>
              <w:rPr>
                <w:rFonts w:hint="eastAsia" w:ascii="宋体" w:hAnsi="宋体" w:eastAsia="宋体" w:cs="Times New Roman"/>
                <w:color w:val="auto"/>
                <w:sz w:val="24"/>
                <w:highlight w:val="none"/>
              </w:rPr>
              <w:t>诺函》。</w:t>
            </w:r>
          </w:p>
        </w:tc>
      </w:tr>
      <w:tr w14:paraId="0D9D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shd w:val="clear" w:color="auto" w:fill="auto"/>
            <w:noWrap w:val="0"/>
            <w:tcMar>
              <w:top w:w="57" w:type="dxa"/>
              <w:left w:w="57" w:type="dxa"/>
              <w:bottom w:w="57" w:type="dxa"/>
              <w:right w:w="57" w:type="dxa"/>
            </w:tcMar>
            <w:vAlign w:val="center"/>
          </w:tcPr>
          <w:p w14:paraId="5F91A4FB">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leftChars="0" w:right="0" w:rightChars="0"/>
              <w:jc w:val="center"/>
              <w:rPr>
                <w:rFonts w:hint="default" w:ascii="宋体" w:hAnsi="宋体" w:eastAsia="宋体" w:cs="仿宋"/>
                <w:color w:val="auto"/>
                <w:kern w:val="2"/>
                <w:sz w:val="24"/>
                <w:szCs w:val="24"/>
                <w:highlight w:val="none"/>
                <w:lang w:val="en-US" w:eastAsia="zh-CN" w:bidi="ar-SA"/>
              </w:rPr>
            </w:pPr>
            <w:r>
              <w:rPr>
                <w:rFonts w:hint="eastAsia" w:ascii="宋体" w:hAnsi="宋体" w:cs="仿宋"/>
                <w:color w:val="auto"/>
                <w:kern w:val="2"/>
                <w:sz w:val="24"/>
                <w:szCs w:val="24"/>
                <w:highlight w:val="none"/>
                <w:lang w:val="en-US" w:eastAsia="zh-CN" w:bidi="ar-SA"/>
              </w:rPr>
              <w:t>3</w:t>
            </w:r>
          </w:p>
        </w:tc>
        <w:tc>
          <w:tcPr>
            <w:tcW w:w="4305" w:type="pct"/>
            <w:shd w:val="clear" w:color="auto" w:fill="auto"/>
            <w:noWrap w:val="0"/>
            <w:tcMar>
              <w:top w:w="57" w:type="dxa"/>
              <w:left w:w="57" w:type="dxa"/>
              <w:bottom w:w="57" w:type="dxa"/>
              <w:right w:w="57" w:type="dxa"/>
            </w:tcMar>
            <w:vAlign w:val="center"/>
          </w:tcPr>
          <w:p w14:paraId="201F2BDA">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leftChars="0" w:right="0" w:rightChars="0"/>
              <w:rPr>
                <w:rFonts w:hint="eastAsia" w:ascii="宋体" w:hAnsi="宋体" w:eastAsia="宋体" w:cs="仿宋"/>
                <w:color w:val="auto"/>
                <w:kern w:val="2"/>
                <w:sz w:val="24"/>
                <w:szCs w:val="24"/>
                <w:highlight w:val="none"/>
                <w:lang w:val="en-US" w:eastAsia="zh-CN" w:bidi="ar-SA"/>
              </w:rPr>
            </w:pPr>
            <w:r>
              <w:rPr>
                <w:rFonts w:hint="eastAsia" w:ascii="宋体" w:hAnsi="宋体" w:cs="仿宋"/>
                <w:color w:val="auto"/>
                <w:sz w:val="24"/>
                <w:szCs w:val="24"/>
                <w:highlight w:val="none"/>
              </w:rPr>
              <w:t>所属行业</w:t>
            </w: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rPr>
              <w:t>本次采购标的对应的</w:t>
            </w:r>
            <w:r>
              <w:rPr>
                <w:rFonts w:hint="eastAsia" w:ascii="宋体" w:hAnsi="宋体" w:eastAsia="宋体" w:cs="仿宋"/>
                <w:color w:val="auto"/>
                <w:sz w:val="24"/>
                <w:szCs w:val="24"/>
                <w:highlight w:val="none"/>
              </w:rPr>
              <w:t>中小企业</w:t>
            </w:r>
            <w:r>
              <w:rPr>
                <w:rFonts w:hint="eastAsia" w:ascii="宋体" w:hAnsi="宋体" w:cs="仿宋"/>
                <w:color w:val="auto"/>
                <w:sz w:val="24"/>
                <w:szCs w:val="24"/>
                <w:highlight w:val="none"/>
              </w:rPr>
              <w:t>划型标准所属行业</w:t>
            </w:r>
            <w:r>
              <w:rPr>
                <w:rFonts w:hint="eastAsia" w:ascii="宋体" w:hAnsi="宋体" w:eastAsia="宋体" w:cs="仿宋"/>
                <w:color w:val="auto"/>
                <w:sz w:val="24"/>
                <w:szCs w:val="24"/>
                <w:highlight w:val="none"/>
              </w:rPr>
              <w:t>：软件和信息技术服务业</w:t>
            </w:r>
          </w:p>
        </w:tc>
      </w:tr>
      <w:tr w14:paraId="59AF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694" w:type="pct"/>
            <w:shd w:val="clear" w:color="auto" w:fill="auto"/>
            <w:noWrap w:val="0"/>
            <w:tcMar>
              <w:top w:w="57" w:type="dxa"/>
              <w:left w:w="57" w:type="dxa"/>
              <w:bottom w:w="57" w:type="dxa"/>
              <w:right w:w="57" w:type="dxa"/>
            </w:tcMar>
            <w:vAlign w:val="center"/>
          </w:tcPr>
          <w:p w14:paraId="4BBFE008">
            <w:pPr>
              <w:pageBreakBefore w:val="0"/>
              <w:kinsoku/>
              <w:overflowPunct/>
              <w:topLinePunct w:val="0"/>
              <w:bidi w:val="0"/>
              <w:spacing w:line="360" w:lineRule="auto"/>
              <w:ind w:left="0" w:leftChars="0" w:firstLine="0" w:firstLineChars="0"/>
              <w:jc w:val="center"/>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lang w:val="en-US" w:eastAsia="zh-CN"/>
              </w:rPr>
              <w:t>4</w:t>
            </w:r>
          </w:p>
        </w:tc>
        <w:tc>
          <w:tcPr>
            <w:tcW w:w="4305" w:type="pct"/>
            <w:shd w:val="clear" w:color="auto" w:fill="auto"/>
            <w:noWrap w:val="0"/>
            <w:tcMar>
              <w:top w:w="57" w:type="dxa"/>
              <w:left w:w="57" w:type="dxa"/>
              <w:bottom w:w="57" w:type="dxa"/>
              <w:right w:w="57" w:type="dxa"/>
            </w:tcMar>
            <w:vAlign w:val="center"/>
          </w:tcPr>
          <w:p w14:paraId="4F4C781F">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color w:val="auto"/>
                <w:sz w:val="24"/>
              </w:rPr>
              <w:t>投标人应提交的其他文件：/</w:t>
            </w:r>
          </w:p>
        </w:tc>
      </w:tr>
      <w:bookmarkEnd w:id="22"/>
      <w:bookmarkEnd w:id="48"/>
    </w:tbl>
    <w:p w14:paraId="6CDAD3DD">
      <w:pPr>
        <w:pageBreakBefore w:val="0"/>
        <w:widowControl/>
        <w:kinsoku/>
        <w:overflowPunct/>
        <w:topLinePunct w:val="0"/>
        <w:bidi w:val="0"/>
        <w:spacing w:line="360" w:lineRule="auto"/>
        <w:ind w:left="0" w:leftChars="0" w:firstLine="0" w:firstLineChars="0"/>
        <w:jc w:val="left"/>
        <w:textAlignment w:val="auto"/>
        <w:rPr>
          <w:rFonts w:ascii="宋体" w:hAnsi="宋体"/>
          <w:color w:val="auto"/>
          <w:sz w:val="24"/>
        </w:rPr>
      </w:pPr>
    </w:p>
    <w:p w14:paraId="217F0E8F">
      <w:pPr>
        <w:pageBreakBefore w:val="0"/>
        <w:kinsoku/>
        <w:overflowPunct/>
        <w:topLinePunct w:val="0"/>
        <w:bidi w:val="0"/>
        <w:spacing w:line="360" w:lineRule="auto"/>
        <w:ind w:left="0" w:leftChars="0" w:firstLine="0" w:firstLineChars="0"/>
        <w:jc w:val="center"/>
        <w:textAlignment w:val="auto"/>
        <w:outlineLvl w:val="0"/>
        <w:rPr>
          <w:rFonts w:hint="eastAsia" w:ascii="宋体" w:hAnsi="宋体"/>
          <w:color w:val="auto"/>
          <w:sz w:val="24"/>
        </w:rPr>
      </w:pPr>
      <w:r>
        <w:rPr>
          <w:rFonts w:ascii="宋体" w:hAnsi="宋体"/>
          <w:color w:val="auto"/>
          <w:sz w:val="24"/>
        </w:rPr>
        <w:br w:type="page"/>
      </w:r>
      <w:bookmarkStart w:id="49" w:name="_Toc7931"/>
      <w:r>
        <w:rPr>
          <w:rFonts w:hint="eastAsia" w:ascii="宋体" w:hAnsi="宋体"/>
          <w:b/>
          <w:color w:val="auto"/>
          <w:sz w:val="32"/>
        </w:rPr>
        <w:t>第三章  投标人须知</w:t>
      </w:r>
      <w:bookmarkEnd w:id="11"/>
      <w:bookmarkEnd w:id="12"/>
      <w:bookmarkEnd w:id="13"/>
      <w:bookmarkEnd w:id="14"/>
      <w:bookmarkEnd w:id="15"/>
      <w:bookmarkEnd w:id="16"/>
      <w:bookmarkEnd w:id="49"/>
    </w:p>
    <w:p w14:paraId="3E14A52A">
      <w:pPr>
        <w:pageBreakBefore w:val="0"/>
        <w:tabs>
          <w:tab w:val="left" w:pos="0"/>
        </w:tabs>
        <w:kinsoku/>
        <w:overflowPunct/>
        <w:topLinePunct w:val="0"/>
        <w:bidi w:val="0"/>
        <w:spacing w:line="360" w:lineRule="auto"/>
        <w:ind w:left="0" w:leftChars="0" w:firstLine="0" w:firstLineChars="0"/>
        <w:jc w:val="left"/>
        <w:textAlignment w:val="auto"/>
        <w:outlineLvl w:val="1"/>
        <w:rPr>
          <w:rFonts w:hint="eastAsia" w:ascii="宋体" w:hAnsi="宋体"/>
          <w:b/>
          <w:color w:val="auto"/>
          <w:sz w:val="24"/>
        </w:rPr>
      </w:pPr>
      <w:bookmarkStart w:id="50" w:name="_Toc216582805"/>
      <w:bookmarkStart w:id="51" w:name="_Toc520356143"/>
      <w:bookmarkStart w:id="52" w:name="_Toc515647757"/>
      <w:bookmarkStart w:id="53" w:name="_Toc532473449"/>
      <w:bookmarkStart w:id="54" w:name="_Toc21215"/>
      <w:bookmarkStart w:id="55" w:name="_Toc2582263"/>
      <w:bookmarkStart w:id="56" w:name="_Toc21015"/>
      <w:bookmarkStart w:id="57" w:name="_Toc16443"/>
      <w:r>
        <w:rPr>
          <w:rFonts w:hint="eastAsia" w:ascii="宋体" w:hAnsi="宋体"/>
          <w:b/>
          <w:color w:val="auto"/>
          <w:sz w:val="24"/>
        </w:rPr>
        <w:t>一</w:t>
      </w:r>
      <w:bookmarkEnd w:id="50"/>
      <w:bookmarkEnd w:id="51"/>
      <w:bookmarkEnd w:id="52"/>
      <w:r>
        <w:rPr>
          <w:rFonts w:hint="eastAsia" w:ascii="宋体" w:hAnsi="宋体"/>
          <w:b/>
          <w:color w:val="auto"/>
          <w:sz w:val="24"/>
        </w:rPr>
        <w:t xml:space="preserve">  总则</w:t>
      </w:r>
      <w:bookmarkEnd w:id="53"/>
      <w:bookmarkEnd w:id="54"/>
      <w:bookmarkEnd w:id="55"/>
      <w:bookmarkEnd w:id="56"/>
      <w:bookmarkEnd w:id="57"/>
    </w:p>
    <w:p w14:paraId="64FA5FF3">
      <w:pPr>
        <w:pageBreakBefore w:val="0"/>
        <w:tabs>
          <w:tab w:val="left" w:pos="0"/>
        </w:tabs>
        <w:kinsoku/>
        <w:overflowPunct/>
        <w:topLinePunct w:val="0"/>
        <w:bidi w:val="0"/>
        <w:spacing w:line="360" w:lineRule="auto"/>
        <w:ind w:left="0" w:leftChars="0" w:firstLine="0" w:firstLineChars="0"/>
        <w:jc w:val="left"/>
        <w:textAlignment w:val="auto"/>
        <w:outlineLvl w:val="1"/>
        <w:rPr>
          <w:rFonts w:ascii="宋体" w:hAnsi="宋体"/>
          <w:color w:val="auto"/>
          <w:sz w:val="24"/>
        </w:rPr>
      </w:pPr>
      <w:bookmarkStart w:id="58" w:name="_Toc520356144"/>
      <w:bookmarkStart w:id="59" w:name="_Toc32623"/>
      <w:bookmarkStart w:id="60" w:name="_Toc32189"/>
      <w:bookmarkStart w:id="61" w:name="_Toc515647758"/>
      <w:bookmarkStart w:id="62" w:name="_Toc2582264"/>
      <w:bookmarkStart w:id="63" w:name="_Toc532473450"/>
      <w:r>
        <w:rPr>
          <w:rFonts w:hint="eastAsia" w:ascii="宋体" w:hAnsi="宋体"/>
          <w:color w:val="auto"/>
          <w:sz w:val="24"/>
        </w:rPr>
        <w:t>1.采购人、采购</w:t>
      </w:r>
      <w:r>
        <w:rPr>
          <w:rFonts w:ascii="宋体" w:hAnsi="宋体"/>
          <w:color w:val="auto"/>
          <w:sz w:val="24"/>
        </w:rPr>
        <w:t>代理机构</w:t>
      </w:r>
      <w:r>
        <w:rPr>
          <w:rFonts w:hint="eastAsia" w:ascii="宋体" w:hAnsi="宋体"/>
          <w:color w:val="auto"/>
          <w:sz w:val="24"/>
        </w:rPr>
        <w:t>及</w:t>
      </w:r>
      <w:bookmarkEnd w:id="58"/>
      <w:r>
        <w:rPr>
          <w:rFonts w:hint="eastAsia" w:ascii="宋体" w:hAnsi="宋体"/>
          <w:color w:val="auto"/>
          <w:sz w:val="24"/>
        </w:rPr>
        <w:t>投标人</w:t>
      </w:r>
      <w:bookmarkEnd w:id="59"/>
      <w:bookmarkEnd w:id="60"/>
      <w:bookmarkEnd w:id="61"/>
      <w:bookmarkEnd w:id="62"/>
      <w:bookmarkEnd w:id="63"/>
    </w:p>
    <w:p w14:paraId="3BF9FDE3">
      <w:pPr>
        <w:pageBreakBefore w:val="0"/>
        <w:tabs>
          <w:tab w:val="left" w:pos="0"/>
        </w:tabs>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 xml:space="preserve">1.1 </w:t>
      </w:r>
      <w:r>
        <w:rPr>
          <w:rFonts w:hint="eastAsia" w:ascii="宋体" w:hAnsi="宋体"/>
          <w:color w:val="auto"/>
          <w:sz w:val="24"/>
        </w:rPr>
        <w:t>采购人：是指依法进行政府采购的国家机关、事业单位、团体组织。本项目的采购人见</w:t>
      </w:r>
      <w:r>
        <w:rPr>
          <w:rFonts w:hint="eastAsia" w:ascii="宋体" w:hAnsi="宋体"/>
          <w:color w:val="auto"/>
          <w:sz w:val="24"/>
          <w:u w:val="single"/>
        </w:rPr>
        <w:t>投标须知前附表</w:t>
      </w:r>
      <w:r>
        <w:rPr>
          <w:rFonts w:hint="eastAsia" w:ascii="宋体" w:hAnsi="宋体"/>
          <w:color w:val="auto"/>
          <w:sz w:val="24"/>
        </w:rPr>
        <w:t>。</w:t>
      </w:r>
    </w:p>
    <w:p w14:paraId="28801866">
      <w:pPr>
        <w:pageBreakBefore w:val="0"/>
        <w:tabs>
          <w:tab w:val="left" w:pos="142"/>
        </w:tabs>
        <w:kinsoku/>
        <w:overflowPunct/>
        <w:topLinePunct w:val="0"/>
        <w:bidi w:val="0"/>
        <w:spacing w:line="360" w:lineRule="auto"/>
        <w:ind w:left="0" w:leftChars="0" w:firstLine="0" w:firstLineChars="0"/>
        <w:jc w:val="left"/>
        <w:textAlignment w:val="auto"/>
        <w:rPr>
          <w:rFonts w:ascii="宋体" w:hAnsi="宋体"/>
          <w:color w:val="auto"/>
          <w:sz w:val="24"/>
        </w:rPr>
      </w:pPr>
      <w:r>
        <w:rPr>
          <w:rFonts w:ascii="宋体" w:hAnsi="宋体"/>
          <w:color w:val="auto"/>
          <w:sz w:val="24"/>
        </w:rPr>
        <w:t xml:space="preserve">1.2 </w:t>
      </w:r>
      <w:r>
        <w:rPr>
          <w:rFonts w:hint="eastAsia" w:ascii="宋体" w:hAnsi="宋体"/>
          <w:color w:val="auto"/>
          <w:sz w:val="24"/>
        </w:rPr>
        <w:t>采购代理机构：是指集中采购机构或从事采购代理业务的社会中介机构。本项目的采购代理机构见</w:t>
      </w:r>
      <w:r>
        <w:rPr>
          <w:rFonts w:hint="eastAsia" w:ascii="宋体" w:hAnsi="宋体"/>
          <w:color w:val="auto"/>
          <w:sz w:val="24"/>
          <w:u w:val="single"/>
        </w:rPr>
        <w:t>投标须知前</w:t>
      </w:r>
      <w:r>
        <w:rPr>
          <w:rFonts w:ascii="宋体" w:hAnsi="宋体"/>
          <w:color w:val="auto"/>
          <w:sz w:val="24"/>
          <w:u w:val="single"/>
        </w:rPr>
        <w:t>附</w:t>
      </w:r>
      <w:r>
        <w:rPr>
          <w:rFonts w:hint="eastAsia" w:ascii="宋体" w:hAnsi="宋体"/>
          <w:color w:val="auto"/>
          <w:sz w:val="24"/>
          <w:u w:val="single"/>
        </w:rPr>
        <w:t>表</w:t>
      </w:r>
      <w:r>
        <w:rPr>
          <w:rFonts w:hint="eastAsia" w:ascii="宋体" w:hAnsi="宋体"/>
          <w:color w:val="auto"/>
          <w:sz w:val="24"/>
        </w:rPr>
        <w:t>。</w:t>
      </w:r>
    </w:p>
    <w:p w14:paraId="6A5925CB">
      <w:pPr>
        <w:pageBreakBefore w:val="0"/>
        <w:tabs>
          <w:tab w:val="left" w:pos="142"/>
        </w:tabs>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1</w:t>
      </w:r>
      <w:r>
        <w:rPr>
          <w:rFonts w:ascii="宋体" w:hAnsi="宋体"/>
          <w:color w:val="auto"/>
          <w:sz w:val="24"/>
        </w:rPr>
        <w:t xml:space="preserve">.3 </w:t>
      </w:r>
      <w:r>
        <w:rPr>
          <w:rFonts w:hint="eastAsia" w:ascii="宋体" w:hAnsi="宋体"/>
          <w:color w:val="auto"/>
          <w:sz w:val="24"/>
        </w:rPr>
        <w:t>投标人</w:t>
      </w:r>
      <w:r>
        <w:rPr>
          <w:rFonts w:ascii="宋体" w:hAnsi="宋体"/>
          <w:color w:val="auto"/>
          <w:sz w:val="24"/>
        </w:rPr>
        <w:t>：是指</w:t>
      </w:r>
      <w:r>
        <w:rPr>
          <w:rFonts w:hint="eastAsia" w:ascii="宋体" w:hAnsi="宋体"/>
          <w:color w:val="auto"/>
          <w:sz w:val="24"/>
        </w:rPr>
        <w:t>响应招标</w:t>
      </w:r>
      <w:r>
        <w:rPr>
          <w:rFonts w:ascii="宋体" w:hAnsi="宋体"/>
          <w:color w:val="auto"/>
          <w:sz w:val="24"/>
        </w:rPr>
        <w:t>、参加投标竞争的法人、非法人组织或者自然人。</w:t>
      </w:r>
    </w:p>
    <w:p w14:paraId="3F380354">
      <w:pPr>
        <w:pageBreakBefore w:val="0"/>
        <w:tabs>
          <w:tab w:val="left" w:pos="142"/>
        </w:tabs>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潜在</w:t>
      </w:r>
      <w:r>
        <w:rPr>
          <w:rFonts w:ascii="宋体" w:hAnsi="宋体"/>
          <w:color w:val="auto"/>
          <w:sz w:val="24"/>
        </w:rPr>
        <w:t>投标人：</w:t>
      </w:r>
      <w:r>
        <w:rPr>
          <w:rFonts w:hint="eastAsia" w:ascii="宋体" w:hAnsi="宋体"/>
          <w:color w:val="auto"/>
          <w:sz w:val="24"/>
        </w:rPr>
        <w:t>以招标文件规定</w:t>
      </w:r>
      <w:r>
        <w:rPr>
          <w:rFonts w:ascii="宋体" w:hAnsi="宋体"/>
          <w:color w:val="auto"/>
          <w:sz w:val="24"/>
        </w:rPr>
        <w:t>的方式</w:t>
      </w:r>
      <w:r>
        <w:rPr>
          <w:rFonts w:hint="eastAsia" w:ascii="宋体" w:hAnsi="宋体"/>
          <w:color w:val="auto"/>
          <w:sz w:val="24"/>
        </w:rPr>
        <w:t>获取本项目</w:t>
      </w:r>
      <w:r>
        <w:rPr>
          <w:rFonts w:ascii="宋体" w:hAnsi="宋体"/>
          <w:color w:val="auto"/>
          <w:sz w:val="24"/>
        </w:rPr>
        <w:t>招标文件的法人、非法人组织或者自然人。</w:t>
      </w:r>
      <w:r>
        <w:rPr>
          <w:rFonts w:hint="eastAsia" w:ascii="宋体" w:hAnsi="宋体"/>
          <w:color w:val="auto"/>
          <w:sz w:val="24"/>
        </w:rPr>
        <w:t>本项目</w:t>
      </w:r>
      <w:r>
        <w:rPr>
          <w:rFonts w:ascii="宋体" w:hAnsi="宋体"/>
          <w:color w:val="auto"/>
          <w:sz w:val="24"/>
        </w:rPr>
        <w:t>的</w:t>
      </w:r>
      <w:r>
        <w:rPr>
          <w:rFonts w:hint="eastAsia" w:ascii="宋体" w:hAnsi="宋体"/>
          <w:color w:val="auto"/>
          <w:sz w:val="24"/>
        </w:rPr>
        <w:t>投标人须满足以下条件：</w:t>
      </w:r>
    </w:p>
    <w:p w14:paraId="327A75B0">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1.</w:t>
      </w:r>
      <w:r>
        <w:rPr>
          <w:rFonts w:ascii="宋体" w:hAnsi="宋体"/>
          <w:color w:val="auto"/>
          <w:sz w:val="24"/>
        </w:rPr>
        <w:t>3.1</w:t>
      </w:r>
      <w:r>
        <w:rPr>
          <w:rFonts w:hint="eastAsia" w:ascii="宋体" w:hAnsi="宋体"/>
          <w:color w:val="auto"/>
          <w:sz w:val="24"/>
        </w:rPr>
        <w:t xml:space="preserve"> 在中华人民共和国境内注册，能够独立承担民事责任，有生产或供应能力的本国供应商。</w:t>
      </w:r>
    </w:p>
    <w:p w14:paraId="59AF2983">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 xml:space="preserve">1.3.2 </w:t>
      </w:r>
      <w:r>
        <w:rPr>
          <w:rFonts w:hint="eastAsia" w:ascii="宋体" w:hAnsi="宋体"/>
          <w:color w:val="auto"/>
          <w:sz w:val="24"/>
        </w:rPr>
        <w:t>具备《中华人民共和国政府采购法》第二十二条关于供应商条件的规定，遵守本项目采购人本级</w:t>
      </w:r>
      <w:r>
        <w:rPr>
          <w:rFonts w:ascii="宋体" w:hAnsi="宋体"/>
          <w:color w:val="auto"/>
          <w:sz w:val="24"/>
        </w:rPr>
        <w:t>和上级财政部门</w:t>
      </w:r>
      <w:r>
        <w:rPr>
          <w:rFonts w:hint="eastAsia" w:ascii="宋体" w:hAnsi="宋体"/>
          <w:color w:val="auto"/>
          <w:sz w:val="24"/>
        </w:rPr>
        <w:t>政府采购的有关规定。</w:t>
      </w:r>
    </w:p>
    <w:p w14:paraId="268D5D23">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w:t>
      </w:r>
      <w:r>
        <w:rPr>
          <w:rFonts w:ascii="宋体" w:hAnsi="宋体"/>
          <w:color w:val="auto"/>
          <w:sz w:val="24"/>
        </w:rPr>
        <w:t>3</w:t>
      </w:r>
      <w:r>
        <w:rPr>
          <w:rFonts w:hint="eastAsia" w:ascii="宋体" w:hAnsi="宋体"/>
          <w:color w:val="auto"/>
          <w:sz w:val="24"/>
        </w:rPr>
        <w:t>.3 以招标文件规定</w:t>
      </w:r>
      <w:r>
        <w:rPr>
          <w:rFonts w:ascii="宋体" w:hAnsi="宋体"/>
          <w:color w:val="auto"/>
          <w:sz w:val="24"/>
        </w:rPr>
        <w:t>的方式</w:t>
      </w:r>
      <w:r>
        <w:rPr>
          <w:rFonts w:hint="eastAsia" w:ascii="宋体" w:hAnsi="宋体"/>
          <w:color w:val="auto"/>
          <w:sz w:val="24"/>
        </w:rPr>
        <w:t>获得了本项目的招标文件。</w:t>
      </w:r>
    </w:p>
    <w:p w14:paraId="0811468E">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1.</w:t>
      </w:r>
      <w:r>
        <w:rPr>
          <w:rFonts w:ascii="宋体" w:hAnsi="宋体"/>
          <w:color w:val="auto"/>
          <w:sz w:val="24"/>
        </w:rPr>
        <w:t>3</w:t>
      </w:r>
      <w:r>
        <w:rPr>
          <w:rFonts w:hint="eastAsia" w:ascii="宋体" w:hAnsi="宋体"/>
          <w:color w:val="auto"/>
          <w:sz w:val="24"/>
        </w:rPr>
        <w:t>.4 符合</w:t>
      </w:r>
      <w:r>
        <w:rPr>
          <w:rFonts w:hint="eastAsia" w:ascii="宋体" w:hAnsi="宋体"/>
          <w:color w:val="auto"/>
          <w:sz w:val="24"/>
          <w:u w:val="single"/>
        </w:rPr>
        <w:t>投标须知前附表</w:t>
      </w:r>
      <w:r>
        <w:rPr>
          <w:rFonts w:hint="eastAsia" w:ascii="宋体" w:hAnsi="宋体"/>
          <w:color w:val="auto"/>
          <w:sz w:val="24"/>
        </w:rPr>
        <w:t>中规定的合格投标人的其他资格要求</w:t>
      </w:r>
    </w:p>
    <w:p w14:paraId="03777667">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w:t>
      </w:r>
      <w:r>
        <w:rPr>
          <w:rFonts w:ascii="宋体" w:hAnsi="宋体"/>
          <w:color w:val="auto"/>
          <w:sz w:val="24"/>
        </w:rPr>
        <w:t>3</w:t>
      </w:r>
      <w:r>
        <w:rPr>
          <w:rFonts w:hint="eastAsia" w:ascii="宋体" w:hAnsi="宋体"/>
          <w:color w:val="auto"/>
          <w:sz w:val="24"/>
        </w:rPr>
        <w:t>.5 若</w:t>
      </w:r>
      <w:r>
        <w:rPr>
          <w:rFonts w:hint="eastAsia" w:ascii="宋体" w:hAnsi="宋体"/>
          <w:color w:val="auto"/>
          <w:sz w:val="24"/>
          <w:u w:val="single"/>
        </w:rPr>
        <w:t>投标须知前附表</w:t>
      </w:r>
      <w:r>
        <w:rPr>
          <w:rFonts w:hint="eastAsia" w:ascii="宋体" w:hAnsi="宋体"/>
          <w:color w:val="auto"/>
          <w:sz w:val="24"/>
        </w:rPr>
        <w:t>中写明</w:t>
      </w:r>
      <w:r>
        <w:rPr>
          <w:rFonts w:ascii="宋体" w:hAnsi="宋体"/>
          <w:color w:val="auto"/>
          <w:sz w:val="24"/>
        </w:rPr>
        <w:t>专门面向中小企业采购</w:t>
      </w:r>
      <w:r>
        <w:rPr>
          <w:rFonts w:hint="eastAsia" w:ascii="宋体" w:hAnsi="宋体"/>
          <w:color w:val="auto"/>
          <w:sz w:val="24"/>
        </w:rPr>
        <w:t>的，如投标人为</w:t>
      </w:r>
      <w:r>
        <w:rPr>
          <w:rFonts w:ascii="宋体" w:hAnsi="宋体"/>
          <w:color w:val="auto"/>
          <w:sz w:val="24"/>
        </w:rPr>
        <w:t>非</w:t>
      </w:r>
      <w:r>
        <w:rPr>
          <w:rFonts w:hint="eastAsia" w:ascii="宋体" w:hAnsi="宋体"/>
          <w:color w:val="auto"/>
          <w:sz w:val="24"/>
          <w:u w:val="single"/>
        </w:rPr>
        <w:t>投标须知前附表</w:t>
      </w:r>
      <w:r>
        <w:rPr>
          <w:rFonts w:hint="eastAsia" w:ascii="宋体" w:hAnsi="宋体"/>
          <w:color w:val="auto"/>
          <w:sz w:val="24"/>
        </w:rPr>
        <w:t>列明的所属行业</w:t>
      </w:r>
      <w:r>
        <w:rPr>
          <w:rFonts w:ascii="宋体" w:hAnsi="宋体"/>
          <w:color w:val="auto"/>
          <w:sz w:val="24"/>
        </w:rPr>
        <w:t>中小企业</w:t>
      </w:r>
      <w:r>
        <w:rPr>
          <w:rFonts w:hint="eastAsia" w:ascii="宋体" w:hAnsi="宋体"/>
          <w:color w:val="auto"/>
          <w:sz w:val="24"/>
        </w:rPr>
        <w:t>，其投标将被认定为</w:t>
      </w:r>
      <w:r>
        <w:rPr>
          <w:rFonts w:hint="eastAsia" w:ascii="宋体" w:hAnsi="宋体"/>
          <w:b/>
          <w:bCs/>
          <w:color w:val="auto"/>
          <w:sz w:val="24"/>
        </w:rPr>
        <w:t>投标无效</w:t>
      </w:r>
      <w:r>
        <w:rPr>
          <w:rFonts w:hint="eastAsia" w:ascii="宋体" w:hAnsi="宋体"/>
          <w:color w:val="auto"/>
          <w:sz w:val="24"/>
        </w:rPr>
        <w:t>。</w:t>
      </w:r>
    </w:p>
    <w:p w14:paraId="05D797D7">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r>
        <w:rPr>
          <w:rFonts w:hint="eastAsia" w:ascii="宋体" w:hAnsi="宋体"/>
          <w:color w:val="auto"/>
          <w:sz w:val="24"/>
        </w:rPr>
        <w:t>1.</w:t>
      </w:r>
      <w:r>
        <w:rPr>
          <w:rFonts w:ascii="宋体" w:hAnsi="宋体"/>
          <w:color w:val="auto"/>
          <w:sz w:val="24"/>
        </w:rPr>
        <w:t>4</w:t>
      </w:r>
      <w:r>
        <w:rPr>
          <w:rFonts w:hint="eastAsia" w:ascii="宋体" w:hAnsi="宋体"/>
          <w:color w:val="auto"/>
          <w:sz w:val="24"/>
        </w:rPr>
        <w:t xml:space="preserve"> 如</w:t>
      </w:r>
      <w:r>
        <w:rPr>
          <w:rFonts w:hint="eastAsia" w:ascii="宋体" w:hAnsi="宋体"/>
          <w:color w:val="auto"/>
          <w:sz w:val="24"/>
          <w:u w:val="single"/>
        </w:rPr>
        <w:t>投标须知前附表</w:t>
      </w:r>
      <w:r>
        <w:rPr>
          <w:rFonts w:hint="eastAsia" w:ascii="宋体" w:hAnsi="宋体"/>
          <w:color w:val="auto"/>
          <w:sz w:val="24"/>
        </w:rPr>
        <w:t>中允许联合体投标，对联合体规定如下：</w:t>
      </w:r>
    </w:p>
    <w:p w14:paraId="2026B873">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w:t>
      </w:r>
      <w:r>
        <w:rPr>
          <w:rFonts w:ascii="宋体" w:hAnsi="宋体"/>
          <w:color w:val="auto"/>
          <w:sz w:val="24"/>
        </w:rPr>
        <w:t>4</w:t>
      </w:r>
      <w:r>
        <w:rPr>
          <w:rFonts w:hint="eastAsia" w:ascii="宋体" w:hAnsi="宋体"/>
          <w:color w:val="auto"/>
          <w:sz w:val="24"/>
        </w:rPr>
        <w:t>.1 两个及以上供应商可以组成一个投标联合体，以一个投标人的身份投标。</w:t>
      </w:r>
    </w:p>
    <w:p w14:paraId="6AF089A4">
      <w:pPr>
        <w:pageBreakBefore w:val="0"/>
        <w:kinsoku/>
        <w:overflowPunct/>
        <w:topLinePunct w:val="0"/>
        <w:bidi w:val="0"/>
        <w:spacing w:line="360" w:lineRule="auto"/>
        <w:ind w:left="0" w:leftChars="0" w:firstLine="0" w:firstLineChars="0"/>
        <w:jc w:val="left"/>
        <w:textAlignment w:val="auto"/>
        <w:outlineLvl w:val="3"/>
        <w:rPr>
          <w:rFonts w:hint="eastAsia" w:ascii="宋体" w:hAnsi="宋体"/>
          <w:color w:val="auto"/>
          <w:sz w:val="24"/>
        </w:rPr>
      </w:pPr>
      <w:r>
        <w:rPr>
          <w:rFonts w:hint="eastAsia" w:ascii="宋体" w:hAnsi="宋体"/>
          <w:color w:val="auto"/>
          <w:sz w:val="24"/>
        </w:rPr>
        <w:t>1.</w:t>
      </w:r>
      <w:r>
        <w:rPr>
          <w:rFonts w:ascii="宋体" w:hAnsi="宋体"/>
          <w:color w:val="auto"/>
          <w:sz w:val="24"/>
        </w:rPr>
        <w:t>4</w:t>
      </w:r>
      <w:r>
        <w:rPr>
          <w:rFonts w:hint="eastAsia" w:ascii="宋体" w:hAnsi="宋体"/>
          <w:color w:val="auto"/>
          <w:sz w:val="24"/>
        </w:rPr>
        <w:t>.2 联合体各方均应符合本须知1.3.2规定。</w:t>
      </w:r>
    </w:p>
    <w:p w14:paraId="43A8D9A6">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w:t>
      </w:r>
      <w:r>
        <w:rPr>
          <w:rFonts w:ascii="宋体" w:hAnsi="宋体"/>
          <w:color w:val="auto"/>
          <w:sz w:val="24"/>
        </w:rPr>
        <w:t>4</w:t>
      </w:r>
      <w:r>
        <w:rPr>
          <w:rFonts w:hint="eastAsia" w:ascii="宋体" w:hAnsi="宋体"/>
          <w:color w:val="auto"/>
          <w:sz w:val="24"/>
        </w:rPr>
        <w:t>.3 采购人根据采购项目对投标人的特殊要求，联合体中至少应当有一方符合相关规定。</w:t>
      </w:r>
    </w:p>
    <w:p w14:paraId="619FDC8D">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w:t>
      </w:r>
      <w:r>
        <w:rPr>
          <w:rFonts w:ascii="宋体" w:hAnsi="宋体"/>
          <w:color w:val="auto"/>
          <w:sz w:val="24"/>
        </w:rPr>
        <w:t>4</w:t>
      </w:r>
      <w:r>
        <w:rPr>
          <w:rFonts w:hint="eastAsia" w:ascii="宋体" w:hAnsi="宋体"/>
          <w:color w:val="auto"/>
          <w:sz w:val="24"/>
        </w:rPr>
        <w:t>.4 联合体各方应签订共同投标协议，明确约定联合体各方承担的工作和相应的责任，并将共同投标协议作为投标文件第一部分的内容提交。</w:t>
      </w:r>
    </w:p>
    <w:p w14:paraId="0751DA28">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w:t>
      </w:r>
      <w:r>
        <w:rPr>
          <w:rFonts w:ascii="宋体" w:hAnsi="宋体"/>
          <w:color w:val="auto"/>
          <w:sz w:val="24"/>
        </w:rPr>
        <w:t>4</w:t>
      </w:r>
      <w:r>
        <w:rPr>
          <w:rFonts w:hint="eastAsia" w:ascii="宋体" w:hAnsi="宋体"/>
          <w:color w:val="auto"/>
          <w:sz w:val="24"/>
        </w:rPr>
        <w:t xml:space="preserve">.5 </w:t>
      </w:r>
      <w:r>
        <w:rPr>
          <w:rFonts w:ascii="宋体" w:hAnsi="宋体"/>
          <w:color w:val="auto"/>
          <w:sz w:val="24"/>
        </w:rPr>
        <w:t>大中型企业</w:t>
      </w:r>
      <w:r>
        <w:rPr>
          <w:rFonts w:hint="eastAsia" w:ascii="宋体" w:hAnsi="宋体"/>
          <w:color w:val="auto"/>
          <w:sz w:val="24"/>
        </w:rPr>
        <w:t>、</w:t>
      </w:r>
      <w:r>
        <w:rPr>
          <w:rFonts w:ascii="宋体" w:hAnsi="宋体"/>
          <w:color w:val="auto"/>
          <w:sz w:val="24"/>
        </w:rPr>
        <w:t>其他自然人、法人或者</w:t>
      </w:r>
      <w:r>
        <w:rPr>
          <w:rFonts w:hint="eastAsia" w:ascii="宋体" w:hAnsi="宋体"/>
          <w:color w:val="auto"/>
          <w:sz w:val="24"/>
        </w:rPr>
        <w:t>非法人组织</w:t>
      </w:r>
      <w:r>
        <w:rPr>
          <w:rFonts w:ascii="宋体" w:hAnsi="宋体"/>
          <w:color w:val="auto"/>
          <w:sz w:val="24"/>
        </w:rPr>
        <w:t>与小型、微型企业组成联合体共同参加</w:t>
      </w:r>
      <w:r>
        <w:rPr>
          <w:rFonts w:hint="eastAsia" w:ascii="宋体" w:hAnsi="宋体"/>
          <w:color w:val="auto"/>
          <w:sz w:val="24"/>
        </w:rPr>
        <w:t>投标，共同投标</w:t>
      </w:r>
      <w:r>
        <w:rPr>
          <w:rFonts w:ascii="宋体" w:hAnsi="宋体"/>
          <w:color w:val="auto"/>
          <w:sz w:val="24"/>
        </w:rPr>
        <w:t>协议中</w:t>
      </w:r>
      <w:r>
        <w:rPr>
          <w:rFonts w:hint="eastAsia" w:ascii="宋体" w:hAnsi="宋体"/>
          <w:color w:val="auto"/>
          <w:sz w:val="24"/>
        </w:rPr>
        <w:t>应写明</w:t>
      </w:r>
      <w:r>
        <w:rPr>
          <w:rFonts w:ascii="宋体" w:hAnsi="宋体"/>
          <w:color w:val="auto"/>
          <w:sz w:val="24"/>
        </w:rPr>
        <w:t>小型、微型企业的协议合同金额占到</w:t>
      </w:r>
      <w:r>
        <w:rPr>
          <w:rFonts w:hint="eastAsia" w:ascii="宋体" w:hAnsi="宋体"/>
          <w:color w:val="auto"/>
          <w:sz w:val="24"/>
        </w:rPr>
        <w:t>共同投标</w:t>
      </w:r>
      <w:r>
        <w:rPr>
          <w:rFonts w:ascii="宋体" w:hAnsi="宋体"/>
          <w:color w:val="auto"/>
          <w:sz w:val="24"/>
        </w:rPr>
        <w:t>协议</w:t>
      </w:r>
      <w:r>
        <w:rPr>
          <w:rFonts w:hint="eastAsia" w:ascii="宋体" w:hAnsi="宋体"/>
          <w:color w:val="auto"/>
          <w:sz w:val="24"/>
        </w:rPr>
        <w:t>投标</w:t>
      </w:r>
      <w:r>
        <w:rPr>
          <w:rFonts w:ascii="宋体" w:hAnsi="宋体"/>
          <w:color w:val="auto"/>
          <w:sz w:val="24"/>
        </w:rPr>
        <w:t>总金额</w:t>
      </w:r>
      <w:r>
        <w:rPr>
          <w:rFonts w:hint="eastAsia" w:ascii="宋体" w:hAnsi="宋体"/>
          <w:color w:val="auto"/>
          <w:sz w:val="24"/>
        </w:rPr>
        <w:t>的比例。</w:t>
      </w:r>
    </w:p>
    <w:p w14:paraId="08190559">
      <w:pPr>
        <w:pageBreakBefore w:val="0"/>
        <w:kinsoku/>
        <w:overflowPunct/>
        <w:topLinePunct w:val="0"/>
        <w:bidi w:val="0"/>
        <w:spacing w:line="360" w:lineRule="auto"/>
        <w:ind w:left="0" w:leftChars="0" w:firstLine="0" w:firstLineChars="0"/>
        <w:jc w:val="left"/>
        <w:textAlignment w:val="auto"/>
        <w:rPr>
          <w:rFonts w:hint="eastAsia" w:ascii="宋体" w:hAnsi="宋体" w:eastAsia="宋体"/>
          <w:color w:val="auto"/>
          <w:sz w:val="24"/>
          <w:lang w:eastAsia="zh-CN"/>
        </w:rPr>
      </w:pPr>
      <w:r>
        <w:rPr>
          <w:rFonts w:ascii="宋体" w:hAnsi="宋体"/>
          <w:color w:val="auto"/>
          <w:sz w:val="24"/>
        </w:rPr>
        <w:t>1.4.</w:t>
      </w:r>
      <w:r>
        <w:rPr>
          <w:rFonts w:hint="eastAsia" w:ascii="宋体" w:hAnsi="宋体"/>
          <w:color w:val="auto"/>
          <w:sz w:val="24"/>
        </w:rPr>
        <w:t>6</w:t>
      </w:r>
      <w:r>
        <w:rPr>
          <w:rFonts w:ascii="宋体" w:hAnsi="宋体"/>
          <w:color w:val="auto"/>
          <w:sz w:val="24"/>
        </w:rPr>
        <w:t xml:space="preserve"> </w:t>
      </w:r>
      <w:r>
        <w:rPr>
          <w:rFonts w:hint="eastAsia" w:ascii="宋体" w:hAnsi="宋体"/>
          <w:color w:val="auto"/>
          <w:sz w:val="24"/>
        </w:rPr>
        <w:t>以联合体形式参加政府采购活动的，联合体各方不得再单独参加或者与其他供应商另外组成联合体参加本项目同一合同项下的投标，否则相关投标将被认定为</w:t>
      </w:r>
      <w:r>
        <w:rPr>
          <w:rFonts w:hint="eastAsia" w:ascii="宋体" w:hAnsi="宋体"/>
          <w:b/>
          <w:color w:val="auto"/>
          <w:sz w:val="24"/>
        </w:rPr>
        <w:t>投标无效</w:t>
      </w:r>
      <w:r>
        <w:rPr>
          <w:rFonts w:hint="eastAsia" w:ascii="宋体" w:hAnsi="宋体"/>
          <w:b/>
          <w:color w:val="auto"/>
          <w:sz w:val="24"/>
          <w:lang w:eastAsia="zh-CN"/>
        </w:rPr>
        <w:t>。</w:t>
      </w:r>
    </w:p>
    <w:p w14:paraId="2917D496">
      <w:pPr>
        <w:pageBreakBefore w:val="0"/>
        <w:kinsoku/>
        <w:overflowPunct/>
        <w:topLinePunct w:val="0"/>
        <w:bidi w:val="0"/>
        <w:spacing w:line="360" w:lineRule="auto"/>
        <w:ind w:left="0" w:leftChars="0" w:firstLine="0" w:firstLineChars="0"/>
        <w:jc w:val="left"/>
        <w:textAlignment w:val="auto"/>
        <w:outlineLvl w:val="3"/>
        <w:rPr>
          <w:rFonts w:hint="eastAsia" w:ascii="宋体" w:hAnsi="宋体"/>
          <w:color w:val="auto"/>
          <w:sz w:val="24"/>
        </w:rPr>
      </w:pPr>
      <w:r>
        <w:rPr>
          <w:rFonts w:hint="eastAsia" w:ascii="宋体" w:hAnsi="宋体"/>
          <w:color w:val="auto"/>
          <w:sz w:val="24"/>
        </w:rPr>
        <w:t>1.</w:t>
      </w:r>
      <w:r>
        <w:rPr>
          <w:rFonts w:ascii="宋体" w:hAnsi="宋体"/>
          <w:color w:val="auto"/>
          <w:sz w:val="24"/>
        </w:rPr>
        <w:t>4</w:t>
      </w:r>
      <w:r>
        <w:rPr>
          <w:rFonts w:hint="eastAsia" w:ascii="宋体" w:hAnsi="宋体"/>
          <w:color w:val="auto"/>
          <w:sz w:val="24"/>
        </w:rPr>
        <w:t>.7 对联合体投标的其他资格要求见</w:t>
      </w:r>
      <w:r>
        <w:rPr>
          <w:rFonts w:hint="eastAsia" w:ascii="宋体" w:hAnsi="宋体"/>
          <w:color w:val="auto"/>
          <w:sz w:val="24"/>
          <w:u w:val="single"/>
        </w:rPr>
        <w:t>投标须知前附表</w:t>
      </w:r>
      <w:r>
        <w:rPr>
          <w:rFonts w:hint="eastAsia" w:ascii="宋体" w:hAnsi="宋体"/>
          <w:color w:val="auto"/>
          <w:sz w:val="24"/>
        </w:rPr>
        <w:t>。</w:t>
      </w:r>
    </w:p>
    <w:p w14:paraId="4AA4E674">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1.5 单位负责人为同一人或者存在直接控股、管理关系的不同供应商参与本项目同一合同项下的投标的，其相关投标将被认定为</w:t>
      </w:r>
      <w:r>
        <w:rPr>
          <w:rFonts w:hint="eastAsia" w:ascii="宋体" w:hAnsi="宋体"/>
          <w:b/>
          <w:color w:val="auto"/>
          <w:sz w:val="24"/>
        </w:rPr>
        <w:t>投标无效</w:t>
      </w:r>
      <w:r>
        <w:rPr>
          <w:rFonts w:ascii="宋体" w:hAnsi="宋体"/>
          <w:color w:val="auto"/>
          <w:sz w:val="24"/>
        </w:rPr>
        <w:t>。</w:t>
      </w:r>
    </w:p>
    <w:p w14:paraId="3E4A740B">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1.</w:t>
      </w:r>
      <w:r>
        <w:rPr>
          <w:rFonts w:hint="eastAsia" w:ascii="宋体" w:hAnsi="宋体"/>
          <w:color w:val="auto"/>
          <w:sz w:val="24"/>
        </w:rPr>
        <w:t>6</w:t>
      </w:r>
      <w:r>
        <w:rPr>
          <w:rFonts w:ascii="宋体" w:hAnsi="宋体"/>
          <w:color w:val="auto"/>
          <w:sz w:val="24"/>
        </w:rPr>
        <w:t xml:space="preserve"> </w:t>
      </w:r>
      <w:r>
        <w:rPr>
          <w:rFonts w:hint="eastAsia" w:ascii="宋体" w:hAnsi="宋体"/>
          <w:color w:val="auto"/>
          <w:sz w:val="24"/>
        </w:rPr>
        <w:t>为本项目提供过整体设计、规范编制或者项目管理、监理、检测等服务的供应商，不得再参加本项目上述</w:t>
      </w:r>
      <w:r>
        <w:rPr>
          <w:rFonts w:ascii="宋体" w:hAnsi="宋体"/>
          <w:color w:val="auto"/>
          <w:sz w:val="24"/>
        </w:rPr>
        <w:t>服务以外</w:t>
      </w:r>
      <w:r>
        <w:rPr>
          <w:rFonts w:hint="eastAsia" w:ascii="宋体" w:hAnsi="宋体"/>
          <w:color w:val="auto"/>
          <w:sz w:val="24"/>
        </w:rPr>
        <w:t>的其他采购活动。</w:t>
      </w:r>
      <w:r>
        <w:rPr>
          <w:rFonts w:ascii="宋体" w:hAnsi="宋体"/>
          <w:color w:val="auto"/>
          <w:sz w:val="24"/>
        </w:rPr>
        <w:t>否则</w:t>
      </w:r>
      <w:r>
        <w:rPr>
          <w:rFonts w:hint="eastAsia" w:ascii="宋体" w:hAnsi="宋体"/>
          <w:color w:val="auto"/>
          <w:sz w:val="24"/>
        </w:rPr>
        <w:t>其投标将被认定为</w:t>
      </w:r>
      <w:r>
        <w:rPr>
          <w:rFonts w:hint="eastAsia" w:ascii="宋体" w:hAnsi="宋体"/>
          <w:b/>
          <w:bCs/>
          <w:color w:val="auto"/>
          <w:sz w:val="24"/>
        </w:rPr>
        <w:t>投标无效</w:t>
      </w:r>
      <w:r>
        <w:rPr>
          <w:rFonts w:hint="eastAsia" w:ascii="宋体" w:hAnsi="宋体"/>
          <w:color w:val="auto"/>
          <w:sz w:val="24"/>
        </w:rPr>
        <w:t>。</w:t>
      </w:r>
    </w:p>
    <w:p w14:paraId="2662C821">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olor w:val="auto"/>
          <w:sz w:val="24"/>
        </w:rPr>
      </w:pPr>
      <w:bookmarkStart w:id="64" w:name="_Toc5286"/>
      <w:bookmarkStart w:id="65" w:name="_Toc515647759"/>
      <w:bookmarkStart w:id="66" w:name="_Toc12139"/>
      <w:bookmarkStart w:id="67" w:name="_Toc532473451"/>
      <w:bookmarkStart w:id="68" w:name="_Toc2582265"/>
      <w:r>
        <w:rPr>
          <w:rFonts w:hint="eastAsia" w:ascii="宋体" w:hAnsi="宋体"/>
          <w:color w:val="auto"/>
          <w:sz w:val="24"/>
        </w:rPr>
        <w:t>2.资金来源</w:t>
      </w:r>
      <w:bookmarkEnd w:id="64"/>
      <w:bookmarkEnd w:id="65"/>
      <w:bookmarkEnd w:id="66"/>
      <w:bookmarkEnd w:id="67"/>
      <w:bookmarkEnd w:id="68"/>
    </w:p>
    <w:p w14:paraId="3172F5E1">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 xml:space="preserve"> 本项目的采购人已获得足以支付本次招标后所签订的合同项下的资金（包括财政性资金和本项目采购</w:t>
      </w:r>
      <w:r>
        <w:rPr>
          <w:rFonts w:ascii="宋体" w:hAnsi="宋体"/>
          <w:color w:val="auto"/>
          <w:sz w:val="24"/>
        </w:rPr>
        <w:t>中无法</w:t>
      </w:r>
      <w:r>
        <w:rPr>
          <w:rFonts w:hint="eastAsia" w:ascii="宋体" w:hAnsi="宋体"/>
          <w:color w:val="auto"/>
          <w:sz w:val="24"/>
        </w:rPr>
        <w:t>与</w:t>
      </w:r>
      <w:r>
        <w:rPr>
          <w:rFonts w:ascii="宋体" w:hAnsi="宋体"/>
          <w:color w:val="auto"/>
          <w:sz w:val="24"/>
        </w:rPr>
        <w:t>财政性资金分割的非财政性资金</w:t>
      </w:r>
      <w:r>
        <w:rPr>
          <w:rFonts w:hint="eastAsia" w:ascii="宋体" w:hAnsi="宋体"/>
          <w:color w:val="auto"/>
          <w:sz w:val="24"/>
        </w:rPr>
        <w:t>）。</w:t>
      </w:r>
    </w:p>
    <w:p w14:paraId="1F251F13">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r>
        <w:rPr>
          <w:rFonts w:hint="eastAsia" w:ascii="宋体" w:hAnsi="宋体"/>
          <w:color w:val="auto"/>
          <w:sz w:val="24"/>
        </w:rPr>
        <w:t>2.2 项目预算金额和最高限价（如有）见</w:t>
      </w:r>
      <w:r>
        <w:rPr>
          <w:rFonts w:hint="eastAsia" w:ascii="宋体" w:hAnsi="宋体"/>
          <w:color w:val="auto"/>
          <w:sz w:val="24"/>
          <w:u w:val="single"/>
        </w:rPr>
        <w:t>投标须知前附表</w:t>
      </w:r>
      <w:r>
        <w:rPr>
          <w:rFonts w:hint="eastAsia" w:ascii="宋体" w:hAnsi="宋体"/>
          <w:color w:val="auto"/>
          <w:sz w:val="24"/>
        </w:rPr>
        <w:t>。</w:t>
      </w:r>
    </w:p>
    <w:p w14:paraId="0781A320">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2.3 投标人报价超过招标文件规定的预算金额或者最高限价的，其投标将被认定为</w:t>
      </w:r>
      <w:r>
        <w:rPr>
          <w:rFonts w:hint="eastAsia" w:ascii="宋体" w:hAnsi="宋体"/>
          <w:b/>
          <w:bCs/>
          <w:color w:val="auto"/>
          <w:sz w:val="24"/>
        </w:rPr>
        <w:t>投标无效</w:t>
      </w:r>
      <w:r>
        <w:rPr>
          <w:rFonts w:ascii="宋体" w:hAnsi="宋体"/>
          <w:color w:val="auto"/>
          <w:sz w:val="24"/>
        </w:rPr>
        <w:t>。</w:t>
      </w:r>
    </w:p>
    <w:p w14:paraId="71C04B45">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olor w:val="auto"/>
          <w:sz w:val="24"/>
        </w:rPr>
      </w:pPr>
      <w:bookmarkStart w:id="69" w:name="_Toc532473452"/>
      <w:bookmarkStart w:id="70" w:name="_Toc2582266"/>
      <w:bookmarkStart w:id="71" w:name="_Toc20526"/>
      <w:bookmarkStart w:id="72" w:name="_Toc520356145"/>
      <w:bookmarkStart w:id="73" w:name="_Toc515647760"/>
      <w:bookmarkStart w:id="74" w:name="_Toc15936"/>
      <w:r>
        <w:rPr>
          <w:rFonts w:hint="eastAsia" w:ascii="宋体" w:hAnsi="宋体"/>
          <w:color w:val="auto"/>
          <w:sz w:val="24"/>
        </w:rPr>
        <w:t>3.投标费用</w:t>
      </w:r>
      <w:bookmarkEnd w:id="69"/>
      <w:bookmarkEnd w:id="70"/>
      <w:bookmarkEnd w:id="71"/>
      <w:bookmarkEnd w:id="72"/>
      <w:bookmarkEnd w:id="73"/>
      <w:bookmarkEnd w:id="74"/>
    </w:p>
    <w:p w14:paraId="32248117">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不论投标的结果如何，投标人应承担所有与投标有关的费用。</w:t>
      </w:r>
    </w:p>
    <w:p w14:paraId="4D6089F6">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olor w:val="auto"/>
          <w:sz w:val="24"/>
        </w:rPr>
      </w:pPr>
      <w:bookmarkStart w:id="75" w:name="_Toc532473453"/>
      <w:bookmarkStart w:id="76" w:name="_Toc515647761"/>
      <w:bookmarkStart w:id="77" w:name="_Toc4463"/>
      <w:bookmarkStart w:id="78" w:name="_Toc2582267"/>
      <w:bookmarkStart w:id="79" w:name="_Toc6116"/>
      <w:r>
        <w:rPr>
          <w:rFonts w:hint="eastAsia" w:ascii="宋体" w:hAnsi="宋体"/>
          <w:color w:val="auto"/>
          <w:sz w:val="24"/>
        </w:rPr>
        <w:t>4.适用法律</w:t>
      </w:r>
      <w:bookmarkEnd w:id="75"/>
      <w:bookmarkEnd w:id="76"/>
      <w:bookmarkEnd w:id="77"/>
      <w:bookmarkEnd w:id="78"/>
      <w:bookmarkEnd w:id="79"/>
    </w:p>
    <w:p w14:paraId="59617BF8">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本项目采购人、</w:t>
      </w:r>
      <w:r>
        <w:rPr>
          <w:rFonts w:ascii="宋体" w:hAnsi="宋体"/>
          <w:color w:val="auto"/>
          <w:sz w:val="24"/>
        </w:rPr>
        <w:t>采购代理机构</w:t>
      </w:r>
      <w:r>
        <w:rPr>
          <w:rFonts w:hint="eastAsia" w:ascii="宋体" w:hAnsi="宋体"/>
          <w:color w:val="auto"/>
          <w:sz w:val="24"/>
        </w:rPr>
        <w:t>、投标人、评标委员会的相关行为均受《中华人民共和国政府采购法》、《</w:t>
      </w:r>
      <w:r>
        <w:rPr>
          <w:rFonts w:ascii="宋体" w:hAnsi="宋体"/>
          <w:color w:val="auto"/>
          <w:sz w:val="24"/>
        </w:rPr>
        <w:t>中华人民共和国政府采购法实施条例》</w:t>
      </w:r>
      <w:r>
        <w:rPr>
          <w:rFonts w:hint="eastAsia" w:ascii="宋体" w:hAnsi="宋体"/>
          <w:color w:val="auto"/>
          <w:sz w:val="24"/>
        </w:rPr>
        <w:t>及本项目本级</w:t>
      </w:r>
      <w:r>
        <w:rPr>
          <w:rFonts w:ascii="宋体" w:hAnsi="宋体"/>
          <w:color w:val="auto"/>
          <w:sz w:val="24"/>
        </w:rPr>
        <w:t>和上级财政部门</w:t>
      </w:r>
      <w:r>
        <w:rPr>
          <w:rFonts w:hint="eastAsia" w:ascii="宋体" w:hAnsi="宋体"/>
          <w:color w:val="auto"/>
          <w:sz w:val="24"/>
        </w:rPr>
        <w:t>政府采购有关规定的约束和保护。</w:t>
      </w:r>
    </w:p>
    <w:p w14:paraId="31AC7594">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bookmarkStart w:id="80" w:name="_Toc520356146"/>
      <w:bookmarkStart w:id="81" w:name="_Toc2582268"/>
      <w:bookmarkStart w:id="82" w:name="_Toc532473454"/>
      <w:bookmarkStart w:id="83" w:name="_Toc4365"/>
      <w:bookmarkStart w:id="84" w:name="_Toc21566"/>
      <w:bookmarkStart w:id="85" w:name="_Toc216582806"/>
      <w:bookmarkStart w:id="86" w:name="_Toc515647762"/>
    </w:p>
    <w:p w14:paraId="5F48E25D">
      <w:pPr>
        <w:pageBreakBefore w:val="0"/>
        <w:kinsoku/>
        <w:overflowPunct/>
        <w:topLinePunct w:val="0"/>
        <w:bidi w:val="0"/>
        <w:spacing w:line="360" w:lineRule="auto"/>
        <w:ind w:left="0" w:leftChars="0" w:firstLine="0" w:firstLineChars="0"/>
        <w:jc w:val="left"/>
        <w:textAlignment w:val="auto"/>
        <w:outlineLvl w:val="2"/>
        <w:rPr>
          <w:rFonts w:hint="eastAsia" w:ascii="宋体" w:hAnsi="宋体"/>
          <w:b/>
          <w:color w:val="auto"/>
          <w:sz w:val="24"/>
        </w:rPr>
      </w:pPr>
      <w:bookmarkStart w:id="87" w:name="_Toc16610"/>
      <w:r>
        <w:rPr>
          <w:rFonts w:hint="eastAsia" w:ascii="宋体" w:hAnsi="宋体"/>
          <w:b/>
          <w:color w:val="auto"/>
          <w:sz w:val="24"/>
        </w:rPr>
        <w:t>二  招标文件</w:t>
      </w:r>
      <w:bookmarkEnd w:id="80"/>
      <w:bookmarkEnd w:id="81"/>
      <w:bookmarkEnd w:id="82"/>
      <w:bookmarkEnd w:id="83"/>
      <w:bookmarkEnd w:id="84"/>
      <w:bookmarkEnd w:id="85"/>
      <w:bookmarkEnd w:id="86"/>
      <w:bookmarkEnd w:id="87"/>
    </w:p>
    <w:p w14:paraId="448E7CBA">
      <w:pPr>
        <w:pageBreakBefore w:val="0"/>
        <w:kinsoku/>
        <w:overflowPunct/>
        <w:topLinePunct w:val="0"/>
        <w:bidi w:val="0"/>
        <w:spacing w:line="360" w:lineRule="auto"/>
        <w:ind w:left="0" w:leftChars="0" w:firstLine="0" w:firstLineChars="0"/>
        <w:jc w:val="left"/>
        <w:textAlignment w:val="auto"/>
        <w:outlineLvl w:val="1"/>
        <w:rPr>
          <w:rFonts w:ascii="宋体" w:hAnsi="宋体"/>
          <w:color w:val="auto"/>
          <w:sz w:val="24"/>
        </w:rPr>
      </w:pPr>
      <w:bookmarkStart w:id="88" w:name="_Toc2582269"/>
      <w:bookmarkStart w:id="89" w:name="_Toc532473455"/>
      <w:bookmarkStart w:id="90" w:name="_Toc14084"/>
      <w:bookmarkStart w:id="91" w:name="_Toc25743"/>
      <w:bookmarkStart w:id="92" w:name="_Toc515647763"/>
      <w:bookmarkStart w:id="93" w:name="_Toc520356147"/>
      <w:r>
        <w:rPr>
          <w:rFonts w:hint="eastAsia" w:ascii="宋体" w:hAnsi="宋体"/>
          <w:color w:val="auto"/>
          <w:sz w:val="24"/>
        </w:rPr>
        <w:t>5.招标文件构成</w:t>
      </w:r>
      <w:bookmarkEnd w:id="88"/>
      <w:bookmarkEnd w:id="89"/>
      <w:bookmarkEnd w:id="90"/>
      <w:bookmarkEnd w:id="91"/>
      <w:bookmarkEnd w:id="92"/>
      <w:bookmarkEnd w:id="93"/>
    </w:p>
    <w:p w14:paraId="13F68CBA">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r>
        <w:rPr>
          <w:rFonts w:hint="eastAsia" w:ascii="宋体" w:hAnsi="宋体"/>
          <w:color w:val="auto"/>
          <w:sz w:val="24"/>
        </w:rPr>
        <w:t>5.1 招标文件共分为7章，构成如下：</w:t>
      </w:r>
    </w:p>
    <w:p w14:paraId="75AA9627">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第一章  招标公告（投标邀请）</w:t>
      </w:r>
    </w:p>
    <w:p w14:paraId="2E5AE28F">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第二章  投标须知前附表</w:t>
      </w:r>
    </w:p>
    <w:p w14:paraId="7AD36F15">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第三章  投标人须知</w:t>
      </w:r>
    </w:p>
    <w:p w14:paraId="50760B80">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第四章  评标方法和标准</w:t>
      </w:r>
    </w:p>
    <w:p w14:paraId="26E47BE4">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第五章  服务及伴随货物需求</w:t>
      </w:r>
    </w:p>
    <w:p w14:paraId="3FC1A589">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章六章  政府采购合同</w:t>
      </w:r>
    </w:p>
    <w:p w14:paraId="436C845B">
      <w:pPr>
        <w:pageBreakBefore w:val="0"/>
        <w:kinsoku/>
        <w:overflowPunct/>
        <w:topLinePunct w:val="0"/>
        <w:bidi w:val="0"/>
        <w:spacing w:line="360" w:lineRule="auto"/>
        <w:ind w:left="0" w:leftChars="0" w:firstLine="0" w:firstLineChars="0"/>
        <w:jc w:val="left"/>
        <w:textAlignment w:val="auto"/>
        <w:outlineLvl w:val="0"/>
        <w:rPr>
          <w:rFonts w:hint="eastAsia" w:ascii="宋体" w:hAnsi="宋体"/>
          <w:color w:val="auto"/>
          <w:sz w:val="24"/>
        </w:rPr>
      </w:pPr>
      <w:r>
        <w:rPr>
          <w:rFonts w:hint="eastAsia" w:ascii="宋体" w:hAnsi="宋体"/>
          <w:color w:val="auto"/>
          <w:sz w:val="24"/>
        </w:rPr>
        <w:t>第七章  投标文件格式</w:t>
      </w:r>
    </w:p>
    <w:p w14:paraId="4571615F">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5</w:t>
      </w:r>
      <w:r>
        <w:rPr>
          <w:rFonts w:ascii="宋体" w:hAnsi="宋体"/>
          <w:color w:val="auto"/>
          <w:sz w:val="24"/>
        </w:rPr>
        <w:t>.2</w:t>
      </w:r>
      <w:r>
        <w:rPr>
          <w:rFonts w:hint="eastAsia" w:ascii="宋体" w:hAnsi="宋体"/>
          <w:color w:val="auto"/>
          <w:sz w:val="24"/>
        </w:rPr>
        <w:t xml:space="preserve"> 招标文件</w:t>
      </w:r>
      <w:r>
        <w:rPr>
          <w:rFonts w:ascii="宋体" w:hAnsi="宋体"/>
          <w:color w:val="auto"/>
          <w:sz w:val="24"/>
        </w:rPr>
        <w:t>中有不一致的，有澄清的部分</w:t>
      </w:r>
      <w:r>
        <w:rPr>
          <w:rFonts w:hint="eastAsia" w:ascii="宋体" w:hAnsi="宋体"/>
          <w:color w:val="auto"/>
          <w:sz w:val="24"/>
        </w:rPr>
        <w:t>以</w:t>
      </w:r>
      <w:r>
        <w:rPr>
          <w:rFonts w:ascii="宋体" w:hAnsi="宋体"/>
          <w:color w:val="auto"/>
          <w:sz w:val="24"/>
        </w:rPr>
        <w:t>最终的澄清更正内容为准</w:t>
      </w:r>
      <w:r>
        <w:rPr>
          <w:rFonts w:hint="eastAsia" w:ascii="宋体" w:hAnsi="宋体"/>
          <w:color w:val="auto"/>
          <w:sz w:val="24"/>
        </w:rPr>
        <w:t>；未澄清的，</w:t>
      </w:r>
      <w:r>
        <w:rPr>
          <w:rFonts w:ascii="宋体" w:hAnsi="宋体"/>
          <w:color w:val="auto"/>
          <w:sz w:val="24"/>
        </w:rPr>
        <w:t>以投标须知</w:t>
      </w:r>
      <w:r>
        <w:rPr>
          <w:rFonts w:hint="eastAsia" w:ascii="宋体" w:hAnsi="宋体"/>
          <w:color w:val="auto"/>
          <w:sz w:val="24"/>
        </w:rPr>
        <w:t>前附表</w:t>
      </w:r>
      <w:r>
        <w:rPr>
          <w:rFonts w:ascii="宋体" w:hAnsi="宋体"/>
          <w:color w:val="auto"/>
          <w:sz w:val="24"/>
        </w:rPr>
        <w:t>为准</w:t>
      </w:r>
      <w:r>
        <w:rPr>
          <w:rFonts w:hint="eastAsia" w:ascii="宋体" w:hAnsi="宋体"/>
          <w:color w:val="auto"/>
          <w:sz w:val="24"/>
        </w:rPr>
        <w:t>；</w:t>
      </w:r>
      <w:r>
        <w:rPr>
          <w:rFonts w:ascii="宋体" w:hAnsi="宋体"/>
          <w:color w:val="auto"/>
          <w:sz w:val="24"/>
        </w:rPr>
        <w:t>投标须知</w:t>
      </w:r>
      <w:r>
        <w:rPr>
          <w:rFonts w:hint="eastAsia" w:ascii="宋体" w:hAnsi="宋体"/>
          <w:color w:val="auto"/>
          <w:sz w:val="24"/>
        </w:rPr>
        <w:t>前附表不涉及的内容，以编排在后的最后描述为准。</w:t>
      </w:r>
    </w:p>
    <w:p w14:paraId="3A506D6F">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5.3 投标人应认真阅读招标文件所有的事项、格式、条款和技术规范等。如投标人没有按照招标文件要求提交全部资料，或者投标文件没有对招标文件的实质性要求做出响应，其投标将被认定为</w:t>
      </w:r>
      <w:r>
        <w:rPr>
          <w:rFonts w:hint="eastAsia" w:ascii="宋体" w:hAnsi="宋体"/>
          <w:b/>
          <w:color w:val="auto"/>
          <w:sz w:val="24"/>
        </w:rPr>
        <w:t>投标无效</w:t>
      </w:r>
      <w:r>
        <w:rPr>
          <w:rFonts w:hint="eastAsia" w:ascii="宋体" w:hAnsi="宋体"/>
          <w:color w:val="auto"/>
          <w:sz w:val="24"/>
        </w:rPr>
        <w:t>。</w:t>
      </w:r>
    </w:p>
    <w:p w14:paraId="1A0B4E53">
      <w:pPr>
        <w:pageBreakBefore w:val="0"/>
        <w:kinsoku/>
        <w:overflowPunct/>
        <w:topLinePunct w:val="0"/>
        <w:bidi w:val="0"/>
        <w:spacing w:line="360" w:lineRule="auto"/>
        <w:ind w:left="0" w:leftChars="0" w:firstLine="0" w:firstLineChars="0"/>
        <w:jc w:val="left"/>
        <w:textAlignment w:val="auto"/>
        <w:outlineLvl w:val="1"/>
        <w:rPr>
          <w:rFonts w:ascii="宋体" w:hAnsi="宋体"/>
          <w:color w:val="auto"/>
          <w:sz w:val="24"/>
        </w:rPr>
      </w:pPr>
      <w:r>
        <w:rPr>
          <w:rFonts w:hint="eastAsia" w:ascii="宋体" w:hAnsi="宋体"/>
          <w:color w:val="auto"/>
          <w:sz w:val="24"/>
        </w:rPr>
        <w:t xml:space="preserve">5.4 </w:t>
      </w:r>
      <w:r>
        <w:rPr>
          <w:rFonts w:ascii="宋体" w:hAnsi="宋体"/>
          <w:color w:val="auto"/>
          <w:sz w:val="24"/>
        </w:rPr>
        <w:t>现场考察或者答疑会</w:t>
      </w:r>
      <w:r>
        <w:rPr>
          <w:rFonts w:hint="eastAsia" w:ascii="宋体" w:hAnsi="宋体"/>
          <w:color w:val="auto"/>
          <w:sz w:val="24"/>
        </w:rPr>
        <w:t>及相关</w:t>
      </w:r>
      <w:r>
        <w:rPr>
          <w:rFonts w:ascii="宋体" w:hAnsi="宋体"/>
          <w:color w:val="auto"/>
          <w:sz w:val="24"/>
        </w:rPr>
        <w:t>事项</w:t>
      </w:r>
      <w:r>
        <w:rPr>
          <w:rFonts w:hint="eastAsia" w:ascii="宋体" w:hAnsi="宋体"/>
          <w:color w:val="auto"/>
          <w:sz w:val="24"/>
        </w:rPr>
        <w:t>见</w:t>
      </w:r>
      <w:r>
        <w:rPr>
          <w:rFonts w:hint="eastAsia" w:ascii="宋体" w:hAnsi="宋体"/>
          <w:color w:val="auto"/>
          <w:sz w:val="24"/>
          <w:u w:val="single"/>
        </w:rPr>
        <w:t>投标须知前附表</w:t>
      </w:r>
      <w:r>
        <w:rPr>
          <w:rFonts w:hint="eastAsia" w:ascii="宋体" w:hAnsi="宋体"/>
          <w:color w:val="auto"/>
          <w:sz w:val="24"/>
        </w:rPr>
        <w:t>。</w:t>
      </w:r>
    </w:p>
    <w:p w14:paraId="5B8E009B">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bookmarkStart w:id="94" w:name="_Toc515904805"/>
      <w:bookmarkStart w:id="95" w:name="_Toc520356148"/>
      <w:bookmarkStart w:id="96" w:name="_Toc9232"/>
      <w:bookmarkStart w:id="97" w:name="_Toc532473456"/>
      <w:bookmarkStart w:id="98" w:name="_Toc2582270"/>
      <w:bookmarkStart w:id="99" w:name="_Toc26044"/>
      <w:r>
        <w:rPr>
          <w:rFonts w:hint="eastAsia" w:ascii="宋体" w:hAnsi="宋体"/>
          <w:color w:val="auto"/>
          <w:sz w:val="24"/>
        </w:rPr>
        <w:t>6.招标文件的澄清</w:t>
      </w:r>
      <w:bookmarkEnd w:id="94"/>
      <w:bookmarkEnd w:id="95"/>
      <w:r>
        <w:rPr>
          <w:rFonts w:hint="eastAsia" w:ascii="宋体" w:hAnsi="宋体"/>
          <w:color w:val="auto"/>
          <w:sz w:val="24"/>
        </w:rPr>
        <w:t>与</w:t>
      </w:r>
      <w:r>
        <w:rPr>
          <w:rFonts w:ascii="宋体" w:hAnsi="宋体"/>
          <w:color w:val="auto"/>
          <w:sz w:val="24"/>
        </w:rPr>
        <w:t>修改</w:t>
      </w:r>
      <w:bookmarkEnd w:id="96"/>
      <w:bookmarkEnd w:id="97"/>
      <w:bookmarkEnd w:id="98"/>
      <w:bookmarkEnd w:id="99"/>
    </w:p>
    <w:p w14:paraId="625872C7">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bookmarkStart w:id="100" w:name="_Ref467378678"/>
      <w:bookmarkStart w:id="101" w:name="_Toc520356149"/>
      <w:bookmarkStart w:id="102" w:name="_Toc515904806"/>
      <w:r>
        <w:rPr>
          <w:rFonts w:hint="eastAsia" w:ascii="宋体" w:hAnsi="宋体"/>
          <w:color w:val="auto"/>
          <w:sz w:val="24"/>
        </w:rPr>
        <w:t>6.1 采购人可主动地或在解答投标人提出的澄清问题时对招标文件进行澄清或修改。采购代理机构将以发布澄清（更正）公告的方式，澄清或修改招标文件，澄清或修改内容作为招标文件的组成部分。</w:t>
      </w:r>
    </w:p>
    <w:p w14:paraId="043237B3">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6.2 澄清或者修改的内容可能影响投标文件编制的，采购代理机构将以书面形式通知所有获取招标文件的潜在投标人，并对其具有约束力。投标人在收到上述通知后，应及时向采购代理机构确认。投标人未回复的，视同已知晓澄清或者修改的内容。</w:t>
      </w:r>
    </w:p>
    <w:p w14:paraId="6A4C551B">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因潜在投标人原因或通讯线路故障导致通知逾期送达或无法送达，采购代理机构不因此承担任何责任，有关的招标采购活动可以继续有效进行。</w:t>
      </w:r>
    </w:p>
    <w:p w14:paraId="06A1BA6D">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bookmarkStart w:id="103" w:name="_Toc2582271"/>
      <w:bookmarkStart w:id="104" w:name="_Toc25635"/>
      <w:bookmarkStart w:id="105" w:name="_Toc14569"/>
      <w:bookmarkStart w:id="106" w:name="_Toc532473457"/>
      <w:r>
        <w:rPr>
          <w:rFonts w:hint="eastAsia" w:ascii="宋体" w:hAnsi="宋体"/>
          <w:color w:val="auto"/>
          <w:sz w:val="24"/>
        </w:rPr>
        <w:t>7</w:t>
      </w:r>
      <w:bookmarkEnd w:id="100"/>
      <w:bookmarkEnd w:id="101"/>
      <w:bookmarkEnd w:id="102"/>
      <w:r>
        <w:rPr>
          <w:rFonts w:hint="eastAsia" w:ascii="宋体" w:hAnsi="宋体"/>
          <w:color w:val="auto"/>
          <w:sz w:val="24"/>
        </w:rPr>
        <w:t>.投标截止</w:t>
      </w:r>
      <w:r>
        <w:rPr>
          <w:rFonts w:ascii="宋体" w:hAnsi="宋体"/>
          <w:color w:val="auto"/>
          <w:sz w:val="24"/>
        </w:rPr>
        <w:t>时间的顺延</w:t>
      </w:r>
      <w:bookmarkEnd w:id="103"/>
      <w:bookmarkEnd w:id="104"/>
      <w:bookmarkEnd w:id="105"/>
      <w:bookmarkEnd w:id="106"/>
    </w:p>
    <w:p w14:paraId="32AB7879">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为使投标人有足够的时间对招标文件的澄清或者修改部分进行研究而准备投标或因其他原因，采购人将依法决定是否顺延投标截止时间。</w:t>
      </w:r>
    </w:p>
    <w:p w14:paraId="2B054D03">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bookmarkStart w:id="107" w:name="_Toc516367020"/>
      <w:bookmarkStart w:id="108" w:name="_Toc7636"/>
      <w:bookmarkStart w:id="109" w:name="_Toc2582272"/>
      <w:bookmarkStart w:id="110" w:name="_Toc532473458"/>
      <w:bookmarkStart w:id="111" w:name="_Toc216582807"/>
      <w:bookmarkStart w:id="112" w:name="_Toc520356150"/>
      <w:bookmarkStart w:id="113" w:name="_Toc515647766"/>
      <w:bookmarkStart w:id="114" w:name="_Toc30808"/>
    </w:p>
    <w:p w14:paraId="53FCF8E3">
      <w:pPr>
        <w:pageBreakBefore w:val="0"/>
        <w:kinsoku/>
        <w:overflowPunct/>
        <w:topLinePunct w:val="0"/>
        <w:bidi w:val="0"/>
        <w:spacing w:line="360" w:lineRule="auto"/>
        <w:ind w:left="0" w:leftChars="0" w:firstLine="0" w:firstLineChars="0"/>
        <w:jc w:val="left"/>
        <w:textAlignment w:val="auto"/>
        <w:outlineLvl w:val="3"/>
        <w:rPr>
          <w:rFonts w:hint="eastAsia" w:ascii="宋体" w:hAnsi="宋体"/>
          <w:b/>
          <w:color w:val="auto"/>
          <w:sz w:val="24"/>
        </w:rPr>
      </w:pPr>
      <w:bookmarkStart w:id="115" w:name="_Toc21413"/>
      <w:r>
        <w:rPr>
          <w:rFonts w:hint="eastAsia" w:ascii="宋体" w:hAnsi="宋体"/>
          <w:b/>
          <w:color w:val="auto"/>
          <w:sz w:val="24"/>
        </w:rPr>
        <w:t>三  投标文件</w:t>
      </w:r>
      <w:bookmarkEnd w:id="107"/>
      <w:r>
        <w:rPr>
          <w:rFonts w:hint="eastAsia" w:ascii="宋体" w:hAnsi="宋体"/>
          <w:b/>
          <w:color w:val="auto"/>
          <w:sz w:val="24"/>
        </w:rPr>
        <w:t>的编制</w:t>
      </w:r>
      <w:bookmarkEnd w:id="108"/>
      <w:bookmarkEnd w:id="109"/>
      <w:bookmarkEnd w:id="110"/>
      <w:bookmarkEnd w:id="111"/>
      <w:bookmarkEnd w:id="112"/>
      <w:bookmarkEnd w:id="113"/>
      <w:bookmarkEnd w:id="114"/>
      <w:bookmarkEnd w:id="115"/>
    </w:p>
    <w:p w14:paraId="29AA3652">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bookmarkStart w:id="116" w:name="_Toc3553"/>
      <w:bookmarkStart w:id="117" w:name="_Toc515647767"/>
      <w:bookmarkStart w:id="118" w:name="_Toc532473459"/>
      <w:bookmarkStart w:id="119" w:name="_Toc516367021"/>
      <w:bookmarkStart w:id="120" w:name="_Toc7786"/>
      <w:bookmarkStart w:id="121" w:name="_Toc520356151"/>
      <w:bookmarkStart w:id="122" w:name="_Toc2582273"/>
      <w:r>
        <w:rPr>
          <w:rFonts w:hint="eastAsia" w:ascii="宋体" w:hAnsi="宋体"/>
          <w:color w:val="auto"/>
          <w:sz w:val="24"/>
        </w:rPr>
        <w:t>8</w:t>
      </w:r>
      <w:r>
        <w:rPr>
          <w:rFonts w:ascii="宋体" w:hAnsi="宋体"/>
          <w:color w:val="auto"/>
          <w:sz w:val="24"/>
        </w:rPr>
        <w:t>.</w:t>
      </w:r>
      <w:r>
        <w:rPr>
          <w:rFonts w:hint="eastAsia" w:ascii="宋体" w:hAnsi="宋体"/>
          <w:color w:val="auto"/>
          <w:sz w:val="24"/>
        </w:rPr>
        <w:t>投标范围及投标文件中标准和计量单位的使用</w:t>
      </w:r>
      <w:bookmarkEnd w:id="116"/>
      <w:bookmarkEnd w:id="117"/>
      <w:bookmarkEnd w:id="118"/>
      <w:bookmarkEnd w:id="119"/>
      <w:bookmarkEnd w:id="120"/>
      <w:bookmarkEnd w:id="121"/>
      <w:bookmarkEnd w:id="122"/>
    </w:p>
    <w:p w14:paraId="2B50A072">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 xml:space="preserve"> 投标人可对招标文件中一个或几个分包进行投标，除非在</w:t>
      </w:r>
      <w:r>
        <w:rPr>
          <w:rFonts w:hint="eastAsia" w:ascii="宋体" w:hAnsi="宋体"/>
          <w:color w:val="auto"/>
          <w:sz w:val="24"/>
          <w:u w:val="single"/>
        </w:rPr>
        <w:t>投标须知前附表</w:t>
      </w:r>
      <w:r>
        <w:rPr>
          <w:rFonts w:hint="eastAsia" w:ascii="宋体" w:hAnsi="宋体"/>
          <w:color w:val="auto"/>
          <w:sz w:val="24"/>
        </w:rPr>
        <w:t>中另有规定。</w:t>
      </w:r>
    </w:p>
    <w:p w14:paraId="4AB52FCE">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8.2 投标人应当</w:t>
      </w:r>
      <w:r>
        <w:rPr>
          <w:rFonts w:ascii="宋体" w:hAnsi="宋体"/>
          <w:color w:val="auto"/>
          <w:sz w:val="24"/>
        </w:rPr>
        <w:t>对所投分包</w:t>
      </w:r>
      <w:r>
        <w:rPr>
          <w:rFonts w:hint="eastAsia" w:ascii="宋体" w:hAnsi="宋体"/>
          <w:color w:val="auto"/>
          <w:sz w:val="24"/>
        </w:rPr>
        <w:t>招标文件中“采购需求”所列的所有内容进行投标，</w:t>
      </w:r>
      <w:r>
        <w:rPr>
          <w:rFonts w:ascii="宋体" w:hAnsi="宋体"/>
          <w:color w:val="auto"/>
          <w:sz w:val="24"/>
        </w:rPr>
        <w:t>如</w:t>
      </w:r>
      <w:r>
        <w:rPr>
          <w:rFonts w:hint="eastAsia" w:ascii="宋体" w:hAnsi="宋体"/>
          <w:color w:val="auto"/>
          <w:sz w:val="24"/>
        </w:rPr>
        <w:t>仅</w:t>
      </w:r>
      <w:r>
        <w:rPr>
          <w:rFonts w:ascii="宋体" w:hAnsi="宋体"/>
          <w:color w:val="auto"/>
          <w:sz w:val="24"/>
        </w:rPr>
        <w:t>响应</w:t>
      </w:r>
      <w:r>
        <w:rPr>
          <w:rFonts w:hint="eastAsia" w:ascii="宋体" w:hAnsi="宋体"/>
          <w:color w:val="auto"/>
          <w:sz w:val="24"/>
        </w:rPr>
        <w:t>分包中的部分内容</w:t>
      </w:r>
      <w:r>
        <w:rPr>
          <w:rFonts w:ascii="宋体" w:hAnsi="宋体"/>
          <w:color w:val="auto"/>
          <w:sz w:val="24"/>
        </w:rPr>
        <w:t>，其投标</w:t>
      </w:r>
      <w:r>
        <w:rPr>
          <w:rFonts w:hint="eastAsia" w:ascii="宋体" w:hAnsi="宋体"/>
          <w:color w:val="auto"/>
          <w:sz w:val="24"/>
        </w:rPr>
        <w:t>将被认定为</w:t>
      </w:r>
      <w:r>
        <w:rPr>
          <w:rFonts w:hint="eastAsia" w:ascii="宋体" w:hAnsi="宋体"/>
          <w:b/>
          <w:bCs/>
          <w:color w:val="auto"/>
          <w:sz w:val="24"/>
        </w:rPr>
        <w:t>投标无效。</w:t>
      </w:r>
    </w:p>
    <w:p w14:paraId="0DDF7146">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8.3 无论招标文件中是否要求，投标人所投服务及其伴随的货物和工程均应符合国家强制性标准。</w:t>
      </w:r>
    </w:p>
    <w:p w14:paraId="0CE46A87">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8.4 除招标文件中有特殊要求外，投标文件中所使用的计量单位，应采用中华人民共和国法定计量单位。</w:t>
      </w:r>
    </w:p>
    <w:p w14:paraId="36B56D26">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bookmarkStart w:id="123" w:name="_Ref467306676"/>
      <w:bookmarkStart w:id="124" w:name="_Toc516367022"/>
      <w:bookmarkStart w:id="125" w:name="_Ref467306195"/>
      <w:bookmarkStart w:id="126" w:name="_Toc520356152"/>
      <w:bookmarkStart w:id="127" w:name="_Toc515647768"/>
      <w:bookmarkStart w:id="128" w:name="_Toc10364"/>
      <w:bookmarkStart w:id="129" w:name="_Toc2582274"/>
      <w:bookmarkStart w:id="130" w:name="_Toc532473460"/>
      <w:bookmarkStart w:id="131" w:name="_Toc28307"/>
      <w:r>
        <w:rPr>
          <w:rFonts w:hint="eastAsia" w:ascii="宋体" w:hAnsi="宋体"/>
          <w:color w:val="auto"/>
          <w:sz w:val="24"/>
        </w:rPr>
        <w:t>9</w:t>
      </w:r>
      <w:r>
        <w:rPr>
          <w:rFonts w:ascii="宋体" w:hAnsi="宋体"/>
          <w:color w:val="auto"/>
          <w:sz w:val="24"/>
        </w:rPr>
        <w:t>.</w:t>
      </w:r>
      <w:r>
        <w:rPr>
          <w:rFonts w:hint="eastAsia" w:ascii="宋体" w:hAnsi="宋体"/>
          <w:color w:val="auto"/>
          <w:sz w:val="24"/>
        </w:rPr>
        <w:t>投标文件</w:t>
      </w:r>
      <w:bookmarkEnd w:id="123"/>
      <w:bookmarkEnd w:id="124"/>
      <w:bookmarkEnd w:id="125"/>
      <w:r>
        <w:rPr>
          <w:rFonts w:hint="eastAsia" w:ascii="宋体" w:hAnsi="宋体"/>
          <w:color w:val="auto"/>
          <w:sz w:val="24"/>
        </w:rPr>
        <w:t>组成</w:t>
      </w:r>
      <w:bookmarkEnd w:id="126"/>
      <w:bookmarkEnd w:id="127"/>
      <w:bookmarkEnd w:id="128"/>
      <w:bookmarkEnd w:id="129"/>
      <w:bookmarkEnd w:id="130"/>
      <w:bookmarkEnd w:id="131"/>
    </w:p>
    <w:p w14:paraId="030C81CC">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bookmarkStart w:id="132" w:name="_Ref467052588"/>
      <w:r>
        <w:rPr>
          <w:rFonts w:hint="eastAsia" w:ascii="宋体" w:hAnsi="宋体"/>
          <w:color w:val="auto"/>
          <w:sz w:val="24"/>
        </w:rPr>
        <w:t>9</w:t>
      </w:r>
      <w:r>
        <w:rPr>
          <w:rFonts w:ascii="宋体" w:hAnsi="宋体"/>
          <w:color w:val="auto"/>
          <w:sz w:val="24"/>
        </w:rPr>
        <w:t>.1</w:t>
      </w:r>
      <w:r>
        <w:rPr>
          <w:rFonts w:hint="eastAsia" w:ascii="宋体" w:hAnsi="宋体"/>
          <w:color w:val="auto"/>
          <w:sz w:val="24"/>
        </w:rPr>
        <w:t xml:space="preserve"> </w:t>
      </w:r>
      <w:r>
        <w:rPr>
          <w:rFonts w:ascii="宋体" w:hAnsi="宋体"/>
          <w:color w:val="auto"/>
          <w:sz w:val="24"/>
        </w:rPr>
        <w:t>投标文件由</w:t>
      </w:r>
      <w:r>
        <w:rPr>
          <w:rFonts w:hint="eastAsia" w:ascii="宋体" w:hAnsi="宋体"/>
          <w:color w:val="auto"/>
          <w:sz w:val="24"/>
        </w:rPr>
        <w:t>“第一部分 资格证明文件”和“第二部分 商务及技术文件”组成。投标人应完整地按照招标文件提供的投标文件格式及要求编写投标文件。投标文件中资格审查和符合性审查涉及的事项不满足招标文件要求的，其投标将被认定为</w:t>
      </w:r>
      <w:r>
        <w:rPr>
          <w:rFonts w:hint="eastAsia" w:ascii="宋体" w:hAnsi="宋体"/>
          <w:b/>
          <w:bCs/>
          <w:color w:val="auto"/>
          <w:sz w:val="24"/>
        </w:rPr>
        <w:t>投标无效</w:t>
      </w:r>
      <w:r>
        <w:rPr>
          <w:rFonts w:hint="eastAsia" w:ascii="宋体" w:hAnsi="宋体"/>
          <w:color w:val="auto"/>
          <w:sz w:val="24"/>
        </w:rPr>
        <w:t>。</w:t>
      </w:r>
    </w:p>
    <w:p w14:paraId="5F3CF19F">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9.</w:t>
      </w:r>
      <w:r>
        <w:rPr>
          <w:rFonts w:ascii="宋体" w:hAnsi="宋体"/>
          <w:color w:val="auto"/>
          <w:sz w:val="24"/>
        </w:rPr>
        <w:t>2</w:t>
      </w:r>
      <w:r>
        <w:rPr>
          <w:rFonts w:hint="eastAsia" w:ascii="宋体" w:hAnsi="宋体"/>
          <w:color w:val="auto"/>
          <w:sz w:val="24"/>
        </w:rPr>
        <w:t xml:space="preserve"> 上述文件应按照招标文件的规定签署</w:t>
      </w:r>
      <w:bookmarkStart w:id="133" w:name="_Hlk1734277"/>
      <w:r>
        <w:rPr>
          <w:rFonts w:hint="eastAsia" w:ascii="宋体" w:hAnsi="宋体"/>
          <w:color w:val="auto"/>
          <w:sz w:val="24"/>
        </w:rPr>
        <w:t>和盖公章或</w:t>
      </w:r>
      <w:r>
        <w:rPr>
          <w:rFonts w:ascii="宋体" w:hAnsi="宋体"/>
          <w:color w:val="auto"/>
          <w:sz w:val="24"/>
        </w:rPr>
        <w:t>经公章授权的</w:t>
      </w:r>
      <w:r>
        <w:rPr>
          <w:rFonts w:hint="eastAsia" w:ascii="宋体" w:hAnsi="宋体"/>
          <w:color w:val="auto"/>
          <w:sz w:val="24"/>
        </w:rPr>
        <w:t>其他</w:t>
      </w:r>
      <w:r>
        <w:rPr>
          <w:rFonts w:ascii="宋体" w:hAnsi="宋体"/>
          <w:color w:val="auto"/>
          <w:sz w:val="24"/>
        </w:rPr>
        <w:t>单位章</w:t>
      </w:r>
      <w:r>
        <w:rPr>
          <w:rFonts w:hint="eastAsia" w:ascii="宋体" w:hAnsi="宋体"/>
          <w:color w:val="auto"/>
          <w:sz w:val="24"/>
        </w:rPr>
        <w:t>（以下统称公章）</w:t>
      </w:r>
      <w:bookmarkEnd w:id="133"/>
      <w:r>
        <w:rPr>
          <w:rFonts w:hint="eastAsia" w:ascii="宋体" w:hAnsi="宋体"/>
          <w:color w:val="auto"/>
          <w:sz w:val="24"/>
        </w:rPr>
        <w:t>。采用公章授权方式的，应当在投标文件第一部分附公章授权书（格式自定）。</w:t>
      </w:r>
    </w:p>
    <w:bookmarkEnd w:id="132"/>
    <w:p w14:paraId="103C16D8">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bookmarkStart w:id="134" w:name="_Toc520356153"/>
      <w:bookmarkStart w:id="135" w:name="_Toc10379"/>
      <w:bookmarkStart w:id="136" w:name="_Toc515647769"/>
      <w:bookmarkStart w:id="137" w:name="_Toc4601"/>
      <w:bookmarkStart w:id="138" w:name="_Toc516367023"/>
      <w:bookmarkStart w:id="139" w:name="_Toc2582275"/>
      <w:bookmarkStart w:id="140" w:name="_Toc532473461"/>
      <w:r>
        <w:rPr>
          <w:rFonts w:hint="eastAsia" w:ascii="宋体" w:hAnsi="宋体"/>
          <w:color w:val="auto"/>
          <w:sz w:val="24"/>
        </w:rPr>
        <w:t>10</w:t>
      </w:r>
      <w:r>
        <w:rPr>
          <w:rFonts w:ascii="宋体" w:hAnsi="宋体"/>
          <w:color w:val="auto"/>
          <w:sz w:val="24"/>
        </w:rPr>
        <w:t>.</w:t>
      </w:r>
      <w:r>
        <w:rPr>
          <w:rFonts w:hint="eastAsia" w:ascii="宋体" w:hAnsi="宋体"/>
          <w:color w:val="auto"/>
          <w:sz w:val="24"/>
        </w:rPr>
        <w:t>证明投标标的的合格性和符合招标文件规定的技术文件</w:t>
      </w:r>
      <w:bookmarkEnd w:id="134"/>
      <w:bookmarkEnd w:id="135"/>
      <w:bookmarkEnd w:id="136"/>
      <w:bookmarkEnd w:id="137"/>
      <w:bookmarkEnd w:id="138"/>
      <w:bookmarkEnd w:id="139"/>
      <w:bookmarkEnd w:id="140"/>
    </w:p>
    <w:p w14:paraId="5E6C55A5">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10</w:t>
      </w:r>
      <w:r>
        <w:rPr>
          <w:rFonts w:ascii="宋体" w:hAnsi="宋体"/>
          <w:color w:val="auto"/>
          <w:sz w:val="24"/>
        </w:rPr>
        <w:t>.1</w:t>
      </w:r>
      <w:r>
        <w:rPr>
          <w:rFonts w:hint="eastAsia" w:ascii="宋体" w:hAnsi="宋体"/>
          <w:color w:val="auto"/>
          <w:sz w:val="24"/>
        </w:rPr>
        <w:t xml:space="preserve"> 投标人应提交证明文件，证明其投标标的符合招标文件规定。该证明文件是投标文件的技术文件。</w:t>
      </w:r>
    </w:p>
    <w:p w14:paraId="4E7975D3">
      <w:pPr>
        <w:pageBreakBefore w:val="0"/>
        <w:kinsoku/>
        <w:overflowPunct/>
        <w:topLinePunct w:val="0"/>
        <w:bidi w:val="0"/>
        <w:spacing w:line="360" w:lineRule="auto"/>
        <w:ind w:left="0" w:leftChars="0" w:firstLine="0" w:firstLineChars="0"/>
        <w:jc w:val="left"/>
        <w:textAlignment w:val="auto"/>
        <w:outlineLvl w:val="1"/>
        <w:rPr>
          <w:rFonts w:ascii="宋体" w:hAnsi="宋体"/>
          <w:color w:val="auto"/>
          <w:sz w:val="24"/>
        </w:rPr>
      </w:pPr>
      <w:bookmarkStart w:id="141" w:name="_Ref467306244"/>
      <w:r>
        <w:rPr>
          <w:rFonts w:hint="eastAsia" w:ascii="宋体" w:hAnsi="宋体"/>
          <w:color w:val="auto"/>
          <w:sz w:val="24"/>
        </w:rPr>
        <w:t>10</w:t>
      </w:r>
      <w:r>
        <w:rPr>
          <w:rFonts w:ascii="宋体" w:hAnsi="宋体"/>
          <w:color w:val="auto"/>
          <w:sz w:val="24"/>
        </w:rPr>
        <w:t>.2</w:t>
      </w:r>
      <w:r>
        <w:rPr>
          <w:rFonts w:hint="eastAsia" w:ascii="宋体" w:hAnsi="宋体"/>
          <w:color w:val="auto"/>
          <w:sz w:val="24"/>
        </w:rPr>
        <w:t xml:space="preserve"> 上款所述的证明文件，可以是文字资料、图纸和数据</w:t>
      </w:r>
      <w:bookmarkEnd w:id="141"/>
      <w:r>
        <w:rPr>
          <w:rFonts w:hint="eastAsia" w:ascii="宋体" w:hAnsi="宋体"/>
          <w:color w:val="auto"/>
          <w:sz w:val="24"/>
        </w:rPr>
        <w:t>。</w:t>
      </w:r>
    </w:p>
    <w:p w14:paraId="3C137578">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10</w:t>
      </w:r>
      <w:r>
        <w:rPr>
          <w:rFonts w:ascii="宋体" w:hAnsi="宋体"/>
          <w:color w:val="auto"/>
          <w:sz w:val="24"/>
        </w:rPr>
        <w:t>.3</w:t>
      </w:r>
      <w:r>
        <w:rPr>
          <w:rFonts w:hint="eastAsia" w:ascii="宋体" w:hAnsi="宋体"/>
          <w:color w:val="auto"/>
          <w:sz w:val="24"/>
        </w:rPr>
        <w:t xml:space="preserve"> 本条所指证明文件不包括对招标文件相关部分的文字、图标的复制。</w:t>
      </w:r>
    </w:p>
    <w:p w14:paraId="58E2952D">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bookmarkStart w:id="142" w:name="_Toc515647770"/>
      <w:bookmarkStart w:id="143" w:name="_Toc2582276"/>
      <w:bookmarkStart w:id="144" w:name="_Toc2248"/>
      <w:bookmarkStart w:id="145" w:name="_Toc23231"/>
      <w:bookmarkStart w:id="146" w:name="_Toc532473462"/>
      <w:bookmarkStart w:id="147" w:name="_Toc520356155"/>
      <w:r>
        <w:rPr>
          <w:rFonts w:ascii="宋体" w:hAnsi="宋体"/>
          <w:color w:val="auto"/>
          <w:sz w:val="24"/>
        </w:rPr>
        <w:t>1</w:t>
      </w:r>
      <w:r>
        <w:rPr>
          <w:rFonts w:hint="eastAsia" w:ascii="宋体" w:hAnsi="宋体"/>
          <w:color w:val="auto"/>
          <w:sz w:val="24"/>
        </w:rPr>
        <w:t>1.投标报价</w:t>
      </w:r>
      <w:bookmarkEnd w:id="142"/>
      <w:bookmarkEnd w:id="143"/>
      <w:bookmarkEnd w:id="144"/>
      <w:bookmarkEnd w:id="145"/>
      <w:bookmarkEnd w:id="146"/>
      <w:bookmarkEnd w:id="147"/>
    </w:p>
    <w:p w14:paraId="131BDD1F">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1</w:t>
      </w:r>
      <w:r>
        <w:rPr>
          <w:rFonts w:hint="eastAsia" w:ascii="宋体" w:hAnsi="宋体"/>
          <w:color w:val="auto"/>
          <w:sz w:val="24"/>
        </w:rPr>
        <w:t>1</w:t>
      </w:r>
      <w:r>
        <w:rPr>
          <w:rFonts w:ascii="宋体" w:hAnsi="宋体"/>
          <w:color w:val="auto"/>
          <w:sz w:val="24"/>
        </w:rPr>
        <w:t>.1</w:t>
      </w:r>
      <w:r>
        <w:rPr>
          <w:rFonts w:hint="eastAsia" w:ascii="宋体" w:hAnsi="宋体"/>
          <w:color w:val="auto"/>
          <w:sz w:val="24"/>
        </w:rPr>
        <w:t xml:space="preserve"> </w:t>
      </w:r>
      <w:r>
        <w:rPr>
          <w:rFonts w:ascii="宋体" w:hAnsi="宋体"/>
          <w:color w:val="auto"/>
          <w:sz w:val="24"/>
        </w:rPr>
        <w:t>投标人的报价应当包括满足本次招标全部采购需求所应提供的</w:t>
      </w:r>
      <w:r>
        <w:rPr>
          <w:rFonts w:hint="eastAsia" w:ascii="宋体" w:hAnsi="宋体"/>
          <w:color w:val="auto"/>
          <w:sz w:val="24"/>
        </w:rPr>
        <w:t>服务，</w:t>
      </w:r>
      <w:r>
        <w:rPr>
          <w:rFonts w:ascii="宋体" w:hAnsi="宋体"/>
          <w:color w:val="auto"/>
          <w:sz w:val="24"/>
        </w:rPr>
        <w:t>以及伴随的</w:t>
      </w:r>
      <w:r>
        <w:rPr>
          <w:rFonts w:hint="eastAsia" w:ascii="宋体" w:hAnsi="宋体"/>
          <w:color w:val="auto"/>
          <w:sz w:val="24"/>
        </w:rPr>
        <w:t>货物</w:t>
      </w:r>
      <w:r>
        <w:rPr>
          <w:rFonts w:ascii="宋体" w:hAnsi="宋体"/>
          <w:color w:val="auto"/>
          <w:sz w:val="24"/>
        </w:rPr>
        <w:t>和工程</w:t>
      </w:r>
      <w:r>
        <w:rPr>
          <w:rFonts w:hint="eastAsia" w:ascii="宋体" w:hAnsi="宋体"/>
          <w:color w:val="auto"/>
          <w:sz w:val="24"/>
        </w:rPr>
        <w:t>。所有投标均应以人民币报价。投标人的投标报价应遵守《中华人民共和国价格法》。</w:t>
      </w:r>
    </w:p>
    <w:p w14:paraId="365B19B6">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1</w:t>
      </w:r>
      <w:r>
        <w:rPr>
          <w:rFonts w:hint="eastAsia" w:ascii="宋体" w:hAnsi="宋体"/>
          <w:color w:val="auto"/>
          <w:sz w:val="24"/>
        </w:rPr>
        <w:t>1</w:t>
      </w:r>
      <w:r>
        <w:rPr>
          <w:rFonts w:ascii="宋体" w:hAnsi="宋体"/>
          <w:color w:val="auto"/>
          <w:sz w:val="24"/>
        </w:rPr>
        <w:t>.2</w:t>
      </w:r>
      <w:r>
        <w:rPr>
          <w:rFonts w:hint="eastAsia" w:ascii="宋体" w:hAnsi="宋体"/>
          <w:color w:val="auto"/>
          <w:sz w:val="24"/>
        </w:rPr>
        <w:t xml:space="preserve"> 投标人应在投标分项报价表上标明分项服务、伴随的货物和工程的价格（如适用）和总价，并由法定代表人或其授权代表签署。</w:t>
      </w:r>
    </w:p>
    <w:p w14:paraId="63BEE3E8">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olor w:val="auto"/>
          <w:sz w:val="24"/>
        </w:rPr>
      </w:pPr>
      <w:r>
        <w:rPr>
          <w:rFonts w:ascii="宋体" w:hAnsi="宋体"/>
          <w:color w:val="auto"/>
          <w:sz w:val="24"/>
        </w:rPr>
        <w:t>1</w:t>
      </w:r>
      <w:r>
        <w:rPr>
          <w:rFonts w:hint="eastAsia" w:ascii="宋体" w:hAnsi="宋体"/>
          <w:color w:val="auto"/>
          <w:sz w:val="24"/>
        </w:rPr>
        <w:t>1</w:t>
      </w:r>
      <w:r>
        <w:rPr>
          <w:rFonts w:ascii="宋体" w:hAnsi="宋体"/>
          <w:color w:val="auto"/>
          <w:sz w:val="24"/>
        </w:rPr>
        <w:t>.3</w:t>
      </w:r>
      <w:r>
        <w:rPr>
          <w:rFonts w:hint="eastAsia" w:ascii="宋体" w:hAnsi="宋体"/>
          <w:color w:val="auto"/>
          <w:sz w:val="24"/>
        </w:rPr>
        <w:t>采购人不接受具有附加条件的报价或多个方案的报价。</w:t>
      </w:r>
    </w:p>
    <w:p w14:paraId="0D6A5C8E">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lang w:val="en-US" w:eastAsia="zh-CN"/>
        </w:rPr>
      </w:pPr>
      <w:r>
        <w:rPr>
          <w:rFonts w:hint="eastAsia" w:ascii="宋体" w:hAnsi="宋体"/>
          <w:color w:val="auto"/>
          <w:sz w:val="24"/>
        </w:rPr>
        <w:t>11</w:t>
      </w:r>
      <w:r>
        <w:rPr>
          <w:rFonts w:ascii="宋体" w:hAnsi="宋体"/>
          <w:color w:val="auto"/>
          <w:sz w:val="24"/>
        </w:rPr>
        <w:t>.</w:t>
      </w:r>
      <w:r>
        <w:rPr>
          <w:rFonts w:hint="eastAsia" w:ascii="宋体" w:hAnsi="宋体"/>
          <w:color w:val="auto"/>
          <w:sz w:val="24"/>
          <w:lang w:val="en-US" w:eastAsia="zh-CN"/>
        </w:rPr>
        <w:t>4</w:t>
      </w:r>
      <w:r>
        <w:rPr>
          <w:rFonts w:hint="eastAsia" w:ascii="宋体" w:hAnsi="宋体" w:eastAsia="宋体" w:cs="Times New Roman"/>
          <w:color w:val="auto"/>
          <w:sz w:val="24"/>
          <w:lang w:val="en-US" w:eastAsia="zh-CN"/>
        </w:rPr>
        <w:t>投标人必须整包进行投标，不得拆包分项投标。</w:t>
      </w:r>
    </w:p>
    <w:p w14:paraId="50D244A0">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lang w:val="en-US" w:eastAsia="zh-CN"/>
        </w:rPr>
      </w:pPr>
      <w:r>
        <w:rPr>
          <w:rFonts w:hint="eastAsia" w:ascii="宋体" w:hAnsi="宋体"/>
          <w:color w:val="auto"/>
          <w:sz w:val="24"/>
        </w:rPr>
        <w:t>11</w:t>
      </w:r>
      <w:r>
        <w:rPr>
          <w:rFonts w:ascii="宋体" w:hAnsi="宋体"/>
          <w:color w:val="auto"/>
          <w:sz w:val="24"/>
        </w:rPr>
        <w:t>.</w:t>
      </w:r>
      <w:r>
        <w:rPr>
          <w:rFonts w:hint="eastAsia" w:ascii="宋体" w:hAnsi="宋体"/>
          <w:color w:val="auto"/>
          <w:sz w:val="24"/>
          <w:lang w:val="en-US" w:eastAsia="zh-CN"/>
        </w:rPr>
        <w:t>5</w:t>
      </w:r>
      <w:r>
        <w:rPr>
          <w:rFonts w:hint="eastAsia" w:ascii="宋体" w:hAnsi="宋体" w:eastAsia="宋体" w:cs="Times New Roman"/>
          <w:color w:val="auto"/>
          <w:sz w:val="24"/>
          <w:lang w:val="en-US" w:eastAsia="zh-CN"/>
        </w:rPr>
        <w:t>本次招标不接受可选择或可调整的投标和报价。</w:t>
      </w:r>
    </w:p>
    <w:p w14:paraId="3962DC0A">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lang w:val="en-US" w:eastAsia="zh-CN"/>
        </w:rPr>
      </w:pPr>
      <w:r>
        <w:rPr>
          <w:rFonts w:hint="eastAsia" w:ascii="宋体" w:hAnsi="宋体"/>
          <w:color w:val="auto"/>
          <w:sz w:val="24"/>
        </w:rPr>
        <w:t>11</w:t>
      </w:r>
      <w:r>
        <w:rPr>
          <w:rFonts w:ascii="宋体" w:hAnsi="宋体"/>
          <w:color w:val="auto"/>
          <w:sz w:val="24"/>
        </w:rPr>
        <w:t>.</w:t>
      </w:r>
      <w:r>
        <w:rPr>
          <w:rFonts w:hint="eastAsia" w:ascii="宋体" w:hAnsi="宋体"/>
          <w:color w:val="auto"/>
          <w:sz w:val="24"/>
          <w:lang w:val="en-US" w:eastAsia="zh-CN"/>
        </w:rPr>
        <w:t>6</w:t>
      </w:r>
      <w:r>
        <w:rPr>
          <w:rFonts w:hint="eastAsia" w:ascii="宋体" w:hAnsi="宋体" w:eastAsia="宋体" w:cs="Times New Roman"/>
          <w:color w:val="auto"/>
          <w:sz w:val="24"/>
          <w:lang w:val="en-US" w:eastAsia="zh-CN"/>
        </w:rPr>
        <w:t>投标人应提供货物/服务的单价（包括货物的采购、包装、运输、安装、调试、培训、售后、维护及其他应有的费用）、总价及其他事项。</w:t>
      </w:r>
    </w:p>
    <w:p w14:paraId="02ED98D9">
      <w:pPr>
        <w:pageBreakBefore w:val="0"/>
        <w:kinsoku/>
        <w:overflowPunct/>
        <w:topLinePunct w:val="0"/>
        <w:bidi w:val="0"/>
        <w:spacing w:line="360" w:lineRule="auto"/>
        <w:ind w:left="0" w:leftChars="0" w:firstLine="0" w:firstLineChars="0"/>
        <w:jc w:val="left"/>
        <w:textAlignment w:val="auto"/>
        <w:rPr>
          <w:rFonts w:hint="eastAsia" w:ascii="宋体" w:hAnsi="宋体" w:eastAsia="宋体" w:cs="Times New Roman"/>
          <w:color w:val="auto"/>
          <w:sz w:val="24"/>
          <w:lang w:val="en-US" w:eastAsia="zh-CN"/>
        </w:rPr>
      </w:pPr>
      <w:r>
        <w:rPr>
          <w:rFonts w:hint="eastAsia" w:ascii="宋体" w:hAnsi="宋体"/>
          <w:color w:val="auto"/>
          <w:sz w:val="24"/>
        </w:rPr>
        <w:t>11</w:t>
      </w:r>
      <w:r>
        <w:rPr>
          <w:rFonts w:ascii="宋体" w:hAnsi="宋体"/>
          <w:color w:val="auto"/>
          <w:sz w:val="24"/>
        </w:rPr>
        <w:t>.</w:t>
      </w:r>
      <w:r>
        <w:rPr>
          <w:rFonts w:hint="eastAsia" w:ascii="宋体" w:hAnsi="宋体"/>
          <w:color w:val="auto"/>
          <w:sz w:val="24"/>
          <w:lang w:val="en-US" w:eastAsia="zh-CN"/>
        </w:rPr>
        <w:t>7</w:t>
      </w:r>
      <w:r>
        <w:rPr>
          <w:rFonts w:hint="eastAsia" w:ascii="宋体" w:hAnsi="宋体" w:eastAsia="宋体" w:cs="Times New Roman"/>
          <w:color w:val="auto"/>
          <w:sz w:val="24"/>
          <w:lang w:val="en-US" w:eastAsia="zh-CN"/>
        </w:rPr>
        <w:t>任何超出招标文件要求而额外赠送的货物、服务等其他形式的优惠，在评标时将不作为价格折算的必备条件。</w:t>
      </w:r>
    </w:p>
    <w:p w14:paraId="0D770AD0">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bookmarkStart w:id="148" w:name="_Toc17788"/>
      <w:bookmarkStart w:id="149" w:name="_Toc11514"/>
      <w:bookmarkStart w:id="150" w:name="_Toc520356156"/>
      <w:bookmarkStart w:id="151" w:name="_Toc515647771"/>
      <w:bookmarkStart w:id="152" w:name="_Toc532473463"/>
      <w:bookmarkStart w:id="153" w:name="_Toc2582277"/>
      <w:bookmarkStart w:id="154" w:name="_Ref467306513"/>
      <w:r>
        <w:rPr>
          <w:rFonts w:ascii="宋体" w:hAnsi="宋体"/>
          <w:color w:val="auto"/>
          <w:sz w:val="24"/>
        </w:rPr>
        <w:t>1</w:t>
      </w:r>
      <w:r>
        <w:rPr>
          <w:rFonts w:hint="eastAsia" w:ascii="宋体" w:hAnsi="宋体"/>
          <w:color w:val="auto"/>
          <w:sz w:val="24"/>
        </w:rPr>
        <w:t>2.投标保证金</w:t>
      </w:r>
      <w:bookmarkEnd w:id="148"/>
      <w:bookmarkEnd w:id="149"/>
      <w:bookmarkEnd w:id="150"/>
      <w:bookmarkEnd w:id="151"/>
      <w:bookmarkEnd w:id="152"/>
      <w:bookmarkEnd w:id="153"/>
      <w:bookmarkEnd w:id="154"/>
    </w:p>
    <w:p w14:paraId="37A9F635">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bookmarkStart w:id="155" w:name="_Ref467306302"/>
      <w:r>
        <w:rPr>
          <w:rFonts w:ascii="宋体" w:hAnsi="宋体"/>
          <w:color w:val="auto"/>
          <w:sz w:val="24"/>
        </w:rPr>
        <w:t>1</w:t>
      </w:r>
      <w:r>
        <w:rPr>
          <w:rFonts w:hint="eastAsia" w:ascii="宋体" w:hAnsi="宋体"/>
          <w:color w:val="auto"/>
          <w:sz w:val="24"/>
        </w:rPr>
        <w:t>2</w:t>
      </w:r>
      <w:r>
        <w:rPr>
          <w:rFonts w:ascii="宋体" w:hAnsi="宋体"/>
          <w:color w:val="auto"/>
          <w:sz w:val="24"/>
        </w:rPr>
        <w:t>.1</w:t>
      </w:r>
      <w:r>
        <w:rPr>
          <w:rFonts w:hint="eastAsia" w:ascii="宋体" w:hAnsi="宋体"/>
          <w:color w:val="auto"/>
          <w:sz w:val="24"/>
        </w:rPr>
        <w:t xml:space="preserve"> </w:t>
      </w:r>
      <w:bookmarkEnd w:id="155"/>
      <w:r>
        <w:rPr>
          <w:rFonts w:hint="eastAsia" w:ascii="宋体" w:hAnsi="宋体"/>
          <w:color w:val="auto"/>
          <w:sz w:val="24"/>
        </w:rPr>
        <w:t>投标人在递交投标文件的同时，应按投标须知前附表规定的金额、形式递交投标保证金，并作为其投标文件的组成部分。境内投标人以现金转账形式提交的投标保证金，应当从其基本账户转出并在投标文件中附上基本账户开户证明。联合体投标的，其投标保证金可以由牵头人递交。</w:t>
      </w:r>
    </w:p>
    <w:p w14:paraId="37C5CB88">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12</w:t>
      </w:r>
      <w:r>
        <w:rPr>
          <w:rFonts w:hint="eastAsia" w:ascii="宋体" w:hAnsi="宋体"/>
          <w:color w:val="auto"/>
          <w:sz w:val="24"/>
        </w:rPr>
        <w:t>.2 投标人不按要求提交投标保证金的，其投标将被认定为</w:t>
      </w:r>
      <w:r>
        <w:rPr>
          <w:rFonts w:hint="eastAsia" w:ascii="宋体" w:hAnsi="宋体"/>
          <w:b/>
          <w:color w:val="auto"/>
          <w:sz w:val="24"/>
        </w:rPr>
        <w:t>投标无效</w:t>
      </w:r>
      <w:r>
        <w:rPr>
          <w:rFonts w:hint="eastAsia" w:ascii="宋体" w:hAnsi="宋体"/>
          <w:color w:val="auto"/>
          <w:sz w:val="24"/>
        </w:rPr>
        <w:t>。</w:t>
      </w:r>
    </w:p>
    <w:p w14:paraId="0A7EEE2B">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12</w:t>
      </w:r>
      <w:r>
        <w:rPr>
          <w:rFonts w:hint="eastAsia" w:ascii="宋体" w:hAnsi="宋体"/>
          <w:color w:val="auto"/>
          <w:sz w:val="24"/>
        </w:rPr>
        <w:t>.3 投标人在投标截止时间前撤回已提交的投标文件的，采购人或者采购代理机构自收到投标人书面撤回通知之日起５个工作日内，退还已收取的投标保证金，但因投标人自身原因导致无法及时退还的除外。</w:t>
      </w:r>
    </w:p>
    <w:p w14:paraId="531F9855">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采购人或者采购代理机构自中标通知书发出之日起5个工作日内退还未中标人的投标保证金，自采购合同签订之日起5个工作日内退还中标人的投标保证金。</w:t>
      </w:r>
    </w:p>
    <w:p w14:paraId="1B7B321B">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olor w:val="auto"/>
          <w:sz w:val="24"/>
        </w:rPr>
      </w:pPr>
      <w:r>
        <w:rPr>
          <w:rFonts w:ascii="宋体" w:hAnsi="宋体"/>
          <w:color w:val="auto"/>
          <w:sz w:val="24"/>
        </w:rPr>
        <w:t>12</w:t>
      </w:r>
      <w:r>
        <w:rPr>
          <w:rFonts w:hint="eastAsia" w:ascii="宋体" w:hAnsi="宋体"/>
          <w:color w:val="auto"/>
          <w:sz w:val="24"/>
        </w:rPr>
        <w:t>.4 有下列情形之一的，投标保证金将不予退还：</w:t>
      </w:r>
    </w:p>
    <w:p w14:paraId="757C618A">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（1）投标人在投标有效期内撤销投标文件；</w:t>
      </w:r>
    </w:p>
    <w:p w14:paraId="1ACD2131">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（2）中标人在收到中标通知书后，无正当理由不与招标人订立合同，在签订合同时向招标人提出附加条件，或者不按照招标文件要求提交履约保证金；</w:t>
      </w:r>
    </w:p>
    <w:p w14:paraId="4DAF2BD5">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（3）发生投标须知前附表规定的其他可以不予退还投标保证金的情形。</w:t>
      </w:r>
    </w:p>
    <w:p w14:paraId="10DE6C9C">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bookmarkStart w:id="156" w:name="_Toc23590"/>
      <w:bookmarkStart w:id="157" w:name="_Toc515647772"/>
      <w:bookmarkStart w:id="158" w:name="_Toc2582278"/>
      <w:bookmarkStart w:id="159" w:name="_Toc532473464"/>
      <w:bookmarkStart w:id="160" w:name="_Toc32569"/>
      <w:bookmarkStart w:id="161" w:name="_Toc520356157"/>
      <w:r>
        <w:rPr>
          <w:rFonts w:hint="eastAsia" w:ascii="宋体" w:hAnsi="宋体"/>
          <w:color w:val="auto"/>
          <w:sz w:val="24"/>
        </w:rPr>
        <w:t>13.投标有效期</w:t>
      </w:r>
      <w:bookmarkEnd w:id="156"/>
      <w:bookmarkEnd w:id="157"/>
      <w:bookmarkEnd w:id="158"/>
      <w:bookmarkEnd w:id="159"/>
      <w:bookmarkEnd w:id="160"/>
      <w:bookmarkEnd w:id="161"/>
    </w:p>
    <w:p w14:paraId="5AA6DD5E">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13.1 投标应在</w:t>
      </w:r>
      <w:r>
        <w:rPr>
          <w:rFonts w:hint="eastAsia" w:ascii="宋体" w:hAnsi="宋体"/>
          <w:color w:val="auto"/>
          <w:sz w:val="24"/>
          <w:u w:val="single"/>
        </w:rPr>
        <w:t>投标须知前附表</w:t>
      </w:r>
      <w:r>
        <w:rPr>
          <w:rFonts w:hint="eastAsia" w:ascii="宋体" w:hAnsi="宋体"/>
          <w:color w:val="auto"/>
          <w:sz w:val="24"/>
        </w:rPr>
        <w:t>中规定时间内保持有效。投标有效期不满足要求的投标，其投标将被认定为</w:t>
      </w:r>
      <w:r>
        <w:rPr>
          <w:rFonts w:hint="eastAsia" w:ascii="宋体" w:hAnsi="宋体"/>
          <w:b/>
          <w:color w:val="auto"/>
          <w:sz w:val="24"/>
        </w:rPr>
        <w:t>投标无效</w:t>
      </w:r>
      <w:r>
        <w:rPr>
          <w:rFonts w:hint="eastAsia" w:ascii="宋体" w:hAnsi="宋体"/>
          <w:color w:val="auto"/>
          <w:sz w:val="24"/>
        </w:rPr>
        <w:t>。</w:t>
      </w:r>
    </w:p>
    <w:p w14:paraId="51B5C398">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13.2 因特殊原因，采购人或采购代理机构可在原投标有效期截止之前，要求投标人延长投标文件的有效期。接受该要求的投标人将不会被要求和允许修正其投标。投标人也可以拒绝延长投标</w:t>
      </w:r>
      <w:r>
        <w:rPr>
          <w:rFonts w:ascii="宋体" w:hAnsi="宋体"/>
          <w:color w:val="auto"/>
          <w:sz w:val="24"/>
        </w:rPr>
        <w:t>有效期的</w:t>
      </w:r>
      <w:r>
        <w:rPr>
          <w:rFonts w:hint="eastAsia" w:ascii="宋体" w:hAnsi="宋体"/>
          <w:color w:val="auto"/>
          <w:sz w:val="24"/>
        </w:rPr>
        <w:t>要求，且不承担任何责任。上述要求和答复都应以书面形式提交。</w:t>
      </w:r>
    </w:p>
    <w:p w14:paraId="121557B3">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bookmarkStart w:id="162" w:name="_Toc520356158"/>
      <w:bookmarkStart w:id="163" w:name="_Toc493"/>
      <w:bookmarkStart w:id="164" w:name="_Toc515647773"/>
      <w:bookmarkStart w:id="165" w:name="_Toc17074"/>
      <w:bookmarkStart w:id="166" w:name="_Toc532473465"/>
      <w:bookmarkStart w:id="167" w:name="_Toc2582279"/>
      <w:r>
        <w:rPr>
          <w:rFonts w:hint="eastAsia" w:ascii="宋体" w:hAnsi="宋体"/>
          <w:color w:val="auto"/>
          <w:sz w:val="24"/>
        </w:rPr>
        <w:t>14.投标文件的</w:t>
      </w:r>
      <w:bookmarkEnd w:id="162"/>
      <w:bookmarkEnd w:id="163"/>
      <w:bookmarkEnd w:id="164"/>
      <w:bookmarkEnd w:id="165"/>
      <w:bookmarkEnd w:id="166"/>
      <w:r>
        <w:rPr>
          <w:rFonts w:hint="eastAsia" w:ascii="宋体" w:hAnsi="宋体"/>
          <w:color w:val="auto"/>
          <w:sz w:val="24"/>
        </w:rPr>
        <w:t>制作</w:t>
      </w:r>
      <w:bookmarkEnd w:id="167"/>
    </w:p>
    <w:p w14:paraId="15D452E7">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14.1 投标文件应按第七章“投标文件格式”进行编写，如有必要，可以增加附页，作为投标文件的组成部分。</w:t>
      </w:r>
    </w:p>
    <w:p w14:paraId="38BC88D7">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14</w:t>
      </w: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投标文件全部采用电子文档，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w:t>
      </w:r>
    </w:p>
    <w:p w14:paraId="49D1D28B">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未按</w:t>
      </w:r>
      <w:r>
        <w:rPr>
          <w:rFonts w:ascii="宋体" w:hAnsi="宋体"/>
          <w:color w:val="auto"/>
          <w:sz w:val="24"/>
        </w:rPr>
        <w:t>招标文件要求签署和盖章的投标文件，</w:t>
      </w:r>
      <w:r>
        <w:rPr>
          <w:rFonts w:hint="eastAsia" w:ascii="宋体" w:hAnsi="宋体"/>
          <w:color w:val="auto"/>
          <w:sz w:val="24"/>
        </w:rPr>
        <w:t>其投标将被认定为</w:t>
      </w:r>
      <w:r>
        <w:rPr>
          <w:rFonts w:hint="eastAsia" w:ascii="宋体" w:hAnsi="宋体"/>
          <w:b/>
          <w:bCs/>
          <w:color w:val="auto"/>
          <w:sz w:val="24"/>
        </w:rPr>
        <w:t>投标无效</w:t>
      </w:r>
      <w:r>
        <w:rPr>
          <w:rFonts w:hint="eastAsia" w:ascii="宋体" w:hAnsi="宋体"/>
          <w:color w:val="auto"/>
          <w:sz w:val="24"/>
        </w:rPr>
        <w:t>。</w:t>
      </w:r>
    </w:p>
    <w:p w14:paraId="4F8E7074">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p>
    <w:p w14:paraId="2D46CFCD">
      <w:pPr>
        <w:pageBreakBefore w:val="0"/>
        <w:kinsoku/>
        <w:overflowPunct/>
        <w:topLinePunct w:val="0"/>
        <w:bidi w:val="0"/>
        <w:spacing w:line="360" w:lineRule="auto"/>
        <w:ind w:left="0" w:leftChars="0" w:firstLine="0" w:firstLineChars="0"/>
        <w:jc w:val="left"/>
        <w:textAlignment w:val="auto"/>
        <w:outlineLvl w:val="3"/>
        <w:rPr>
          <w:rFonts w:hint="eastAsia" w:ascii="宋体" w:hAnsi="宋体"/>
          <w:b/>
          <w:color w:val="auto"/>
          <w:sz w:val="24"/>
        </w:rPr>
      </w:pPr>
      <w:bookmarkStart w:id="168" w:name="_Toc216582808"/>
      <w:bookmarkStart w:id="169" w:name="_Toc532473466"/>
      <w:bookmarkStart w:id="170" w:name="_Toc520356159"/>
      <w:bookmarkStart w:id="171" w:name="_Toc16865"/>
      <w:bookmarkStart w:id="172" w:name="_Toc2582280"/>
      <w:bookmarkStart w:id="173" w:name="_Toc515647774"/>
      <w:bookmarkStart w:id="174" w:name="_Toc22371"/>
      <w:bookmarkStart w:id="175" w:name="_Toc11179"/>
      <w:r>
        <w:rPr>
          <w:rFonts w:hint="eastAsia" w:ascii="宋体" w:hAnsi="宋体"/>
          <w:b/>
          <w:color w:val="auto"/>
          <w:sz w:val="24"/>
        </w:rPr>
        <w:t>四  投标文件的递交</w:t>
      </w:r>
      <w:bookmarkEnd w:id="168"/>
      <w:bookmarkEnd w:id="169"/>
      <w:bookmarkEnd w:id="170"/>
      <w:bookmarkEnd w:id="171"/>
      <w:bookmarkEnd w:id="172"/>
      <w:bookmarkEnd w:id="173"/>
      <w:bookmarkEnd w:id="174"/>
      <w:bookmarkEnd w:id="175"/>
    </w:p>
    <w:p w14:paraId="24C9D8AC">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bookmarkStart w:id="176" w:name="_Toc520356160"/>
      <w:bookmarkStart w:id="177" w:name="_Toc2582281"/>
      <w:bookmarkStart w:id="178" w:name="_Toc532473467"/>
      <w:bookmarkStart w:id="179" w:name="_Toc21645"/>
      <w:bookmarkStart w:id="180" w:name="_Toc515647775"/>
      <w:bookmarkStart w:id="181" w:name="_Toc32337"/>
      <w:r>
        <w:rPr>
          <w:rFonts w:hint="eastAsia" w:ascii="宋体" w:hAnsi="宋体"/>
          <w:color w:val="auto"/>
          <w:sz w:val="24"/>
        </w:rPr>
        <w:t>15.投标文件的</w:t>
      </w:r>
      <w:bookmarkEnd w:id="176"/>
      <w:bookmarkEnd w:id="177"/>
      <w:bookmarkEnd w:id="178"/>
      <w:bookmarkEnd w:id="179"/>
      <w:bookmarkEnd w:id="180"/>
      <w:bookmarkEnd w:id="181"/>
      <w:r>
        <w:rPr>
          <w:rFonts w:hint="eastAsia" w:ascii="宋体" w:hAnsi="宋体"/>
          <w:color w:val="auto"/>
          <w:sz w:val="24"/>
        </w:rPr>
        <w:t>加密</w:t>
      </w:r>
    </w:p>
    <w:p w14:paraId="05A904C8">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15.1 投标文件应按照山西政府采购平台提供的编辑工具编制，并按平台要求加密投标文件。</w:t>
      </w:r>
    </w:p>
    <w:p w14:paraId="2F044B96">
      <w:pPr>
        <w:pageBreakBefore w:val="0"/>
        <w:kinsoku/>
        <w:overflowPunct/>
        <w:topLinePunct w:val="0"/>
        <w:bidi w:val="0"/>
        <w:spacing w:line="360" w:lineRule="auto"/>
        <w:ind w:left="0" w:leftChars="0" w:firstLine="0" w:firstLineChars="0"/>
        <w:jc w:val="left"/>
        <w:textAlignment w:val="auto"/>
        <w:outlineLvl w:val="1"/>
        <w:rPr>
          <w:rFonts w:ascii="宋体" w:hAnsi="宋体"/>
          <w:color w:val="auto"/>
          <w:sz w:val="24"/>
        </w:rPr>
      </w:pPr>
      <w:r>
        <w:rPr>
          <w:rFonts w:hint="eastAsia" w:ascii="宋体" w:hAnsi="宋体"/>
          <w:color w:val="auto"/>
          <w:sz w:val="24"/>
        </w:rPr>
        <w:t>15.2 未按要求加密的投标文件，采购平台将予以拒收</w:t>
      </w:r>
    </w:p>
    <w:p w14:paraId="42AE92D1">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bookmarkStart w:id="182" w:name="_Toc515647776"/>
      <w:bookmarkStart w:id="183" w:name="_Toc532473468"/>
      <w:bookmarkStart w:id="184" w:name="_Toc9840"/>
      <w:bookmarkStart w:id="185" w:name="_Toc2582282"/>
      <w:bookmarkStart w:id="186" w:name="_Toc12751"/>
      <w:bookmarkStart w:id="187" w:name="_Toc520356161"/>
      <w:r>
        <w:rPr>
          <w:rFonts w:hint="eastAsia" w:ascii="宋体" w:hAnsi="宋体"/>
          <w:color w:val="auto"/>
          <w:sz w:val="24"/>
        </w:rPr>
        <w:t>16.投标截止</w:t>
      </w:r>
      <w:bookmarkEnd w:id="182"/>
      <w:bookmarkEnd w:id="183"/>
      <w:bookmarkEnd w:id="184"/>
      <w:bookmarkEnd w:id="185"/>
      <w:bookmarkEnd w:id="186"/>
      <w:bookmarkEnd w:id="187"/>
    </w:p>
    <w:p w14:paraId="479A6ABF">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16.1 投标人应在投标须知前附表中规定的截止时间前，将加密的投标文件上传至山西政府采购平台。</w:t>
      </w:r>
    </w:p>
    <w:p w14:paraId="0D18987D">
      <w:pPr>
        <w:pageBreakBefore w:val="0"/>
        <w:kinsoku/>
        <w:overflowPunct/>
        <w:topLinePunct w:val="0"/>
        <w:bidi w:val="0"/>
        <w:spacing w:line="360" w:lineRule="auto"/>
        <w:ind w:left="0" w:leftChars="0" w:firstLine="0" w:firstLineChars="0"/>
        <w:jc w:val="left"/>
        <w:textAlignment w:val="auto"/>
        <w:outlineLvl w:val="1"/>
        <w:rPr>
          <w:rFonts w:ascii="宋体" w:hAnsi="宋体"/>
          <w:color w:val="auto"/>
          <w:sz w:val="24"/>
        </w:rPr>
      </w:pPr>
      <w:r>
        <w:rPr>
          <w:rFonts w:hint="eastAsia" w:ascii="宋体" w:hAnsi="宋体"/>
          <w:color w:val="auto"/>
          <w:sz w:val="24"/>
        </w:rPr>
        <w:t>16.2 投标截止时间后上传的投标文件，采购平台拒绝接收。</w:t>
      </w:r>
    </w:p>
    <w:p w14:paraId="19658FED">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bookmarkStart w:id="188" w:name="_Toc24275"/>
      <w:bookmarkStart w:id="189" w:name="_Toc515647777"/>
      <w:bookmarkStart w:id="190" w:name="_Toc18537"/>
      <w:bookmarkStart w:id="191" w:name="_Toc520356162"/>
      <w:bookmarkStart w:id="192" w:name="_Toc532473469"/>
      <w:bookmarkStart w:id="193" w:name="_Toc2582283"/>
      <w:r>
        <w:rPr>
          <w:rFonts w:hint="eastAsia" w:ascii="宋体" w:hAnsi="宋体"/>
          <w:color w:val="auto"/>
          <w:sz w:val="24"/>
        </w:rPr>
        <w:t>17.投标文件的接收、修改与撤回</w:t>
      </w:r>
      <w:bookmarkEnd w:id="188"/>
      <w:bookmarkEnd w:id="189"/>
      <w:bookmarkEnd w:id="190"/>
      <w:bookmarkEnd w:id="191"/>
      <w:bookmarkEnd w:id="192"/>
      <w:bookmarkEnd w:id="193"/>
    </w:p>
    <w:p w14:paraId="19A8E0E8">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17.1</w:t>
      </w:r>
      <w:r>
        <w:rPr>
          <w:rFonts w:ascii="宋体" w:hAnsi="宋体"/>
          <w:color w:val="auto"/>
          <w:sz w:val="24"/>
        </w:rPr>
        <w:t xml:space="preserve"> </w:t>
      </w:r>
      <w:r>
        <w:rPr>
          <w:rFonts w:hint="eastAsia" w:ascii="宋体" w:hAnsi="宋体"/>
          <w:color w:val="auto"/>
          <w:sz w:val="24"/>
        </w:rPr>
        <w:t>投标人可以在投标截止时间前，对所递交的投标文件进行补充、修改或者撤回。</w:t>
      </w:r>
    </w:p>
    <w:p w14:paraId="19F3AE19">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w:t>
      </w:r>
      <w:r>
        <w:rPr>
          <w:rFonts w:ascii="宋体" w:hAnsi="宋体"/>
          <w:color w:val="auto"/>
          <w:sz w:val="24"/>
        </w:rPr>
        <w:t>7</w:t>
      </w:r>
      <w:r>
        <w:rPr>
          <w:rFonts w:hint="eastAsia" w:ascii="宋体" w:hAnsi="宋体"/>
          <w:color w:val="auto"/>
          <w:sz w:val="24"/>
        </w:rPr>
        <w:t>.2 在投标截止时间之后，投标人不得对其投标文件进行补充、修改或撤回。</w:t>
      </w:r>
    </w:p>
    <w:p w14:paraId="1703F08B">
      <w:pPr>
        <w:pageBreakBefore w:val="0"/>
        <w:kinsoku/>
        <w:overflowPunct/>
        <w:topLinePunct w:val="0"/>
        <w:bidi w:val="0"/>
        <w:spacing w:line="360" w:lineRule="auto"/>
        <w:ind w:left="0" w:leftChars="0" w:firstLine="0" w:firstLineChars="0"/>
        <w:jc w:val="left"/>
        <w:textAlignment w:val="auto"/>
        <w:outlineLvl w:val="3"/>
        <w:rPr>
          <w:rFonts w:hint="eastAsia" w:ascii="宋体" w:hAnsi="宋体"/>
          <w:b/>
          <w:color w:val="auto"/>
          <w:sz w:val="24"/>
        </w:rPr>
      </w:pPr>
      <w:bookmarkStart w:id="194" w:name="_Toc515647778"/>
      <w:bookmarkStart w:id="195" w:name="_Toc216582809"/>
      <w:bookmarkStart w:id="196" w:name="_Toc12436"/>
      <w:bookmarkStart w:id="197" w:name="_Toc28398"/>
      <w:bookmarkStart w:id="198" w:name="_Toc2582284"/>
      <w:bookmarkStart w:id="199" w:name="_Toc520356163"/>
      <w:bookmarkStart w:id="200" w:name="_Toc27017"/>
      <w:bookmarkStart w:id="201" w:name="_Toc532473470"/>
      <w:r>
        <w:rPr>
          <w:rFonts w:hint="eastAsia" w:ascii="宋体" w:hAnsi="宋体"/>
          <w:b/>
          <w:color w:val="auto"/>
          <w:sz w:val="24"/>
        </w:rPr>
        <w:t>五  开标及评标</w:t>
      </w:r>
      <w:bookmarkEnd w:id="194"/>
      <w:bookmarkEnd w:id="195"/>
      <w:bookmarkEnd w:id="196"/>
      <w:bookmarkEnd w:id="197"/>
      <w:bookmarkEnd w:id="198"/>
      <w:bookmarkEnd w:id="199"/>
      <w:bookmarkEnd w:id="200"/>
      <w:bookmarkEnd w:id="201"/>
    </w:p>
    <w:p w14:paraId="59019484">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bookmarkStart w:id="202" w:name="_Toc7186"/>
      <w:bookmarkStart w:id="203" w:name="_Toc520356164"/>
      <w:bookmarkStart w:id="204" w:name="_Toc515647779"/>
      <w:bookmarkStart w:id="205" w:name="_Toc2582285"/>
      <w:bookmarkStart w:id="206" w:name="_Toc25345"/>
      <w:bookmarkStart w:id="207" w:name="_Toc532473471"/>
      <w:r>
        <w:rPr>
          <w:rFonts w:hint="eastAsia" w:ascii="宋体" w:hAnsi="宋体"/>
          <w:color w:val="auto"/>
          <w:sz w:val="24"/>
        </w:rPr>
        <w:t>18.开标</w:t>
      </w:r>
      <w:bookmarkEnd w:id="202"/>
      <w:bookmarkEnd w:id="203"/>
      <w:bookmarkEnd w:id="204"/>
      <w:bookmarkEnd w:id="205"/>
      <w:bookmarkEnd w:id="206"/>
      <w:bookmarkEnd w:id="207"/>
    </w:p>
    <w:p w14:paraId="71892280">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18.1 采购人和</w:t>
      </w:r>
      <w:r>
        <w:rPr>
          <w:rFonts w:ascii="宋体" w:hAnsi="宋体"/>
          <w:color w:val="auto"/>
          <w:sz w:val="24"/>
        </w:rPr>
        <w:t>采购代理机构</w:t>
      </w:r>
      <w:r>
        <w:rPr>
          <w:rFonts w:hint="eastAsia" w:ascii="宋体" w:hAnsi="宋体"/>
          <w:color w:val="auto"/>
          <w:sz w:val="24"/>
        </w:rPr>
        <w:t>将按</w:t>
      </w:r>
      <w:r>
        <w:rPr>
          <w:rFonts w:hint="eastAsia" w:ascii="宋体" w:hAnsi="宋体"/>
          <w:color w:val="auto"/>
          <w:sz w:val="24"/>
          <w:u w:val="single"/>
        </w:rPr>
        <w:t>投标须知前附表</w:t>
      </w:r>
      <w:r>
        <w:rPr>
          <w:rFonts w:hint="eastAsia" w:ascii="宋体" w:hAnsi="宋体"/>
          <w:color w:val="auto"/>
          <w:sz w:val="24"/>
        </w:rPr>
        <w:t>中规定的开标时间和地点通过山西政府采购平台进行网上开标，所有投标人均应按时参加。</w:t>
      </w:r>
    </w:p>
    <w:p w14:paraId="2894FA2F">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投标人不足</w:t>
      </w:r>
      <w:r>
        <w:rPr>
          <w:rFonts w:hint="eastAsia" w:ascii="宋体" w:hAnsi="宋体"/>
          <w:color w:val="auto"/>
          <w:sz w:val="24"/>
        </w:rPr>
        <w:t>3家的，不</w:t>
      </w:r>
      <w:r>
        <w:rPr>
          <w:rFonts w:ascii="宋体" w:hAnsi="宋体"/>
          <w:color w:val="auto"/>
          <w:sz w:val="24"/>
        </w:rPr>
        <w:t>予</w:t>
      </w:r>
      <w:r>
        <w:rPr>
          <w:rFonts w:hint="eastAsia" w:ascii="宋体" w:hAnsi="宋体"/>
          <w:color w:val="auto"/>
          <w:sz w:val="24"/>
        </w:rPr>
        <w:t>开标。</w:t>
      </w:r>
    </w:p>
    <w:p w14:paraId="0EF0201E">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18.2 开标时由主持人发起解密投标文件，投标人应在规定的时间内解密投标文件，解密时间一般不少于30分钟，在规定时间内未完成解密的视为撤回投标文件，部分投标人未解密的不影响开标程序继续进行。</w:t>
      </w:r>
    </w:p>
    <w:p w14:paraId="7AD562CA">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 xml:space="preserve">18.3 </w:t>
      </w:r>
      <w:bookmarkStart w:id="208" w:name="_Toc520356165"/>
      <w:r>
        <w:rPr>
          <w:rFonts w:hint="eastAsia" w:ascii="宋体" w:hAnsi="宋体"/>
          <w:color w:val="auto"/>
          <w:sz w:val="24"/>
        </w:rPr>
        <w:t>投标文件解密后将公布投标人名称、投报价格以及开标一览表上的其他内容。</w:t>
      </w:r>
    </w:p>
    <w:p w14:paraId="1A508B80">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1</w:t>
      </w:r>
      <w:r>
        <w:rPr>
          <w:rFonts w:ascii="宋体" w:hAnsi="宋体"/>
          <w:color w:val="auto"/>
          <w:sz w:val="24"/>
        </w:rPr>
        <w:t>8</w:t>
      </w:r>
      <w:r>
        <w:rPr>
          <w:rFonts w:hint="eastAsia" w:ascii="宋体" w:hAnsi="宋体"/>
          <w:color w:val="auto"/>
          <w:sz w:val="24"/>
        </w:rPr>
        <w:t>.4 采购代理机构（或采购人）将做开标记录并在开标后要求投标人法定代表人或授权投标人代表签章确认。</w:t>
      </w:r>
    </w:p>
    <w:p w14:paraId="4A9D7E7D">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投标人</w:t>
      </w:r>
      <w:r>
        <w:rPr>
          <w:rFonts w:hint="eastAsia" w:ascii="宋体" w:hAnsi="宋体"/>
          <w:color w:val="auto"/>
          <w:sz w:val="24"/>
        </w:rPr>
        <w:t>未确认的</w:t>
      </w:r>
      <w:r>
        <w:rPr>
          <w:rFonts w:ascii="宋体" w:hAnsi="宋体"/>
          <w:color w:val="auto"/>
          <w:sz w:val="24"/>
        </w:rPr>
        <w:t>视同投标人认可开标</w:t>
      </w:r>
      <w:r>
        <w:rPr>
          <w:rFonts w:hint="eastAsia" w:ascii="宋体" w:hAnsi="宋体"/>
          <w:color w:val="auto"/>
          <w:sz w:val="24"/>
        </w:rPr>
        <w:t>结果</w:t>
      </w:r>
      <w:r>
        <w:rPr>
          <w:rFonts w:ascii="宋体" w:hAnsi="宋体"/>
          <w:color w:val="auto"/>
          <w:sz w:val="24"/>
        </w:rPr>
        <w:t>。</w:t>
      </w:r>
    </w:p>
    <w:p w14:paraId="6A754927">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bookmarkStart w:id="209" w:name="_Toc515647780"/>
      <w:bookmarkStart w:id="210" w:name="_Toc21372"/>
      <w:bookmarkStart w:id="211" w:name="_Toc532473472"/>
      <w:bookmarkStart w:id="212" w:name="_Toc2582286"/>
      <w:bookmarkStart w:id="213" w:name="_Toc19296"/>
      <w:r>
        <w:rPr>
          <w:rFonts w:hint="eastAsia" w:ascii="宋体" w:hAnsi="宋体"/>
          <w:color w:val="auto"/>
          <w:sz w:val="24"/>
        </w:rPr>
        <w:t>19.</w:t>
      </w:r>
      <w:bookmarkEnd w:id="208"/>
      <w:r>
        <w:rPr>
          <w:rFonts w:hint="eastAsia" w:ascii="宋体" w:hAnsi="宋体"/>
          <w:color w:val="auto"/>
          <w:sz w:val="24"/>
        </w:rPr>
        <w:t>资格审查及组建评标委员会</w:t>
      </w:r>
      <w:bookmarkEnd w:id="209"/>
      <w:bookmarkEnd w:id="210"/>
      <w:bookmarkEnd w:id="211"/>
      <w:bookmarkEnd w:id="212"/>
      <w:bookmarkEnd w:id="213"/>
    </w:p>
    <w:p w14:paraId="00C5E6B5">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19.1 采购人或采购代理机构依据法律法规和招标文件中规定的内</w:t>
      </w:r>
      <w:r>
        <w:rPr>
          <w:rFonts w:ascii="宋体" w:hAnsi="宋体"/>
          <w:color w:val="auto"/>
          <w:sz w:val="24"/>
        </w:rPr>
        <w:t>容</w:t>
      </w:r>
      <w:r>
        <w:rPr>
          <w:rFonts w:hint="eastAsia" w:ascii="宋体" w:hAnsi="宋体"/>
          <w:color w:val="auto"/>
          <w:sz w:val="24"/>
        </w:rPr>
        <w:t>，对投标人及其投标货物的资格进行审查，未</w:t>
      </w:r>
      <w:r>
        <w:rPr>
          <w:rFonts w:ascii="宋体" w:hAnsi="宋体"/>
          <w:color w:val="auto"/>
          <w:sz w:val="24"/>
        </w:rPr>
        <w:t>通过资格审查的投标人</w:t>
      </w:r>
      <w:r>
        <w:rPr>
          <w:rFonts w:hint="eastAsia" w:ascii="宋体" w:hAnsi="宋体"/>
          <w:color w:val="auto"/>
          <w:sz w:val="24"/>
        </w:rPr>
        <w:t>不</w:t>
      </w:r>
      <w:r>
        <w:rPr>
          <w:rFonts w:ascii="宋体" w:hAnsi="宋体"/>
          <w:color w:val="auto"/>
          <w:sz w:val="24"/>
        </w:rPr>
        <w:t>进入评标；</w:t>
      </w:r>
      <w:r>
        <w:rPr>
          <w:rFonts w:hint="eastAsia" w:ascii="宋体" w:hAnsi="宋体"/>
          <w:color w:val="auto"/>
          <w:sz w:val="24"/>
        </w:rPr>
        <w:t>资格证明文件未上传至相应位置的，将被</w:t>
      </w:r>
      <w:r>
        <w:rPr>
          <w:rFonts w:ascii="宋体" w:hAnsi="宋体"/>
          <w:color w:val="auto"/>
          <w:sz w:val="24"/>
        </w:rPr>
        <w:t>认定为</w:t>
      </w:r>
      <w:r>
        <w:rPr>
          <w:rFonts w:hint="eastAsia" w:ascii="宋体" w:hAnsi="宋体"/>
          <w:b/>
          <w:bCs/>
          <w:color w:val="auto"/>
          <w:sz w:val="24"/>
        </w:rPr>
        <w:t>未</w:t>
      </w:r>
      <w:r>
        <w:rPr>
          <w:rFonts w:ascii="宋体" w:hAnsi="宋体"/>
          <w:b/>
          <w:bCs/>
          <w:color w:val="auto"/>
          <w:sz w:val="24"/>
        </w:rPr>
        <w:t>通过资格审查</w:t>
      </w:r>
      <w:r>
        <w:rPr>
          <w:rFonts w:hint="eastAsia" w:ascii="宋体" w:hAnsi="宋体"/>
          <w:color w:val="auto"/>
          <w:sz w:val="24"/>
        </w:rPr>
        <w:t>。</w:t>
      </w:r>
    </w:p>
    <w:p w14:paraId="5D2AB105">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ascii="宋体" w:hAnsi="宋体"/>
          <w:color w:val="auto"/>
          <w:sz w:val="24"/>
        </w:rPr>
        <w:t>通过资格审查的投标人</w:t>
      </w:r>
      <w:r>
        <w:rPr>
          <w:rFonts w:hint="eastAsia" w:ascii="宋体" w:hAnsi="宋体"/>
          <w:color w:val="auto"/>
          <w:sz w:val="24"/>
        </w:rPr>
        <w:t>不足</w:t>
      </w:r>
      <w:r>
        <w:rPr>
          <w:rFonts w:ascii="宋体" w:hAnsi="宋体"/>
          <w:color w:val="auto"/>
          <w:sz w:val="24"/>
        </w:rPr>
        <w:t>三家的，不</w:t>
      </w:r>
      <w:r>
        <w:rPr>
          <w:rFonts w:hint="eastAsia" w:ascii="宋体" w:hAnsi="宋体"/>
          <w:color w:val="auto"/>
          <w:sz w:val="24"/>
        </w:rPr>
        <w:t>得评标。</w:t>
      </w:r>
    </w:p>
    <w:p w14:paraId="2D61EAEB">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19.2</w:t>
      </w:r>
      <w:r>
        <w:rPr>
          <w:rFonts w:hint="eastAsia" w:ascii="宋体" w:hAnsi="宋体"/>
          <w:color w:val="auto"/>
          <w:sz w:val="24"/>
        </w:rPr>
        <w:t xml:space="preserve"> 采购人或采购代理机构将按投标须知前附表中规定的时间查询投标人的信用记录。</w:t>
      </w:r>
    </w:p>
    <w:p w14:paraId="5EDD99DB">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19.2</w:t>
      </w:r>
      <w:r>
        <w:rPr>
          <w:rFonts w:hint="eastAsia" w:ascii="宋体" w:hAnsi="宋体"/>
          <w:color w:val="auto"/>
          <w:sz w:val="24"/>
        </w:rPr>
        <w:t>.1 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w:t>
      </w:r>
      <w:r>
        <w:rPr>
          <w:rFonts w:hint="eastAsia" w:ascii="宋体" w:hAnsi="宋体"/>
          <w:b/>
          <w:color w:val="auto"/>
          <w:sz w:val="24"/>
        </w:rPr>
        <w:t>投标无效</w:t>
      </w:r>
      <w:r>
        <w:rPr>
          <w:rFonts w:hint="eastAsia" w:ascii="宋体" w:hAnsi="宋体"/>
          <w:color w:val="auto"/>
          <w:sz w:val="24"/>
        </w:rPr>
        <w:t>。</w:t>
      </w:r>
    </w:p>
    <w:p w14:paraId="7BB3223C">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以联合体形式参加投标的，联合体任何成员存在以上不良信用记录的，联合体投标将被认定为</w:t>
      </w:r>
      <w:r>
        <w:rPr>
          <w:rFonts w:hint="eastAsia" w:ascii="宋体" w:hAnsi="宋体"/>
          <w:b/>
          <w:color w:val="auto"/>
          <w:sz w:val="24"/>
        </w:rPr>
        <w:t>投标无效</w:t>
      </w:r>
      <w:r>
        <w:rPr>
          <w:rFonts w:hint="eastAsia" w:ascii="宋体" w:hAnsi="宋体"/>
          <w:color w:val="auto"/>
          <w:sz w:val="24"/>
        </w:rPr>
        <w:t>。</w:t>
      </w:r>
    </w:p>
    <w:p w14:paraId="3B9DF79C">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ascii="宋体" w:hAnsi="宋体"/>
          <w:color w:val="auto"/>
          <w:sz w:val="24"/>
        </w:rPr>
        <w:t>19.2</w:t>
      </w:r>
      <w:r>
        <w:rPr>
          <w:rFonts w:hint="eastAsia" w:ascii="宋体" w:hAnsi="宋体"/>
          <w:color w:val="auto"/>
          <w:sz w:val="24"/>
        </w:rPr>
        <w:t>.2 采购人</w:t>
      </w:r>
      <w:r>
        <w:rPr>
          <w:rFonts w:ascii="宋体" w:hAnsi="宋体"/>
          <w:color w:val="auto"/>
          <w:sz w:val="24"/>
        </w:rPr>
        <w:t>或采购代理机构</w:t>
      </w:r>
      <w:r>
        <w:rPr>
          <w:rFonts w:hint="eastAsia" w:ascii="宋体" w:hAnsi="宋体"/>
          <w:color w:val="auto"/>
          <w:sz w:val="24"/>
        </w:rPr>
        <w:t>经办人将查询网页打印并存档备查。投标人不良信用记录以采购人</w:t>
      </w:r>
      <w:r>
        <w:rPr>
          <w:rFonts w:ascii="宋体" w:hAnsi="宋体"/>
          <w:color w:val="auto"/>
          <w:sz w:val="24"/>
        </w:rPr>
        <w:t>或采购代理机构</w:t>
      </w:r>
      <w:r>
        <w:rPr>
          <w:rFonts w:hint="eastAsia" w:ascii="宋体" w:hAnsi="宋体"/>
          <w:color w:val="auto"/>
          <w:sz w:val="24"/>
        </w:rPr>
        <w:t>查询结果为准。投标人自行提供的与网站信息不一致的其他证明材料亦不作为资格审查依据。</w:t>
      </w:r>
    </w:p>
    <w:p w14:paraId="3E4F17AC">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在本</w:t>
      </w:r>
      <w:r>
        <w:rPr>
          <w:rFonts w:ascii="宋体" w:hAnsi="宋体"/>
          <w:color w:val="auto"/>
          <w:sz w:val="24"/>
        </w:rPr>
        <w:t>招标文件规定</w:t>
      </w:r>
      <w:r>
        <w:rPr>
          <w:rFonts w:hint="eastAsia" w:ascii="宋体" w:hAnsi="宋体"/>
          <w:color w:val="auto"/>
          <w:sz w:val="24"/>
        </w:rPr>
        <w:t>的查询时间之外，网站信息发生的任何变更均不作为资格审查依据。</w:t>
      </w:r>
    </w:p>
    <w:p w14:paraId="56550DE1">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19.3 按照《</w:t>
      </w:r>
      <w:r>
        <w:rPr>
          <w:rFonts w:ascii="宋体" w:hAnsi="宋体"/>
          <w:color w:val="auto"/>
          <w:sz w:val="24"/>
        </w:rPr>
        <w:t>中华人民共和国政府采购法》</w:t>
      </w:r>
      <w:r>
        <w:rPr>
          <w:rFonts w:hint="eastAsia" w:ascii="宋体" w:hAnsi="宋体"/>
          <w:color w:val="auto"/>
          <w:sz w:val="24"/>
        </w:rPr>
        <w:t>、</w:t>
      </w:r>
      <w:r>
        <w:rPr>
          <w:rFonts w:ascii="宋体" w:hAnsi="宋体"/>
          <w:color w:val="auto"/>
          <w:sz w:val="24"/>
        </w:rPr>
        <w:t>《中华人民共和国政府采购</w:t>
      </w:r>
      <w:r>
        <w:rPr>
          <w:rFonts w:hint="eastAsia" w:ascii="宋体" w:hAnsi="宋体"/>
          <w:color w:val="auto"/>
          <w:sz w:val="24"/>
        </w:rPr>
        <w:t>法</w:t>
      </w:r>
      <w:r>
        <w:rPr>
          <w:rFonts w:ascii="宋体" w:hAnsi="宋体"/>
          <w:color w:val="auto"/>
          <w:sz w:val="24"/>
        </w:rPr>
        <w:t>实施条例》</w:t>
      </w:r>
      <w:r>
        <w:rPr>
          <w:rFonts w:hint="eastAsia" w:ascii="宋体" w:hAnsi="宋体"/>
          <w:color w:val="auto"/>
          <w:sz w:val="24"/>
        </w:rPr>
        <w:t>及本项目本级</w:t>
      </w:r>
      <w:r>
        <w:rPr>
          <w:rFonts w:ascii="宋体" w:hAnsi="宋体"/>
          <w:color w:val="auto"/>
          <w:sz w:val="24"/>
        </w:rPr>
        <w:t>和上级财政部门</w:t>
      </w:r>
      <w:r>
        <w:rPr>
          <w:rFonts w:hint="eastAsia" w:ascii="宋体" w:hAnsi="宋体"/>
          <w:color w:val="auto"/>
          <w:sz w:val="24"/>
        </w:rPr>
        <w:t>的有关规定依法组建的</w:t>
      </w:r>
      <w:r>
        <w:rPr>
          <w:rFonts w:ascii="宋体" w:hAnsi="宋体"/>
          <w:color w:val="auto"/>
          <w:sz w:val="24"/>
        </w:rPr>
        <w:t>评标委员会</w:t>
      </w:r>
      <w:r>
        <w:rPr>
          <w:rFonts w:hint="eastAsia" w:ascii="宋体" w:hAnsi="宋体"/>
          <w:color w:val="auto"/>
          <w:sz w:val="24"/>
        </w:rPr>
        <w:t>，负责评标工作。</w:t>
      </w:r>
      <w:bookmarkStart w:id="214" w:name="_Toc520356166"/>
    </w:p>
    <w:p w14:paraId="6A0D38AF">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bookmarkStart w:id="215" w:name="_Toc532473473"/>
      <w:bookmarkStart w:id="216" w:name="_Toc19949"/>
      <w:bookmarkStart w:id="217" w:name="_Toc28479"/>
      <w:bookmarkStart w:id="218" w:name="_Toc2582287"/>
      <w:bookmarkStart w:id="219" w:name="_Toc515647781"/>
      <w:r>
        <w:rPr>
          <w:rFonts w:ascii="宋体" w:hAnsi="宋体"/>
          <w:color w:val="auto"/>
          <w:sz w:val="24"/>
        </w:rPr>
        <w:t>20.</w:t>
      </w:r>
      <w:r>
        <w:rPr>
          <w:rFonts w:hint="eastAsia" w:ascii="宋体" w:hAnsi="宋体"/>
          <w:color w:val="auto"/>
          <w:sz w:val="24"/>
        </w:rPr>
        <w:t>投标文件</w:t>
      </w:r>
      <w:bookmarkEnd w:id="214"/>
      <w:r>
        <w:rPr>
          <w:rFonts w:hint="eastAsia" w:ascii="宋体" w:hAnsi="宋体"/>
          <w:color w:val="auto"/>
          <w:sz w:val="24"/>
        </w:rPr>
        <w:t>符合性审查与澄清</w:t>
      </w:r>
      <w:bookmarkEnd w:id="215"/>
      <w:bookmarkEnd w:id="216"/>
      <w:bookmarkEnd w:id="217"/>
      <w:bookmarkEnd w:id="218"/>
      <w:bookmarkEnd w:id="219"/>
    </w:p>
    <w:p w14:paraId="1F386AD6">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20</w:t>
      </w:r>
      <w:r>
        <w:rPr>
          <w:rFonts w:hint="eastAsia" w:ascii="宋体" w:hAnsi="宋体"/>
          <w:color w:val="auto"/>
          <w:sz w:val="24"/>
        </w:rPr>
        <w:t>.1</w:t>
      </w:r>
      <w:bookmarkStart w:id="220" w:name="_Hlt522424701"/>
      <w:bookmarkEnd w:id="220"/>
      <w:bookmarkStart w:id="221" w:name="_Toc520356167"/>
      <w:r>
        <w:rPr>
          <w:rFonts w:hint="eastAsia" w:ascii="宋体" w:hAnsi="宋体"/>
          <w:color w:val="auto"/>
          <w:sz w:val="24"/>
        </w:rPr>
        <w:t xml:space="preserve"> 符合性审查是指依据招标文件的规定，从商务和技术角度对投标文件的有效性和完整性进行审查，以确定是否对招标文件的实质性要求做出响应。</w:t>
      </w:r>
    </w:p>
    <w:p w14:paraId="7048AD43">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olor w:val="auto"/>
          <w:sz w:val="24"/>
        </w:rPr>
      </w:pPr>
      <w:r>
        <w:rPr>
          <w:rFonts w:hint="eastAsia" w:ascii="宋体" w:hAnsi="宋体"/>
          <w:color w:val="auto"/>
          <w:sz w:val="24"/>
        </w:rPr>
        <w:t>2</w:t>
      </w:r>
      <w:r>
        <w:rPr>
          <w:rFonts w:ascii="宋体" w:hAnsi="宋体"/>
          <w:color w:val="auto"/>
          <w:sz w:val="24"/>
        </w:rPr>
        <w:t>0</w:t>
      </w:r>
      <w:r>
        <w:rPr>
          <w:rFonts w:hint="eastAsia" w:ascii="宋体" w:hAnsi="宋体"/>
          <w:color w:val="auto"/>
          <w:sz w:val="24"/>
        </w:rPr>
        <w:t>.2 投标文件的澄清</w:t>
      </w:r>
    </w:p>
    <w:p w14:paraId="0FFCF355">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2</w:t>
      </w:r>
      <w:r>
        <w:rPr>
          <w:rFonts w:ascii="宋体" w:hAnsi="宋体"/>
          <w:color w:val="auto"/>
          <w:sz w:val="24"/>
        </w:rPr>
        <w:t>0</w:t>
      </w:r>
      <w:r>
        <w:rPr>
          <w:rFonts w:hint="eastAsia" w:ascii="宋体" w:hAnsi="宋体"/>
          <w:color w:val="auto"/>
          <w:sz w:val="24"/>
        </w:rPr>
        <w:t>.2.1 在评标期间，评标委员会将以书面方式要求投标人对其投标文件中含义不明确、对同类问题表述不一致或者有明显文字和计算错误的内容，以及评标委员会认为投标人的报价明显低于其他通过符合性审查投标人的报价，有可能影响履约的</w:t>
      </w:r>
      <w:r>
        <w:rPr>
          <w:rFonts w:ascii="宋体" w:hAnsi="宋体"/>
          <w:color w:val="auto"/>
          <w:sz w:val="24"/>
        </w:rPr>
        <w:t>情况</w:t>
      </w:r>
      <w:r>
        <w:rPr>
          <w:rFonts w:hint="eastAsia" w:ascii="宋体" w:hAnsi="宋体"/>
          <w:color w:val="auto"/>
          <w:sz w:val="24"/>
        </w:rPr>
        <w:t>作必要的澄清、说明或补正。投标人的澄清、说明或补正应在评标委员会规定的时间内以书面方式进行，并不得超出投标文件范围或者改变投标文件的实质性内容。</w:t>
      </w:r>
    </w:p>
    <w:p w14:paraId="3841B626">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2</w:t>
      </w:r>
      <w:r>
        <w:rPr>
          <w:rFonts w:ascii="宋体" w:hAnsi="宋体"/>
          <w:color w:val="auto"/>
          <w:sz w:val="24"/>
        </w:rPr>
        <w:t>0</w:t>
      </w:r>
      <w:r>
        <w:rPr>
          <w:rFonts w:hint="eastAsia" w:ascii="宋体" w:hAnsi="宋体"/>
          <w:color w:val="auto"/>
          <w:sz w:val="24"/>
        </w:rPr>
        <w:t>.2.2 投标人的澄清、说明或补正将作为投标文件的一部分。</w:t>
      </w:r>
    </w:p>
    <w:p w14:paraId="4ADD88D7">
      <w:pPr>
        <w:pageBreakBefore w:val="0"/>
        <w:kinsoku/>
        <w:overflowPunct/>
        <w:topLinePunct w:val="0"/>
        <w:bidi w:val="0"/>
        <w:spacing w:line="360" w:lineRule="auto"/>
        <w:ind w:left="0" w:leftChars="0" w:firstLine="0" w:firstLineChars="0"/>
        <w:jc w:val="left"/>
        <w:textAlignment w:val="auto"/>
        <w:outlineLvl w:val="1"/>
        <w:rPr>
          <w:rFonts w:ascii="宋体" w:hAnsi="宋体"/>
          <w:color w:val="auto"/>
          <w:sz w:val="24"/>
        </w:rPr>
      </w:pPr>
      <w:r>
        <w:rPr>
          <w:rFonts w:hint="eastAsia" w:ascii="宋体" w:hAnsi="宋体"/>
          <w:color w:val="auto"/>
          <w:sz w:val="24"/>
        </w:rPr>
        <w:t>2</w:t>
      </w:r>
      <w:r>
        <w:rPr>
          <w:rFonts w:ascii="宋体" w:hAnsi="宋体"/>
          <w:color w:val="auto"/>
          <w:sz w:val="24"/>
        </w:rPr>
        <w:t>0</w:t>
      </w:r>
      <w:r>
        <w:rPr>
          <w:rFonts w:hint="eastAsia" w:ascii="宋体" w:hAnsi="宋体"/>
          <w:color w:val="auto"/>
          <w:sz w:val="24"/>
        </w:rPr>
        <w:t>.3 投标文件报价出现前后不一致的，按照下列规定修正：</w:t>
      </w:r>
    </w:p>
    <w:p w14:paraId="1916455C">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（1）投标文件中开标一览表（报价表）内容与投标文件中相应内容不一致的，以开标一览表（报价表）为准；</w:t>
      </w:r>
    </w:p>
    <w:p w14:paraId="199C14CA">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（2）大写金额和小写金额不一致的，以大写金额为准；</w:t>
      </w:r>
    </w:p>
    <w:p w14:paraId="40728838">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（3）单价金额小数点或者百分比有明显错位的，以开标一览表的总价为准，并修改单价；</w:t>
      </w:r>
    </w:p>
    <w:p w14:paraId="4D77B65D">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（4）总价金额与按单价汇总金额不一致的，以单价金额计算结果为准。</w:t>
      </w:r>
    </w:p>
    <w:p w14:paraId="0F5CFA69">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同时出现两种以上不一致的，按照前款规定的顺序修正。修正后的报价按照第2</w:t>
      </w:r>
      <w:r>
        <w:rPr>
          <w:rFonts w:ascii="宋体" w:hAnsi="宋体"/>
          <w:color w:val="auto"/>
          <w:sz w:val="24"/>
        </w:rPr>
        <w:t>0.2</w:t>
      </w:r>
      <w:r>
        <w:rPr>
          <w:rFonts w:hint="eastAsia" w:ascii="宋体" w:hAnsi="宋体"/>
          <w:color w:val="auto"/>
          <w:sz w:val="24"/>
        </w:rPr>
        <w:t>条的规定经投标人确认后产生约束力，投标人不确认的，其投标将被认定为</w:t>
      </w:r>
      <w:r>
        <w:rPr>
          <w:rFonts w:hint="eastAsia" w:ascii="宋体" w:hAnsi="宋体"/>
          <w:b/>
          <w:color w:val="auto"/>
          <w:sz w:val="24"/>
        </w:rPr>
        <w:t>投标无效</w:t>
      </w:r>
      <w:r>
        <w:rPr>
          <w:rFonts w:hint="eastAsia" w:ascii="宋体" w:hAnsi="宋体"/>
          <w:color w:val="auto"/>
          <w:sz w:val="24"/>
        </w:rPr>
        <w:t>。</w:t>
      </w:r>
    </w:p>
    <w:p w14:paraId="1419E9E2">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对不同文字文本投标文件的解释发生异议的，以中文文本为准。</w:t>
      </w:r>
    </w:p>
    <w:p w14:paraId="456674DD">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20.</w:t>
      </w:r>
      <w:r>
        <w:rPr>
          <w:rFonts w:ascii="宋体" w:hAnsi="宋体"/>
          <w:color w:val="auto"/>
          <w:sz w:val="24"/>
        </w:rPr>
        <w:t>4</w:t>
      </w:r>
      <w:r>
        <w:rPr>
          <w:rFonts w:hint="eastAsia" w:ascii="宋体" w:hAnsi="宋体"/>
          <w:color w:val="auto"/>
          <w:sz w:val="24"/>
        </w:rPr>
        <w:t xml:space="preserve"> 投标人为提供服务所伴随的货物如被列入财政部与国家主管部门颁发的节能产品或环境标志产品品目清单，应提供处于</w:t>
      </w:r>
      <w:r>
        <w:rPr>
          <w:rFonts w:ascii="宋体" w:hAnsi="宋体"/>
          <w:color w:val="auto"/>
          <w:sz w:val="24"/>
        </w:rPr>
        <w:t>有效期之内</w:t>
      </w:r>
      <w:r>
        <w:rPr>
          <w:rFonts w:hint="eastAsia" w:ascii="宋体" w:hAnsi="宋体"/>
          <w:color w:val="auto"/>
          <w:sz w:val="24"/>
        </w:rPr>
        <w:t>认证</w:t>
      </w:r>
      <w:r>
        <w:rPr>
          <w:rFonts w:ascii="宋体" w:hAnsi="宋体"/>
          <w:color w:val="auto"/>
          <w:sz w:val="24"/>
        </w:rPr>
        <w:t>证书等</w:t>
      </w:r>
      <w:r>
        <w:rPr>
          <w:rFonts w:hint="eastAsia" w:ascii="宋体" w:hAnsi="宋体"/>
          <w:color w:val="auto"/>
          <w:sz w:val="24"/>
        </w:rPr>
        <w:t>相关证明，在评标时予以优先采购，具体优先采购办法见第四章评标方法和标准。</w:t>
      </w:r>
    </w:p>
    <w:p w14:paraId="1D6DD41C">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如投标人为提供服务所伴随的货物为政府强制采购的产品，投标人所投产品应属于</w:t>
      </w:r>
      <w:r>
        <w:rPr>
          <w:rFonts w:ascii="宋体" w:hAnsi="宋体"/>
          <w:color w:val="auto"/>
          <w:sz w:val="24"/>
        </w:rPr>
        <w:t>品目</w:t>
      </w:r>
      <w:r>
        <w:rPr>
          <w:rFonts w:hint="eastAsia" w:ascii="宋体" w:hAnsi="宋体"/>
          <w:color w:val="auto"/>
          <w:sz w:val="24"/>
        </w:rPr>
        <w:t>清单的</w:t>
      </w:r>
      <w:r>
        <w:rPr>
          <w:rFonts w:ascii="宋体" w:hAnsi="宋体"/>
          <w:color w:val="auto"/>
          <w:sz w:val="24"/>
        </w:rPr>
        <w:t>强制采购部分</w:t>
      </w:r>
      <w:r>
        <w:rPr>
          <w:rFonts w:hint="eastAsia" w:ascii="宋体" w:hAnsi="宋体"/>
          <w:color w:val="auto"/>
          <w:sz w:val="24"/>
        </w:rPr>
        <w:t>。投标人应</w:t>
      </w:r>
      <w:r>
        <w:rPr>
          <w:rFonts w:ascii="宋体" w:hAnsi="宋体"/>
          <w:color w:val="auto"/>
          <w:sz w:val="24"/>
        </w:rPr>
        <w:t>提供</w:t>
      </w:r>
      <w:r>
        <w:rPr>
          <w:rFonts w:hint="eastAsia" w:ascii="宋体" w:hAnsi="宋体"/>
          <w:color w:val="auto"/>
          <w:sz w:val="24"/>
        </w:rPr>
        <w:t>有效期内的认证</w:t>
      </w:r>
      <w:r>
        <w:rPr>
          <w:rFonts w:ascii="宋体" w:hAnsi="宋体"/>
          <w:color w:val="auto"/>
          <w:sz w:val="24"/>
        </w:rPr>
        <w:t>证书</w:t>
      </w:r>
      <w:r>
        <w:rPr>
          <w:rFonts w:hint="eastAsia" w:ascii="宋体" w:hAnsi="宋体"/>
          <w:color w:val="auto"/>
          <w:sz w:val="24"/>
        </w:rPr>
        <w:t>，否则其投标将被认定为</w:t>
      </w:r>
      <w:r>
        <w:rPr>
          <w:rFonts w:hint="eastAsia" w:ascii="宋体" w:hAnsi="宋体"/>
          <w:b/>
          <w:bCs/>
          <w:color w:val="auto"/>
          <w:sz w:val="24"/>
        </w:rPr>
        <w:t>投标无效。</w:t>
      </w:r>
    </w:p>
    <w:p w14:paraId="33FE71C9">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bookmarkStart w:id="222" w:name="_Toc6364"/>
      <w:bookmarkStart w:id="223" w:name="_Toc515647782"/>
      <w:bookmarkStart w:id="224" w:name="_Toc9469"/>
      <w:bookmarkStart w:id="225" w:name="_Toc2582288"/>
      <w:bookmarkStart w:id="226" w:name="_Toc532473474"/>
      <w:r>
        <w:rPr>
          <w:rFonts w:hint="eastAsia" w:ascii="宋体" w:hAnsi="宋体"/>
          <w:color w:val="auto"/>
          <w:sz w:val="24"/>
        </w:rPr>
        <w:t>21.投标偏离</w:t>
      </w:r>
      <w:bookmarkEnd w:id="222"/>
      <w:bookmarkEnd w:id="223"/>
      <w:bookmarkEnd w:id="224"/>
      <w:bookmarkEnd w:id="225"/>
      <w:bookmarkEnd w:id="226"/>
    </w:p>
    <w:p w14:paraId="3E50EF29">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投标文件中存在重大偏离的其投标将被认定为</w:t>
      </w:r>
      <w:r>
        <w:rPr>
          <w:rFonts w:hint="eastAsia" w:ascii="宋体" w:hAnsi="宋体"/>
          <w:b/>
          <w:color w:val="auto"/>
          <w:sz w:val="24"/>
        </w:rPr>
        <w:t>投标无效，</w:t>
      </w:r>
      <w:r>
        <w:rPr>
          <w:rFonts w:hint="eastAsia" w:ascii="宋体" w:hAnsi="宋体"/>
          <w:color w:val="auto"/>
          <w:sz w:val="24"/>
        </w:rPr>
        <w:t>细微偏差不影响投标文件的有效性。</w:t>
      </w:r>
    </w:p>
    <w:p w14:paraId="17CE0BBA">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重大偏离（主要技术、商务要求）系指投标服务及其伴随货物和工程的质量、数量和服务期（交货期限）等明显不能满足招标文件中的相关要求和超出采购人可接受的偏差范围，或者实质上与招标文件不一致，而且限制了采购人的权利或投标人的义务，纠正这些偏离将对其他实质上响应要求的投标人的竞争地位产生不公正的影响。</w:t>
      </w:r>
    </w:p>
    <w:p w14:paraId="74D50DB4">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细微偏差（一般技术、商务要求）是指在实质上响应招标文件要求，但在个别地方存在漏项或者提供了不完整的技术信息和数据等情况，并且补正这些遗漏或者不完整不会对其他投标人造成不公平的结果。</w:t>
      </w:r>
    </w:p>
    <w:p w14:paraId="4B73A8EE">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bookmarkStart w:id="227" w:name="_Toc515647783"/>
      <w:bookmarkStart w:id="228" w:name="_Toc2582289"/>
      <w:bookmarkStart w:id="229" w:name="_Toc532473475"/>
      <w:bookmarkStart w:id="230" w:name="_Toc4950"/>
      <w:bookmarkStart w:id="231" w:name="_Toc6092"/>
      <w:r>
        <w:rPr>
          <w:rFonts w:hint="eastAsia" w:ascii="宋体" w:hAnsi="宋体"/>
          <w:color w:val="auto"/>
          <w:sz w:val="24"/>
        </w:rPr>
        <w:t>22.投标</w:t>
      </w:r>
      <w:bookmarkEnd w:id="227"/>
      <w:r>
        <w:rPr>
          <w:rFonts w:hint="eastAsia" w:ascii="宋体" w:hAnsi="宋体"/>
          <w:color w:val="auto"/>
          <w:sz w:val="24"/>
        </w:rPr>
        <w:t>无效</w:t>
      </w:r>
      <w:bookmarkEnd w:id="228"/>
      <w:bookmarkEnd w:id="229"/>
      <w:bookmarkEnd w:id="230"/>
      <w:bookmarkEnd w:id="231"/>
    </w:p>
    <w:p w14:paraId="3C2118A6">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ascii="宋体" w:hAnsi="宋体"/>
          <w:color w:val="auto"/>
          <w:sz w:val="24"/>
        </w:rPr>
        <w:t>22</w:t>
      </w:r>
      <w:r>
        <w:rPr>
          <w:rFonts w:hint="eastAsia" w:ascii="宋体" w:hAnsi="宋体"/>
          <w:color w:val="auto"/>
          <w:sz w:val="24"/>
        </w:rPr>
        <w:t>.</w:t>
      </w:r>
      <w:r>
        <w:rPr>
          <w:rFonts w:ascii="宋体" w:hAnsi="宋体"/>
          <w:color w:val="auto"/>
          <w:sz w:val="24"/>
        </w:rPr>
        <w:t>1</w:t>
      </w:r>
      <w:r>
        <w:rPr>
          <w:rFonts w:hint="eastAsia" w:ascii="宋体" w:hAnsi="宋体"/>
          <w:color w:val="auto"/>
          <w:sz w:val="24"/>
        </w:rPr>
        <w:t xml:space="preserve"> 在比较与评价之前，根据招标文件的规定，评标委员会要审查每份投标文件是否响应了招标文件的要求。投标人不得通过修正或撤销不符合要求的偏离，从而使其投标成为实质上响应的投标。</w:t>
      </w:r>
    </w:p>
    <w:p w14:paraId="1D8D6E67">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评标委员会决定投标的响应性只根据招标</w:t>
      </w:r>
      <w:r>
        <w:rPr>
          <w:rFonts w:ascii="宋体" w:hAnsi="宋体"/>
          <w:color w:val="auto"/>
          <w:sz w:val="24"/>
        </w:rPr>
        <w:t>文件要求</w:t>
      </w:r>
      <w:r>
        <w:rPr>
          <w:rFonts w:hint="eastAsia" w:ascii="宋体" w:hAnsi="宋体"/>
          <w:color w:val="auto"/>
          <w:sz w:val="24"/>
        </w:rPr>
        <w:t>和投标文件内容。</w:t>
      </w:r>
    </w:p>
    <w:p w14:paraId="3C54C83A">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olor w:val="auto"/>
          <w:sz w:val="24"/>
        </w:rPr>
      </w:pPr>
      <w:r>
        <w:rPr>
          <w:rFonts w:ascii="宋体" w:hAnsi="宋体"/>
          <w:color w:val="auto"/>
          <w:sz w:val="24"/>
        </w:rPr>
        <w:t>22</w:t>
      </w:r>
      <w:r>
        <w:rPr>
          <w:rFonts w:hint="eastAsia" w:ascii="宋体" w:hAnsi="宋体"/>
          <w:color w:val="auto"/>
          <w:sz w:val="24"/>
        </w:rPr>
        <w:t>.</w:t>
      </w:r>
      <w:r>
        <w:rPr>
          <w:rFonts w:ascii="宋体" w:hAnsi="宋体"/>
          <w:color w:val="auto"/>
          <w:sz w:val="24"/>
        </w:rPr>
        <w:t>2</w:t>
      </w:r>
      <w:r>
        <w:rPr>
          <w:rFonts w:hint="eastAsia" w:ascii="宋体" w:hAnsi="宋体"/>
          <w:color w:val="auto"/>
          <w:sz w:val="24"/>
        </w:rPr>
        <w:t xml:space="preserve"> 如发现下列情况之一的，其投标将被认定为</w:t>
      </w:r>
      <w:r>
        <w:rPr>
          <w:rFonts w:hint="eastAsia" w:ascii="宋体" w:hAnsi="宋体"/>
          <w:b/>
          <w:color w:val="auto"/>
          <w:sz w:val="24"/>
        </w:rPr>
        <w:t>投标无效</w:t>
      </w:r>
      <w:r>
        <w:rPr>
          <w:rFonts w:hint="eastAsia" w:ascii="宋体" w:hAnsi="宋体"/>
          <w:color w:val="auto"/>
          <w:sz w:val="24"/>
        </w:rPr>
        <w:t>：</w:t>
      </w:r>
    </w:p>
    <w:p w14:paraId="55CB1066">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（1）未按照招标文件规定要求签署、盖章的；</w:t>
      </w:r>
    </w:p>
    <w:p w14:paraId="5A44AD68">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（2）未满足招标文件中商务</w:t>
      </w:r>
      <w:r>
        <w:rPr>
          <w:rFonts w:ascii="宋体" w:hAnsi="宋体"/>
          <w:color w:val="auto"/>
          <w:sz w:val="24"/>
        </w:rPr>
        <w:t>和</w:t>
      </w:r>
      <w:r>
        <w:rPr>
          <w:rFonts w:hint="eastAsia" w:ascii="宋体" w:hAnsi="宋体"/>
          <w:color w:val="auto"/>
          <w:sz w:val="24"/>
        </w:rPr>
        <w:t>技术</w:t>
      </w:r>
      <w:r>
        <w:rPr>
          <w:rFonts w:ascii="宋体" w:hAnsi="宋体"/>
          <w:color w:val="auto"/>
          <w:sz w:val="24"/>
        </w:rPr>
        <w:t>条款</w:t>
      </w:r>
      <w:r>
        <w:rPr>
          <w:rFonts w:hint="eastAsia" w:ascii="宋体" w:hAnsi="宋体"/>
          <w:color w:val="auto"/>
          <w:sz w:val="24"/>
        </w:rPr>
        <w:t>的实质性要求；</w:t>
      </w:r>
    </w:p>
    <w:p w14:paraId="22AAF654">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（3）属于串通</w:t>
      </w:r>
      <w:r>
        <w:rPr>
          <w:rFonts w:ascii="宋体" w:hAnsi="宋体"/>
          <w:color w:val="auto"/>
          <w:sz w:val="24"/>
        </w:rPr>
        <w:t>投标，或者</w:t>
      </w:r>
      <w:r>
        <w:rPr>
          <w:rFonts w:hint="eastAsia" w:ascii="宋体" w:hAnsi="宋体"/>
          <w:color w:val="auto"/>
          <w:sz w:val="24"/>
        </w:rPr>
        <w:t>依法</w:t>
      </w:r>
      <w:r>
        <w:rPr>
          <w:rFonts w:ascii="宋体" w:hAnsi="宋体"/>
          <w:color w:val="auto"/>
          <w:sz w:val="24"/>
        </w:rPr>
        <w:t>被视为串通投标</w:t>
      </w:r>
      <w:r>
        <w:rPr>
          <w:rFonts w:hint="eastAsia" w:ascii="宋体" w:hAnsi="宋体"/>
          <w:color w:val="auto"/>
          <w:sz w:val="24"/>
        </w:rPr>
        <w:t>；</w:t>
      </w:r>
    </w:p>
    <w:p w14:paraId="0A01388C">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（4）</w:t>
      </w:r>
      <w:r>
        <w:rPr>
          <w:rFonts w:ascii="宋体" w:hAnsi="宋体"/>
          <w:color w:val="auto"/>
          <w:sz w:val="24"/>
        </w:rPr>
        <w:t>评标委员会认为投标人的报价明显低于其他通过符合性</w:t>
      </w:r>
      <w:r>
        <w:rPr>
          <w:rFonts w:hint="eastAsia" w:ascii="宋体" w:hAnsi="宋体"/>
          <w:color w:val="auto"/>
          <w:sz w:val="24"/>
        </w:rPr>
        <w:t>审</w:t>
      </w:r>
      <w:r>
        <w:rPr>
          <w:rFonts w:ascii="宋体" w:hAnsi="宋体"/>
          <w:color w:val="auto"/>
          <w:sz w:val="24"/>
        </w:rPr>
        <w:t>查投标人的报价</w:t>
      </w:r>
      <w:r>
        <w:rPr>
          <w:rFonts w:hint="eastAsia" w:ascii="宋体" w:hAnsi="宋体"/>
          <w:color w:val="auto"/>
          <w:sz w:val="24"/>
        </w:rPr>
        <w:t>，</w:t>
      </w:r>
      <w:r>
        <w:rPr>
          <w:rFonts w:ascii="宋体" w:hAnsi="宋体"/>
          <w:color w:val="auto"/>
          <w:sz w:val="24"/>
        </w:rPr>
        <w:t>有可能影响履约的</w:t>
      </w:r>
      <w:r>
        <w:rPr>
          <w:rFonts w:hint="eastAsia" w:ascii="宋体" w:hAnsi="宋体"/>
          <w:color w:val="auto"/>
          <w:sz w:val="24"/>
        </w:rPr>
        <w:t>，且</w:t>
      </w:r>
      <w:r>
        <w:rPr>
          <w:rFonts w:ascii="宋体" w:hAnsi="宋体"/>
          <w:color w:val="auto"/>
          <w:sz w:val="24"/>
        </w:rPr>
        <w:t>投标人未按照规定证明其报价合理性的</w:t>
      </w:r>
      <w:r>
        <w:rPr>
          <w:rFonts w:hint="eastAsia" w:ascii="宋体" w:hAnsi="宋体"/>
          <w:color w:val="auto"/>
          <w:sz w:val="24"/>
        </w:rPr>
        <w:t>；</w:t>
      </w:r>
    </w:p>
    <w:p w14:paraId="77374BD9">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（5）投标文件含有采购人不能接受的附加条件的；</w:t>
      </w:r>
    </w:p>
    <w:p w14:paraId="74CCF22F">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（6）属于招标文件规定的其他投标无效情形；</w:t>
      </w:r>
    </w:p>
    <w:p w14:paraId="2FCE5B60">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（7）不符合法规和招标文件中规定的其他实质性要求的。</w:t>
      </w:r>
    </w:p>
    <w:p w14:paraId="59D0243D">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bookmarkStart w:id="232" w:name="_Toc515647784"/>
      <w:bookmarkStart w:id="233" w:name="_Toc13652"/>
      <w:bookmarkStart w:id="234" w:name="_Toc532473476"/>
      <w:bookmarkStart w:id="235" w:name="_Toc22941"/>
      <w:bookmarkStart w:id="236" w:name="_Toc2582290"/>
      <w:r>
        <w:rPr>
          <w:rFonts w:ascii="宋体" w:hAnsi="宋体"/>
          <w:color w:val="auto"/>
          <w:sz w:val="24"/>
        </w:rPr>
        <w:t>23</w:t>
      </w:r>
      <w:r>
        <w:rPr>
          <w:rFonts w:hint="eastAsia" w:ascii="宋体" w:hAnsi="宋体"/>
          <w:color w:val="auto"/>
          <w:sz w:val="24"/>
        </w:rPr>
        <w:t>.</w:t>
      </w:r>
      <w:bookmarkEnd w:id="221"/>
      <w:r>
        <w:rPr>
          <w:rFonts w:hint="eastAsia" w:ascii="宋体" w:hAnsi="宋体"/>
          <w:color w:val="auto"/>
          <w:sz w:val="24"/>
        </w:rPr>
        <w:t>比较与评价</w:t>
      </w:r>
      <w:bookmarkEnd w:id="232"/>
      <w:bookmarkEnd w:id="233"/>
      <w:bookmarkEnd w:id="234"/>
      <w:bookmarkEnd w:id="235"/>
      <w:bookmarkEnd w:id="236"/>
    </w:p>
    <w:p w14:paraId="2CEB115D">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23</w:t>
      </w:r>
      <w:r>
        <w:rPr>
          <w:rFonts w:hint="eastAsia" w:ascii="宋体" w:hAnsi="宋体"/>
          <w:color w:val="auto"/>
          <w:sz w:val="24"/>
        </w:rPr>
        <w:t>.1 经符合性审查合格的投标文件，评标委员会将根据招标文件确定的评标方法和标准，对其技术部分和商务部分作进一步的比较和评价。</w:t>
      </w:r>
    </w:p>
    <w:p w14:paraId="0D7757B5">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23</w:t>
      </w:r>
      <w:r>
        <w:rPr>
          <w:rFonts w:hint="eastAsia" w:ascii="宋体" w:hAnsi="宋体"/>
          <w:color w:val="auto"/>
          <w:sz w:val="24"/>
        </w:rPr>
        <w:t>.2 评标严格按照招标文件的要求和条件进行。根据实际情况，在投标须知前附表中规定采用下列一种评标方法，详细评标标准见招标文件第四章：</w:t>
      </w:r>
    </w:p>
    <w:p w14:paraId="69C42EAF">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（1）最低评标价法，是指</w:t>
      </w:r>
      <w:r>
        <w:rPr>
          <w:rFonts w:ascii="宋体" w:hAnsi="宋体"/>
          <w:color w:val="auto"/>
          <w:sz w:val="24"/>
        </w:rPr>
        <w:t>投标文件满足招标文件全部要求</w:t>
      </w:r>
      <w:r>
        <w:rPr>
          <w:rFonts w:hint="eastAsia" w:ascii="宋体" w:hAnsi="宋体"/>
          <w:color w:val="auto"/>
          <w:sz w:val="24"/>
        </w:rPr>
        <w:t>，</w:t>
      </w:r>
      <w:r>
        <w:rPr>
          <w:rFonts w:ascii="宋体" w:hAnsi="宋体"/>
          <w:color w:val="auto"/>
          <w:sz w:val="24"/>
        </w:rPr>
        <w:t>且投标报价最低的</w:t>
      </w:r>
      <w:r>
        <w:rPr>
          <w:rFonts w:hint="eastAsia" w:ascii="宋体" w:hAnsi="宋体"/>
          <w:color w:val="auto"/>
          <w:sz w:val="24"/>
        </w:rPr>
        <w:t>投标人</w:t>
      </w:r>
      <w:r>
        <w:rPr>
          <w:rFonts w:ascii="宋体" w:hAnsi="宋体"/>
          <w:color w:val="auto"/>
          <w:sz w:val="24"/>
        </w:rPr>
        <w:t>为中标</w:t>
      </w:r>
      <w:r>
        <w:rPr>
          <w:rFonts w:hint="eastAsia" w:ascii="宋体" w:hAnsi="宋体"/>
          <w:color w:val="auto"/>
          <w:sz w:val="24"/>
        </w:rPr>
        <w:t>候选</w:t>
      </w:r>
      <w:r>
        <w:rPr>
          <w:rFonts w:ascii="宋体" w:hAnsi="宋体"/>
          <w:color w:val="auto"/>
          <w:sz w:val="24"/>
        </w:rPr>
        <w:t>人的评标方法</w:t>
      </w:r>
      <w:r>
        <w:rPr>
          <w:rFonts w:hint="eastAsia" w:ascii="宋体" w:hAnsi="宋体"/>
          <w:color w:val="auto"/>
          <w:sz w:val="24"/>
        </w:rPr>
        <w:t>。</w:t>
      </w:r>
    </w:p>
    <w:p w14:paraId="5B4DFD40">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（2）综合评分法，是</w:t>
      </w:r>
      <w:r>
        <w:rPr>
          <w:rFonts w:ascii="宋体" w:hAnsi="宋体"/>
          <w:color w:val="auto"/>
          <w:sz w:val="24"/>
        </w:rPr>
        <w:t>指投标文件满足招标</w:t>
      </w:r>
      <w:r>
        <w:rPr>
          <w:rFonts w:hint="eastAsia" w:ascii="宋体" w:hAnsi="宋体"/>
          <w:color w:val="auto"/>
          <w:sz w:val="24"/>
        </w:rPr>
        <w:t>文件</w:t>
      </w:r>
      <w:r>
        <w:rPr>
          <w:rFonts w:ascii="宋体" w:hAnsi="宋体"/>
          <w:color w:val="auto"/>
          <w:sz w:val="24"/>
        </w:rPr>
        <w:t>全部要求</w:t>
      </w:r>
      <w:r>
        <w:rPr>
          <w:rFonts w:hint="eastAsia" w:ascii="宋体" w:hAnsi="宋体"/>
          <w:color w:val="auto"/>
          <w:sz w:val="24"/>
        </w:rPr>
        <w:t>，</w:t>
      </w:r>
      <w:r>
        <w:rPr>
          <w:rFonts w:ascii="宋体" w:hAnsi="宋体"/>
          <w:color w:val="auto"/>
          <w:sz w:val="24"/>
        </w:rPr>
        <w:t>且按照评审因素的</w:t>
      </w:r>
      <w:r>
        <w:rPr>
          <w:rFonts w:hint="eastAsia" w:ascii="宋体" w:hAnsi="宋体"/>
          <w:color w:val="auto"/>
          <w:sz w:val="24"/>
        </w:rPr>
        <w:t>量化</w:t>
      </w:r>
      <w:r>
        <w:rPr>
          <w:rFonts w:ascii="宋体" w:hAnsi="宋体"/>
          <w:color w:val="auto"/>
          <w:sz w:val="24"/>
        </w:rPr>
        <w:t>指标评审得分最高的</w:t>
      </w:r>
      <w:r>
        <w:rPr>
          <w:rFonts w:hint="eastAsia" w:ascii="宋体" w:hAnsi="宋体"/>
          <w:color w:val="auto"/>
          <w:sz w:val="24"/>
        </w:rPr>
        <w:t>投标人</w:t>
      </w:r>
      <w:r>
        <w:rPr>
          <w:rFonts w:ascii="宋体" w:hAnsi="宋体"/>
          <w:color w:val="auto"/>
          <w:sz w:val="24"/>
        </w:rPr>
        <w:t>为中标候选人的评标方法。</w:t>
      </w:r>
    </w:p>
    <w:p w14:paraId="313D0C8F">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23</w:t>
      </w:r>
      <w:r>
        <w:rPr>
          <w:rFonts w:hint="eastAsia" w:ascii="宋体" w:hAnsi="宋体"/>
          <w:color w:val="auto"/>
          <w:sz w:val="24"/>
        </w:rPr>
        <w:t>.3 根据《政府采购促进中小企业发展管理办法》（财库〔2020〕46号）、《关于进一步加大政府采购支持中小企业力度的通知》（财库〔2022〕19号）、《</w:t>
      </w:r>
      <w:r>
        <w:rPr>
          <w:rFonts w:ascii="宋体" w:hAnsi="宋体"/>
          <w:color w:val="auto"/>
          <w:sz w:val="24"/>
        </w:rPr>
        <w:t>财政部 司法部关于政府采购支持监狱企业发展有关问题的通知</w:t>
      </w:r>
      <w:r>
        <w:rPr>
          <w:rFonts w:hint="eastAsia" w:ascii="宋体" w:hAnsi="宋体"/>
          <w:color w:val="auto"/>
          <w:sz w:val="24"/>
        </w:rPr>
        <w:t>》（财库〔2014〕68号）和《三部门联合发布关于促进残疾人就业政府采购政策的通知》（</w:t>
      </w:r>
      <w:bookmarkStart w:id="237" w:name="sendNo"/>
      <w:r>
        <w:rPr>
          <w:rFonts w:hint="eastAsia" w:ascii="宋体" w:hAnsi="宋体"/>
          <w:color w:val="auto"/>
          <w:sz w:val="24"/>
        </w:rPr>
        <w:t>财库〔</w:t>
      </w:r>
      <w:bookmarkEnd w:id="237"/>
      <w:r>
        <w:rPr>
          <w:rFonts w:hint="eastAsia" w:ascii="宋体" w:hAnsi="宋体"/>
          <w:color w:val="auto"/>
          <w:sz w:val="24"/>
        </w:rPr>
        <w:t>2017〕141号）的规定，对满足价格扣除条件且在投标文件中提交了《</w:t>
      </w:r>
      <w:r>
        <w:rPr>
          <w:rFonts w:hint="eastAsia" w:ascii="宋体" w:hAnsi="宋体"/>
          <w:color w:val="auto"/>
          <w:sz w:val="24"/>
          <w:lang w:eastAsia="zh-CN"/>
        </w:rPr>
        <w:t>中小企业声明函</w:t>
      </w:r>
      <w:r>
        <w:rPr>
          <w:rFonts w:hint="eastAsia" w:ascii="宋体" w:hAnsi="宋体"/>
          <w:color w:val="auto"/>
          <w:sz w:val="24"/>
        </w:rPr>
        <w:t>》、《残疾人福利性单位声明函》或省级以上监狱管理局、戒毒管理局（含新疆生产建设兵团）出具的属于监狱企业的证明文件的投标人，其投标报价进行扣除后参与评审。具体办法详见招标文件第四章。</w:t>
      </w:r>
    </w:p>
    <w:p w14:paraId="26F2093D">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23.4 落实其他政府采购政策条款。具体办法详见招标文件第四章。</w:t>
      </w:r>
    </w:p>
    <w:p w14:paraId="1B5C7717">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bookmarkStart w:id="238" w:name="_Toc520356168"/>
      <w:bookmarkStart w:id="239" w:name="_Toc2582291"/>
      <w:bookmarkStart w:id="240" w:name="_Toc9378"/>
      <w:bookmarkStart w:id="241" w:name="_Toc20227"/>
      <w:bookmarkStart w:id="242" w:name="_Toc515647785"/>
      <w:bookmarkStart w:id="243" w:name="_Toc532473477"/>
      <w:r>
        <w:rPr>
          <w:rFonts w:ascii="宋体" w:hAnsi="宋体"/>
          <w:color w:val="auto"/>
          <w:sz w:val="24"/>
        </w:rPr>
        <w:t>24</w:t>
      </w:r>
      <w:bookmarkEnd w:id="238"/>
      <w:r>
        <w:rPr>
          <w:rFonts w:hint="eastAsia" w:ascii="宋体" w:hAnsi="宋体"/>
          <w:color w:val="auto"/>
          <w:sz w:val="24"/>
        </w:rPr>
        <w:t>.废标</w:t>
      </w:r>
      <w:bookmarkEnd w:id="239"/>
      <w:bookmarkEnd w:id="240"/>
      <w:bookmarkEnd w:id="241"/>
      <w:bookmarkEnd w:id="242"/>
      <w:bookmarkEnd w:id="243"/>
    </w:p>
    <w:p w14:paraId="27FE4C0D">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 xml:space="preserve">出现下列情形之一，将导致项目废标： </w:t>
      </w:r>
    </w:p>
    <w:p w14:paraId="0D72AD79">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（1）符合专业条件的供应商或者对招标文件做实质性响应的供应商不足三家；</w:t>
      </w:r>
    </w:p>
    <w:p w14:paraId="5E43E2EE">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（2）出现影响采购公正的违法、违规行为的；</w:t>
      </w:r>
    </w:p>
    <w:p w14:paraId="6180CDAF">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（3）投标人的报价均超过了采购预算，采购人不能支付的；</w:t>
      </w:r>
    </w:p>
    <w:p w14:paraId="76CC294B">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（4）因重大变故，采购任务取消的。</w:t>
      </w:r>
    </w:p>
    <w:p w14:paraId="0C552B1F">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bookmarkStart w:id="244" w:name="_Toc24972"/>
      <w:bookmarkStart w:id="245" w:name="_Toc515647786"/>
      <w:bookmarkStart w:id="246" w:name="_Toc31289"/>
      <w:bookmarkStart w:id="247" w:name="_Toc532473478"/>
      <w:bookmarkStart w:id="248" w:name="_Toc2582292"/>
      <w:bookmarkStart w:id="249" w:name="_Toc520356169"/>
      <w:r>
        <w:rPr>
          <w:rFonts w:ascii="宋体" w:hAnsi="宋体"/>
          <w:color w:val="auto"/>
          <w:sz w:val="24"/>
        </w:rPr>
        <w:t>25</w:t>
      </w:r>
      <w:r>
        <w:rPr>
          <w:rFonts w:hint="eastAsia" w:ascii="宋体" w:hAnsi="宋体"/>
          <w:color w:val="auto"/>
          <w:sz w:val="24"/>
        </w:rPr>
        <w:t>.保密</w:t>
      </w:r>
      <w:bookmarkEnd w:id="244"/>
      <w:bookmarkEnd w:id="245"/>
      <w:bookmarkEnd w:id="246"/>
      <w:r>
        <w:rPr>
          <w:rFonts w:hint="eastAsia" w:ascii="宋体" w:hAnsi="宋体"/>
          <w:color w:val="auto"/>
          <w:sz w:val="24"/>
        </w:rPr>
        <w:t>要求</w:t>
      </w:r>
      <w:bookmarkEnd w:id="247"/>
      <w:bookmarkEnd w:id="248"/>
    </w:p>
    <w:p w14:paraId="6CCF650A">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olor w:val="auto"/>
          <w:sz w:val="24"/>
        </w:rPr>
      </w:pPr>
      <w:r>
        <w:rPr>
          <w:rFonts w:ascii="宋体" w:hAnsi="宋体"/>
          <w:color w:val="auto"/>
          <w:sz w:val="24"/>
        </w:rPr>
        <w:t>25</w:t>
      </w:r>
      <w:r>
        <w:rPr>
          <w:rFonts w:hint="eastAsia" w:ascii="宋体" w:hAnsi="宋体"/>
          <w:color w:val="auto"/>
          <w:sz w:val="24"/>
        </w:rPr>
        <w:t>.1 评标将在严格保密的情况下进行。</w:t>
      </w:r>
    </w:p>
    <w:p w14:paraId="77D9F996">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25</w:t>
      </w:r>
      <w:r>
        <w:rPr>
          <w:rFonts w:hint="eastAsia" w:ascii="宋体" w:hAnsi="宋体"/>
          <w:color w:val="auto"/>
          <w:sz w:val="24"/>
        </w:rPr>
        <w:t>.2 有关人员</w:t>
      </w:r>
      <w:r>
        <w:rPr>
          <w:rFonts w:ascii="宋体" w:hAnsi="宋体"/>
          <w:color w:val="auto"/>
          <w:sz w:val="24"/>
        </w:rPr>
        <w:t>应当</w:t>
      </w:r>
      <w:r>
        <w:rPr>
          <w:rFonts w:hint="eastAsia" w:ascii="宋体" w:hAnsi="宋体"/>
          <w:color w:val="auto"/>
          <w:sz w:val="24"/>
        </w:rPr>
        <w:t>遵</w:t>
      </w:r>
      <w:r>
        <w:rPr>
          <w:rFonts w:ascii="宋体" w:hAnsi="宋体"/>
          <w:color w:val="auto"/>
          <w:sz w:val="24"/>
        </w:rPr>
        <w:t>守评</w:t>
      </w:r>
      <w:r>
        <w:rPr>
          <w:rFonts w:hint="eastAsia" w:ascii="宋体" w:hAnsi="宋体"/>
          <w:color w:val="auto"/>
          <w:sz w:val="24"/>
        </w:rPr>
        <w:t>标</w:t>
      </w:r>
      <w:r>
        <w:rPr>
          <w:rFonts w:ascii="宋体" w:hAnsi="宋体"/>
          <w:color w:val="auto"/>
          <w:sz w:val="24"/>
        </w:rPr>
        <w:t>工作纪律，不得</w:t>
      </w:r>
      <w:r>
        <w:rPr>
          <w:rFonts w:hint="eastAsia" w:ascii="宋体" w:hAnsi="宋体"/>
          <w:color w:val="auto"/>
          <w:sz w:val="24"/>
        </w:rPr>
        <w:t>泄露</w:t>
      </w:r>
      <w:r>
        <w:rPr>
          <w:rFonts w:ascii="宋体" w:hAnsi="宋体"/>
          <w:color w:val="auto"/>
          <w:sz w:val="24"/>
        </w:rPr>
        <w:t>评</w:t>
      </w:r>
      <w:r>
        <w:rPr>
          <w:rFonts w:hint="eastAsia" w:ascii="宋体" w:hAnsi="宋体"/>
          <w:color w:val="auto"/>
          <w:sz w:val="24"/>
        </w:rPr>
        <w:t>标文件</w:t>
      </w:r>
      <w:r>
        <w:rPr>
          <w:rFonts w:ascii="宋体" w:hAnsi="宋体"/>
          <w:color w:val="auto"/>
          <w:sz w:val="24"/>
        </w:rPr>
        <w:t>、评</w:t>
      </w:r>
      <w:r>
        <w:rPr>
          <w:rFonts w:hint="eastAsia" w:ascii="宋体" w:hAnsi="宋体"/>
          <w:color w:val="auto"/>
          <w:sz w:val="24"/>
        </w:rPr>
        <w:t>标</w:t>
      </w:r>
      <w:r>
        <w:rPr>
          <w:rFonts w:ascii="宋体" w:hAnsi="宋体"/>
          <w:color w:val="auto"/>
          <w:sz w:val="24"/>
        </w:rPr>
        <w:t>情况和评</w:t>
      </w:r>
      <w:r>
        <w:rPr>
          <w:rFonts w:hint="eastAsia" w:ascii="宋体" w:hAnsi="宋体"/>
          <w:color w:val="auto"/>
          <w:sz w:val="24"/>
        </w:rPr>
        <w:t>标</w:t>
      </w:r>
      <w:r>
        <w:rPr>
          <w:rFonts w:ascii="宋体" w:hAnsi="宋体"/>
          <w:color w:val="auto"/>
          <w:sz w:val="24"/>
        </w:rPr>
        <w:t>中获悉的</w:t>
      </w:r>
      <w:r>
        <w:rPr>
          <w:rFonts w:hint="eastAsia" w:ascii="宋体" w:hAnsi="宋体"/>
          <w:color w:val="auto"/>
          <w:sz w:val="24"/>
        </w:rPr>
        <w:t>国家秘密、</w:t>
      </w:r>
      <w:r>
        <w:rPr>
          <w:rFonts w:ascii="宋体" w:hAnsi="宋体"/>
          <w:color w:val="auto"/>
          <w:sz w:val="24"/>
        </w:rPr>
        <w:t>商业秘密。</w:t>
      </w:r>
    </w:p>
    <w:p w14:paraId="2F852B18">
      <w:pPr>
        <w:pageBreakBefore w:val="0"/>
        <w:kinsoku/>
        <w:overflowPunct/>
        <w:topLinePunct w:val="0"/>
        <w:bidi w:val="0"/>
        <w:spacing w:line="360" w:lineRule="auto"/>
        <w:ind w:left="0" w:leftChars="0" w:firstLine="0" w:firstLineChars="0"/>
        <w:jc w:val="left"/>
        <w:textAlignment w:val="auto"/>
        <w:outlineLvl w:val="2"/>
        <w:rPr>
          <w:rFonts w:hint="eastAsia" w:ascii="宋体" w:hAnsi="宋体"/>
          <w:b/>
          <w:color w:val="auto"/>
          <w:sz w:val="24"/>
        </w:rPr>
      </w:pPr>
      <w:bookmarkStart w:id="250" w:name="_Toc9896"/>
      <w:bookmarkStart w:id="251" w:name="_Toc23904"/>
      <w:bookmarkStart w:id="252" w:name="_Toc515647787"/>
      <w:bookmarkStart w:id="253" w:name="_Toc12143"/>
      <w:bookmarkStart w:id="254" w:name="_Toc2582293"/>
      <w:bookmarkStart w:id="255" w:name="_Toc216582810"/>
      <w:bookmarkStart w:id="256" w:name="_Toc532473479"/>
      <w:r>
        <w:rPr>
          <w:rFonts w:hint="eastAsia" w:ascii="宋体" w:hAnsi="宋体"/>
          <w:b/>
          <w:color w:val="auto"/>
          <w:sz w:val="24"/>
        </w:rPr>
        <w:t xml:space="preserve">六  </w:t>
      </w:r>
      <w:bookmarkEnd w:id="249"/>
      <w:r>
        <w:rPr>
          <w:rFonts w:hint="eastAsia" w:ascii="宋体" w:hAnsi="宋体"/>
          <w:b/>
          <w:color w:val="auto"/>
          <w:sz w:val="24"/>
        </w:rPr>
        <w:t>确定中标</w:t>
      </w:r>
      <w:bookmarkEnd w:id="250"/>
      <w:bookmarkEnd w:id="251"/>
      <w:bookmarkEnd w:id="252"/>
      <w:bookmarkEnd w:id="253"/>
      <w:bookmarkEnd w:id="254"/>
      <w:bookmarkEnd w:id="255"/>
      <w:bookmarkEnd w:id="256"/>
    </w:p>
    <w:p w14:paraId="4915D6CB">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bookmarkStart w:id="257" w:name="_Toc515647788"/>
      <w:bookmarkStart w:id="258" w:name="_Toc520356170"/>
      <w:bookmarkStart w:id="259" w:name="_Ref467307010"/>
      <w:bookmarkStart w:id="260" w:name="_Toc23617"/>
      <w:bookmarkStart w:id="261" w:name="_Toc2582294"/>
      <w:bookmarkStart w:id="262" w:name="_Toc23762"/>
      <w:bookmarkStart w:id="263" w:name="_Toc532473480"/>
      <w:r>
        <w:rPr>
          <w:rFonts w:ascii="宋体" w:hAnsi="宋体"/>
          <w:color w:val="auto"/>
          <w:sz w:val="24"/>
        </w:rPr>
        <w:t>26</w:t>
      </w:r>
      <w:r>
        <w:rPr>
          <w:rFonts w:hint="eastAsia" w:ascii="宋体" w:hAnsi="宋体"/>
          <w:color w:val="auto"/>
          <w:sz w:val="24"/>
        </w:rPr>
        <w:t>.中标候选人的确定原则及标准</w:t>
      </w:r>
      <w:bookmarkEnd w:id="257"/>
      <w:bookmarkEnd w:id="258"/>
      <w:bookmarkEnd w:id="259"/>
      <w:bookmarkEnd w:id="260"/>
      <w:bookmarkEnd w:id="261"/>
      <w:bookmarkEnd w:id="262"/>
      <w:bookmarkEnd w:id="263"/>
    </w:p>
    <w:p w14:paraId="40AEB0A9">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除评标委员会受采购人委托直接确定中标供应商的情形外，对实质上响应招标文件的投标人按下列方法</w:t>
      </w:r>
      <w:r>
        <w:rPr>
          <w:rFonts w:ascii="宋体" w:hAnsi="宋体"/>
          <w:color w:val="auto"/>
          <w:sz w:val="24"/>
        </w:rPr>
        <w:t>进行排序</w:t>
      </w:r>
      <w:r>
        <w:rPr>
          <w:rFonts w:hint="eastAsia" w:ascii="宋体" w:hAnsi="宋体"/>
          <w:color w:val="auto"/>
          <w:sz w:val="24"/>
        </w:rPr>
        <w:t>，确定中标候选人：</w:t>
      </w:r>
    </w:p>
    <w:p w14:paraId="1E8825C5">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bookmarkStart w:id="264" w:name="_Toc520356171"/>
      <w:bookmarkStart w:id="265" w:name="_Toc515647789"/>
      <w:r>
        <w:rPr>
          <w:rFonts w:hint="eastAsia" w:ascii="宋体" w:hAnsi="宋体"/>
          <w:color w:val="auto"/>
          <w:sz w:val="24"/>
        </w:rPr>
        <w:t>（1）采用最低评标价法的，除了算术</w:t>
      </w:r>
      <w:r>
        <w:rPr>
          <w:rFonts w:ascii="宋体" w:hAnsi="宋体"/>
          <w:color w:val="auto"/>
          <w:sz w:val="24"/>
        </w:rPr>
        <w:t>修正和落实政府采购</w:t>
      </w:r>
      <w:r>
        <w:rPr>
          <w:rFonts w:hint="eastAsia" w:ascii="宋体" w:hAnsi="宋体"/>
          <w:color w:val="auto"/>
          <w:sz w:val="24"/>
        </w:rPr>
        <w:t>政策</w:t>
      </w:r>
      <w:r>
        <w:rPr>
          <w:rFonts w:ascii="宋体" w:hAnsi="宋体"/>
          <w:color w:val="auto"/>
          <w:sz w:val="24"/>
        </w:rPr>
        <w:t>需</w:t>
      </w:r>
      <w:r>
        <w:rPr>
          <w:rFonts w:hint="eastAsia" w:ascii="宋体" w:hAnsi="宋体"/>
          <w:color w:val="auto"/>
          <w:sz w:val="24"/>
        </w:rPr>
        <w:t>进行的</w:t>
      </w:r>
      <w:r>
        <w:rPr>
          <w:rFonts w:ascii="宋体" w:hAnsi="宋体"/>
          <w:color w:val="auto"/>
          <w:sz w:val="24"/>
        </w:rPr>
        <w:t>价格扣除外，不</w:t>
      </w:r>
      <w:r>
        <w:rPr>
          <w:rFonts w:hint="eastAsia" w:ascii="宋体" w:hAnsi="宋体"/>
          <w:color w:val="auto"/>
          <w:sz w:val="24"/>
        </w:rPr>
        <w:t>对</w:t>
      </w:r>
      <w:r>
        <w:rPr>
          <w:rFonts w:ascii="宋体" w:hAnsi="宋体"/>
          <w:color w:val="auto"/>
          <w:sz w:val="24"/>
        </w:rPr>
        <w:t>投标人的投标价格进行任何调整。</w:t>
      </w:r>
      <w:r>
        <w:rPr>
          <w:rFonts w:hint="eastAsia" w:ascii="宋体" w:hAnsi="宋体"/>
          <w:color w:val="auto"/>
          <w:sz w:val="24"/>
        </w:rPr>
        <w:t>评标结果</w:t>
      </w:r>
      <w:r>
        <w:rPr>
          <w:rFonts w:ascii="宋体" w:hAnsi="宋体"/>
          <w:color w:val="auto"/>
          <w:sz w:val="24"/>
        </w:rPr>
        <w:t>按</w:t>
      </w:r>
      <w:r>
        <w:rPr>
          <w:rFonts w:hint="eastAsia" w:ascii="宋体" w:hAnsi="宋体"/>
          <w:color w:val="auto"/>
          <w:sz w:val="24"/>
        </w:rPr>
        <w:t>修正</w:t>
      </w:r>
      <w:r>
        <w:rPr>
          <w:rFonts w:ascii="宋体" w:hAnsi="宋体"/>
          <w:color w:val="auto"/>
          <w:sz w:val="24"/>
        </w:rPr>
        <w:t>和扣除后的投标报价</w:t>
      </w:r>
      <w:r>
        <w:rPr>
          <w:rFonts w:hint="eastAsia" w:ascii="宋体" w:hAnsi="宋体"/>
          <w:color w:val="auto"/>
          <w:sz w:val="24"/>
        </w:rPr>
        <w:t>由低到高顺序排列。报价相同的处理</w:t>
      </w:r>
      <w:r>
        <w:rPr>
          <w:rFonts w:ascii="宋体" w:hAnsi="宋体"/>
          <w:color w:val="auto"/>
          <w:sz w:val="24"/>
        </w:rPr>
        <w:t>方式</w:t>
      </w:r>
      <w:r>
        <w:rPr>
          <w:rFonts w:hint="eastAsia" w:ascii="宋体" w:hAnsi="宋体"/>
          <w:color w:val="auto"/>
          <w:sz w:val="24"/>
        </w:rPr>
        <w:t>详见招标</w:t>
      </w:r>
      <w:r>
        <w:rPr>
          <w:rFonts w:ascii="宋体" w:hAnsi="宋体"/>
          <w:color w:val="auto"/>
          <w:sz w:val="24"/>
        </w:rPr>
        <w:t>文件</w:t>
      </w:r>
      <w:r>
        <w:rPr>
          <w:rFonts w:hint="eastAsia" w:ascii="宋体" w:hAnsi="宋体"/>
          <w:color w:val="auto"/>
          <w:sz w:val="24"/>
        </w:rPr>
        <w:t>第四章。</w:t>
      </w:r>
    </w:p>
    <w:p w14:paraId="708915B5">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（2）采用综合评分法的，评标</w:t>
      </w:r>
      <w:r>
        <w:rPr>
          <w:rFonts w:ascii="宋体" w:hAnsi="宋体"/>
          <w:color w:val="auto"/>
          <w:sz w:val="24"/>
        </w:rPr>
        <w:t>结果</w:t>
      </w:r>
      <w:r>
        <w:rPr>
          <w:rFonts w:hint="eastAsia" w:ascii="宋体" w:hAnsi="宋体"/>
          <w:color w:val="auto"/>
          <w:sz w:val="24"/>
        </w:rPr>
        <w:t>按评审后得分由高到低顺序排列。得分相同的，按修正</w:t>
      </w:r>
      <w:r>
        <w:rPr>
          <w:rFonts w:ascii="宋体" w:hAnsi="宋体"/>
          <w:color w:val="auto"/>
          <w:sz w:val="24"/>
        </w:rPr>
        <w:t>和扣除后的</w:t>
      </w:r>
      <w:r>
        <w:rPr>
          <w:rFonts w:hint="eastAsia" w:ascii="宋体" w:hAnsi="宋体"/>
          <w:color w:val="auto"/>
          <w:sz w:val="24"/>
        </w:rPr>
        <w:t>投标报价由低到高顺序排列。得分与投标报价均相同的处理</w:t>
      </w:r>
      <w:r>
        <w:rPr>
          <w:rFonts w:ascii="宋体" w:hAnsi="宋体"/>
          <w:color w:val="auto"/>
          <w:sz w:val="24"/>
        </w:rPr>
        <w:t>方式</w:t>
      </w:r>
      <w:r>
        <w:rPr>
          <w:rFonts w:hint="eastAsia" w:ascii="宋体" w:hAnsi="宋体"/>
          <w:color w:val="auto"/>
          <w:sz w:val="24"/>
        </w:rPr>
        <w:t>详见招标</w:t>
      </w:r>
      <w:r>
        <w:rPr>
          <w:rFonts w:ascii="宋体" w:hAnsi="宋体"/>
          <w:color w:val="auto"/>
          <w:sz w:val="24"/>
        </w:rPr>
        <w:t>文件</w:t>
      </w:r>
      <w:r>
        <w:rPr>
          <w:rFonts w:hint="eastAsia" w:ascii="宋体" w:hAnsi="宋体"/>
          <w:color w:val="auto"/>
          <w:sz w:val="24"/>
        </w:rPr>
        <w:t>第四章。</w:t>
      </w:r>
    </w:p>
    <w:p w14:paraId="02835618">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bookmarkStart w:id="266" w:name="_Toc532473481"/>
      <w:bookmarkStart w:id="267" w:name="_Toc2582295"/>
      <w:bookmarkStart w:id="268" w:name="_Toc9653"/>
      <w:bookmarkStart w:id="269" w:name="_Toc23951"/>
      <w:r>
        <w:rPr>
          <w:rFonts w:ascii="宋体" w:hAnsi="宋体"/>
          <w:color w:val="auto"/>
          <w:sz w:val="24"/>
        </w:rPr>
        <w:t>27</w:t>
      </w:r>
      <w:bookmarkEnd w:id="264"/>
      <w:r>
        <w:rPr>
          <w:rFonts w:hint="eastAsia" w:ascii="宋体" w:hAnsi="宋体"/>
          <w:color w:val="auto"/>
          <w:sz w:val="24"/>
        </w:rPr>
        <w:t>.确定中标候选人和</w:t>
      </w:r>
      <w:bookmarkEnd w:id="265"/>
      <w:bookmarkEnd w:id="266"/>
      <w:bookmarkEnd w:id="267"/>
      <w:bookmarkEnd w:id="268"/>
      <w:bookmarkEnd w:id="269"/>
      <w:r>
        <w:rPr>
          <w:rFonts w:hint="eastAsia" w:ascii="宋体" w:hAnsi="宋体"/>
          <w:color w:val="auto"/>
          <w:sz w:val="24"/>
        </w:rPr>
        <w:t>中标供应商</w:t>
      </w:r>
    </w:p>
    <w:p w14:paraId="7AA28E9D">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27.1 评标委员会将根据评标标准，按</w:t>
      </w:r>
      <w:r>
        <w:rPr>
          <w:rFonts w:hint="eastAsia" w:ascii="宋体" w:hAnsi="宋体"/>
          <w:color w:val="auto"/>
          <w:sz w:val="24"/>
          <w:u w:val="single"/>
        </w:rPr>
        <w:t>投标须知前附表</w:t>
      </w:r>
      <w:r>
        <w:rPr>
          <w:rFonts w:hint="eastAsia" w:ascii="宋体" w:hAnsi="宋体"/>
          <w:color w:val="auto"/>
          <w:sz w:val="24"/>
        </w:rPr>
        <w:t>中规定</w:t>
      </w:r>
      <w:r>
        <w:rPr>
          <w:rFonts w:ascii="宋体" w:hAnsi="宋体"/>
          <w:color w:val="auto"/>
          <w:sz w:val="24"/>
        </w:rPr>
        <w:t>数量</w:t>
      </w:r>
      <w:r>
        <w:rPr>
          <w:rFonts w:hint="eastAsia" w:ascii="宋体" w:hAnsi="宋体"/>
          <w:color w:val="auto"/>
          <w:sz w:val="24"/>
        </w:rPr>
        <w:t>推荐中标候选人。</w:t>
      </w:r>
    </w:p>
    <w:p w14:paraId="3DD68A4E">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27.2 按</w:t>
      </w:r>
      <w:r>
        <w:rPr>
          <w:rFonts w:hint="eastAsia" w:ascii="宋体" w:hAnsi="宋体"/>
          <w:color w:val="auto"/>
          <w:sz w:val="24"/>
          <w:u w:val="single"/>
        </w:rPr>
        <w:t>投标须知前附表</w:t>
      </w:r>
      <w:r>
        <w:rPr>
          <w:rFonts w:hint="eastAsia" w:ascii="宋体" w:hAnsi="宋体"/>
          <w:color w:val="auto"/>
          <w:sz w:val="24"/>
        </w:rPr>
        <w:t>中规定，由评标委员会直接确定中标供应商。</w:t>
      </w:r>
    </w:p>
    <w:p w14:paraId="72F112FE">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bookmarkStart w:id="270" w:name="_Toc2582296"/>
      <w:bookmarkStart w:id="271" w:name="_Toc515647791"/>
      <w:bookmarkStart w:id="272" w:name="_Toc520356174"/>
      <w:bookmarkStart w:id="273" w:name="_Toc30170"/>
      <w:bookmarkStart w:id="274" w:name="_Toc532473483"/>
      <w:bookmarkStart w:id="275" w:name="_Toc31099"/>
      <w:r>
        <w:rPr>
          <w:rFonts w:ascii="宋体" w:hAnsi="宋体"/>
          <w:color w:val="auto"/>
          <w:sz w:val="24"/>
        </w:rPr>
        <w:t>28</w:t>
      </w:r>
      <w:r>
        <w:rPr>
          <w:rFonts w:hint="eastAsia" w:ascii="宋体" w:hAnsi="宋体"/>
          <w:color w:val="auto"/>
          <w:sz w:val="24"/>
        </w:rPr>
        <w:t>.发出中标通知书</w:t>
      </w:r>
      <w:bookmarkEnd w:id="270"/>
    </w:p>
    <w:p w14:paraId="56103EEE">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在投标有效期内，中标供应商确定后，采购人或者</w:t>
      </w:r>
      <w:r>
        <w:rPr>
          <w:rFonts w:ascii="宋体" w:hAnsi="宋体"/>
          <w:color w:val="auto"/>
          <w:sz w:val="24"/>
        </w:rPr>
        <w:t>采购代理机构</w:t>
      </w:r>
      <w:r>
        <w:rPr>
          <w:rFonts w:hint="eastAsia" w:ascii="宋体" w:hAnsi="宋体"/>
          <w:color w:val="auto"/>
          <w:sz w:val="24"/>
        </w:rPr>
        <w:t>发布</w:t>
      </w:r>
      <w:r>
        <w:rPr>
          <w:rFonts w:ascii="宋体" w:hAnsi="宋体"/>
          <w:color w:val="auto"/>
          <w:sz w:val="24"/>
        </w:rPr>
        <w:t>中标公告</w:t>
      </w:r>
      <w:r>
        <w:rPr>
          <w:rFonts w:hint="eastAsia" w:ascii="宋体" w:hAnsi="宋体"/>
          <w:color w:val="auto"/>
          <w:sz w:val="24"/>
        </w:rPr>
        <w:t>。在公告</w:t>
      </w:r>
      <w:r>
        <w:rPr>
          <w:rFonts w:ascii="宋体" w:hAnsi="宋体"/>
          <w:color w:val="auto"/>
          <w:sz w:val="24"/>
        </w:rPr>
        <w:t>中标结果的同时</w:t>
      </w:r>
      <w:r>
        <w:rPr>
          <w:rFonts w:hint="eastAsia" w:ascii="宋体" w:hAnsi="宋体"/>
          <w:color w:val="auto"/>
          <w:sz w:val="24"/>
        </w:rPr>
        <w:t>，向中标供应商发出中标通知书，中标通知书是合同的组成部分。</w:t>
      </w:r>
    </w:p>
    <w:p w14:paraId="19BEFDF9">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bookmarkStart w:id="276" w:name="_Toc2582297"/>
      <w:r>
        <w:rPr>
          <w:rFonts w:hint="eastAsia" w:ascii="宋体" w:hAnsi="宋体"/>
          <w:color w:val="auto"/>
          <w:sz w:val="24"/>
        </w:rPr>
        <w:t>29.告知招标结果</w:t>
      </w:r>
      <w:bookmarkEnd w:id="276"/>
    </w:p>
    <w:p w14:paraId="78B265EA">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在公告</w:t>
      </w:r>
      <w:r>
        <w:rPr>
          <w:rFonts w:ascii="宋体" w:hAnsi="宋体"/>
          <w:color w:val="auto"/>
          <w:sz w:val="24"/>
        </w:rPr>
        <w:t>中标结果的同时，</w:t>
      </w:r>
      <w:r>
        <w:rPr>
          <w:rFonts w:hint="eastAsia" w:ascii="宋体" w:hAnsi="宋体"/>
          <w:color w:val="auto"/>
          <w:sz w:val="24"/>
        </w:rPr>
        <w:t>告知未通过资格审查投标人未通过的原因；采用综合评分法评审的，还将告知未中标供应商本人的评审得分和排序。</w:t>
      </w:r>
      <w:bookmarkEnd w:id="271"/>
      <w:bookmarkEnd w:id="272"/>
      <w:bookmarkEnd w:id="273"/>
      <w:bookmarkEnd w:id="274"/>
      <w:bookmarkEnd w:id="275"/>
    </w:p>
    <w:p w14:paraId="716BA884">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bookmarkStart w:id="277" w:name="_Toc7779"/>
      <w:bookmarkStart w:id="278" w:name="_Toc515647792"/>
      <w:bookmarkStart w:id="279" w:name="_Toc2582298"/>
      <w:bookmarkStart w:id="280" w:name="_Ref467307062"/>
      <w:bookmarkStart w:id="281" w:name="_Ref467307204"/>
      <w:bookmarkStart w:id="282" w:name="_Toc532473484"/>
      <w:bookmarkStart w:id="283" w:name="_Toc790"/>
      <w:bookmarkStart w:id="284" w:name="_Ref467306377"/>
      <w:bookmarkStart w:id="285" w:name="_Toc520356175"/>
      <w:bookmarkStart w:id="286" w:name="_Ref467306978"/>
      <w:r>
        <w:rPr>
          <w:rFonts w:ascii="宋体" w:hAnsi="宋体"/>
          <w:color w:val="auto"/>
          <w:sz w:val="24"/>
        </w:rPr>
        <w:t>30</w:t>
      </w:r>
      <w:r>
        <w:rPr>
          <w:rFonts w:hint="eastAsia" w:ascii="宋体" w:hAnsi="宋体"/>
          <w:color w:val="auto"/>
          <w:sz w:val="24"/>
        </w:rPr>
        <w:t>.签订合同</w:t>
      </w:r>
      <w:bookmarkEnd w:id="277"/>
      <w:bookmarkEnd w:id="278"/>
      <w:bookmarkEnd w:id="279"/>
      <w:bookmarkEnd w:id="280"/>
      <w:bookmarkEnd w:id="281"/>
      <w:bookmarkEnd w:id="282"/>
      <w:bookmarkEnd w:id="283"/>
      <w:bookmarkEnd w:id="284"/>
      <w:bookmarkEnd w:id="285"/>
      <w:bookmarkEnd w:id="286"/>
    </w:p>
    <w:p w14:paraId="7FB0CBC5">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ascii="宋体" w:hAnsi="宋体"/>
          <w:color w:val="auto"/>
          <w:sz w:val="24"/>
        </w:rPr>
        <w:t>30</w:t>
      </w:r>
      <w:r>
        <w:rPr>
          <w:rFonts w:hint="eastAsia" w:ascii="宋体" w:hAnsi="宋体"/>
          <w:color w:val="auto"/>
          <w:sz w:val="24"/>
        </w:rPr>
        <w:t>.1 中标供应商应当自发出中标通知书之日起30日内，与采购人签订合同。</w:t>
      </w:r>
    </w:p>
    <w:p w14:paraId="2FCCEC8A">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30</w:t>
      </w:r>
      <w:r>
        <w:rPr>
          <w:rFonts w:hint="eastAsia" w:ascii="宋体" w:hAnsi="宋体"/>
          <w:color w:val="auto"/>
          <w:sz w:val="24"/>
        </w:rPr>
        <w:t>.2</w:t>
      </w:r>
      <w:bookmarkStart w:id="287" w:name="_Ref467307090"/>
      <w:bookmarkStart w:id="288" w:name="_Toc520356176"/>
      <w:bookmarkStart w:id="289" w:name="_Ref467306425"/>
      <w:r>
        <w:rPr>
          <w:rFonts w:hint="eastAsia" w:ascii="宋体" w:hAnsi="宋体"/>
          <w:color w:val="auto"/>
          <w:sz w:val="24"/>
        </w:rPr>
        <w:t xml:space="preserve"> 招标文件、中标供应商的投标文件及其澄清文件等，均为签订合同的依据。</w:t>
      </w:r>
    </w:p>
    <w:p w14:paraId="58C72ACE">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30</w:t>
      </w:r>
      <w:r>
        <w:rPr>
          <w:rFonts w:hint="eastAsia" w:ascii="宋体" w:hAnsi="宋体"/>
          <w:color w:val="auto"/>
          <w:sz w:val="24"/>
        </w:rPr>
        <w:t>.3 如中标供应商</w:t>
      </w:r>
      <w:r>
        <w:rPr>
          <w:rFonts w:ascii="宋体" w:hAnsi="宋体"/>
          <w:color w:val="auto"/>
          <w:sz w:val="24"/>
        </w:rPr>
        <w:t>拒绝与采购人签订合同的，</w:t>
      </w:r>
      <w:r>
        <w:rPr>
          <w:rFonts w:hint="eastAsia" w:ascii="宋体" w:hAnsi="宋体"/>
          <w:color w:val="auto"/>
          <w:sz w:val="24"/>
        </w:rPr>
        <w:t>中标供应商投标保证金不予退还；</w:t>
      </w:r>
      <w:r>
        <w:rPr>
          <w:rFonts w:ascii="宋体" w:hAnsi="宋体"/>
          <w:color w:val="auto"/>
          <w:sz w:val="24"/>
        </w:rPr>
        <w:t>采购人可以按照评</w:t>
      </w:r>
      <w:r>
        <w:rPr>
          <w:rFonts w:hint="eastAsia" w:ascii="宋体" w:hAnsi="宋体"/>
          <w:color w:val="auto"/>
          <w:sz w:val="24"/>
        </w:rPr>
        <w:t>标</w:t>
      </w:r>
      <w:r>
        <w:rPr>
          <w:rFonts w:ascii="宋体" w:hAnsi="宋体"/>
          <w:color w:val="auto"/>
          <w:sz w:val="24"/>
        </w:rPr>
        <w:t>报告推荐的中标候选人排序</w:t>
      </w:r>
      <w:r>
        <w:rPr>
          <w:rFonts w:hint="eastAsia" w:ascii="宋体" w:hAnsi="宋体"/>
          <w:color w:val="auto"/>
          <w:sz w:val="24"/>
        </w:rPr>
        <w:t>，</w:t>
      </w:r>
      <w:r>
        <w:rPr>
          <w:rFonts w:ascii="宋体" w:hAnsi="宋体"/>
          <w:color w:val="auto"/>
          <w:sz w:val="24"/>
        </w:rPr>
        <w:t>确定下一</w:t>
      </w:r>
      <w:r>
        <w:rPr>
          <w:rFonts w:hint="eastAsia" w:ascii="宋体" w:hAnsi="宋体"/>
          <w:color w:val="auto"/>
          <w:sz w:val="24"/>
        </w:rPr>
        <w:t>中标候选</w:t>
      </w:r>
      <w:r>
        <w:rPr>
          <w:rFonts w:ascii="宋体" w:hAnsi="宋体"/>
          <w:color w:val="auto"/>
          <w:sz w:val="24"/>
        </w:rPr>
        <w:t>人为</w:t>
      </w:r>
      <w:r>
        <w:rPr>
          <w:rFonts w:hint="eastAsia" w:ascii="宋体" w:hAnsi="宋体"/>
          <w:color w:val="auto"/>
          <w:sz w:val="24"/>
        </w:rPr>
        <w:t>中标供应商</w:t>
      </w:r>
      <w:r>
        <w:rPr>
          <w:rFonts w:ascii="宋体" w:hAnsi="宋体"/>
          <w:color w:val="auto"/>
          <w:sz w:val="24"/>
        </w:rPr>
        <w:t>，也可以重新开展采购活动。</w:t>
      </w:r>
    </w:p>
    <w:p w14:paraId="7437B382">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30</w:t>
      </w:r>
      <w:r>
        <w:rPr>
          <w:rFonts w:hint="eastAsia" w:ascii="宋体" w:hAnsi="宋体"/>
          <w:color w:val="auto"/>
          <w:sz w:val="24"/>
        </w:rPr>
        <w:t>.4 当出现法规规定的中标无效或中标结果无效情形时，采购人可与排名下一位的中标候选人另行签订合同，或依法重新开展采购活动。</w:t>
      </w:r>
    </w:p>
    <w:p w14:paraId="24E8441E">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bookmarkStart w:id="290" w:name="_Toc14080"/>
      <w:bookmarkStart w:id="291" w:name="_Toc515647793"/>
      <w:bookmarkStart w:id="292" w:name="_Toc532473485"/>
      <w:bookmarkStart w:id="293" w:name="_Toc2582299"/>
      <w:bookmarkStart w:id="294" w:name="_Toc22555"/>
      <w:r>
        <w:rPr>
          <w:rFonts w:ascii="宋体" w:hAnsi="宋体"/>
          <w:color w:val="auto"/>
          <w:sz w:val="24"/>
        </w:rPr>
        <w:t>31</w:t>
      </w:r>
      <w:r>
        <w:rPr>
          <w:rFonts w:hint="eastAsia" w:ascii="宋体" w:hAnsi="宋体"/>
          <w:color w:val="auto"/>
          <w:sz w:val="24"/>
        </w:rPr>
        <w:t>.履约保证金</w:t>
      </w:r>
      <w:bookmarkEnd w:id="287"/>
      <w:bookmarkEnd w:id="288"/>
      <w:bookmarkEnd w:id="289"/>
      <w:bookmarkEnd w:id="290"/>
      <w:bookmarkEnd w:id="291"/>
      <w:bookmarkEnd w:id="292"/>
      <w:bookmarkEnd w:id="293"/>
      <w:bookmarkEnd w:id="294"/>
    </w:p>
    <w:p w14:paraId="5F8A4BA8">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31</w:t>
      </w:r>
      <w:r>
        <w:rPr>
          <w:rFonts w:hint="eastAsia" w:ascii="宋体" w:hAnsi="宋体"/>
          <w:color w:val="auto"/>
          <w:sz w:val="24"/>
        </w:rPr>
        <w:t>.1 如果</w:t>
      </w:r>
      <w:r>
        <w:rPr>
          <w:rFonts w:ascii="宋体" w:hAnsi="宋体"/>
          <w:color w:val="auto"/>
          <w:sz w:val="24"/>
        </w:rPr>
        <w:t>需要履约保证金，</w:t>
      </w:r>
      <w:r>
        <w:rPr>
          <w:rFonts w:hint="eastAsia" w:ascii="宋体" w:hAnsi="宋体"/>
          <w:color w:val="auto"/>
          <w:sz w:val="24"/>
        </w:rPr>
        <w:t>中标供应商应按照</w:t>
      </w:r>
      <w:r>
        <w:rPr>
          <w:rFonts w:hint="eastAsia" w:ascii="宋体" w:hAnsi="宋体"/>
          <w:color w:val="auto"/>
          <w:sz w:val="24"/>
          <w:u w:val="single"/>
        </w:rPr>
        <w:t>投标须知前附表</w:t>
      </w:r>
      <w:r>
        <w:rPr>
          <w:rFonts w:hint="eastAsia" w:ascii="宋体" w:hAnsi="宋体"/>
          <w:color w:val="auto"/>
          <w:sz w:val="24"/>
        </w:rPr>
        <w:t>规定向采购人递交履约保证金或履约保函。</w:t>
      </w:r>
    </w:p>
    <w:p w14:paraId="1775E993">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31</w:t>
      </w: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如果中标供应商没有按照要求递交履约保证金的，将被视为放弃中标资格，中标供应商须投标保证金不予退还。在此情况下，采购人可</w:t>
      </w:r>
      <w:r>
        <w:rPr>
          <w:rFonts w:ascii="宋体" w:hAnsi="宋体"/>
          <w:color w:val="auto"/>
          <w:sz w:val="24"/>
        </w:rPr>
        <w:t>确定下一</w:t>
      </w:r>
      <w:r>
        <w:rPr>
          <w:rFonts w:hint="eastAsia" w:ascii="宋体" w:hAnsi="宋体"/>
          <w:color w:val="auto"/>
          <w:sz w:val="24"/>
        </w:rPr>
        <w:t>候选</w:t>
      </w:r>
      <w:r>
        <w:rPr>
          <w:rFonts w:ascii="宋体" w:hAnsi="宋体"/>
          <w:color w:val="auto"/>
          <w:sz w:val="24"/>
        </w:rPr>
        <w:t>人为</w:t>
      </w:r>
      <w:r>
        <w:rPr>
          <w:rFonts w:hint="eastAsia" w:ascii="宋体" w:hAnsi="宋体"/>
          <w:color w:val="auto"/>
          <w:sz w:val="24"/>
        </w:rPr>
        <w:t>中标供应商</w:t>
      </w:r>
      <w:r>
        <w:rPr>
          <w:rFonts w:ascii="宋体" w:hAnsi="宋体"/>
          <w:color w:val="auto"/>
          <w:sz w:val="24"/>
        </w:rPr>
        <w:t>，也可以重新开展采购活动。</w:t>
      </w:r>
    </w:p>
    <w:p w14:paraId="00C58038">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bookmarkStart w:id="295" w:name="_Toc518923098"/>
      <w:bookmarkStart w:id="296" w:name="_Toc2583659"/>
      <w:bookmarkStart w:id="297" w:name="_Toc3090"/>
      <w:bookmarkStart w:id="298" w:name="_Toc29408"/>
      <w:bookmarkStart w:id="299" w:name="_Toc2582300"/>
      <w:bookmarkStart w:id="300" w:name="_Toc532473486"/>
      <w:bookmarkStart w:id="301" w:name="_Toc515647794"/>
      <w:r>
        <w:rPr>
          <w:rFonts w:hint="eastAsia" w:ascii="宋体" w:hAnsi="宋体"/>
          <w:color w:val="auto"/>
          <w:sz w:val="24"/>
        </w:rPr>
        <w:t>3</w:t>
      </w:r>
      <w:r>
        <w:rPr>
          <w:rFonts w:ascii="宋体" w:hAnsi="宋体"/>
          <w:color w:val="auto"/>
          <w:sz w:val="24"/>
        </w:rPr>
        <w:t>2</w:t>
      </w:r>
      <w:r>
        <w:rPr>
          <w:rFonts w:hint="eastAsia" w:ascii="宋体" w:hAnsi="宋体"/>
          <w:color w:val="auto"/>
          <w:sz w:val="24"/>
        </w:rPr>
        <w:t>.</w:t>
      </w:r>
      <w:bookmarkEnd w:id="295"/>
      <w:r>
        <w:rPr>
          <w:rFonts w:hint="eastAsia" w:ascii="宋体" w:hAnsi="宋体"/>
          <w:color w:val="auto"/>
          <w:sz w:val="24"/>
        </w:rPr>
        <w:t>预付款</w:t>
      </w:r>
    </w:p>
    <w:p w14:paraId="51E4AEDC">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3</w:t>
      </w:r>
      <w:r>
        <w:rPr>
          <w:rFonts w:ascii="宋体" w:hAnsi="宋体"/>
          <w:color w:val="auto"/>
          <w:sz w:val="24"/>
        </w:rPr>
        <w:t>2.1</w:t>
      </w:r>
      <w:r>
        <w:rPr>
          <w:rFonts w:hint="eastAsia" w:ascii="宋体" w:hAnsi="宋体"/>
          <w:color w:val="auto"/>
          <w:sz w:val="24"/>
        </w:rPr>
        <w:t xml:space="preserve"> 预付款是在指</w:t>
      </w:r>
      <w:r>
        <w:rPr>
          <w:rFonts w:ascii="宋体" w:hAnsi="宋体"/>
          <w:color w:val="auto"/>
          <w:sz w:val="24"/>
        </w:rPr>
        <w:t>政府采购合同签订后</w:t>
      </w:r>
      <w:r>
        <w:rPr>
          <w:rFonts w:hint="eastAsia" w:ascii="宋体" w:hAnsi="宋体"/>
          <w:color w:val="auto"/>
          <w:sz w:val="24"/>
        </w:rPr>
        <w:t>、履行前，</w:t>
      </w:r>
      <w:r>
        <w:rPr>
          <w:rFonts w:ascii="宋体" w:hAnsi="宋体"/>
          <w:color w:val="auto"/>
          <w:sz w:val="24"/>
        </w:rPr>
        <w:t>采购人向</w:t>
      </w:r>
      <w:r>
        <w:rPr>
          <w:rFonts w:hint="eastAsia" w:ascii="宋体" w:hAnsi="宋体"/>
          <w:color w:val="auto"/>
          <w:sz w:val="24"/>
        </w:rPr>
        <w:t>中标供应商</w:t>
      </w:r>
      <w:r>
        <w:rPr>
          <w:rFonts w:ascii="宋体" w:hAnsi="宋体"/>
          <w:color w:val="auto"/>
          <w:sz w:val="24"/>
        </w:rPr>
        <w:t>预先支付部分合同款项</w:t>
      </w:r>
      <w:r>
        <w:rPr>
          <w:rFonts w:hint="eastAsia" w:ascii="宋体" w:hAnsi="宋体"/>
          <w:color w:val="auto"/>
          <w:sz w:val="24"/>
        </w:rPr>
        <w:t>，</w:t>
      </w:r>
      <w:r>
        <w:rPr>
          <w:rFonts w:ascii="宋体" w:hAnsi="宋体"/>
          <w:color w:val="auto"/>
          <w:sz w:val="24"/>
        </w:rPr>
        <w:t>预付款</w:t>
      </w:r>
      <w:r>
        <w:rPr>
          <w:rFonts w:hint="eastAsia" w:ascii="宋体" w:hAnsi="宋体"/>
          <w:color w:val="auto"/>
          <w:sz w:val="24"/>
        </w:rPr>
        <w:t>比例按照</w:t>
      </w:r>
      <w:r>
        <w:rPr>
          <w:rFonts w:hint="eastAsia" w:ascii="宋体" w:hAnsi="宋体"/>
          <w:color w:val="auto"/>
          <w:sz w:val="24"/>
          <w:u w:val="single"/>
        </w:rPr>
        <w:t>投标须知前附表</w:t>
      </w:r>
      <w:r>
        <w:rPr>
          <w:rFonts w:hint="eastAsia" w:ascii="宋体" w:hAnsi="宋体"/>
          <w:color w:val="auto"/>
          <w:sz w:val="24"/>
        </w:rPr>
        <w:t>规定执行。</w:t>
      </w:r>
    </w:p>
    <w:p w14:paraId="38AA30F5">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3</w:t>
      </w:r>
      <w:r>
        <w:rPr>
          <w:rFonts w:ascii="宋体" w:hAnsi="宋体"/>
          <w:color w:val="auto"/>
          <w:sz w:val="24"/>
        </w:rPr>
        <w:t>2.2</w:t>
      </w:r>
      <w:r>
        <w:rPr>
          <w:rFonts w:hint="eastAsia" w:ascii="宋体" w:hAnsi="宋体"/>
          <w:color w:val="auto"/>
          <w:sz w:val="24"/>
        </w:rPr>
        <w:t xml:space="preserve"> 如采购人要求，中标供应商</w:t>
      </w:r>
      <w:r>
        <w:rPr>
          <w:rFonts w:ascii="宋体" w:hAnsi="宋体"/>
          <w:color w:val="auto"/>
          <w:sz w:val="24"/>
        </w:rPr>
        <w:t>在收到预付款前</w:t>
      </w:r>
      <w:r>
        <w:rPr>
          <w:rFonts w:hint="eastAsia" w:ascii="宋体" w:hAnsi="宋体"/>
          <w:color w:val="auto"/>
          <w:sz w:val="24"/>
        </w:rPr>
        <w:t>，</w:t>
      </w:r>
      <w:r>
        <w:rPr>
          <w:rFonts w:ascii="宋体" w:hAnsi="宋体"/>
          <w:color w:val="auto"/>
          <w:sz w:val="24"/>
        </w:rPr>
        <w:t>需向采购人提供预付款保函</w:t>
      </w:r>
      <w:r>
        <w:rPr>
          <w:rFonts w:hint="eastAsia" w:ascii="宋体" w:hAnsi="宋体"/>
          <w:color w:val="auto"/>
          <w:sz w:val="24"/>
        </w:rPr>
        <w:t>。</w:t>
      </w:r>
      <w:r>
        <w:rPr>
          <w:rFonts w:ascii="宋体" w:hAnsi="宋体"/>
          <w:color w:val="auto"/>
          <w:sz w:val="24"/>
        </w:rPr>
        <w:t>预付款保函是指</w:t>
      </w:r>
      <w:r>
        <w:rPr>
          <w:rFonts w:hint="eastAsia" w:ascii="宋体" w:hAnsi="宋体"/>
          <w:color w:val="auto"/>
          <w:sz w:val="24"/>
        </w:rPr>
        <w:t>中标供应商</w:t>
      </w:r>
      <w:r>
        <w:rPr>
          <w:rFonts w:ascii="宋体" w:hAnsi="宋体"/>
          <w:color w:val="auto"/>
          <w:sz w:val="24"/>
        </w:rPr>
        <w:t>向银行或者有资质的专业的担保机构申请</w:t>
      </w:r>
      <w:r>
        <w:rPr>
          <w:rFonts w:hint="eastAsia" w:ascii="宋体" w:hAnsi="宋体"/>
          <w:color w:val="auto"/>
          <w:sz w:val="24"/>
        </w:rPr>
        <w:t>，</w:t>
      </w:r>
      <w:r>
        <w:rPr>
          <w:rFonts w:ascii="宋体" w:hAnsi="宋体"/>
          <w:color w:val="auto"/>
          <w:sz w:val="24"/>
        </w:rPr>
        <w:t>由其向采购人出具的确保预付款直接或者间接用于政府采购合同履约或者保障政府采购履约质量的银行保函或者担保保函等</w:t>
      </w:r>
      <w:r>
        <w:rPr>
          <w:rFonts w:hint="eastAsia" w:ascii="宋体" w:hAnsi="宋体"/>
          <w:color w:val="auto"/>
          <w:sz w:val="24"/>
        </w:rPr>
        <w:t>。</w:t>
      </w:r>
    </w:p>
    <w:p w14:paraId="15515ACA">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r>
        <w:rPr>
          <w:rFonts w:ascii="宋体" w:hAnsi="宋体"/>
          <w:color w:val="auto"/>
          <w:sz w:val="24"/>
        </w:rPr>
        <w:t>33.</w:t>
      </w:r>
      <w:r>
        <w:rPr>
          <w:rFonts w:hint="eastAsia" w:ascii="宋体" w:hAnsi="宋体"/>
          <w:color w:val="auto"/>
          <w:sz w:val="24"/>
        </w:rPr>
        <w:t>招标代理费</w:t>
      </w:r>
      <w:bookmarkEnd w:id="296"/>
    </w:p>
    <w:p w14:paraId="46B51568">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本项目</w:t>
      </w:r>
      <w:r>
        <w:rPr>
          <w:rFonts w:ascii="宋体" w:hAnsi="宋体"/>
          <w:color w:val="auto"/>
          <w:sz w:val="24"/>
        </w:rPr>
        <w:t>是否由</w:t>
      </w:r>
      <w:r>
        <w:rPr>
          <w:rFonts w:hint="eastAsia" w:ascii="宋体" w:hAnsi="宋体"/>
          <w:color w:val="auto"/>
          <w:sz w:val="24"/>
        </w:rPr>
        <w:t>中标供应商向采购代理机构支付招标代理费，按照</w:t>
      </w:r>
      <w:r>
        <w:rPr>
          <w:rFonts w:hint="eastAsia" w:ascii="宋体" w:hAnsi="宋体"/>
          <w:color w:val="auto"/>
          <w:sz w:val="24"/>
          <w:u w:val="single"/>
        </w:rPr>
        <w:t>投标须知前附表</w:t>
      </w:r>
      <w:r>
        <w:rPr>
          <w:rFonts w:hint="eastAsia" w:ascii="宋体" w:hAnsi="宋体"/>
          <w:color w:val="auto"/>
          <w:sz w:val="24"/>
        </w:rPr>
        <w:t>规定执行。</w:t>
      </w:r>
    </w:p>
    <w:p w14:paraId="08BB4AA9">
      <w:pPr>
        <w:pageBreakBefore w:val="0"/>
        <w:kinsoku/>
        <w:overflowPunct/>
        <w:topLinePunct w:val="0"/>
        <w:bidi w:val="0"/>
        <w:spacing w:line="360" w:lineRule="auto"/>
        <w:ind w:left="0" w:leftChars="0" w:firstLine="0" w:firstLineChars="0"/>
        <w:jc w:val="left"/>
        <w:textAlignment w:val="auto"/>
        <w:outlineLvl w:val="2"/>
        <w:rPr>
          <w:rFonts w:hint="eastAsia" w:ascii="宋体" w:hAnsi="宋体"/>
          <w:color w:val="auto"/>
          <w:sz w:val="24"/>
        </w:rPr>
      </w:pPr>
      <w:bookmarkStart w:id="302" w:name="_Toc2583660"/>
      <w:bookmarkStart w:id="303" w:name="_Toc518923099"/>
      <w:r>
        <w:rPr>
          <w:rFonts w:hint="eastAsia" w:ascii="宋体" w:hAnsi="宋体"/>
          <w:color w:val="auto"/>
          <w:sz w:val="24"/>
        </w:rPr>
        <w:t>3</w:t>
      </w:r>
      <w:r>
        <w:rPr>
          <w:rFonts w:ascii="宋体" w:hAnsi="宋体"/>
          <w:color w:val="auto"/>
          <w:sz w:val="24"/>
        </w:rPr>
        <w:t>4</w:t>
      </w:r>
      <w:r>
        <w:rPr>
          <w:rFonts w:hint="eastAsia" w:ascii="宋体" w:hAnsi="宋体"/>
          <w:color w:val="auto"/>
          <w:sz w:val="24"/>
        </w:rPr>
        <w:t>.政府采购信用担保</w:t>
      </w:r>
      <w:bookmarkEnd w:id="302"/>
      <w:bookmarkEnd w:id="303"/>
    </w:p>
    <w:p w14:paraId="1734B2C0">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3</w:t>
      </w:r>
      <w:r>
        <w:rPr>
          <w:rFonts w:ascii="宋体" w:hAnsi="宋体"/>
          <w:color w:val="auto"/>
          <w:sz w:val="24"/>
        </w:rPr>
        <w:t>4</w:t>
      </w:r>
      <w:r>
        <w:rPr>
          <w:rFonts w:hint="eastAsia" w:ascii="宋体" w:hAnsi="宋体"/>
          <w:color w:val="auto"/>
          <w:sz w:val="24"/>
        </w:rPr>
        <w:t>.1 投标人可以自由按照财政部门的规定，采用履约担保。</w:t>
      </w:r>
    </w:p>
    <w:p w14:paraId="21FC9BEE">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3</w:t>
      </w:r>
      <w:r>
        <w:rPr>
          <w:rFonts w:ascii="宋体" w:hAnsi="宋体"/>
          <w:color w:val="auto"/>
          <w:sz w:val="24"/>
        </w:rPr>
        <w:t>4</w:t>
      </w:r>
      <w:r>
        <w:rPr>
          <w:rFonts w:hint="eastAsia" w:ascii="宋体" w:hAnsi="宋体"/>
          <w:color w:val="auto"/>
          <w:sz w:val="24"/>
        </w:rPr>
        <w:t>.2 投标人递交的履约担保函应符合本招标文件的规定。</w:t>
      </w:r>
    </w:p>
    <w:p w14:paraId="23FDE7E5">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34.3 为落实省委省政府支持民营企业发展的要求，解决中小企业“融资难、融资贵、融资慢”的问题，中标(成交)供应商可登录“中国政府采购网山西分网（山西省政府采购网），http://www.ccgp-shanxi.gov.cn”，进入“政采智贷”页面，按照《山西省“政采智贷”业务操作指南》自主选择商业银行申请融资。</w:t>
      </w:r>
    </w:p>
    <w:p w14:paraId="4010E8BD">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bookmarkStart w:id="304" w:name="_Toc2583661"/>
      <w:bookmarkStart w:id="305" w:name="_Toc518923100"/>
      <w:r>
        <w:rPr>
          <w:rFonts w:hint="eastAsia" w:ascii="宋体" w:hAnsi="宋体"/>
          <w:color w:val="auto"/>
          <w:sz w:val="24"/>
        </w:rPr>
        <w:t>3</w:t>
      </w:r>
      <w:r>
        <w:rPr>
          <w:rFonts w:ascii="宋体" w:hAnsi="宋体"/>
          <w:color w:val="auto"/>
          <w:sz w:val="24"/>
        </w:rPr>
        <w:t>5.</w:t>
      </w:r>
      <w:r>
        <w:rPr>
          <w:rFonts w:hint="eastAsia" w:ascii="宋体" w:hAnsi="宋体"/>
          <w:color w:val="auto"/>
          <w:sz w:val="24"/>
        </w:rPr>
        <w:t>廉洁自律</w:t>
      </w:r>
      <w:r>
        <w:rPr>
          <w:rFonts w:ascii="宋体" w:hAnsi="宋体"/>
          <w:color w:val="auto"/>
          <w:sz w:val="24"/>
        </w:rPr>
        <w:t>规定</w:t>
      </w:r>
      <w:bookmarkEnd w:id="304"/>
      <w:bookmarkEnd w:id="305"/>
    </w:p>
    <w:p w14:paraId="463483F5">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3</w:t>
      </w:r>
      <w:r>
        <w:rPr>
          <w:rFonts w:ascii="宋体" w:hAnsi="宋体"/>
          <w:color w:val="auto"/>
          <w:sz w:val="24"/>
        </w:rPr>
        <w:t>5</w:t>
      </w:r>
      <w:r>
        <w:rPr>
          <w:rFonts w:hint="eastAsia" w:ascii="宋体" w:hAnsi="宋体"/>
          <w:color w:val="auto"/>
          <w:sz w:val="24"/>
        </w:rPr>
        <w:t>.1 采购代理机构</w:t>
      </w:r>
      <w:r>
        <w:rPr>
          <w:rFonts w:ascii="宋体" w:hAnsi="宋体"/>
          <w:color w:val="auto"/>
          <w:sz w:val="24"/>
        </w:rPr>
        <w:t>工作人员</w:t>
      </w:r>
      <w:r>
        <w:rPr>
          <w:rFonts w:hint="eastAsia" w:ascii="宋体" w:hAnsi="宋体"/>
          <w:color w:val="auto"/>
          <w:sz w:val="24"/>
        </w:rPr>
        <w:t>不得以不正当手段获取政府采购代理业务，不得与采购人、供应商恶意串通。</w:t>
      </w:r>
    </w:p>
    <w:p w14:paraId="12F70809">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ascii="宋体" w:hAnsi="宋体"/>
          <w:color w:val="auto"/>
          <w:sz w:val="24"/>
        </w:rPr>
        <w:t>35.2</w:t>
      </w:r>
      <w:r>
        <w:rPr>
          <w:rFonts w:hint="eastAsia" w:ascii="宋体" w:hAnsi="宋体"/>
          <w:color w:val="auto"/>
          <w:sz w:val="24"/>
        </w:rPr>
        <w:t xml:space="preserve"> 采购代理机构工作人员不得接受采购人或者供应商组织的宴请、旅游、娱乐，不得收受礼品、现金、有价证券等，不得向采购人或者供应商报销应当由个人承担的费用。</w:t>
      </w:r>
    </w:p>
    <w:p w14:paraId="539EC906">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bookmarkStart w:id="306" w:name="_Toc518923101"/>
      <w:bookmarkStart w:id="307" w:name="_Toc2583662"/>
      <w:r>
        <w:rPr>
          <w:rFonts w:hint="eastAsia" w:ascii="宋体" w:hAnsi="宋体"/>
          <w:color w:val="auto"/>
          <w:sz w:val="24"/>
        </w:rPr>
        <w:t>3</w:t>
      </w:r>
      <w:r>
        <w:rPr>
          <w:rFonts w:ascii="宋体" w:hAnsi="宋体"/>
          <w:color w:val="auto"/>
          <w:sz w:val="24"/>
        </w:rPr>
        <w:t>6</w:t>
      </w:r>
      <w:r>
        <w:rPr>
          <w:rFonts w:hint="eastAsia" w:ascii="宋体" w:hAnsi="宋体"/>
          <w:color w:val="auto"/>
          <w:sz w:val="24"/>
        </w:rPr>
        <w:t>.人员回避</w:t>
      </w:r>
      <w:bookmarkEnd w:id="306"/>
      <w:bookmarkEnd w:id="307"/>
    </w:p>
    <w:p w14:paraId="16AEEB1C">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潜在</w:t>
      </w:r>
      <w:r>
        <w:rPr>
          <w:rFonts w:ascii="宋体" w:hAnsi="宋体"/>
          <w:color w:val="auto"/>
          <w:sz w:val="24"/>
        </w:rPr>
        <w:t>投标人认为招标文件使</w:t>
      </w:r>
      <w:r>
        <w:rPr>
          <w:rFonts w:hint="eastAsia" w:ascii="宋体" w:hAnsi="宋体"/>
          <w:color w:val="auto"/>
          <w:sz w:val="24"/>
        </w:rPr>
        <w:t>自己</w:t>
      </w:r>
      <w:r>
        <w:rPr>
          <w:rFonts w:ascii="宋体" w:hAnsi="宋体"/>
          <w:color w:val="auto"/>
          <w:sz w:val="24"/>
        </w:rPr>
        <w:t>的权益受到损害的，</w:t>
      </w:r>
      <w:r>
        <w:rPr>
          <w:rFonts w:hint="eastAsia" w:ascii="宋体" w:hAnsi="宋体"/>
          <w:color w:val="auto"/>
          <w:sz w:val="24"/>
        </w:rPr>
        <w:t>投标人</w:t>
      </w:r>
      <w:r>
        <w:rPr>
          <w:rFonts w:ascii="宋体" w:hAnsi="宋体"/>
          <w:color w:val="auto"/>
          <w:sz w:val="24"/>
        </w:rPr>
        <w:t>认为采购人员</w:t>
      </w:r>
      <w:r>
        <w:rPr>
          <w:rFonts w:hint="eastAsia" w:ascii="宋体" w:hAnsi="宋体"/>
          <w:color w:val="auto"/>
          <w:sz w:val="24"/>
        </w:rPr>
        <w:t>及其</w:t>
      </w:r>
      <w:r>
        <w:rPr>
          <w:rFonts w:ascii="宋体" w:hAnsi="宋体"/>
          <w:color w:val="auto"/>
          <w:sz w:val="24"/>
        </w:rPr>
        <w:t>相关人员有</w:t>
      </w:r>
      <w:r>
        <w:rPr>
          <w:rFonts w:hint="eastAsia" w:ascii="宋体" w:hAnsi="宋体"/>
          <w:color w:val="auto"/>
          <w:sz w:val="24"/>
        </w:rPr>
        <w:t>法律</w:t>
      </w:r>
      <w:r>
        <w:rPr>
          <w:rFonts w:ascii="宋体" w:hAnsi="宋体"/>
          <w:color w:val="auto"/>
          <w:sz w:val="24"/>
        </w:rPr>
        <w:t>法规所列与其他供应商</w:t>
      </w:r>
      <w:r>
        <w:rPr>
          <w:rFonts w:hint="eastAsia" w:ascii="宋体" w:hAnsi="宋体"/>
          <w:color w:val="auto"/>
          <w:sz w:val="24"/>
        </w:rPr>
        <w:t>有</w:t>
      </w:r>
      <w:r>
        <w:rPr>
          <w:rFonts w:ascii="宋体" w:hAnsi="宋体"/>
          <w:color w:val="auto"/>
          <w:sz w:val="24"/>
        </w:rPr>
        <w:t>利害关系的，均可以向</w:t>
      </w:r>
      <w:r>
        <w:rPr>
          <w:rFonts w:hint="eastAsia" w:ascii="宋体" w:hAnsi="宋体"/>
          <w:color w:val="auto"/>
          <w:sz w:val="24"/>
        </w:rPr>
        <w:t>采购人或</w:t>
      </w:r>
      <w:r>
        <w:rPr>
          <w:rFonts w:ascii="宋体" w:hAnsi="宋体"/>
          <w:color w:val="auto"/>
          <w:sz w:val="24"/>
        </w:rPr>
        <w:t>采购代理机构书面提出回避申请，并说明理由。</w:t>
      </w:r>
    </w:p>
    <w:p w14:paraId="359D3082">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bookmarkStart w:id="308" w:name="_Toc2583663"/>
      <w:bookmarkStart w:id="309" w:name="_Toc518923102"/>
      <w:r>
        <w:rPr>
          <w:rFonts w:hint="eastAsia" w:ascii="宋体" w:hAnsi="宋体"/>
          <w:color w:val="auto"/>
          <w:sz w:val="24"/>
        </w:rPr>
        <w:t>3</w:t>
      </w:r>
      <w:r>
        <w:rPr>
          <w:rFonts w:ascii="宋体" w:hAnsi="宋体"/>
          <w:color w:val="auto"/>
          <w:sz w:val="24"/>
        </w:rPr>
        <w:t>7</w:t>
      </w:r>
      <w:r>
        <w:rPr>
          <w:rFonts w:hint="eastAsia" w:ascii="宋体" w:hAnsi="宋体"/>
          <w:color w:val="auto"/>
          <w:sz w:val="24"/>
        </w:rPr>
        <w:t>.质疑的</w:t>
      </w:r>
      <w:r>
        <w:rPr>
          <w:rFonts w:ascii="宋体" w:hAnsi="宋体"/>
          <w:color w:val="auto"/>
          <w:sz w:val="24"/>
        </w:rPr>
        <w:t>提出</w:t>
      </w:r>
      <w:r>
        <w:rPr>
          <w:rFonts w:hint="eastAsia" w:ascii="宋体" w:hAnsi="宋体"/>
          <w:color w:val="auto"/>
          <w:sz w:val="24"/>
        </w:rPr>
        <w:t>与接收</w:t>
      </w:r>
      <w:bookmarkEnd w:id="308"/>
      <w:bookmarkEnd w:id="309"/>
    </w:p>
    <w:p w14:paraId="74FD1CA9">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3</w:t>
      </w:r>
      <w:r>
        <w:rPr>
          <w:rFonts w:ascii="宋体" w:hAnsi="宋体"/>
          <w:color w:val="auto"/>
          <w:sz w:val="24"/>
        </w:rPr>
        <w:t>7</w:t>
      </w:r>
      <w:r>
        <w:rPr>
          <w:rFonts w:hint="eastAsia" w:ascii="宋体" w:hAnsi="宋体"/>
          <w:color w:val="auto"/>
          <w:sz w:val="24"/>
        </w:rPr>
        <w:t>.1</w:t>
      </w:r>
      <w:r>
        <w:rPr>
          <w:rFonts w:ascii="宋体" w:hAnsi="宋体"/>
          <w:color w:val="auto"/>
          <w:sz w:val="24"/>
        </w:rPr>
        <w:t xml:space="preserve"> </w:t>
      </w:r>
      <w:r>
        <w:rPr>
          <w:rFonts w:hint="eastAsia" w:ascii="宋体" w:hAnsi="宋体"/>
          <w:color w:val="auto"/>
          <w:sz w:val="24"/>
        </w:rPr>
        <w:t>投标人认为招标文件、招标过程和中标结果使自己的权益受到损害的，可以根据</w:t>
      </w:r>
      <w:r>
        <w:rPr>
          <w:rFonts w:ascii="宋体" w:hAnsi="宋体"/>
          <w:color w:val="auto"/>
          <w:sz w:val="24"/>
        </w:rPr>
        <w:t>《</w:t>
      </w:r>
      <w:r>
        <w:rPr>
          <w:rFonts w:hint="eastAsia" w:ascii="宋体" w:hAnsi="宋体"/>
          <w:color w:val="auto"/>
          <w:sz w:val="24"/>
        </w:rPr>
        <w:t>中华人民共和国政府</w:t>
      </w:r>
      <w:r>
        <w:rPr>
          <w:rFonts w:ascii="宋体" w:hAnsi="宋体"/>
          <w:color w:val="auto"/>
          <w:sz w:val="24"/>
        </w:rPr>
        <w:t>采购法》</w:t>
      </w:r>
      <w:r>
        <w:rPr>
          <w:rFonts w:hint="eastAsia" w:ascii="宋体" w:hAnsi="宋体"/>
          <w:color w:val="auto"/>
          <w:sz w:val="24"/>
        </w:rPr>
        <w:t>、</w:t>
      </w:r>
      <w:r>
        <w:rPr>
          <w:rFonts w:ascii="宋体" w:hAnsi="宋体"/>
          <w:color w:val="auto"/>
          <w:sz w:val="24"/>
        </w:rPr>
        <w:t>《</w:t>
      </w:r>
      <w:r>
        <w:rPr>
          <w:rFonts w:hint="eastAsia" w:ascii="宋体" w:hAnsi="宋体"/>
          <w:color w:val="auto"/>
          <w:sz w:val="24"/>
        </w:rPr>
        <w:t>中华人民共和国政府</w:t>
      </w:r>
      <w:r>
        <w:rPr>
          <w:rFonts w:ascii="宋体" w:hAnsi="宋体"/>
          <w:color w:val="auto"/>
          <w:sz w:val="24"/>
        </w:rPr>
        <w:t>采购法实施条例》</w:t>
      </w:r>
      <w:r>
        <w:rPr>
          <w:rFonts w:hint="eastAsia" w:ascii="宋体" w:hAnsi="宋体"/>
          <w:color w:val="auto"/>
          <w:sz w:val="24"/>
        </w:rPr>
        <w:t>和</w:t>
      </w:r>
      <w:r>
        <w:rPr>
          <w:rFonts w:ascii="宋体" w:hAnsi="宋体"/>
          <w:color w:val="auto"/>
          <w:sz w:val="24"/>
        </w:rPr>
        <w:t>《</w:t>
      </w:r>
      <w:r>
        <w:rPr>
          <w:rFonts w:hint="eastAsia" w:ascii="宋体" w:hAnsi="宋体"/>
          <w:color w:val="auto"/>
          <w:sz w:val="24"/>
        </w:rPr>
        <w:t>政府</w:t>
      </w:r>
      <w:r>
        <w:rPr>
          <w:rFonts w:ascii="宋体" w:hAnsi="宋体"/>
          <w:color w:val="auto"/>
          <w:sz w:val="24"/>
        </w:rPr>
        <w:t>采购质疑和投诉办法》</w:t>
      </w:r>
      <w:r>
        <w:rPr>
          <w:rFonts w:hint="eastAsia" w:ascii="宋体" w:hAnsi="宋体"/>
          <w:color w:val="auto"/>
          <w:sz w:val="24"/>
        </w:rPr>
        <w:t>的</w:t>
      </w:r>
      <w:r>
        <w:rPr>
          <w:rFonts w:ascii="宋体" w:hAnsi="宋体"/>
          <w:color w:val="auto"/>
          <w:sz w:val="24"/>
        </w:rPr>
        <w:t>有关规定，</w:t>
      </w:r>
      <w:r>
        <w:rPr>
          <w:rFonts w:hint="eastAsia" w:ascii="宋体" w:hAnsi="宋体"/>
          <w:color w:val="auto"/>
          <w:sz w:val="24"/>
        </w:rPr>
        <w:t>依法向采购人或其委托的采购代理机构提出质疑。</w:t>
      </w:r>
    </w:p>
    <w:p w14:paraId="14A00B63">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 xml:space="preserve">37.2 </w:t>
      </w:r>
      <w:r>
        <w:rPr>
          <w:rFonts w:hint="eastAsia" w:ascii="宋体" w:hAnsi="宋体"/>
          <w:color w:val="auto"/>
          <w:sz w:val="24"/>
        </w:rPr>
        <w:t>质疑供应商</w:t>
      </w:r>
      <w:r>
        <w:rPr>
          <w:rFonts w:ascii="宋体" w:hAnsi="宋体"/>
          <w:color w:val="auto"/>
          <w:sz w:val="24"/>
        </w:rPr>
        <w:t>应按照财政部制定的</w:t>
      </w:r>
      <w:r>
        <w:rPr>
          <w:rFonts w:hint="eastAsia" w:ascii="宋体" w:hAnsi="宋体"/>
          <w:color w:val="auto"/>
          <w:sz w:val="24"/>
        </w:rPr>
        <w:t>《政府采购质疑函范本》格式（可从财政部官方网站下载）和</w:t>
      </w:r>
      <w:r>
        <w:rPr>
          <w:rFonts w:ascii="宋体" w:hAnsi="宋体"/>
          <w:color w:val="auto"/>
          <w:sz w:val="24"/>
        </w:rPr>
        <w:t>《</w:t>
      </w:r>
      <w:r>
        <w:rPr>
          <w:rFonts w:hint="eastAsia" w:ascii="宋体" w:hAnsi="宋体"/>
          <w:color w:val="auto"/>
          <w:sz w:val="24"/>
        </w:rPr>
        <w:t>政府</w:t>
      </w:r>
      <w:r>
        <w:rPr>
          <w:rFonts w:ascii="宋体" w:hAnsi="宋体"/>
          <w:color w:val="auto"/>
          <w:sz w:val="24"/>
        </w:rPr>
        <w:t>采购质疑和投诉办法》的要求</w:t>
      </w:r>
      <w:r>
        <w:rPr>
          <w:rFonts w:hint="eastAsia" w:ascii="宋体" w:hAnsi="宋体"/>
          <w:color w:val="auto"/>
          <w:sz w:val="24"/>
        </w:rPr>
        <w:t>，</w:t>
      </w:r>
      <w:r>
        <w:rPr>
          <w:rFonts w:ascii="宋体" w:hAnsi="宋体"/>
          <w:color w:val="auto"/>
          <w:sz w:val="24"/>
        </w:rPr>
        <w:t>在法定质疑期内</w:t>
      </w:r>
      <w:r>
        <w:rPr>
          <w:rFonts w:hint="eastAsia" w:ascii="宋体" w:hAnsi="宋体"/>
          <w:color w:val="auto"/>
          <w:sz w:val="24"/>
        </w:rPr>
        <w:t>以书面形式</w:t>
      </w:r>
      <w:r>
        <w:rPr>
          <w:rFonts w:ascii="宋体" w:hAnsi="宋体"/>
          <w:color w:val="auto"/>
          <w:sz w:val="24"/>
        </w:rPr>
        <w:t>提出质疑</w:t>
      </w:r>
      <w:r>
        <w:rPr>
          <w:rFonts w:hint="eastAsia" w:ascii="宋体" w:hAnsi="宋体"/>
          <w:color w:val="auto"/>
          <w:sz w:val="24"/>
        </w:rPr>
        <w:t>，针对同一采购程序环节的质疑次数应符合</w:t>
      </w:r>
      <w:r>
        <w:rPr>
          <w:rFonts w:hint="eastAsia" w:ascii="宋体" w:hAnsi="宋体"/>
          <w:color w:val="auto"/>
          <w:sz w:val="24"/>
          <w:u w:val="single"/>
        </w:rPr>
        <w:t>投标</w:t>
      </w:r>
      <w:r>
        <w:rPr>
          <w:rFonts w:ascii="宋体" w:hAnsi="宋体"/>
          <w:color w:val="auto"/>
          <w:sz w:val="24"/>
          <w:u w:val="single"/>
        </w:rPr>
        <w:t>须知前附表</w:t>
      </w:r>
      <w:r>
        <w:rPr>
          <w:rFonts w:ascii="宋体" w:hAnsi="宋体"/>
          <w:color w:val="auto"/>
          <w:sz w:val="24"/>
        </w:rPr>
        <w:t>的规定</w:t>
      </w:r>
      <w:r>
        <w:rPr>
          <w:rFonts w:hint="eastAsia" w:ascii="宋体" w:hAnsi="宋体"/>
          <w:color w:val="auto"/>
          <w:sz w:val="24"/>
        </w:rPr>
        <w:t>。</w:t>
      </w:r>
    </w:p>
    <w:p w14:paraId="59C75595">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超出法定质疑期提交的质疑将被拒绝。</w:t>
      </w:r>
    </w:p>
    <w:p w14:paraId="3AF66B5D">
      <w:pPr>
        <w:pageBreakBefore w:val="0"/>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重复或分次提出的、内容或</w:t>
      </w:r>
      <w:r>
        <w:rPr>
          <w:rFonts w:ascii="宋体" w:hAnsi="宋体"/>
          <w:color w:val="auto"/>
          <w:sz w:val="24"/>
        </w:rPr>
        <w:t>形式不符合《</w:t>
      </w:r>
      <w:r>
        <w:rPr>
          <w:rFonts w:hint="eastAsia" w:ascii="宋体" w:hAnsi="宋体"/>
          <w:color w:val="auto"/>
          <w:sz w:val="24"/>
        </w:rPr>
        <w:t>政府</w:t>
      </w:r>
      <w:r>
        <w:rPr>
          <w:rFonts w:ascii="宋体" w:hAnsi="宋体"/>
          <w:color w:val="auto"/>
          <w:sz w:val="24"/>
        </w:rPr>
        <w:t>采购质疑和投诉办法》</w:t>
      </w:r>
      <w:r>
        <w:rPr>
          <w:rFonts w:hint="eastAsia" w:ascii="宋体" w:hAnsi="宋体"/>
          <w:color w:val="auto"/>
          <w:sz w:val="24"/>
        </w:rPr>
        <w:t>的，质疑供应商</w:t>
      </w:r>
      <w:r>
        <w:rPr>
          <w:rFonts w:ascii="宋体" w:hAnsi="宋体"/>
          <w:color w:val="auto"/>
          <w:sz w:val="24"/>
        </w:rPr>
        <w:t>将依法承担不利后果。</w:t>
      </w:r>
    </w:p>
    <w:p w14:paraId="1058CD42">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3</w:t>
      </w:r>
      <w:r>
        <w:rPr>
          <w:rFonts w:ascii="宋体" w:hAnsi="宋体"/>
          <w:color w:val="auto"/>
          <w:sz w:val="24"/>
        </w:rPr>
        <w:t>7</w:t>
      </w:r>
      <w:r>
        <w:rPr>
          <w:rFonts w:hint="eastAsia" w:ascii="宋体" w:hAnsi="宋体"/>
          <w:color w:val="auto"/>
          <w:sz w:val="24"/>
        </w:rPr>
        <w:t>.3 质疑函接收部门、联系电话和通讯地址,见</w:t>
      </w:r>
      <w:r>
        <w:rPr>
          <w:rFonts w:hint="eastAsia" w:ascii="宋体" w:hAnsi="宋体"/>
          <w:color w:val="auto"/>
          <w:sz w:val="24"/>
          <w:u w:val="single"/>
        </w:rPr>
        <w:t>投标须知前附表</w:t>
      </w:r>
      <w:r>
        <w:rPr>
          <w:rFonts w:hint="eastAsia" w:ascii="宋体" w:hAnsi="宋体"/>
          <w:color w:val="auto"/>
          <w:sz w:val="24"/>
        </w:rPr>
        <w:t>。</w:t>
      </w:r>
    </w:p>
    <w:bookmarkEnd w:id="297"/>
    <w:bookmarkEnd w:id="298"/>
    <w:bookmarkEnd w:id="299"/>
    <w:bookmarkEnd w:id="300"/>
    <w:bookmarkEnd w:id="301"/>
    <w:p w14:paraId="2E920278">
      <w:pPr>
        <w:pageBreakBefore w:val="0"/>
        <w:kinsoku/>
        <w:overflowPunct/>
        <w:topLinePunct w:val="0"/>
        <w:bidi w:val="0"/>
        <w:spacing w:line="360" w:lineRule="auto"/>
        <w:ind w:left="0" w:leftChars="0" w:firstLine="0" w:firstLineChars="0"/>
        <w:jc w:val="center"/>
        <w:textAlignment w:val="auto"/>
        <w:outlineLvl w:val="0"/>
        <w:rPr>
          <w:rFonts w:hint="eastAsia" w:hAnsi="宋体"/>
          <w:color w:val="auto"/>
          <w:sz w:val="24"/>
        </w:rPr>
      </w:pPr>
      <w:r>
        <w:rPr>
          <w:rFonts w:ascii="宋体" w:hAnsi="宋体"/>
          <w:color w:val="auto"/>
          <w:sz w:val="24"/>
        </w:rPr>
        <w:br w:type="page"/>
      </w:r>
      <w:bookmarkStart w:id="310" w:name="_Toc512937852"/>
      <w:bookmarkStart w:id="311" w:name="_Toc532473754"/>
      <w:bookmarkStart w:id="312" w:name="_Toc532044539"/>
      <w:r>
        <w:rPr>
          <w:rFonts w:hint="eastAsia" w:ascii="宋体" w:hAnsi="宋体"/>
          <w:b/>
          <w:color w:val="auto"/>
          <w:sz w:val="32"/>
          <w:highlight w:val="none"/>
        </w:rPr>
        <w:t>第四章  评标方法和标准</w:t>
      </w:r>
    </w:p>
    <w:p w14:paraId="21140702">
      <w:pPr>
        <w:pStyle w:val="3"/>
        <w:keepNext w:val="0"/>
        <w:keepLines w:val="0"/>
        <w:pageBreakBefore w:val="0"/>
        <w:kinsoku/>
        <w:overflowPunct/>
        <w:topLinePunct w:val="0"/>
        <w:autoSpaceDE/>
        <w:autoSpaceDN/>
        <w:bidi w:val="0"/>
        <w:snapToGrid w:val="0"/>
        <w:spacing w:before="0" w:after="0" w:line="480" w:lineRule="exact"/>
        <w:ind w:firstLine="562" w:firstLineChars="200"/>
        <w:jc w:val="both"/>
        <w:rPr>
          <w:rFonts w:hint="default" w:ascii="宋体" w:hAnsi="宋体" w:eastAsia="宋体" w:cs="宋体"/>
          <w:color w:val="auto"/>
          <w:sz w:val="28"/>
          <w:lang w:val="en-US" w:eastAsia="zh-CN"/>
        </w:rPr>
      </w:pPr>
      <w:r>
        <w:rPr>
          <w:rFonts w:hint="eastAsia" w:ascii="宋体" w:hAnsi="宋体" w:eastAsia="宋体" w:cs="宋体"/>
          <w:color w:val="auto"/>
          <w:sz w:val="28"/>
          <w:lang w:val="en-US" w:eastAsia="zh-CN"/>
        </w:rPr>
        <w:t>一、资格性审查内容及标准</w:t>
      </w:r>
    </w:p>
    <w:bookmarkEnd w:id="310"/>
    <w:bookmarkEnd w:id="311"/>
    <w:bookmarkEnd w:id="312"/>
    <w:tbl>
      <w:tblPr>
        <w:tblStyle w:val="33"/>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5670"/>
        <w:gridCol w:w="3263"/>
      </w:tblGrid>
      <w:tr w14:paraId="21C8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7" w:type="dxa"/>
            <w:noWrap w:val="0"/>
            <w:vAlign w:val="center"/>
          </w:tcPr>
          <w:p w14:paraId="256ED7AF">
            <w:pPr>
              <w:keepNext w:val="0"/>
              <w:keepLines w:val="0"/>
              <w:pageBreakBefore w:val="0"/>
              <w:suppressLineNumbers w:val="0"/>
              <w:kinsoku/>
              <w:overflowPunct/>
              <w:bidi w:val="0"/>
              <w:spacing w:before="0" w:beforeAutospacing="0" w:after="0" w:afterAutospacing="0" w:line="48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5670" w:type="dxa"/>
            <w:noWrap w:val="0"/>
            <w:vAlign w:val="center"/>
          </w:tcPr>
          <w:p w14:paraId="73C07B95">
            <w:pPr>
              <w:keepNext w:val="0"/>
              <w:keepLines w:val="0"/>
              <w:pageBreakBefore w:val="0"/>
              <w:suppressLineNumbers w:val="0"/>
              <w:kinsoku/>
              <w:overflowPunct/>
              <w:bidi w:val="0"/>
              <w:spacing w:before="0" w:beforeAutospacing="0" w:after="0" w:afterAutospacing="0" w:line="480" w:lineRule="exact"/>
              <w:ind w:left="0" w:right="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内容</w:t>
            </w:r>
          </w:p>
        </w:tc>
        <w:tc>
          <w:tcPr>
            <w:tcW w:w="3263" w:type="dxa"/>
            <w:noWrap w:val="0"/>
            <w:vAlign w:val="center"/>
          </w:tcPr>
          <w:p w14:paraId="054DA10B">
            <w:pPr>
              <w:keepNext w:val="0"/>
              <w:keepLines w:val="0"/>
              <w:pageBreakBefore w:val="0"/>
              <w:suppressLineNumbers w:val="0"/>
              <w:kinsoku/>
              <w:overflowPunct/>
              <w:bidi w:val="0"/>
              <w:spacing w:before="0" w:beforeAutospacing="0" w:after="0" w:afterAutospacing="0" w:line="48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14:paraId="2C22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7" w:type="dxa"/>
            <w:noWrap w:val="0"/>
            <w:vAlign w:val="center"/>
          </w:tcPr>
          <w:p w14:paraId="51E4DE18">
            <w:pPr>
              <w:keepNext w:val="0"/>
              <w:keepLines w:val="0"/>
              <w:pageBreakBefore w:val="0"/>
              <w:suppressLineNumbers w:val="0"/>
              <w:kinsoku/>
              <w:overflowPunct/>
              <w:bidi w:val="0"/>
              <w:spacing w:before="0" w:beforeAutospacing="0" w:after="0" w:afterAutospacing="0" w:line="48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670" w:type="dxa"/>
            <w:noWrap w:val="0"/>
            <w:vAlign w:val="center"/>
          </w:tcPr>
          <w:p w14:paraId="09385A22">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具有独立承担民事责任的能力</w:t>
            </w:r>
          </w:p>
        </w:tc>
        <w:tc>
          <w:tcPr>
            <w:tcW w:w="3263" w:type="dxa"/>
            <w:vMerge w:val="restart"/>
            <w:noWrap w:val="0"/>
            <w:vAlign w:val="center"/>
          </w:tcPr>
          <w:p w14:paraId="3117086A">
            <w:pPr>
              <w:keepNext w:val="0"/>
              <w:keepLines w:val="0"/>
              <w:pageBreakBefore w:val="0"/>
              <w:suppressLineNumbers w:val="0"/>
              <w:kinsoku/>
              <w:overflowPunct/>
              <w:bidi w:val="0"/>
              <w:spacing w:before="0" w:beforeAutospacing="0" w:after="0" w:afterAutospacing="0" w:line="48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提供供应商信用承诺书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格式以招标文件要求为准</w:t>
            </w:r>
          </w:p>
        </w:tc>
      </w:tr>
      <w:tr w14:paraId="1077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7" w:type="dxa"/>
            <w:noWrap w:val="0"/>
            <w:vAlign w:val="center"/>
          </w:tcPr>
          <w:p w14:paraId="0CAC9FB7">
            <w:pPr>
              <w:keepNext w:val="0"/>
              <w:keepLines w:val="0"/>
              <w:pageBreakBefore w:val="0"/>
              <w:suppressLineNumbers w:val="0"/>
              <w:kinsoku/>
              <w:overflowPunct/>
              <w:bidi w:val="0"/>
              <w:spacing w:before="0" w:beforeAutospacing="0" w:after="0" w:afterAutospacing="0" w:line="48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670" w:type="dxa"/>
            <w:noWrap w:val="0"/>
            <w:vAlign w:val="center"/>
          </w:tcPr>
          <w:p w14:paraId="291F897B">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具有良好的商业信誉和健全的财务会计制度</w:t>
            </w:r>
          </w:p>
        </w:tc>
        <w:tc>
          <w:tcPr>
            <w:tcW w:w="3263" w:type="dxa"/>
            <w:vMerge w:val="continue"/>
            <w:noWrap w:val="0"/>
            <w:vAlign w:val="center"/>
          </w:tcPr>
          <w:p w14:paraId="76D03313">
            <w:pPr>
              <w:keepNext w:val="0"/>
              <w:keepLines w:val="0"/>
              <w:pageBreakBefore w:val="0"/>
              <w:suppressLineNumbers w:val="0"/>
              <w:kinsoku/>
              <w:overflowPunct/>
              <w:bidi w:val="0"/>
              <w:spacing w:before="0" w:beforeAutospacing="0" w:after="0" w:afterAutospacing="0" w:line="480" w:lineRule="exact"/>
              <w:ind w:left="0" w:right="0"/>
              <w:jc w:val="center"/>
              <w:rPr>
                <w:rFonts w:hint="eastAsia" w:ascii="宋体" w:hAnsi="宋体" w:eastAsia="宋体" w:cs="宋体"/>
                <w:color w:val="auto"/>
                <w:sz w:val="24"/>
                <w:szCs w:val="24"/>
                <w:highlight w:val="none"/>
                <w:lang w:eastAsia="zh-CN"/>
              </w:rPr>
            </w:pPr>
          </w:p>
        </w:tc>
      </w:tr>
      <w:tr w14:paraId="6CA3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7" w:type="dxa"/>
            <w:noWrap w:val="0"/>
            <w:vAlign w:val="center"/>
          </w:tcPr>
          <w:p w14:paraId="31F373AF">
            <w:pPr>
              <w:keepNext w:val="0"/>
              <w:keepLines w:val="0"/>
              <w:pageBreakBefore w:val="0"/>
              <w:suppressLineNumbers w:val="0"/>
              <w:kinsoku/>
              <w:overflowPunct/>
              <w:bidi w:val="0"/>
              <w:spacing w:before="0" w:beforeAutospacing="0" w:after="0" w:afterAutospacing="0" w:line="48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5670" w:type="dxa"/>
            <w:noWrap w:val="0"/>
            <w:vAlign w:val="center"/>
          </w:tcPr>
          <w:p w14:paraId="5A357B06">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具有履行合同所必需的设备和专业技术能力</w:t>
            </w:r>
          </w:p>
        </w:tc>
        <w:tc>
          <w:tcPr>
            <w:tcW w:w="3263" w:type="dxa"/>
            <w:vMerge w:val="continue"/>
            <w:noWrap w:val="0"/>
            <w:vAlign w:val="center"/>
          </w:tcPr>
          <w:p w14:paraId="540FE2B3">
            <w:pPr>
              <w:keepNext w:val="0"/>
              <w:keepLines w:val="0"/>
              <w:pageBreakBefore w:val="0"/>
              <w:suppressLineNumbers w:val="0"/>
              <w:kinsoku/>
              <w:overflowPunct/>
              <w:bidi w:val="0"/>
              <w:spacing w:before="0" w:beforeAutospacing="0" w:after="0" w:afterAutospacing="0" w:line="480" w:lineRule="exact"/>
              <w:ind w:left="0" w:right="0"/>
              <w:jc w:val="center"/>
              <w:rPr>
                <w:rFonts w:hint="eastAsia" w:ascii="宋体" w:hAnsi="宋体" w:eastAsia="宋体" w:cs="宋体"/>
                <w:color w:val="auto"/>
                <w:sz w:val="24"/>
                <w:szCs w:val="24"/>
                <w:highlight w:val="none"/>
                <w:lang w:eastAsia="zh-CN"/>
              </w:rPr>
            </w:pPr>
          </w:p>
        </w:tc>
      </w:tr>
      <w:tr w14:paraId="65D6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7" w:type="dxa"/>
            <w:noWrap w:val="0"/>
            <w:vAlign w:val="center"/>
          </w:tcPr>
          <w:p w14:paraId="7BF47F9A">
            <w:pPr>
              <w:keepNext w:val="0"/>
              <w:keepLines w:val="0"/>
              <w:pageBreakBefore w:val="0"/>
              <w:suppressLineNumbers w:val="0"/>
              <w:kinsoku/>
              <w:overflowPunct/>
              <w:bidi w:val="0"/>
              <w:spacing w:before="0" w:beforeAutospacing="0" w:after="0" w:afterAutospacing="0" w:line="48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5670" w:type="dxa"/>
            <w:noWrap w:val="0"/>
            <w:vAlign w:val="center"/>
          </w:tcPr>
          <w:p w14:paraId="2DAE01AE">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有依法缴纳税收和社会保障资金的良好记录</w:t>
            </w:r>
          </w:p>
        </w:tc>
        <w:tc>
          <w:tcPr>
            <w:tcW w:w="3263" w:type="dxa"/>
            <w:vMerge w:val="continue"/>
            <w:noWrap w:val="0"/>
            <w:vAlign w:val="center"/>
          </w:tcPr>
          <w:p w14:paraId="0138379C">
            <w:pPr>
              <w:keepNext w:val="0"/>
              <w:keepLines w:val="0"/>
              <w:pageBreakBefore w:val="0"/>
              <w:suppressLineNumbers w:val="0"/>
              <w:kinsoku/>
              <w:overflowPunct/>
              <w:bidi w:val="0"/>
              <w:spacing w:before="0" w:beforeAutospacing="0" w:after="0" w:afterAutospacing="0" w:line="480" w:lineRule="exact"/>
              <w:ind w:left="0" w:right="0"/>
              <w:jc w:val="center"/>
              <w:rPr>
                <w:rFonts w:hint="eastAsia" w:ascii="宋体" w:hAnsi="宋体" w:eastAsia="宋体" w:cs="宋体"/>
                <w:color w:val="auto"/>
                <w:sz w:val="24"/>
                <w:szCs w:val="24"/>
                <w:highlight w:val="none"/>
                <w:lang w:eastAsia="zh-CN"/>
              </w:rPr>
            </w:pPr>
          </w:p>
        </w:tc>
      </w:tr>
      <w:tr w14:paraId="587C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7" w:type="dxa"/>
            <w:noWrap w:val="0"/>
            <w:vAlign w:val="center"/>
          </w:tcPr>
          <w:p w14:paraId="2FF6E356">
            <w:pPr>
              <w:keepNext w:val="0"/>
              <w:keepLines w:val="0"/>
              <w:pageBreakBefore w:val="0"/>
              <w:suppressLineNumbers w:val="0"/>
              <w:kinsoku/>
              <w:overflowPunct/>
              <w:bidi w:val="0"/>
              <w:spacing w:before="0" w:beforeAutospacing="0" w:after="0" w:afterAutospacing="0" w:line="48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670" w:type="dxa"/>
            <w:noWrap w:val="0"/>
            <w:vAlign w:val="center"/>
          </w:tcPr>
          <w:p w14:paraId="47AF0480">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参加政府采购活动前三年内，在经营活动中没有重大违法记录</w:t>
            </w:r>
          </w:p>
        </w:tc>
        <w:tc>
          <w:tcPr>
            <w:tcW w:w="3263" w:type="dxa"/>
            <w:vMerge w:val="continue"/>
            <w:noWrap w:val="0"/>
            <w:vAlign w:val="center"/>
          </w:tcPr>
          <w:p w14:paraId="3981F4BA">
            <w:pPr>
              <w:keepNext w:val="0"/>
              <w:keepLines w:val="0"/>
              <w:pageBreakBefore w:val="0"/>
              <w:suppressLineNumbers w:val="0"/>
              <w:kinsoku/>
              <w:overflowPunct/>
              <w:bidi w:val="0"/>
              <w:spacing w:before="0" w:beforeAutospacing="0" w:after="0" w:afterAutospacing="0" w:line="480" w:lineRule="exact"/>
              <w:ind w:left="0" w:right="0"/>
              <w:jc w:val="center"/>
              <w:rPr>
                <w:rFonts w:hint="eastAsia" w:ascii="宋体" w:hAnsi="宋体" w:eastAsia="宋体" w:cs="宋体"/>
                <w:color w:val="auto"/>
                <w:sz w:val="24"/>
                <w:szCs w:val="24"/>
                <w:highlight w:val="none"/>
                <w:lang w:eastAsia="zh-CN"/>
              </w:rPr>
            </w:pPr>
          </w:p>
        </w:tc>
      </w:tr>
      <w:tr w14:paraId="1E3D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7" w:type="dxa"/>
            <w:noWrap w:val="0"/>
            <w:vAlign w:val="center"/>
          </w:tcPr>
          <w:p w14:paraId="5072AFA5">
            <w:pPr>
              <w:keepNext w:val="0"/>
              <w:keepLines w:val="0"/>
              <w:pageBreakBefore w:val="0"/>
              <w:suppressLineNumbers w:val="0"/>
              <w:kinsoku/>
              <w:overflowPunct/>
              <w:bidi w:val="0"/>
              <w:spacing w:before="0" w:beforeAutospacing="0" w:after="0" w:afterAutospacing="0" w:line="48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5670" w:type="dxa"/>
            <w:noWrap w:val="0"/>
            <w:vAlign w:val="center"/>
          </w:tcPr>
          <w:p w14:paraId="24DA569C">
            <w:pPr>
              <w:keepNext w:val="0"/>
              <w:keepLines w:val="0"/>
              <w:pageBreakBefore w:val="0"/>
              <w:suppressLineNumbers w:val="0"/>
              <w:kinsoku/>
              <w:overflowPunct/>
              <w:bidi w:val="0"/>
              <w:snapToGrid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未列入</w:t>
            </w:r>
            <w:r>
              <w:rPr>
                <w:rFonts w:hint="eastAsia" w:ascii="宋体" w:hAnsi="宋体" w:eastAsia="宋体" w:cs="宋体"/>
                <w:color w:val="auto"/>
                <w:sz w:val="24"/>
                <w:szCs w:val="24"/>
                <w:highlight w:val="none"/>
              </w:rPr>
              <w:t>失信被执行人名单、重大税收违法案件当事人名单和政府采购严重违法失信行为记录名单</w:t>
            </w:r>
          </w:p>
        </w:tc>
        <w:tc>
          <w:tcPr>
            <w:tcW w:w="3263" w:type="dxa"/>
            <w:noWrap w:val="0"/>
            <w:vAlign w:val="center"/>
          </w:tcPr>
          <w:p w14:paraId="50A14E5B">
            <w:pPr>
              <w:keepNext w:val="0"/>
              <w:keepLines w:val="0"/>
              <w:pageBreakBefore w:val="0"/>
              <w:suppressLineNumbers w:val="0"/>
              <w:kinsoku/>
              <w:overflowPunct/>
              <w:bidi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“信用中国”网站(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"http://www.creditchina.gov.cn"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现场查询</w:t>
            </w:r>
          </w:p>
        </w:tc>
      </w:tr>
      <w:tr w14:paraId="7A46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7" w:type="dxa"/>
            <w:noWrap w:val="0"/>
            <w:vAlign w:val="center"/>
          </w:tcPr>
          <w:p w14:paraId="101CDA7D">
            <w:pPr>
              <w:keepNext w:val="0"/>
              <w:keepLines w:val="0"/>
              <w:pageBreakBefore w:val="0"/>
              <w:suppressLineNumbers w:val="0"/>
              <w:kinsoku/>
              <w:overflowPunct/>
              <w:bidi w:val="0"/>
              <w:spacing w:before="0" w:beforeAutospacing="0" w:after="0" w:afterAutospacing="0" w:line="480" w:lineRule="exact"/>
              <w:ind w:left="0" w:right="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5670" w:type="dxa"/>
            <w:noWrap w:val="0"/>
            <w:vAlign w:val="center"/>
          </w:tcPr>
          <w:p w14:paraId="2D3B19C4">
            <w:pPr>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落实政府采购政策需满足的资格要求：</w:t>
            </w:r>
          </w:p>
          <w:p w14:paraId="7F32C23B">
            <w:pPr>
              <w:pageBreakBefore w:val="0"/>
              <w:kinsoku/>
              <w:overflowPunct/>
              <w:topLinePunct w:val="0"/>
              <w:bidi w:val="0"/>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本项目面向中小企业采购</w:t>
            </w:r>
          </w:p>
        </w:tc>
        <w:tc>
          <w:tcPr>
            <w:tcW w:w="3263" w:type="dxa"/>
            <w:noWrap w:val="0"/>
            <w:vAlign w:val="center"/>
          </w:tcPr>
          <w:p w14:paraId="2F3C7496">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请根据要求单独上传《中小企业声明函》。格式以招标文件要求为准</w:t>
            </w:r>
          </w:p>
        </w:tc>
      </w:tr>
    </w:tbl>
    <w:p w14:paraId="715048ED">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1C7FBE41">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除招标文件另有说明外，</w:t>
      </w:r>
      <w:r>
        <w:rPr>
          <w:rFonts w:hint="eastAsia" w:ascii="宋体" w:hAnsi="宋体" w:eastAsia="宋体" w:cs="宋体"/>
          <w:color w:val="auto"/>
          <w:sz w:val="24"/>
          <w:szCs w:val="24"/>
          <w:highlight w:val="none"/>
        </w:rPr>
        <w:t>资格检查内容若有一项达不到检查标准，将导致其不具备投标资格，且不允许在开标后补正。</w:t>
      </w:r>
    </w:p>
    <w:p w14:paraId="26B99255">
      <w:pPr>
        <w:pageBreakBefore w:val="0"/>
        <w:kinsoku/>
        <w:overflowPunct/>
        <w:topLinePunct w:val="0"/>
        <w:bidi w:val="0"/>
        <w:spacing w:line="360" w:lineRule="auto"/>
        <w:ind w:left="0" w:leftChars="0" w:firstLine="0" w:firstLineChars="0"/>
        <w:jc w:val="left"/>
        <w:textAlignment w:val="auto"/>
        <w:outlineLvl w:val="2"/>
        <w:rPr>
          <w:rFonts w:hint="eastAsia" w:hAnsi="宋体"/>
          <w:color w:val="auto"/>
          <w:highlight w:val="yellow"/>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039D46BD">
      <w:pPr>
        <w:pageBreakBefore w:val="0"/>
        <w:kinsoku/>
        <w:overflowPunct/>
        <w:topLinePunct w:val="0"/>
        <w:bidi w:val="0"/>
        <w:spacing w:line="360" w:lineRule="auto"/>
        <w:ind w:left="0" w:leftChars="0" w:firstLine="0" w:firstLineChars="0"/>
        <w:jc w:val="center"/>
        <w:textAlignment w:val="auto"/>
        <w:outlineLvl w:val="0"/>
        <w:rPr>
          <w:rFonts w:hint="eastAsia" w:hAnsi="宋体"/>
          <w:color w:val="auto"/>
          <w:sz w:val="24"/>
        </w:rPr>
      </w:pPr>
      <w:r>
        <w:rPr>
          <w:rFonts w:ascii="宋体" w:hAnsi="宋体"/>
          <w:color w:val="auto"/>
          <w:sz w:val="24"/>
          <w:highlight w:val="yellow"/>
        </w:rPr>
        <w:br w:type="page"/>
      </w:r>
    </w:p>
    <w:p w14:paraId="49E48605">
      <w:pPr>
        <w:pStyle w:val="3"/>
        <w:keepNext w:val="0"/>
        <w:keepLines w:val="0"/>
        <w:pageBreakBefore w:val="0"/>
        <w:numPr>
          <w:ilvl w:val="0"/>
          <w:numId w:val="0"/>
        </w:numPr>
        <w:kinsoku/>
        <w:overflowPunct/>
        <w:topLinePunct w:val="0"/>
        <w:autoSpaceDE/>
        <w:autoSpaceDN/>
        <w:bidi w:val="0"/>
        <w:snapToGrid w:val="0"/>
        <w:spacing w:before="0" w:after="0" w:line="480" w:lineRule="exact"/>
        <w:ind w:firstLine="562" w:firstLineChars="200"/>
        <w:jc w:val="both"/>
        <w:rPr>
          <w:rFonts w:hint="eastAsia" w:ascii="宋体" w:hAnsi="宋体" w:eastAsia="宋体" w:cs="宋体"/>
          <w:color w:val="auto"/>
          <w:sz w:val="28"/>
          <w:lang w:val="en-US" w:eastAsia="zh-CN"/>
        </w:rPr>
      </w:pPr>
      <w:bookmarkStart w:id="313" w:name="_Toc19060"/>
      <w:bookmarkStart w:id="314" w:name="_Toc151744098"/>
    </w:p>
    <w:p w14:paraId="3E1ACC52">
      <w:pPr>
        <w:pStyle w:val="3"/>
        <w:keepNext w:val="0"/>
        <w:keepLines w:val="0"/>
        <w:pageBreakBefore w:val="0"/>
        <w:numPr>
          <w:ilvl w:val="0"/>
          <w:numId w:val="0"/>
        </w:numPr>
        <w:kinsoku/>
        <w:overflowPunct/>
        <w:topLinePunct w:val="0"/>
        <w:autoSpaceDE/>
        <w:autoSpaceDN/>
        <w:bidi w:val="0"/>
        <w:snapToGrid w:val="0"/>
        <w:spacing w:before="0" w:after="0" w:line="480" w:lineRule="exact"/>
        <w:ind w:firstLine="562" w:firstLineChars="200"/>
        <w:jc w:val="both"/>
        <w:rPr>
          <w:rFonts w:hint="eastAsia" w:ascii="宋体" w:hAnsi="宋体" w:eastAsia="宋体" w:cs="宋体"/>
          <w:color w:val="auto"/>
          <w:sz w:val="28"/>
          <w:lang w:val="en-US" w:eastAsia="zh-CN"/>
        </w:rPr>
      </w:pPr>
      <w:r>
        <w:rPr>
          <w:rFonts w:hint="eastAsia" w:ascii="宋体" w:hAnsi="宋体" w:eastAsia="宋体" w:cs="宋体"/>
          <w:color w:val="auto"/>
          <w:sz w:val="28"/>
          <w:lang w:val="en-US" w:eastAsia="zh-CN"/>
        </w:rPr>
        <w:t>二、符合性审查的内容及标准</w:t>
      </w:r>
    </w:p>
    <w:tbl>
      <w:tblPr>
        <w:tblStyle w:val="33"/>
        <w:tblW w:w="86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4095"/>
        <w:gridCol w:w="3796"/>
      </w:tblGrid>
      <w:tr w14:paraId="1232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627" w:type="dxa"/>
            <w:gridSpan w:val="3"/>
            <w:tcBorders>
              <w:top w:val="single" w:color="auto" w:sz="4" w:space="0"/>
              <w:left w:val="single" w:color="auto" w:sz="4" w:space="0"/>
              <w:bottom w:val="single" w:color="auto" w:sz="4" w:space="0"/>
              <w:right w:val="single" w:color="auto" w:sz="4" w:space="0"/>
            </w:tcBorders>
            <w:noWrap w:val="0"/>
            <w:vAlign w:val="center"/>
          </w:tcPr>
          <w:p w14:paraId="49306017">
            <w:pPr>
              <w:keepNext w:val="0"/>
              <w:keepLines w:val="0"/>
              <w:pageBreakBefore w:val="0"/>
              <w:wordWrap/>
              <w:overflowPunct/>
              <w:topLinePunct w:val="0"/>
              <w:bidi w:val="0"/>
              <w:snapToGrid/>
              <w:spacing w:line="48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符合性评审标准</w:t>
            </w:r>
          </w:p>
        </w:tc>
      </w:tr>
      <w:tr w14:paraId="354D4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19276B8C">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4095" w:type="dxa"/>
            <w:tcBorders>
              <w:top w:val="single" w:color="auto" w:sz="4" w:space="0"/>
              <w:left w:val="single" w:color="auto" w:sz="4" w:space="0"/>
              <w:bottom w:val="single" w:color="auto" w:sz="4" w:space="0"/>
              <w:right w:val="single" w:color="auto" w:sz="4" w:space="0"/>
            </w:tcBorders>
            <w:noWrap w:val="0"/>
            <w:vAlign w:val="center"/>
          </w:tcPr>
          <w:p w14:paraId="2111BE21">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评审因素</w:t>
            </w:r>
          </w:p>
        </w:tc>
        <w:tc>
          <w:tcPr>
            <w:tcW w:w="3796" w:type="dxa"/>
            <w:tcBorders>
              <w:top w:val="single" w:color="auto" w:sz="4" w:space="0"/>
              <w:left w:val="single" w:color="auto" w:sz="4" w:space="0"/>
              <w:bottom w:val="single" w:color="auto" w:sz="4" w:space="0"/>
              <w:right w:val="single" w:color="auto" w:sz="4" w:space="0"/>
            </w:tcBorders>
            <w:noWrap w:val="0"/>
            <w:vAlign w:val="center"/>
          </w:tcPr>
          <w:p w14:paraId="3642848A">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评审标准</w:t>
            </w:r>
          </w:p>
        </w:tc>
      </w:tr>
      <w:tr w14:paraId="7227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E27B64">
            <w:pPr>
              <w:keepNext w:val="0"/>
              <w:keepLines w:val="0"/>
              <w:pageBreakBefore w:val="0"/>
              <w:suppressLineNumbers w:val="0"/>
              <w:kinsoku/>
              <w:overflowPunct/>
              <w:bidi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w:t>
            </w:r>
          </w:p>
        </w:tc>
        <w:tc>
          <w:tcPr>
            <w:tcW w:w="4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AE4F2B">
            <w:pPr>
              <w:keepNext w:val="0"/>
              <w:keepLines w:val="0"/>
              <w:pageBreakBefore w:val="0"/>
              <w:suppressLineNumbers w:val="0"/>
              <w:kinsoku/>
              <w:overflowPunct/>
              <w:bidi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函</w:t>
            </w:r>
          </w:p>
        </w:tc>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23709E">
            <w:pPr>
              <w:keepNext w:val="0"/>
              <w:keepLines w:val="0"/>
              <w:pageBreakBefore w:val="0"/>
              <w:suppressLineNumbers w:val="0"/>
              <w:kinsoku/>
              <w:overflowPunct/>
              <w:bidi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内容填写完整，签署符合招标文件要求</w:t>
            </w:r>
          </w:p>
        </w:tc>
      </w:tr>
      <w:tr w14:paraId="17AC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93194F">
            <w:pPr>
              <w:keepNext w:val="0"/>
              <w:keepLines w:val="0"/>
              <w:pageBreakBefore w:val="0"/>
              <w:suppressLineNumbers w:val="0"/>
              <w:kinsoku/>
              <w:overflowPunct/>
              <w:bidi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p>
        </w:tc>
        <w:tc>
          <w:tcPr>
            <w:tcW w:w="4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C50C42">
            <w:pPr>
              <w:keepNext w:val="0"/>
              <w:keepLines w:val="0"/>
              <w:pageBreakBefore w:val="0"/>
              <w:suppressLineNumbers w:val="0"/>
              <w:kinsoku/>
              <w:overflowPunct/>
              <w:bidi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eastAsia="zh-CN"/>
              </w:rPr>
              <w:t>（负责人）身份证明</w:t>
            </w:r>
          </w:p>
        </w:tc>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EC40B0">
            <w:pPr>
              <w:keepNext w:val="0"/>
              <w:keepLines w:val="0"/>
              <w:pageBreakBefore w:val="0"/>
              <w:suppressLineNumbers w:val="0"/>
              <w:kinsoku/>
              <w:overflowPunct/>
              <w:bidi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符合招标文件要求</w:t>
            </w:r>
          </w:p>
        </w:tc>
      </w:tr>
      <w:tr w14:paraId="0A8F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B2CF5D">
            <w:pPr>
              <w:keepNext w:val="0"/>
              <w:keepLines w:val="0"/>
              <w:pageBreakBefore w:val="0"/>
              <w:suppressLineNumbers w:val="0"/>
              <w:kinsoku/>
              <w:overflowPunct/>
              <w:bidi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p>
        </w:tc>
        <w:tc>
          <w:tcPr>
            <w:tcW w:w="4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37A6B3">
            <w:pPr>
              <w:keepNext w:val="0"/>
              <w:keepLines w:val="0"/>
              <w:pageBreakBefore w:val="0"/>
              <w:suppressLineNumbers w:val="0"/>
              <w:kinsoku/>
              <w:overflowPunct/>
              <w:bidi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eastAsia="zh-CN"/>
              </w:rPr>
              <w:t>（负责人）授权委托书</w:t>
            </w:r>
          </w:p>
        </w:tc>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0FC195">
            <w:pPr>
              <w:keepNext w:val="0"/>
              <w:keepLines w:val="0"/>
              <w:pageBreakBefore w:val="0"/>
              <w:suppressLineNumbers w:val="0"/>
              <w:kinsoku/>
              <w:overflowPunct/>
              <w:bidi w:val="0"/>
              <w:spacing w:before="0" w:beforeAutospacing="0" w:after="0" w:afterAutospacing="0" w:line="480" w:lineRule="exac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符合招标文件要求</w:t>
            </w:r>
          </w:p>
          <w:p w14:paraId="7CBA0B64">
            <w:pPr>
              <w:keepNext w:val="0"/>
              <w:keepLines w:val="0"/>
              <w:pageBreakBefore w:val="0"/>
              <w:suppressLineNumbers w:val="0"/>
              <w:kinsoku/>
              <w:overflowPunct/>
              <w:bidi w:val="0"/>
              <w:spacing w:before="0" w:beforeAutospacing="0" w:after="0" w:afterAutospacing="0" w:line="480" w:lineRule="exact"/>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（法定代表人参加则无须提供）</w:t>
            </w:r>
          </w:p>
        </w:tc>
      </w:tr>
      <w:tr w14:paraId="3DD1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C4EC60">
            <w:pPr>
              <w:keepNext w:val="0"/>
              <w:keepLines w:val="0"/>
              <w:pageBreakBefore w:val="0"/>
              <w:wordWrap/>
              <w:overflowPunct/>
              <w:topLinePunct w:val="0"/>
              <w:bidi w:val="0"/>
              <w:snapToGrid/>
              <w:spacing w:line="48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w:t>
            </w:r>
          </w:p>
        </w:tc>
        <w:tc>
          <w:tcPr>
            <w:tcW w:w="4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486AA3">
            <w:pPr>
              <w:keepNext w:val="0"/>
              <w:keepLines w:val="0"/>
              <w:pageBreakBefore w:val="0"/>
              <w:wordWrap/>
              <w:overflowPunct/>
              <w:topLinePunct w:val="0"/>
              <w:bidi w:val="0"/>
              <w:snapToGrid/>
              <w:spacing w:line="48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服务周期</w:t>
            </w:r>
          </w:p>
        </w:tc>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06411C">
            <w:pPr>
              <w:keepNext w:val="0"/>
              <w:keepLines w:val="0"/>
              <w:pageBreakBefore w:val="0"/>
              <w:suppressLineNumbers w:val="0"/>
              <w:kinsoku/>
              <w:overflowPunct/>
              <w:bidi w:val="0"/>
              <w:spacing w:before="0" w:beforeAutospacing="0" w:after="0" w:afterAutospacing="0" w:line="480" w:lineRule="exact"/>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满足招标文件中服务周期的相关要求</w:t>
            </w:r>
          </w:p>
        </w:tc>
      </w:tr>
      <w:tr w14:paraId="35EB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462D281A">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4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F744F8">
            <w:pPr>
              <w:keepNext w:val="0"/>
              <w:keepLines w:val="0"/>
              <w:pageBreakBefore w:val="0"/>
              <w:wordWrap/>
              <w:overflowPunct/>
              <w:topLinePunct w:val="0"/>
              <w:bidi w:val="0"/>
              <w:snapToGrid/>
              <w:spacing w:line="48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投标有效期</w:t>
            </w:r>
          </w:p>
        </w:tc>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0F2FBF">
            <w:pPr>
              <w:keepNext w:val="0"/>
              <w:keepLines w:val="0"/>
              <w:pageBreakBefore w:val="0"/>
              <w:wordWrap/>
              <w:overflowPunct/>
              <w:topLinePunct w:val="0"/>
              <w:bidi w:val="0"/>
              <w:snapToGrid/>
              <w:spacing w:line="48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满足招标文件要求</w:t>
            </w:r>
          </w:p>
        </w:tc>
      </w:tr>
      <w:tr w14:paraId="3B5F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05BA61F0">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4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7483BE">
            <w:pPr>
              <w:keepNext w:val="0"/>
              <w:keepLines w:val="0"/>
              <w:pageBreakBefore w:val="0"/>
              <w:wordWrap/>
              <w:overflowPunct/>
              <w:topLinePunct w:val="0"/>
              <w:bidi w:val="0"/>
              <w:snapToGrid/>
              <w:spacing w:line="48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投标保证金</w:t>
            </w:r>
          </w:p>
        </w:tc>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6D30D0">
            <w:pPr>
              <w:keepNext w:val="0"/>
              <w:keepLines w:val="0"/>
              <w:pageBreakBefore w:val="0"/>
              <w:wordWrap/>
              <w:overflowPunct/>
              <w:topLinePunct w:val="0"/>
              <w:bidi w:val="0"/>
              <w:snapToGrid/>
              <w:spacing w:line="48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满足招标文件要求</w:t>
            </w:r>
          </w:p>
        </w:tc>
      </w:tr>
      <w:tr w14:paraId="18A9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21B91BF3">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4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47AF76">
            <w:pPr>
              <w:keepNext w:val="0"/>
              <w:keepLines w:val="0"/>
              <w:pageBreakBefore w:val="0"/>
              <w:wordWrap/>
              <w:overflowPunct/>
              <w:topLinePunct w:val="0"/>
              <w:bidi w:val="0"/>
              <w:snapToGrid/>
              <w:spacing w:line="48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总报价</w:t>
            </w:r>
          </w:p>
        </w:tc>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8D1DB0">
            <w:pPr>
              <w:keepNext w:val="0"/>
              <w:keepLines w:val="0"/>
              <w:pageBreakBefore w:val="0"/>
              <w:wordWrap/>
              <w:overflowPunct/>
              <w:topLinePunct w:val="0"/>
              <w:bidi w:val="0"/>
              <w:snapToGrid/>
              <w:spacing w:line="48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只能有一个有效报价且低于（含等于）最高限价</w:t>
            </w:r>
          </w:p>
        </w:tc>
      </w:tr>
      <w:tr w14:paraId="218C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54D75DD8">
            <w:pPr>
              <w:keepNext w:val="0"/>
              <w:keepLines w:val="0"/>
              <w:pageBreakBefore w:val="0"/>
              <w:wordWrap/>
              <w:overflowPunct/>
              <w:topLinePunct w:val="0"/>
              <w:bidi w:val="0"/>
              <w:snapToGrid/>
              <w:spacing w:line="48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p>
        </w:tc>
        <w:tc>
          <w:tcPr>
            <w:tcW w:w="4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8BB508">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商务技术指标响应内容</w:t>
            </w:r>
          </w:p>
        </w:tc>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4E7CFF">
            <w:pPr>
              <w:keepNext w:val="0"/>
              <w:keepLines w:val="0"/>
              <w:pageBreakBefore w:val="0"/>
              <w:wordWrap/>
              <w:overflowPunct/>
              <w:topLinePunct w:val="0"/>
              <w:bidi w:val="0"/>
              <w:snapToGrid/>
              <w:spacing w:line="48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投标文件（商务技术部分）完全满足招标文件中标注“★”的不允许负偏离的实质性要求和条件。</w:t>
            </w:r>
          </w:p>
        </w:tc>
      </w:tr>
      <w:tr w14:paraId="5EB7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3460E5E7">
            <w:pPr>
              <w:keepNext w:val="0"/>
              <w:keepLines w:val="0"/>
              <w:pageBreakBefore w:val="0"/>
              <w:wordWrap/>
              <w:overflowPunct/>
              <w:topLinePunct w:val="0"/>
              <w:bidi w:val="0"/>
              <w:snapToGrid/>
              <w:spacing w:line="48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p>
        </w:tc>
        <w:tc>
          <w:tcPr>
            <w:tcW w:w="40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A1DF20">
            <w:pPr>
              <w:keepNext w:val="0"/>
              <w:keepLines w:val="0"/>
              <w:pageBreakBefore w:val="0"/>
              <w:wordWrap/>
              <w:overflowPunct/>
              <w:topLinePunct w:val="0"/>
              <w:bidi w:val="0"/>
              <w:snapToGrid/>
              <w:spacing w:line="48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其他要求</w:t>
            </w:r>
          </w:p>
        </w:tc>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931D78">
            <w:pPr>
              <w:keepNext w:val="0"/>
              <w:keepLines w:val="0"/>
              <w:pageBreakBefore w:val="0"/>
              <w:wordWrap/>
              <w:overflowPunct/>
              <w:topLinePunct w:val="0"/>
              <w:bidi w:val="0"/>
              <w:snapToGrid/>
              <w:spacing w:line="48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满足招标文件要求</w:t>
            </w:r>
          </w:p>
        </w:tc>
      </w:tr>
    </w:tbl>
    <w:p w14:paraId="05317EDF">
      <w:pPr>
        <w:pStyle w:val="93"/>
        <w:numPr>
          <w:ilvl w:val="0"/>
          <w:numId w:val="0"/>
        </w:numPr>
        <w:tabs>
          <w:tab w:val="left" w:pos="709"/>
        </w:tabs>
        <w:snapToGrid w:val="0"/>
        <w:spacing w:line="480" w:lineRule="exact"/>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说明：</w:t>
      </w:r>
    </w:p>
    <w:p w14:paraId="5F3FA892">
      <w:pPr>
        <w:pStyle w:val="93"/>
        <w:numPr>
          <w:ilvl w:val="0"/>
          <w:numId w:val="0"/>
        </w:numPr>
        <w:tabs>
          <w:tab w:val="left" w:pos="709"/>
        </w:tabs>
        <w:snapToGrid w:val="0"/>
        <w:spacing w:line="480" w:lineRule="exact"/>
        <w:ind w:firstLine="480" w:firstLineChars="200"/>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1.</w:t>
      </w:r>
      <w:r>
        <w:rPr>
          <w:rFonts w:hint="eastAsia" w:ascii="宋体" w:hAnsi="宋体" w:cs="宋体"/>
          <w:color w:val="auto"/>
          <w:sz w:val="24"/>
          <w:szCs w:val="24"/>
          <w:lang w:eastAsia="zh-CN"/>
        </w:rPr>
        <w:t>除招标文件另有说明外，</w:t>
      </w:r>
      <w:r>
        <w:rPr>
          <w:rFonts w:hint="eastAsia" w:ascii="宋体" w:hAnsi="宋体" w:eastAsia="宋体" w:cs="宋体"/>
          <w:color w:val="auto"/>
          <w:kern w:val="2"/>
          <w:sz w:val="24"/>
          <w:szCs w:val="24"/>
          <w:lang w:val="en-US" w:eastAsia="zh-CN" w:bidi="ar-SA"/>
        </w:rPr>
        <w:t>符合性</w:t>
      </w:r>
      <w:r>
        <w:rPr>
          <w:rFonts w:hint="eastAsia" w:hAnsi="宋体" w:cs="宋体"/>
          <w:color w:val="auto"/>
          <w:kern w:val="2"/>
          <w:sz w:val="24"/>
          <w:szCs w:val="24"/>
          <w:lang w:val="en-US" w:eastAsia="zh-CN" w:bidi="ar-SA"/>
        </w:rPr>
        <w:t>审</w:t>
      </w:r>
      <w:r>
        <w:rPr>
          <w:rFonts w:hint="eastAsia" w:ascii="宋体" w:hAnsi="宋体" w:eastAsia="宋体" w:cs="宋体"/>
          <w:color w:val="auto"/>
          <w:kern w:val="2"/>
          <w:sz w:val="24"/>
          <w:szCs w:val="24"/>
          <w:lang w:val="en-US" w:eastAsia="zh-CN" w:bidi="ar-SA"/>
        </w:rPr>
        <w:t>查的内容若有一项达不到检查标准视为</w:t>
      </w:r>
      <w:r>
        <w:rPr>
          <w:rFonts w:hint="eastAsia" w:hAnsi="宋体" w:cs="宋体"/>
          <w:color w:val="auto"/>
          <w:kern w:val="2"/>
          <w:sz w:val="24"/>
          <w:szCs w:val="24"/>
          <w:lang w:val="en-US" w:eastAsia="zh-CN" w:bidi="ar-SA"/>
        </w:rPr>
        <w:t>未</w:t>
      </w:r>
      <w:r>
        <w:rPr>
          <w:rFonts w:hint="eastAsia" w:ascii="宋体" w:hAnsi="宋体" w:eastAsia="宋体" w:cs="宋体"/>
          <w:color w:val="auto"/>
          <w:kern w:val="2"/>
          <w:sz w:val="24"/>
          <w:szCs w:val="24"/>
          <w:lang w:val="en-US" w:eastAsia="zh-CN" w:bidi="ar-SA"/>
        </w:rPr>
        <w:t>做出实质性响应，将导致</w:t>
      </w:r>
      <w:r>
        <w:rPr>
          <w:rFonts w:hint="eastAsia" w:ascii="宋体" w:hAnsi="宋体" w:eastAsia="宋体" w:cs="宋体"/>
          <w:b/>
          <w:bCs/>
          <w:color w:val="auto"/>
          <w:kern w:val="2"/>
          <w:sz w:val="24"/>
          <w:szCs w:val="24"/>
          <w:lang w:val="en-US" w:eastAsia="zh-CN" w:bidi="ar-SA"/>
        </w:rPr>
        <w:t>投标无效</w:t>
      </w:r>
      <w:r>
        <w:rPr>
          <w:rFonts w:hint="eastAsia" w:ascii="宋体" w:hAnsi="宋体" w:eastAsia="宋体" w:cs="宋体"/>
          <w:color w:val="auto"/>
          <w:kern w:val="2"/>
          <w:sz w:val="24"/>
          <w:szCs w:val="24"/>
          <w:lang w:val="en-US" w:eastAsia="zh-CN" w:bidi="ar-SA"/>
        </w:rPr>
        <w:t>。</w:t>
      </w:r>
    </w:p>
    <w:p w14:paraId="4B1FB02E">
      <w:pPr>
        <w:pStyle w:val="93"/>
        <w:numPr>
          <w:ilvl w:val="0"/>
          <w:numId w:val="0"/>
        </w:numPr>
        <w:tabs>
          <w:tab w:val="left" w:pos="709"/>
        </w:tabs>
        <w:snapToGrid w:val="0"/>
        <w:spacing w:line="480" w:lineRule="exact"/>
        <w:ind w:firstLine="480" w:firstLineChars="200"/>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对特殊情况的处理，评标委员会要遵循投标人须知相关规定。</w:t>
      </w:r>
    </w:p>
    <w:p w14:paraId="0EC24AE2">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br w:type="page"/>
      </w:r>
    </w:p>
    <w:p w14:paraId="457DF74A">
      <w:pPr>
        <w:pStyle w:val="3"/>
        <w:keepNext w:val="0"/>
        <w:keepLines w:val="0"/>
        <w:pageBreakBefore w:val="0"/>
        <w:kinsoku/>
        <w:overflowPunct/>
        <w:topLinePunct w:val="0"/>
        <w:autoSpaceDE/>
        <w:autoSpaceDN/>
        <w:bidi w:val="0"/>
        <w:snapToGrid w:val="0"/>
        <w:spacing w:before="0" w:after="0" w:line="480" w:lineRule="exact"/>
        <w:ind w:firstLine="562" w:firstLineChars="200"/>
        <w:jc w:val="both"/>
        <w:rPr>
          <w:rFonts w:hint="eastAsia" w:ascii="宋体" w:hAnsi="宋体" w:eastAsia="宋体" w:cs="宋体"/>
          <w:color w:val="auto"/>
          <w:sz w:val="28"/>
          <w:lang w:val="en-US" w:eastAsia="zh-CN"/>
        </w:rPr>
      </w:pPr>
      <w:r>
        <w:rPr>
          <w:rFonts w:hint="eastAsia" w:ascii="宋体" w:hAnsi="宋体" w:eastAsia="宋体" w:cs="宋体"/>
          <w:color w:val="auto"/>
          <w:sz w:val="28"/>
          <w:lang w:val="en-US" w:eastAsia="zh-CN"/>
        </w:rPr>
        <w:t>三、落实政府采购政策性要求的评审内容及标准</w:t>
      </w:r>
    </w:p>
    <w:p w14:paraId="7C7C1079">
      <w:pPr>
        <w:keepNext w:val="0"/>
        <w:keepLines w:val="0"/>
        <w:pageBreakBefore w:val="0"/>
        <w:widowControl w:val="0"/>
        <w:kinsoku/>
        <w:wordWrap/>
        <w:overflowPunct/>
        <w:topLinePunct w:val="0"/>
        <w:autoSpaceDE/>
        <w:autoSpaceDN/>
        <w:bidi w:val="0"/>
        <w:snapToGrid w:val="0"/>
        <w:spacing w:line="520" w:lineRule="exact"/>
        <w:ind w:firstLine="480" w:firstLineChars="200"/>
        <w:rPr>
          <w:rFonts w:hint="eastAsia" w:ascii="宋体" w:hAnsi="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详见第二章投标人须知“</w:t>
      </w:r>
      <w:r>
        <w:rPr>
          <w:rFonts w:hint="eastAsia" w:ascii="宋体" w:hAnsi="宋体" w:eastAsia="宋体" w:cs="Times New Roman"/>
          <w:color w:val="auto"/>
          <w:sz w:val="24"/>
          <w:lang w:eastAsia="zh-CN"/>
        </w:rPr>
        <w:t>政府采购相关政策要求</w:t>
      </w: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对应条款。</w:t>
      </w:r>
    </w:p>
    <w:p w14:paraId="320FA035">
      <w:pPr>
        <w:rPr>
          <w:rFonts w:hint="eastAsia"/>
          <w:color w:val="auto"/>
          <w:lang w:val="en-US" w:eastAsia="zh-CN"/>
        </w:rPr>
      </w:pPr>
    </w:p>
    <w:p w14:paraId="3CF6E923">
      <w:pPr>
        <w:pStyle w:val="3"/>
        <w:keepNext w:val="0"/>
        <w:keepLines w:val="0"/>
        <w:pageBreakBefore w:val="0"/>
        <w:kinsoku/>
        <w:overflowPunct/>
        <w:topLinePunct w:val="0"/>
        <w:autoSpaceDE/>
        <w:autoSpaceDN/>
        <w:bidi w:val="0"/>
        <w:snapToGrid w:val="0"/>
        <w:spacing w:before="0" w:after="0" w:line="480" w:lineRule="exact"/>
        <w:ind w:firstLine="562" w:firstLineChars="200"/>
        <w:jc w:val="both"/>
        <w:rPr>
          <w:rFonts w:hint="eastAsia" w:ascii="宋体" w:hAnsi="宋体" w:eastAsia="宋体" w:cs="宋体"/>
          <w:color w:val="auto"/>
          <w:sz w:val="28"/>
          <w:lang w:val="en-US" w:eastAsia="zh-CN"/>
        </w:rPr>
      </w:pPr>
      <w:r>
        <w:rPr>
          <w:rFonts w:hint="eastAsia" w:ascii="宋体" w:hAnsi="宋体" w:eastAsia="宋体" w:cs="宋体"/>
          <w:color w:val="auto"/>
          <w:sz w:val="28"/>
          <w:lang w:val="en-US" w:eastAsia="zh-CN"/>
        </w:rPr>
        <w:t>四、评分细则</w:t>
      </w:r>
    </w:p>
    <w:p w14:paraId="2A8FB2E4">
      <w:pPr>
        <w:spacing w:line="520" w:lineRule="exact"/>
        <w:ind w:firstLine="562" w:firstLineChars="200"/>
        <w:rPr>
          <w:rFonts w:hint="eastAsia" w:ascii="宋体" w:hAnsi="宋体"/>
          <w:b/>
          <w:bCs/>
          <w:color w:val="auto"/>
          <w:sz w:val="28"/>
          <w:szCs w:val="36"/>
          <w:highlight w:val="none"/>
        </w:rPr>
      </w:pPr>
      <w:r>
        <w:rPr>
          <w:rFonts w:hint="eastAsia" w:ascii="宋体" w:hAnsi="宋体"/>
          <w:b/>
          <w:bCs/>
          <w:color w:val="auto"/>
          <w:sz w:val="28"/>
          <w:szCs w:val="36"/>
          <w:highlight w:val="none"/>
        </w:rPr>
        <w:t>本标项采用综合评分法，评分细则如下：</w:t>
      </w:r>
    </w:p>
    <w:tbl>
      <w:tblPr>
        <w:tblStyle w:val="3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70"/>
        <w:gridCol w:w="6701"/>
        <w:gridCol w:w="466"/>
        <w:gridCol w:w="410"/>
      </w:tblGrid>
      <w:tr w14:paraId="0B6A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5" w:type="dxa"/>
            <w:noWrap w:val="0"/>
            <w:vAlign w:val="center"/>
          </w:tcPr>
          <w:p w14:paraId="548A6581">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序号</w:t>
            </w:r>
          </w:p>
        </w:tc>
        <w:tc>
          <w:tcPr>
            <w:tcW w:w="1070" w:type="dxa"/>
            <w:noWrap w:val="0"/>
            <w:vAlign w:val="center"/>
          </w:tcPr>
          <w:p w14:paraId="6BE41CA5">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评分类型</w:t>
            </w:r>
          </w:p>
        </w:tc>
        <w:tc>
          <w:tcPr>
            <w:tcW w:w="6701" w:type="dxa"/>
            <w:noWrap w:val="0"/>
            <w:vAlign w:val="center"/>
          </w:tcPr>
          <w:p w14:paraId="46344DC5">
            <w:pPr>
              <w:keepNext w:val="0"/>
              <w:keepLines w:val="0"/>
              <w:pageBreakBefore w:val="0"/>
              <w:suppressLineNumbers w:val="0"/>
              <w:kinsoku/>
              <w:wordWrap/>
              <w:overflowPunct/>
              <w:topLinePunct w:val="0"/>
              <w:bidi w:val="0"/>
              <w:spacing w:before="0" w:beforeAutospacing="0" w:after="0" w:afterAutospacing="0" w:line="360" w:lineRule="auto"/>
              <w:ind w:left="0" w:right="0" w:firstLine="220"/>
              <w:jc w:val="center"/>
              <w:textAlignment w:val="auto"/>
              <w:rPr>
                <w:rFonts w:hint="default"/>
                <w:color w:val="auto"/>
                <w:highlight w:val="none"/>
              </w:rPr>
            </w:pPr>
            <w:r>
              <w:rPr>
                <w:rFonts w:hint="eastAsia"/>
                <w:color w:val="auto"/>
                <w:highlight w:val="none"/>
              </w:rPr>
              <w:t>评分标准</w:t>
            </w:r>
          </w:p>
        </w:tc>
        <w:tc>
          <w:tcPr>
            <w:tcW w:w="466" w:type="dxa"/>
            <w:noWrap w:val="0"/>
            <w:vAlign w:val="center"/>
          </w:tcPr>
          <w:p w14:paraId="7112F1A6">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分值</w:t>
            </w:r>
          </w:p>
        </w:tc>
        <w:tc>
          <w:tcPr>
            <w:tcW w:w="410" w:type="dxa"/>
            <w:noWrap w:val="0"/>
            <w:vAlign w:val="center"/>
          </w:tcPr>
          <w:p w14:paraId="69A7F3FC">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备注</w:t>
            </w:r>
          </w:p>
        </w:tc>
      </w:tr>
      <w:tr w14:paraId="4220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0"/>
            <w:vAlign w:val="center"/>
          </w:tcPr>
          <w:p w14:paraId="76407BA3">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1</w:t>
            </w:r>
          </w:p>
        </w:tc>
        <w:tc>
          <w:tcPr>
            <w:tcW w:w="1070" w:type="dxa"/>
            <w:noWrap w:val="0"/>
            <w:vAlign w:val="center"/>
          </w:tcPr>
          <w:p w14:paraId="2CE6C331">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报价</w:t>
            </w:r>
          </w:p>
        </w:tc>
        <w:tc>
          <w:tcPr>
            <w:tcW w:w="6701" w:type="dxa"/>
            <w:noWrap w:val="0"/>
            <w:vAlign w:val="center"/>
          </w:tcPr>
          <w:p w14:paraId="1B123E62">
            <w:pPr>
              <w:pStyle w:val="30"/>
              <w:keepNext w:val="0"/>
              <w:keepLines w:val="0"/>
              <w:pageBreakBefore w:val="0"/>
              <w:suppressLineNumbers w:val="0"/>
              <w:kinsoku/>
              <w:wordWrap/>
              <w:overflowPunct/>
              <w:topLinePunct w:val="0"/>
              <w:bidi w:val="0"/>
              <w:spacing w:beforeAutospacing="0" w:afterAutospacing="0" w:line="360" w:lineRule="auto"/>
              <w:ind w:left="0" w:right="0" w:firstLine="210"/>
              <w:jc w:val="left"/>
              <w:textAlignment w:val="auto"/>
              <w:rPr>
                <w:rFonts w:hint="default"/>
                <w:color w:val="auto"/>
                <w:highlight w:val="none"/>
              </w:rPr>
            </w:pPr>
            <w:r>
              <w:rPr>
                <w:rFonts w:hint="eastAsia" w:cs="宋体"/>
                <w:color w:val="auto"/>
                <w:kern w:val="2"/>
                <w:sz w:val="21"/>
                <w:highlight w:val="none"/>
              </w:rPr>
              <w:t>满足招标文件要求且投标价格最低的投标报价为评标基准价，其价格分为满分。其他投标人的价格分统一按照下列公式计算：投标报价得分=(评标基准价／投标报价)×（30）</w:t>
            </w:r>
          </w:p>
        </w:tc>
        <w:tc>
          <w:tcPr>
            <w:tcW w:w="466" w:type="dxa"/>
            <w:noWrap w:val="0"/>
            <w:vAlign w:val="center"/>
          </w:tcPr>
          <w:p w14:paraId="2679D57E">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30</w:t>
            </w:r>
          </w:p>
        </w:tc>
        <w:tc>
          <w:tcPr>
            <w:tcW w:w="410" w:type="dxa"/>
            <w:noWrap w:val="0"/>
            <w:vAlign w:val="center"/>
          </w:tcPr>
          <w:p w14:paraId="0D921B0F">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客观分</w:t>
            </w:r>
          </w:p>
        </w:tc>
      </w:tr>
      <w:tr w14:paraId="0C7A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675" w:type="dxa"/>
            <w:noWrap w:val="0"/>
            <w:vAlign w:val="center"/>
          </w:tcPr>
          <w:p w14:paraId="0F721A85">
            <w:pPr>
              <w:keepNext w:val="0"/>
              <w:keepLines w:val="0"/>
              <w:pageBreakBefore w:val="0"/>
              <w:suppressLineNumbers w:val="0"/>
              <w:kinsoku/>
              <w:wordWrap/>
              <w:overflowPunct/>
              <w:topLinePunct w:val="0"/>
              <w:bidi w:val="0"/>
              <w:spacing w:before="0" w:beforeAutospacing="0" w:after="0" w:afterAutospacing="0" w:line="360" w:lineRule="auto"/>
              <w:ind w:left="0" w:right="0" w:firstLine="220"/>
              <w:jc w:val="center"/>
              <w:textAlignment w:val="auto"/>
              <w:rPr>
                <w:rFonts w:hint="default"/>
                <w:color w:val="auto"/>
                <w:highlight w:val="none"/>
              </w:rPr>
            </w:pPr>
            <w:r>
              <w:rPr>
                <w:rFonts w:hint="eastAsia"/>
                <w:color w:val="auto"/>
                <w:highlight w:val="none"/>
              </w:rPr>
              <w:t>2</w:t>
            </w:r>
          </w:p>
        </w:tc>
        <w:tc>
          <w:tcPr>
            <w:tcW w:w="1070" w:type="dxa"/>
            <w:noWrap w:val="0"/>
            <w:vAlign w:val="center"/>
          </w:tcPr>
          <w:p w14:paraId="77B8423A">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商务</w:t>
            </w:r>
          </w:p>
        </w:tc>
        <w:tc>
          <w:tcPr>
            <w:tcW w:w="6701" w:type="dxa"/>
            <w:noWrap w:val="0"/>
            <w:vAlign w:val="center"/>
          </w:tcPr>
          <w:p w14:paraId="5CE9E129">
            <w:pPr>
              <w:pStyle w:val="30"/>
              <w:keepNext w:val="0"/>
              <w:keepLines w:val="0"/>
              <w:pageBreakBefore w:val="0"/>
              <w:suppressLineNumbers w:val="0"/>
              <w:kinsoku/>
              <w:wordWrap/>
              <w:overflowPunct/>
              <w:topLinePunct w:val="0"/>
              <w:bidi w:val="0"/>
              <w:spacing w:beforeAutospacing="0" w:afterAutospacing="0" w:line="360" w:lineRule="auto"/>
              <w:ind w:left="0" w:right="0" w:firstLine="210"/>
              <w:jc w:val="left"/>
              <w:textAlignment w:val="auto"/>
              <w:rPr>
                <w:rFonts w:hint="eastAsia" w:cs="宋体"/>
                <w:color w:val="auto"/>
                <w:kern w:val="2"/>
                <w:sz w:val="21"/>
                <w:highlight w:val="none"/>
              </w:rPr>
            </w:pPr>
            <w:r>
              <w:rPr>
                <w:rFonts w:hint="eastAsia" w:cs="宋体"/>
                <w:color w:val="auto"/>
                <w:kern w:val="2"/>
                <w:sz w:val="21"/>
                <w:highlight w:val="none"/>
              </w:rPr>
              <w:t>合同案例</w:t>
            </w:r>
          </w:p>
          <w:p w14:paraId="190B17A4">
            <w:pPr>
              <w:keepNext w:val="0"/>
              <w:keepLines w:val="0"/>
              <w:pageBreakBefore w:val="0"/>
              <w:suppressLineNumbers w:val="0"/>
              <w:kinsoku/>
              <w:wordWrap/>
              <w:overflowPunct/>
              <w:topLinePunct w:val="0"/>
              <w:bidi w:val="0"/>
              <w:spacing w:before="0" w:beforeAutospacing="0" w:after="0" w:afterAutospacing="0" w:line="360" w:lineRule="auto"/>
              <w:ind w:left="0" w:right="0"/>
              <w:jc w:val="left"/>
              <w:textAlignment w:val="auto"/>
              <w:rPr>
                <w:rFonts w:hint="default"/>
                <w:color w:val="auto"/>
                <w:highlight w:val="none"/>
              </w:rPr>
            </w:pPr>
            <w:r>
              <w:rPr>
                <w:rFonts w:hint="eastAsia"/>
                <w:color w:val="auto"/>
                <w:highlight w:val="none"/>
              </w:rPr>
              <w:t>投标人作为独立承包人</w:t>
            </w:r>
            <w:r>
              <w:rPr>
                <w:rFonts w:hint="eastAsia"/>
                <w:color w:val="auto"/>
                <w:highlight w:val="none"/>
                <w:lang w:eastAsia="zh-CN"/>
              </w:rPr>
              <w:t>，近三年（</w:t>
            </w:r>
            <w:r>
              <w:rPr>
                <w:rFonts w:hint="eastAsia"/>
                <w:color w:val="auto"/>
                <w:highlight w:val="none"/>
              </w:rPr>
              <w:t>自202</w:t>
            </w:r>
            <w:r>
              <w:rPr>
                <w:rFonts w:hint="eastAsia"/>
                <w:color w:val="auto"/>
                <w:highlight w:val="none"/>
                <w:lang w:val="en-US" w:eastAsia="zh-CN"/>
              </w:rPr>
              <w:t>3</w:t>
            </w:r>
            <w:r>
              <w:rPr>
                <w:rFonts w:hint="eastAsia"/>
                <w:color w:val="auto"/>
                <w:highlight w:val="none"/>
              </w:rPr>
              <w:t>年</w:t>
            </w:r>
            <w:r>
              <w:rPr>
                <w:rFonts w:hint="eastAsia"/>
                <w:color w:val="auto"/>
                <w:highlight w:val="none"/>
                <w:lang w:val="en-US" w:eastAsia="zh-CN"/>
              </w:rPr>
              <w:t>1</w:t>
            </w:r>
            <w:r>
              <w:rPr>
                <w:rFonts w:hint="eastAsia"/>
                <w:color w:val="auto"/>
                <w:highlight w:val="none"/>
              </w:rPr>
              <w:t>月1日</w:t>
            </w:r>
            <w:r>
              <w:rPr>
                <w:rFonts w:hint="eastAsia"/>
                <w:color w:val="auto"/>
                <w:highlight w:val="none"/>
                <w:lang w:eastAsia="zh-CN"/>
              </w:rPr>
              <w:t>以来，</w:t>
            </w:r>
            <w:r>
              <w:rPr>
                <w:rFonts w:hint="default"/>
                <w:color w:val="auto"/>
                <w:highlight w:val="none"/>
              </w:rPr>
              <w:t>以合同签订时间为准</w:t>
            </w:r>
            <w:r>
              <w:rPr>
                <w:rFonts w:hint="eastAsia"/>
                <w:color w:val="auto"/>
                <w:highlight w:val="none"/>
                <w:lang w:eastAsia="zh-CN"/>
              </w:rPr>
              <w:t>）</w:t>
            </w:r>
            <w:r>
              <w:rPr>
                <w:rFonts w:hint="eastAsia"/>
                <w:color w:val="auto"/>
                <w:highlight w:val="none"/>
              </w:rPr>
              <w:t>已完成的类似成功案例，有一项得（</w:t>
            </w:r>
            <w:r>
              <w:rPr>
                <w:rFonts w:hint="eastAsia"/>
                <w:color w:val="auto"/>
                <w:highlight w:val="none"/>
                <w:lang w:val="en-US" w:eastAsia="zh-CN"/>
              </w:rPr>
              <w:t>1</w:t>
            </w:r>
            <w:r>
              <w:rPr>
                <w:rFonts w:hint="eastAsia"/>
                <w:color w:val="auto"/>
                <w:highlight w:val="none"/>
              </w:rPr>
              <w:t>）分，最高（</w:t>
            </w:r>
            <w:r>
              <w:rPr>
                <w:rFonts w:hint="eastAsia"/>
                <w:color w:val="auto"/>
                <w:highlight w:val="none"/>
                <w:lang w:val="en-US" w:eastAsia="zh-CN"/>
              </w:rPr>
              <w:t>10</w:t>
            </w:r>
            <w:r>
              <w:rPr>
                <w:rFonts w:hint="eastAsia"/>
                <w:color w:val="auto"/>
                <w:highlight w:val="none"/>
              </w:rPr>
              <w:t>）分。</w:t>
            </w:r>
          </w:p>
          <w:p w14:paraId="1FCD25F2">
            <w:pPr>
              <w:keepNext w:val="0"/>
              <w:keepLines w:val="0"/>
              <w:pageBreakBefore w:val="0"/>
              <w:suppressLineNumbers w:val="0"/>
              <w:kinsoku/>
              <w:wordWrap/>
              <w:overflowPunct/>
              <w:topLinePunct w:val="0"/>
              <w:bidi w:val="0"/>
              <w:spacing w:before="0" w:beforeAutospacing="0" w:after="0" w:afterAutospacing="0" w:line="360" w:lineRule="auto"/>
              <w:ind w:left="0" w:right="0" w:firstLine="420" w:firstLineChars="200"/>
              <w:jc w:val="left"/>
              <w:textAlignment w:val="auto"/>
              <w:rPr>
                <w:rFonts w:hint="default"/>
                <w:color w:val="auto"/>
                <w:highlight w:val="none"/>
              </w:rPr>
            </w:pPr>
            <w:r>
              <w:rPr>
                <w:rFonts w:hint="eastAsia"/>
                <w:color w:val="auto"/>
                <w:highlight w:val="none"/>
              </w:rPr>
              <w:t>注：必须提供签订合同的首页、合同金额所在页、签字盖章页为依据，否则不计分。</w:t>
            </w:r>
          </w:p>
        </w:tc>
        <w:tc>
          <w:tcPr>
            <w:tcW w:w="466" w:type="dxa"/>
            <w:noWrap w:val="0"/>
            <w:vAlign w:val="center"/>
          </w:tcPr>
          <w:p w14:paraId="473F7537">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eastAsia="宋体"/>
                <w:color w:val="auto"/>
                <w:highlight w:val="none"/>
                <w:lang w:val="en-US" w:eastAsia="zh-CN"/>
              </w:rPr>
            </w:pPr>
            <w:r>
              <w:rPr>
                <w:rFonts w:hint="eastAsia"/>
                <w:color w:val="auto"/>
                <w:highlight w:val="none"/>
                <w:lang w:val="en-US" w:eastAsia="zh-CN"/>
              </w:rPr>
              <w:t>10</w:t>
            </w:r>
          </w:p>
        </w:tc>
        <w:tc>
          <w:tcPr>
            <w:tcW w:w="410" w:type="dxa"/>
            <w:noWrap w:val="0"/>
            <w:vAlign w:val="center"/>
          </w:tcPr>
          <w:p w14:paraId="1E9BA819">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客观分</w:t>
            </w:r>
          </w:p>
        </w:tc>
      </w:tr>
      <w:tr w14:paraId="4F2B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6" w:hRule="atLeast"/>
        </w:trPr>
        <w:tc>
          <w:tcPr>
            <w:tcW w:w="675" w:type="dxa"/>
            <w:noWrap w:val="0"/>
            <w:vAlign w:val="center"/>
          </w:tcPr>
          <w:p w14:paraId="5B4AB5FE">
            <w:pPr>
              <w:keepNext w:val="0"/>
              <w:keepLines w:val="0"/>
              <w:pageBreakBefore w:val="0"/>
              <w:suppressLineNumbers w:val="0"/>
              <w:kinsoku/>
              <w:wordWrap/>
              <w:overflowPunct/>
              <w:topLinePunct w:val="0"/>
              <w:bidi w:val="0"/>
              <w:spacing w:before="0" w:beforeAutospacing="0" w:after="0" w:afterAutospacing="0" w:line="360" w:lineRule="auto"/>
              <w:ind w:left="0" w:right="0" w:firstLine="220"/>
              <w:jc w:val="center"/>
              <w:textAlignment w:val="auto"/>
              <w:rPr>
                <w:rFonts w:hint="eastAsia" w:eastAsia="宋体"/>
                <w:color w:val="auto"/>
                <w:highlight w:val="none"/>
                <w:lang w:eastAsia="zh-CN"/>
              </w:rPr>
            </w:pPr>
            <w:r>
              <w:rPr>
                <w:rFonts w:hint="eastAsia"/>
                <w:color w:val="auto"/>
                <w:highlight w:val="none"/>
                <w:lang w:val="en-US" w:eastAsia="zh-CN"/>
              </w:rPr>
              <w:t>3</w:t>
            </w:r>
          </w:p>
        </w:tc>
        <w:tc>
          <w:tcPr>
            <w:tcW w:w="1070" w:type="dxa"/>
            <w:noWrap w:val="0"/>
            <w:vAlign w:val="center"/>
          </w:tcPr>
          <w:p w14:paraId="42922A4F">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商务</w:t>
            </w:r>
          </w:p>
        </w:tc>
        <w:tc>
          <w:tcPr>
            <w:tcW w:w="6701" w:type="dxa"/>
            <w:noWrap w:val="0"/>
            <w:vAlign w:val="center"/>
          </w:tcPr>
          <w:p w14:paraId="6FDFBA05">
            <w:pPr>
              <w:keepNext w:val="0"/>
              <w:keepLines w:val="0"/>
              <w:pageBreakBefore w:val="0"/>
              <w:suppressLineNumbers w:val="0"/>
              <w:kinsoku/>
              <w:wordWrap/>
              <w:overflowPunct/>
              <w:topLinePunct w:val="0"/>
              <w:bidi w:val="0"/>
              <w:spacing w:before="0" w:beforeAutospacing="0" w:after="0" w:afterAutospacing="0" w:line="360" w:lineRule="auto"/>
              <w:ind w:left="0" w:right="0" w:firstLine="210" w:firstLineChars="100"/>
              <w:jc w:val="left"/>
              <w:textAlignment w:val="auto"/>
              <w:rPr>
                <w:rFonts w:hint="default"/>
                <w:color w:val="auto"/>
                <w:highlight w:val="none"/>
              </w:rPr>
            </w:pPr>
            <w:r>
              <w:rPr>
                <w:rFonts w:hint="eastAsia"/>
                <w:color w:val="auto"/>
                <w:highlight w:val="none"/>
              </w:rPr>
              <w:t>人员配备</w:t>
            </w:r>
          </w:p>
          <w:p w14:paraId="192AE4BC">
            <w:pPr>
              <w:keepNext w:val="0"/>
              <w:keepLines w:val="0"/>
              <w:pageBreakBefore w:val="0"/>
              <w:suppressLineNumbers w:val="0"/>
              <w:kinsoku/>
              <w:wordWrap/>
              <w:overflowPunct/>
              <w:topLinePunct w:val="0"/>
              <w:bidi w:val="0"/>
              <w:spacing w:before="0" w:beforeAutospacing="0" w:after="0" w:afterAutospacing="0" w:line="360" w:lineRule="auto"/>
              <w:ind w:left="0" w:right="0" w:firstLine="210"/>
              <w:jc w:val="left"/>
              <w:textAlignment w:val="auto"/>
              <w:rPr>
                <w:rFonts w:hint="default" w:eastAsia="宋体"/>
                <w:color w:val="auto"/>
                <w:highlight w:val="none"/>
                <w:lang w:val="en-US" w:eastAsia="zh-CN"/>
              </w:rPr>
            </w:pPr>
            <w:r>
              <w:rPr>
                <w:rFonts w:hint="eastAsia"/>
                <w:color w:val="auto"/>
                <w:highlight w:val="none"/>
              </w:rPr>
              <w:t>1.拟投入本项目的项目负责人具备计算机技术与软件专业技术资格（水平）考试中高级类证书</w:t>
            </w:r>
            <w:r>
              <w:rPr>
                <w:rFonts w:hint="eastAsia"/>
                <w:color w:val="auto"/>
                <w:highlight w:val="none"/>
                <w:lang w:eastAsia="zh-CN"/>
              </w:rPr>
              <w:t>或</w:t>
            </w:r>
            <w:r>
              <w:rPr>
                <w:rFonts w:hint="eastAsia" w:ascii="Times New Roman" w:hAnsi="Times New Roman" w:eastAsia="宋体" w:cs="Times New Roman"/>
                <w:color w:val="auto"/>
                <w:highlight w:val="none"/>
                <w:lang w:eastAsia="zh-CN"/>
              </w:rPr>
              <w:t>计算机等级证书（</w:t>
            </w:r>
            <w:r>
              <w:rPr>
                <w:rFonts w:hint="eastAsia" w:ascii="Times New Roman" w:hAnsi="Times New Roman" w:eastAsia="宋体" w:cs="Times New Roman"/>
                <w:color w:val="auto"/>
                <w:highlight w:val="none"/>
                <w:lang w:val="en-US" w:eastAsia="zh-CN"/>
              </w:rPr>
              <w:t>NCRE</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4级证书的</w:t>
            </w:r>
            <w:r>
              <w:rPr>
                <w:rFonts w:hint="eastAsia"/>
                <w:color w:val="auto"/>
                <w:highlight w:val="none"/>
              </w:rPr>
              <w:t>得</w:t>
            </w:r>
            <w:r>
              <w:rPr>
                <w:rFonts w:hint="eastAsia"/>
                <w:color w:val="auto"/>
                <w:highlight w:val="none"/>
                <w:lang w:val="en-US" w:eastAsia="zh-CN"/>
              </w:rPr>
              <w:t>5</w:t>
            </w:r>
            <w:r>
              <w:rPr>
                <w:rFonts w:hint="eastAsia"/>
                <w:color w:val="auto"/>
                <w:highlight w:val="none"/>
              </w:rPr>
              <w:t>分</w:t>
            </w:r>
            <w:r>
              <w:rPr>
                <w:rFonts w:hint="eastAsia"/>
                <w:color w:val="auto"/>
                <w:highlight w:val="none"/>
                <w:lang w:eastAsia="zh-CN"/>
              </w:rPr>
              <w:t>；具备</w:t>
            </w:r>
            <w:r>
              <w:rPr>
                <w:rFonts w:hint="eastAsia"/>
                <w:color w:val="auto"/>
                <w:highlight w:val="none"/>
              </w:rPr>
              <w:t>计算机技术与软件专业技术资格（水平）考试中级类证书</w:t>
            </w:r>
            <w:r>
              <w:rPr>
                <w:rFonts w:hint="eastAsia"/>
                <w:color w:val="auto"/>
                <w:highlight w:val="none"/>
                <w:lang w:eastAsia="zh-CN"/>
              </w:rPr>
              <w:t>或</w:t>
            </w:r>
            <w:r>
              <w:rPr>
                <w:rFonts w:hint="eastAsia" w:ascii="Times New Roman" w:hAnsi="Times New Roman" w:eastAsia="宋体" w:cs="Times New Roman"/>
                <w:color w:val="auto"/>
                <w:highlight w:val="none"/>
                <w:lang w:eastAsia="zh-CN"/>
              </w:rPr>
              <w:t>计算机等级证书（</w:t>
            </w:r>
            <w:r>
              <w:rPr>
                <w:rFonts w:hint="eastAsia" w:ascii="Times New Roman" w:hAnsi="Times New Roman" w:eastAsia="宋体" w:cs="Times New Roman"/>
                <w:color w:val="auto"/>
                <w:highlight w:val="none"/>
                <w:lang w:val="en-US" w:eastAsia="zh-CN"/>
              </w:rPr>
              <w:t>NCRE</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3级证书的</w:t>
            </w:r>
            <w:r>
              <w:rPr>
                <w:rFonts w:hint="eastAsia"/>
                <w:color w:val="auto"/>
                <w:highlight w:val="none"/>
              </w:rPr>
              <w:t>得</w:t>
            </w:r>
            <w:r>
              <w:rPr>
                <w:rFonts w:hint="eastAsia"/>
                <w:color w:val="auto"/>
                <w:highlight w:val="none"/>
                <w:lang w:val="en-US" w:eastAsia="zh-CN"/>
              </w:rPr>
              <w:t>3</w:t>
            </w:r>
            <w:r>
              <w:rPr>
                <w:rFonts w:hint="eastAsia"/>
                <w:color w:val="auto"/>
                <w:highlight w:val="none"/>
              </w:rPr>
              <w:t>分</w:t>
            </w:r>
            <w:r>
              <w:rPr>
                <w:rFonts w:hint="eastAsia"/>
                <w:color w:val="auto"/>
                <w:highlight w:val="none"/>
                <w:lang w:eastAsia="zh-CN"/>
              </w:rPr>
              <w:t>；</w:t>
            </w:r>
            <w:r>
              <w:rPr>
                <w:rFonts w:hint="eastAsia"/>
                <w:color w:val="auto"/>
                <w:highlight w:val="none"/>
              </w:rPr>
              <w:t>否则不得分</w:t>
            </w:r>
            <w:r>
              <w:rPr>
                <w:rFonts w:hint="eastAsia"/>
                <w:color w:val="auto"/>
                <w:highlight w:val="none"/>
                <w:lang w:eastAsia="zh-CN"/>
              </w:rPr>
              <w:t>，此项得分最高</w:t>
            </w:r>
            <w:r>
              <w:rPr>
                <w:rFonts w:hint="eastAsia"/>
                <w:color w:val="auto"/>
                <w:highlight w:val="none"/>
                <w:lang w:val="en-US" w:eastAsia="zh-CN"/>
              </w:rPr>
              <w:t>5分。</w:t>
            </w:r>
          </w:p>
          <w:p w14:paraId="3CFAA6A5">
            <w:pPr>
              <w:keepNext w:val="0"/>
              <w:keepLines w:val="0"/>
              <w:pageBreakBefore w:val="0"/>
              <w:suppressLineNumbers w:val="0"/>
              <w:kinsoku/>
              <w:wordWrap/>
              <w:overflowPunct/>
              <w:topLinePunct w:val="0"/>
              <w:bidi w:val="0"/>
              <w:spacing w:before="0" w:beforeAutospacing="0" w:after="0" w:afterAutospacing="0" w:line="360" w:lineRule="auto"/>
              <w:ind w:left="0" w:right="0" w:firstLine="210"/>
              <w:jc w:val="left"/>
              <w:textAlignment w:val="auto"/>
              <w:rPr>
                <w:rFonts w:hint="eastAsia"/>
                <w:color w:val="auto"/>
                <w:highlight w:val="none"/>
              </w:rPr>
            </w:pPr>
            <w:r>
              <w:rPr>
                <w:rFonts w:hint="eastAsia"/>
                <w:color w:val="auto"/>
                <w:highlight w:val="none"/>
              </w:rPr>
              <w:t>2.</w:t>
            </w:r>
            <w:r>
              <w:rPr>
                <w:rFonts w:hint="eastAsia"/>
                <w:color w:val="auto"/>
                <w:highlight w:val="none"/>
                <w:lang w:eastAsia="zh-CN"/>
              </w:rPr>
              <w:t>除项目负责人外，</w:t>
            </w:r>
            <w:r>
              <w:rPr>
                <w:rFonts w:hint="eastAsia"/>
                <w:color w:val="auto"/>
                <w:highlight w:val="none"/>
              </w:rPr>
              <w:t>拟投入本项目的技术团队成员中</w:t>
            </w:r>
            <w:r>
              <w:rPr>
                <w:rFonts w:hint="eastAsia"/>
                <w:color w:val="auto"/>
                <w:highlight w:val="none"/>
                <w:lang w:eastAsia="zh-CN"/>
              </w:rPr>
              <w:t>，</w:t>
            </w:r>
            <w:r>
              <w:rPr>
                <w:rFonts w:hint="eastAsia"/>
                <w:color w:val="auto"/>
                <w:highlight w:val="none"/>
              </w:rPr>
              <w:t>每有一名具备计算机技术与软件专业技术资格（水平）考试</w:t>
            </w:r>
            <w:r>
              <w:rPr>
                <w:rFonts w:hint="eastAsia"/>
                <w:color w:val="auto"/>
                <w:highlight w:val="none"/>
                <w:lang w:eastAsia="zh-CN"/>
              </w:rPr>
              <w:t>中</w:t>
            </w:r>
            <w:r>
              <w:rPr>
                <w:rFonts w:hint="eastAsia"/>
                <w:color w:val="auto"/>
                <w:highlight w:val="none"/>
              </w:rPr>
              <w:t>级</w:t>
            </w:r>
            <w:r>
              <w:rPr>
                <w:rFonts w:hint="eastAsia"/>
                <w:color w:val="auto"/>
                <w:highlight w:val="none"/>
                <w:lang w:eastAsia="zh-CN"/>
              </w:rPr>
              <w:t>及以上类</w:t>
            </w:r>
            <w:r>
              <w:rPr>
                <w:rFonts w:hint="eastAsia"/>
                <w:color w:val="auto"/>
                <w:highlight w:val="none"/>
              </w:rPr>
              <w:t>证书</w:t>
            </w:r>
            <w:r>
              <w:rPr>
                <w:rFonts w:hint="eastAsia"/>
                <w:color w:val="auto"/>
                <w:highlight w:val="none"/>
                <w:lang w:eastAsia="zh-CN"/>
              </w:rPr>
              <w:t>，或</w:t>
            </w:r>
            <w:r>
              <w:rPr>
                <w:rFonts w:hint="eastAsia" w:ascii="Times New Roman" w:hAnsi="Times New Roman" w:eastAsia="宋体" w:cs="Times New Roman"/>
                <w:color w:val="auto"/>
                <w:highlight w:val="none"/>
                <w:lang w:eastAsia="zh-CN"/>
              </w:rPr>
              <w:t>计算机等级证书（</w:t>
            </w:r>
            <w:r>
              <w:rPr>
                <w:rFonts w:hint="eastAsia" w:ascii="Times New Roman" w:hAnsi="Times New Roman" w:eastAsia="宋体" w:cs="Times New Roman"/>
                <w:color w:val="auto"/>
                <w:highlight w:val="none"/>
                <w:lang w:val="en-US" w:eastAsia="zh-CN"/>
              </w:rPr>
              <w:t>NCRE</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3级及以上证书的得2分；</w:t>
            </w:r>
            <w:r>
              <w:rPr>
                <w:rFonts w:hint="eastAsia" w:eastAsia="宋体"/>
                <w:color w:val="auto"/>
                <w:highlight w:val="none"/>
                <w:lang w:eastAsia="zh-CN"/>
              </w:rPr>
              <w:t>本</w:t>
            </w:r>
            <w:r>
              <w:rPr>
                <w:rFonts w:hint="eastAsia"/>
                <w:color w:val="auto"/>
                <w:highlight w:val="none"/>
              </w:rPr>
              <w:t>项得分最高</w:t>
            </w:r>
            <w:r>
              <w:rPr>
                <w:rFonts w:hint="eastAsia"/>
                <w:color w:val="auto"/>
                <w:highlight w:val="none"/>
                <w:lang w:val="en-US" w:eastAsia="zh-CN"/>
              </w:rPr>
              <w:t>6</w:t>
            </w:r>
            <w:r>
              <w:rPr>
                <w:rFonts w:hint="eastAsia"/>
                <w:color w:val="auto"/>
                <w:highlight w:val="none"/>
              </w:rPr>
              <w:t>分。</w:t>
            </w:r>
          </w:p>
          <w:p w14:paraId="3AD75372">
            <w:pPr>
              <w:keepNext w:val="0"/>
              <w:keepLines w:val="0"/>
              <w:pageBreakBefore w:val="0"/>
              <w:suppressLineNumbers w:val="0"/>
              <w:kinsoku/>
              <w:wordWrap/>
              <w:overflowPunct/>
              <w:topLinePunct w:val="0"/>
              <w:bidi w:val="0"/>
              <w:spacing w:before="0" w:beforeAutospacing="0" w:after="0" w:afterAutospacing="0" w:line="360" w:lineRule="auto"/>
              <w:ind w:left="0" w:right="0" w:firstLine="210"/>
              <w:jc w:val="left"/>
              <w:textAlignment w:val="auto"/>
              <w:rPr>
                <w:rFonts w:hint="default"/>
                <w:color w:val="auto"/>
                <w:highlight w:val="none"/>
              </w:rPr>
            </w:pPr>
            <w:r>
              <w:rPr>
                <w:rFonts w:hint="eastAsia"/>
                <w:color w:val="auto"/>
                <w:highlight w:val="none"/>
              </w:rPr>
              <w:t>注：项目负责人及技术团队成员需提供人员证书复印件和本单位的近</w:t>
            </w:r>
            <w:r>
              <w:rPr>
                <w:rFonts w:hint="eastAsia"/>
                <w:color w:val="auto"/>
                <w:highlight w:val="none"/>
                <w:lang w:eastAsia="zh-CN"/>
              </w:rPr>
              <w:t>期</w:t>
            </w:r>
            <w:r>
              <w:rPr>
                <w:rFonts w:hint="eastAsia"/>
                <w:color w:val="auto"/>
                <w:highlight w:val="none"/>
              </w:rPr>
              <w:t>社保证明。</w:t>
            </w:r>
          </w:p>
        </w:tc>
        <w:tc>
          <w:tcPr>
            <w:tcW w:w="466" w:type="dxa"/>
            <w:noWrap w:val="0"/>
            <w:vAlign w:val="center"/>
          </w:tcPr>
          <w:p w14:paraId="39A141E2">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eastAsia="宋体"/>
                <w:color w:val="auto"/>
                <w:highlight w:val="none"/>
                <w:lang w:eastAsia="zh-CN"/>
              </w:rPr>
            </w:pPr>
            <w:r>
              <w:rPr>
                <w:rFonts w:hint="default"/>
                <w:color w:val="auto"/>
                <w:highlight w:val="none"/>
              </w:rPr>
              <w:t>1</w:t>
            </w:r>
            <w:r>
              <w:rPr>
                <w:rFonts w:hint="eastAsia"/>
                <w:color w:val="auto"/>
                <w:highlight w:val="none"/>
                <w:lang w:val="en-US" w:eastAsia="zh-CN"/>
              </w:rPr>
              <w:t>1</w:t>
            </w:r>
          </w:p>
        </w:tc>
        <w:tc>
          <w:tcPr>
            <w:tcW w:w="410" w:type="dxa"/>
            <w:noWrap w:val="0"/>
            <w:vAlign w:val="center"/>
          </w:tcPr>
          <w:p w14:paraId="56EB13A4">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客观分</w:t>
            </w:r>
          </w:p>
        </w:tc>
      </w:tr>
      <w:tr w14:paraId="519B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75" w:type="dxa"/>
            <w:noWrap w:val="0"/>
            <w:vAlign w:val="center"/>
          </w:tcPr>
          <w:p w14:paraId="5E35D87A">
            <w:pPr>
              <w:keepNext w:val="0"/>
              <w:keepLines w:val="0"/>
              <w:pageBreakBefore w:val="0"/>
              <w:suppressLineNumbers w:val="0"/>
              <w:kinsoku/>
              <w:wordWrap/>
              <w:overflowPunct/>
              <w:topLinePunct w:val="0"/>
              <w:bidi w:val="0"/>
              <w:spacing w:before="0" w:beforeAutospacing="0" w:after="0" w:afterAutospacing="0" w:line="360" w:lineRule="auto"/>
              <w:ind w:left="0" w:right="0" w:firstLine="220"/>
              <w:jc w:val="center"/>
              <w:textAlignment w:val="auto"/>
              <w:rPr>
                <w:rFonts w:hint="eastAsia" w:eastAsia="宋体"/>
                <w:color w:val="auto"/>
                <w:highlight w:val="none"/>
                <w:lang w:eastAsia="zh-CN"/>
              </w:rPr>
            </w:pPr>
            <w:r>
              <w:rPr>
                <w:rFonts w:hint="eastAsia"/>
                <w:color w:val="auto"/>
                <w:highlight w:val="none"/>
                <w:lang w:val="en-US" w:eastAsia="zh-CN"/>
              </w:rPr>
              <w:t>4</w:t>
            </w:r>
          </w:p>
        </w:tc>
        <w:tc>
          <w:tcPr>
            <w:tcW w:w="1070" w:type="dxa"/>
            <w:noWrap w:val="0"/>
            <w:vAlign w:val="center"/>
          </w:tcPr>
          <w:p w14:paraId="268AC515">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技术</w:t>
            </w:r>
          </w:p>
        </w:tc>
        <w:tc>
          <w:tcPr>
            <w:tcW w:w="6701" w:type="dxa"/>
            <w:noWrap w:val="0"/>
            <w:vAlign w:val="center"/>
          </w:tcPr>
          <w:p w14:paraId="5324C385">
            <w:pPr>
              <w:keepNext w:val="0"/>
              <w:keepLines w:val="0"/>
              <w:pageBreakBefore w:val="0"/>
              <w:suppressLineNumbers w:val="0"/>
              <w:kinsoku/>
              <w:wordWrap/>
              <w:overflowPunct/>
              <w:topLinePunct w:val="0"/>
              <w:bidi w:val="0"/>
              <w:spacing w:before="0" w:beforeAutospacing="0" w:after="0" w:afterAutospacing="0" w:line="360" w:lineRule="auto"/>
              <w:ind w:left="0" w:right="0" w:firstLine="210" w:firstLineChars="100"/>
              <w:jc w:val="left"/>
              <w:textAlignment w:val="auto"/>
              <w:rPr>
                <w:rFonts w:hint="default"/>
                <w:color w:val="auto"/>
                <w:highlight w:val="none"/>
              </w:rPr>
            </w:pPr>
            <w:r>
              <w:rPr>
                <w:rFonts w:hint="eastAsia"/>
                <w:color w:val="auto"/>
                <w:highlight w:val="none"/>
              </w:rPr>
              <w:t>技术参数</w:t>
            </w:r>
          </w:p>
          <w:p w14:paraId="469FA827">
            <w:pPr>
              <w:keepNext w:val="0"/>
              <w:keepLines w:val="0"/>
              <w:pageBreakBefore w:val="0"/>
              <w:suppressLineNumbers w:val="0"/>
              <w:kinsoku/>
              <w:wordWrap/>
              <w:overflowPunct/>
              <w:topLinePunct w:val="0"/>
              <w:bidi w:val="0"/>
              <w:spacing w:before="0" w:beforeAutospacing="0" w:after="0" w:afterAutospacing="0" w:line="360" w:lineRule="auto"/>
              <w:ind w:left="0" w:right="0" w:firstLine="210" w:firstLineChars="100"/>
              <w:jc w:val="left"/>
              <w:textAlignment w:val="auto"/>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技术参数基础分值为（</w:t>
            </w:r>
            <w:r>
              <w:rPr>
                <w:rFonts w:hint="eastAsia" w:ascii="Times New Roman" w:hAnsi="Times New Roman" w:eastAsia="宋体" w:cs="Times New Roman"/>
                <w:color w:val="auto"/>
                <w:highlight w:val="none"/>
                <w:lang w:val="en-US" w:eastAsia="zh-CN"/>
              </w:rPr>
              <w:t>16</w:t>
            </w:r>
            <w:r>
              <w:rPr>
                <w:rFonts w:hint="eastAsia" w:ascii="Times New Roman" w:hAnsi="Times New Roman" w:eastAsia="宋体" w:cs="Times New Roman"/>
                <w:color w:val="auto"/>
                <w:highlight w:val="none"/>
              </w:rPr>
              <w:t>）分：</w:t>
            </w:r>
          </w:p>
          <w:p w14:paraId="4FC5B8B8">
            <w:pPr>
              <w:keepNext w:val="0"/>
              <w:keepLines w:val="0"/>
              <w:pageBreakBefore w:val="0"/>
              <w:suppressLineNumbers w:val="0"/>
              <w:kinsoku/>
              <w:wordWrap/>
              <w:overflowPunct/>
              <w:topLinePunct w:val="0"/>
              <w:bidi w:val="0"/>
              <w:spacing w:before="0" w:beforeAutospacing="0" w:after="0" w:afterAutospacing="0" w:line="360" w:lineRule="auto"/>
              <w:ind w:left="0" w:right="0" w:firstLine="210" w:firstLineChars="100"/>
              <w:jc w:val="left"/>
              <w:textAlignment w:val="auto"/>
              <w:rPr>
                <w:rFonts w:hint="eastAsia" w:eastAsia="宋体"/>
                <w:color w:val="auto"/>
                <w:highlight w:val="none"/>
                <w:lang w:eastAsia="zh-CN"/>
              </w:rPr>
            </w:pPr>
            <w:r>
              <w:rPr>
                <w:rFonts w:hint="eastAsia" w:ascii="Times New Roman" w:hAnsi="Times New Roman" w:eastAsia="宋体" w:cs="Times New Roman"/>
                <w:color w:val="auto"/>
                <w:highlight w:val="none"/>
              </w:rPr>
              <w:t>非核心技术指标</w:t>
            </w:r>
            <w:r>
              <w:rPr>
                <w:rFonts w:hint="eastAsia" w:cs="Times New Roman"/>
                <w:color w:val="auto"/>
                <w:highlight w:val="none"/>
                <w:lang w:eastAsia="zh-CN"/>
              </w:rPr>
              <w:t>（标“</w:t>
            </w:r>
            <w:r>
              <w:rPr>
                <w:rFonts w:hint="eastAsia" w:ascii="宋体" w:hAnsi="宋体" w:eastAsia="宋体" w:cs="宋体"/>
                <w:color w:val="auto"/>
                <w:sz w:val="24"/>
                <w:szCs w:val="24"/>
                <w:lang w:val="en-US" w:eastAsia="zh-CN"/>
              </w:rPr>
              <w:t>★</w:t>
            </w:r>
            <w:r>
              <w:rPr>
                <w:rFonts w:hint="eastAsia" w:cs="Times New Roman"/>
                <w:color w:val="auto"/>
                <w:highlight w:val="none"/>
                <w:lang w:eastAsia="zh-CN"/>
              </w:rPr>
              <w:t>”号项为核心技术指标）</w:t>
            </w:r>
            <w:r>
              <w:rPr>
                <w:rFonts w:hint="eastAsia" w:ascii="Times New Roman" w:hAnsi="Times New Roman" w:eastAsia="宋体" w:cs="Times New Roman"/>
                <w:color w:val="auto"/>
                <w:highlight w:val="none"/>
              </w:rPr>
              <w:t>有负偏离，每有一项扣（</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rPr>
              <w:t>）分，最多扣（</w:t>
            </w:r>
            <w:r>
              <w:rPr>
                <w:rFonts w:hint="eastAsia" w:ascii="Times New Roman" w:hAnsi="Times New Roman" w:eastAsia="宋体" w:cs="Times New Roman"/>
                <w:color w:val="auto"/>
                <w:highlight w:val="none"/>
                <w:lang w:val="en-US" w:eastAsia="zh-CN"/>
              </w:rPr>
              <w:t>16</w:t>
            </w:r>
            <w:r>
              <w:rPr>
                <w:rFonts w:hint="eastAsia" w:ascii="Times New Roman" w:hAnsi="Times New Roman" w:eastAsia="宋体" w:cs="Times New Roman"/>
                <w:color w:val="auto"/>
                <w:highlight w:val="none"/>
              </w:rPr>
              <w:t>）分。（注：以技术规格偏离表为准）</w:t>
            </w:r>
            <w:r>
              <w:rPr>
                <w:rFonts w:hint="eastAsia" w:cs="Times New Roman"/>
                <w:color w:val="auto"/>
                <w:highlight w:val="none"/>
                <w:lang w:eastAsia="zh-CN"/>
              </w:rPr>
              <w:t>。</w:t>
            </w:r>
            <w:r>
              <w:rPr>
                <w:rFonts w:hint="eastAsia" w:ascii="Times New Roman" w:hAnsi="Times New Roman" w:eastAsia="宋体" w:cs="Times New Roman"/>
                <w:color w:val="auto"/>
                <w:highlight w:val="none"/>
              </w:rPr>
              <w:t>未提供对应功能证明材料或证明材料不符合招标文件要求，视为负偏离。</w:t>
            </w:r>
          </w:p>
        </w:tc>
        <w:tc>
          <w:tcPr>
            <w:tcW w:w="466" w:type="dxa"/>
            <w:noWrap w:val="0"/>
            <w:vAlign w:val="center"/>
          </w:tcPr>
          <w:p w14:paraId="7650E343">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eastAsia="宋体"/>
                <w:color w:val="auto"/>
                <w:highlight w:val="none"/>
                <w:lang w:val="en-US" w:eastAsia="zh-CN"/>
              </w:rPr>
            </w:pPr>
            <w:r>
              <w:rPr>
                <w:rFonts w:hint="eastAsia"/>
                <w:color w:val="auto"/>
                <w:highlight w:val="none"/>
                <w:lang w:val="en-US" w:eastAsia="zh-CN"/>
              </w:rPr>
              <w:t>16</w:t>
            </w:r>
          </w:p>
        </w:tc>
        <w:tc>
          <w:tcPr>
            <w:tcW w:w="410" w:type="dxa"/>
            <w:noWrap w:val="0"/>
            <w:vAlign w:val="center"/>
          </w:tcPr>
          <w:p w14:paraId="0C34EBEC">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客观分</w:t>
            </w:r>
          </w:p>
        </w:tc>
      </w:tr>
      <w:tr w14:paraId="4914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trPr>
        <w:tc>
          <w:tcPr>
            <w:tcW w:w="675" w:type="dxa"/>
            <w:noWrap w:val="0"/>
            <w:vAlign w:val="center"/>
          </w:tcPr>
          <w:p w14:paraId="1E366A51">
            <w:pPr>
              <w:keepNext w:val="0"/>
              <w:keepLines w:val="0"/>
              <w:pageBreakBefore w:val="0"/>
              <w:suppressLineNumbers w:val="0"/>
              <w:kinsoku/>
              <w:wordWrap/>
              <w:overflowPunct/>
              <w:topLinePunct w:val="0"/>
              <w:bidi w:val="0"/>
              <w:spacing w:before="0" w:beforeAutospacing="0" w:after="0" w:afterAutospacing="0" w:line="360" w:lineRule="auto"/>
              <w:ind w:left="0" w:right="0" w:firstLine="220"/>
              <w:jc w:val="center"/>
              <w:textAlignment w:val="auto"/>
              <w:rPr>
                <w:rFonts w:hint="eastAsia" w:eastAsia="宋体"/>
                <w:color w:val="auto"/>
                <w:highlight w:val="none"/>
                <w:lang w:eastAsia="zh-CN"/>
              </w:rPr>
            </w:pPr>
            <w:r>
              <w:rPr>
                <w:rFonts w:hint="eastAsia"/>
                <w:color w:val="auto"/>
                <w:highlight w:val="none"/>
                <w:lang w:val="en-US" w:eastAsia="zh-CN"/>
              </w:rPr>
              <w:t>5</w:t>
            </w:r>
          </w:p>
        </w:tc>
        <w:tc>
          <w:tcPr>
            <w:tcW w:w="1070" w:type="dxa"/>
            <w:noWrap w:val="0"/>
            <w:vAlign w:val="center"/>
          </w:tcPr>
          <w:p w14:paraId="457EB8E8">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技术</w:t>
            </w:r>
          </w:p>
        </w:tc>
        <w:tc>
          <w:tcPr>
            <w:tcW w:w="6701" w:type="dxa"/>
            <w:noWrap w:val="0"/>
            <w:vAlign w:val="center"/>
          </w:tcPr>
          <w:p w14:paraId="3947F124">
            <w:pPr>
              <w:keepNext w:val="0"/>
              <w:keepLines w:val="0"/>
              <w:pageBreakBefore w:val="0"/>
              <w:suppressLineNumbers w:val="0"/>
              <w:kinsoku/>
              <w:wordWrap/>
              <w:overflowPunct/>
              <w:topLinePunct w:val="0"/>
              <w:bidi w:val="0"/>
              <w:spacing w:before="0" w:beforeAutospacing="0" w:after="0" w:afterAutospacing="0" w:line="360" w:lineRule="auto"/>
              <w:ind w:left="0" w:right="0" w:firstLine="210" w:firstLineChars="100"/>
              <w:jc w:val="left"/>
              <w:textAlignment w:val="auto"/>
              <w:rPr>
                <w:rFonts w:hint="default"/>
                <w:color w:val="auto"/>
                <w:highlight w:val="none"/>
              </w:rPr>
            </w:pPr>
            <w:r>
              <w:rPr>
                <w:rFonts w:hint="eastAsia"/>
                <w:color w:val="auto"/>
                <w:highlight w:val="none"/>
              </w:rPr>
              <w:t>项目实施方案</w:t>
            </w:r>
          </w:p>
          <w:p w14:paraId="7C2C5BA8">
            <w:pPr>
              <w:keepNext w:val="0"/>
              <w:keepLines w:val="0"/>
              <w:pageBreakBefore w:val="0"/>
              <w:suppressLineNumbers w:val="0"/>
              <w:kinsoku/>
              <w:wordWrap/>
              <w:overflowPunct/>
              <w:topLinePunct w:val="0"/>
              <w:bidi w:val="0"/>
              <w:spacing w:before="0" w:beforeAutospacing="0" w:after="0" w:afterAutospacing="0" w:line="360" w:lineRule="auto"/>
              <w:ind w:left="0" w:right="0" w:firstLine="420" w:firstLineChars="200"/>
              <w:jc w:val="left"/>
              <w:textAlignment w:val="auto"/>
              <w:rPr>
                <w:rFonts w:hint="default"/>
                <w:color w:val="auto"/>
                <w:highlight w:val="none"/>
              </w:rPr>
            </w:pPr>
            <w:r>
              <w:rPr>
                <w:rFonts w:hint="eastAsia"/>
                <w:color w:val="auto"/>
                <w:highlight w:val="none"/>
              </w:rPr>
              <w:t>根据供应商针对本项目制定的项目实施方案（包括①项目实施管理、②人员计划、③供货安排、④安装调试、⑤质量保障措施、⑥应急方案、⑦项目文档管理）给予赋分：</w:t>
            </w:r>
          </w:p>
          <w:p w14:paraId="32746DB8">
            <w:pPr>
              <w:keepNext w:val="0"/>
              <w:keepLines w:val="0"/>
              <w:pageBreakBefore w:val="0"/>
              <w:suppressLineNumbers w:val="0"/>
              <w:kinsoku/>
              <w:wordWrap/>
              <w:overflowPunct/>
              <w:topLinePunct w:val="0"/>
              <w:bidi w:val="0"/>
              <w:spacing w:before="0" w:beforeAutospacing="0" w:after="0" w:afterAutospacing="0" w:line="360" w:lineRule="auto"/>
              <w:ind w:left="0" w:right="0" w:firstLine="420" w:firstLineChars="200"/>
              <w:jc w:val="left"/>
              <w:textAlignment w:val="auto"/>
              <w:rPr>
                <w:rFonts w:hint="default"/>
                <w:color w:val="auto"/>
                <w:highlight w:val="none"/>
              </w:rPr>
            </w:pPr>
            <w:r>
              <w:rPr>
                <w:rFonts w:hint="eastAsia"/>
                <w:color w:val="auto"/>
                <w:highlight w:val="none"/>
              </w:rPr>
              <w:t>满分（</w:t>
            </w:r>
            <w:r>
              <w:rPr>
                <w:rFonts w:hint="eastAsia"/>
                <w:color w:val="auto"/>
                <w:highlight w:val="none"/>
                <w:lang w:val="en-US" w:eastAsia="zh-CN"/>
              </w:rPr>
              <w:t>21</w:t>
            </w:r>
            <w:r>
              <w:rPr>
                <w:rFonts w:hint="eastAsia"/>
                <w:color w:val="auto"/>
                <w:highlight w:val="none"/>
              </w:rPr>
              <w:t>）分，每有一项缺失扣（</w:t>
            </w:r>
            <w:r>
              <w:rPr>
                <w:rFonts w:hint="eastAsia"/>
                <w:color w:val="auto"/>
                <w:highlight w:val="none"/>
                <w:lang w:val="en-US" w:eastAsia="zh-CN"/>
              </w:rPr>
              <w:t>3</w:t>
            </w:r>
            <w:r>
              <w:rPr>
                <w:rFonts w:hint="eastAsia"/>
                <w:color w:val="auto"/>
                <w:highlight w:val="none"/>
              </w:rPr>
              <w:t>）分；每项每有一处存在缺陷扣（</w:t>
            </w:r>
            <w:r>
              <w:rPr>
                <w:rFonts w:hint="eastAsia"/>
                <w:color w:val="auto"/>
                <w:highlight w:val="none"/>
                <w:lang w:val="en-US" w:eastAsia="zh-CN"/>
              </w:rPr>
              <w:t>1</w:t>
            </w:r>
            <w:r>
              <w:rPr>
                <w:rFonts w:hint="eastAsia"/>
                <w:color w:val="auto"/>
                <w:highlight w:val="none"/>
              </w:rPr>
              <w:t>）分，每项缺陷最多扣（</w:t>
            </w:r>
            <w:r>
              <w:rPr>
                <w:rFonts w:hint="eastAsia"/>
                <w:color w:val="auto"/>
                <w:highlight w:val="none"/>
                <w:lang w:val="en-US" w:eastAsia="zh-CN"/>
              </w:rPr>
              <w:t>3</w:t>
            </w:r>
            <w:r>
              <w:rPr>
                <w:rFonts w:hint="eastAsia"/>
                <w:color w:val="auto"/>
                <w:highlight w:val="none"/>
              </w:rPr>
              <w:t>）分。</w:t>
            </w:r>
          </w:p>
          <w:p w14:paraId="4C6E1923">
            <w:pPr>
              <w:keepNext w:val="0"/>
              <w:keepLines w:val="0"/>
              <w:pageBreakBefore w:val="0"/>
              <w:suppressLineNumbers w:val="0"/>
              <w:kinsoku/>
              <w:wordWrap/>
              <w:overflowPunct/>
              <w:topLinePunct w:val="0"/>
              <w:bidi w:val="0"/>
              <w:spacing w:before="0" w:beforeAutospacing="0" w:after="0" w:afterAutospacing="0" w:line="360" w:lineRule="auto"/>
              <w:ind w:left="0" w:right="0" w:firstLine="420" w:firstLineChars="200"/>
              <w:jc w:val="left"/>
              <w:textAlignment w:val="auto"/>
              <w:rPr>
                <w:rFonts w:hint="default"/>
                <w:color w:val="auto"/>
                <w:highlight w:val="none"/>
              </w:rPr>
            </w:pPr>
            <w:r>
              <w:rPr>
                <w:rFonts w:hint="eastAsia"/>
                <w:color w:val="auto"/>
                <w:highlight w:val="none"/>
              </w:rPr>
              <w:t>注：缺陷是指内容与项目无关、逻辑错误、科学原理错误、表述错误、不符合本项目涉及的相关规范或标准要求的任意一种情形。</w:t>
            </w:r>
          </w:p>
        </w:tc>
        <w:tc>
          <w:tcPr>
            <w:tcW w:w="466" w:type="dxa"/>
            <w:noWrap w:val="0"/>
            <w:vAlign w:val="center"/>
          </w:tcPr>
          <w:p w14:paraId="20FA79DA">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eastAsia="宋体"/>
                <w:color w:val="auto"/>
                <w:highlight w:val="none"/>
                <w:lang w:val="en-US" w:eastAsia="zh-CN"/>
              </w:rPr>
            </w:pPr>
            <w:r>
              <w:rPr>
                <w:rFonts w:hint="eastAsia"/>
                <w:color w:val="auto"/>
                <w:highlight w:val="none"/>
                <w:lang w:val="en-US" w:eastAsia="zh-CN"/>
              </w:rPr>
              <w:t>21</w:t>
            </w:r>
          </w:p>
        </w:tc>
        <w:tc>
          <w:tcPr>
            <w:tcW w:w="410" w:type="dxa"/>
            <w:noWrap w:val="0"/>
            <w:vAlign w:val="center"/>
          </w:tcPr>
          <w:p w14:paraId="29AE62AC">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主观分</w:t>
            </w:r>
          </w:p>
        </w:tc>
      </w:tr>
      <w:tr w14:paraId="4B11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trPr>
        <w:tc>
          <w:tcPr>
            <w:tcW w:w="675" w:type="dxa"/>
            <w:noWrap w:val="0"/>
            <w:vAlign w:val="center"/>
          </w:tcPr>
          <w:p w14:paraId="057D19A1">
            <w:pPr>
              <w:keepNext w:val="0"/>
              <w:keepLines w:val="0"/>
              <w:pageBreakBefore w:val="0"/>
              <w:suppressLineNumbers w:val="0"/>
              <w:kinsoku/>
              <w:wordWrap/>
              <w:overflowPunct/>
              <w:topLinePunct w:val="0"/>
              <w:bidi w:val="0"/>
              <w:spacing w:before="0" w:beforeAutospacing="0" w:after="0" w:afterAutospacing="0" w:line="360" w:lineRule="auto"/>
              <w:ind w:left="0" w:right="0" w:firstLine="220"/>
              <w:jc w:val="center"/>
              <w:textAlignment w:val="auto"/>
              <w:rPr>
                <w:rFonts w:hint="eastAsia" w:eastAsia="宋体"/>
                <w:color w:val="auto"/>
                <w:highlight w:val="none"/>
                <w:lang w:eastAsia="zh-CN"/>
              </w:rPr>
            </w:pPr>
            <w:r>
              <w:rPr>
                <w:rFonts w:hint="eastAsia"/>
                <w:color w:val="auto"/>
                <w:highlight w:val="none"/>
                <w:lang w:val="en-US" w:eastAsia="zh-CN"/>
              </w:rPr>
              <w:t>6</w:t>
            </w:r>
          </w:p>
        </w:tc>
        <w:tc>
          <w:tcPr>
            <w:tcW w:w="1070" w:type="dxa"/>
            <w:noWrap w:val="0"/>
            <w:vAlign w:val="center"/>
          </w:tcPr>
          <w:p w14:paraId="2D0832BD">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服务</w:t>
            </w:r>
          </w:p>
        </w:tc>
        <w:tc>
          <w:tcPr>
            <w:tcW w:w="6701" w:type="dxa"/>
            <w:noWrap w:val="0"/>
            <w:vAlign w:val="center"/>
          </w:tcPr>
          <w:p w14:paraId="37A0ABFD">
            <w:pPr>
              <w:keepNext w:val="0"/>
              <w:keepLines w:val="0"/>
              <w:pageBreakBefore w:val="0"/>
              <w:suppressLineNumbers w:val="0"/>
              <w:kinsoku/>
              <w:wordWrap/>
              <w:overflowPunct/>
              <w:topLinePunct w:val="0"/>
              <w:bidi w:val="0"/>
              <w:spacing w:before="0" w:beforeAutospacing="0" w:after="0" w:afterAutospacing="0" w:line="360" w:lineRule="auto"/>
              <w:ind w:left="0" w:right="0" w:firstLine="220"/>
              <w:jc w:val="left"/>
              <w:textAlignment w:val="auto"/>
              <w:rPr>
                <w:rFonts w:hint="default"/>
                <w:color w:val="auto"/>
                <w:highlight w:val="none"/>
              </w:rPr>
            </w:pPr>
            <w:r>
              <w:rPr>
                <w:rFonts w:hint="eastAsia"/>
                <w:color w:val="auto"/>
                <w:highlight w:val="none"/>
                <w:lang w:eastAsia="zh-CN"/>
              </w:rPr>
              <w:t>售后</w:t>
            </w:r>
            <w:r>
              <w:rPr>
                <w:rFonts w:hint="eastAsia"/>
                <w:color w:val="auto"/>
                <w:highlight w:val="none"/>
              </w:rPr>
              <w:t>服务方案：</w:t>
            </w:r>
          </w:p>
          <w:p w14:paraId="63C91CC5">
            <w:pPr>
              <w:keepNext w:val="0"/>
              <w:keepLines w:val="0"/>
              <w:pageBreakBefore w:val="0"/>
              <w:suppressLineNumbers w:val="0"/>
              <w:kinsoku/>
              <w:wordWrap/>
              <w:overflowPunct/>
              <w:topLinePunct w:val="0"/>
              <w:bidi w:val="0"/>
              <w:spacing w:before="0" w:beforeAutospacing="0" w:after="0" w:afterAutospacing="0" w:line="360" w:lineRule="auto"/>
              <w:ind w:left="0" w:right="0" w:firstLine="420" w:firstLineChars="200"/>
              <w:jc w:val="left"/>
              <w:textAlignment w:val="auto"/>
              <w:rPr>
                <w:rFonts w:hint="default"/>
                <w:color w:val="auto"/>
                <w:highlight w:val="none"/>
              </w:rPr>
            </w:pPr>
            <w:r>
              <w:rPr>
                <w:rFonts w:hint="eastAsia"/>
                <w:color w:val="auto"/>
                <w:highlight w:val="none"/>
              </w:rPr>
              <w:t>根据供应商针对本项目制定的质保期</w:t>
            </w:r>
            <w:r>
              <w:rPr>
                <w:rFonts w:hint="eastAsia"/>
                <w:color w:val="auto"/>
                <w:highlight w:val="none"/>
                <w:lang w:eastAsia="zh-CN"/>
              </w:rPr>
              <w:t>售后</w:t>
            </w:r>
            <w:r>
              <w:rPr>
                <w:rFonts w:hint="eastAsia"/>
                <w:color w:val="auto"/>
                <w:highlight w:val="none"/>
              </w:rPr>
              <w:t>服务方案（包含：①服务人员配置</w:t>
            </w:r>
            <w:r>
              <w:rPr>
                <w:rFonts w:hint="eastAsia"/>
                <w:color w:val="auto"/>
                <w:highlight w:val="none"/>
                <w:lang w:eastAsia="zh-CN"/>
              </w:rPr>
              <w:t>及联系方式</w:t>
            </w:r>
            <w:r>
              <w:rPr>
                <w:rFonts w:hint="eastAsia"/>
                <w:color w:val="auto"/>
                <w:highlight w:val="none"/>
              </w:rPr>
              <w:t>②服务流程③定期巡检方案④故障处理方案</w:t>
            </w:r>
            <w:r>
              <w:rPr>
                <w:rFonts w:hint="eastAsia" w:ascii="Times New Roman" w:hAnsi="Times New Roman" w:eastAsia="宋体" w:cs="Times New Roman"/>
                <w:color w:val="auto"/>
                <w:highlight w:val="none"/>
                <w:lang w:val="en-US" w:eastAsia="zh-CN"/>
              </w:rPr>
              <w:t>（包括响应时间、修复时间等内容）</w:t>
            </w:r>
            <w:r>
              <w:rPr>
                <w:rFonts w:hint="eastAsia"/>
                <w:color w:val="auto"/>
                <w:highlight w:val="none"/>
              </w:rPr>
              <w:t>）给予赋分：</w:t>
            </w:r>
          </w:p>
          <w:p w14:paraId="0DD587E1">
            <w:pPr>
              <w:keepNext w:val="0"/>
              <w:keepLines w:val="0"/>
              <w:pageBreakBefore w:val="0"/>
              <w:suppressLineNumbers w:val="0"/>
              <w:kinsoku/>
              <w:wordWrap/>
              <w:overflowPunct/>
              <w:topLinePunct w:val="0"/>
              <w:bidi w:val="0"/>
              <w:spacing w:before="0" w:beforeAutospacing="0" w:after="0" w:afterAutospacing="0" w:line="360" w:lineRule="auto"/>
              <w:ind w:left="0" w:right="0" w:firstLine="420" w:firstLineChars="200"/>
              <w:jc w:val="left"/>
              <w:textAlignment w:val="auto"/>
              <w:rPr>
                <w:rFonts w:hint="default"/>
                <w:color w:val="auto"/>
                <w:highlight w:val="none"/>
              </w:rPr>
            </w:pPr>
            <w:bookmarkStart w:id="315" w:name="_Hlk197977359"/>
            <w:r>
              <w:rPr>
                <w:rFonts w:hint="eastAsia"/>
                <w:color w:val="auto"/>
                <w:highlight w:val="none"/>
              </w:rPr>
              <w:t>满分（</w:t>
            </w:r>
            <w:r>
              <w:rPr>
                <w:rFonts w:hint="eastAsia"/>
                <w:color w:val="auto"/>
                <w:highlight w:val="none"/>
                <w:lang w:val="en-US" w:eastAsia="zh-CN"/>
              </w:rPr>
              <w:t>8</w:t>
            </w:r>
            <w:r>
              <w:rPr>
                <w:rFonts w:hint="eastAsia"/>
                <w:color w:val="auto"/>
                <w:highlight w:val="none"/>
              </w:rPr>
              <w:t>）分。每有一项缺失扣（</w:t>
            </w:r>
            <w:r>
              <w:rPr>
                <w:rFonts w:hint="eastAsia"/>
                <w:color w:val="auto"/>
                <w:highlight w:val="none"/>
                <w:lang w:val="en-US" w:eastAsia="zh-CN"/>
              </w:rPr>
              <w:t>2</w:t>
            </w:r>
            <w:r>
              <w:rPr>
                <w:rFonts w:hint="eastAsia"/>
                <w:color w:val="auto"/>
                <w:highlight w:val="none"/>
              </w:rPr>
              <w:t>）分；每项每有一处存在缺陷扣（</w:t>
            </w:r>
            <w:r>
              <w:rPr>
                <w:rFonts w:hint="eastAsia"/>
                <w:color w:val="auto"/>
                <w:highlight w:val="none"/>
                <w:lang w:val="en-US" w:eastAsia="zh-CN"/>
              </w:rPr>
              <w:t>1</w:t>
            </w:r>
            <w:r>
              <w:rPr>
                <w:rFonts w:hint="eastAsia"/>
                <w:color w:val="auto"/>
                <w:highlight w:val="none"/>
              </w:rPr>
              <w:t>）分，每项缺陷最多扣（</w:t>
            </w:r>
            <w:r>
              <w:rPr>
                <w:rFonts w:hint="eastAsia"/>
                <w:color w:val="auto"/>
                <w:highlight w:val="none"/>
                <w:lang w:val="en-US" w:eastAsia="zh-CN"/>
              </w:rPr>
              <w:t>2</w:t>
            </w:r>
            <w:r>
              <w:rPr>
                <w:rFonts w:hint="eastAsia"/>
                <w:color w:val="auto"/>
                <w:highlight w:val="none"/>
              </w:rPr>
              <w:t>）分。</w:t>
            </w:r>
          </w:p>
          <w:bookmarkEnd w:id="315"/>
          <w:p w14:paraId="51613E6B">
            <w:pPr>
              <w:pStyle w:val="22"/>
              <w:keepNext w:val="0"/>
              <w:keepLines w:val="0"/>
              <w:pageBreakBefore w:val="0"/>
              <w:suppressLineNumbers w:val="0"/>
              <w:kinsoku/>
              <w:wordWrap/>
              <w:overflowPunct/>
              <w:topLinePunct w:val="0"/>
              <w:bidi w:val="0"/>
              <w:spacing w:before="0" w:beforeAutospacing="0" w:after="0" w:afterAutospacing="0" w:line="360" w:lineRule="auto"/>
              <w:ind w:left="0" w:right="0" w:firstLine="420" w:firstLineChars="200"/>
              <w:jc w:val="left"/>
              <w:textAlignment w:val="auto"/>
              <w:rPr>
                <w:rFonts w:hint="default"/>
                <w:color w:val="auto"/>
                <w:sz w:val="21"/>
                <w:szCs w:val="24"/>
                <w:highlight w:val="none"/>
              </w:rPr>
            </w:pPr>
            <w:r>
              <w:rPr>
                <w:rFonts w:hint="eastAsia"/>
                <w:color w:val="auto"/>
                <w:sz w:val="21"/>
                <w:szCs w:val="24"/>
                <w:highlight w:val="none"/>
              </w:rPr>
              <w:t>注：缺陷是指内容与项目无关、逻辑错误、科学原理错误、表述错误、不符合本项目涉及的相关规范或标准要求的任意一种情形。</w:t>
            </w:r>
          </w:p>
        </w:tc>
        <w:tc>
          <w:tcPr>
            <w:tcW w:w="466" w:type="dxa"/>
            <w:noWrap w:val="0"/>
            <w:vAlign w:val="center"/>
          </w:tcPr>
          <w:p w14:paraId="4B532D80">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eastAsia="宋体"/>
                <w:color w:val="auto"/>
                <w:highlight w:val="none"/>
                <w:lang w:eastAsia="zh-CN"/>
              </w:rPr>
            </w:pPr>
            <w:r>
              <w:rPr>
                <w:rFonts w:hint="eastAsia"/>
                <w:color w:val="auto"/>
                <w:highlight w:val="none"/>
                <w:lang w:val="en-US" w:eastAsia="zh-CN"/>
              </w:rPr>
              <w:t>8</w:t>
            </w:r>
          </w:p>
        </w:tc>
        <w:tc>
          <w:tcPr>
            <w:tcW w:w="410" w:type="dxa"/>
            <w:noWrap w:val="0"/>
            <w:vAlign w:val="center"/>
          </w:tcPr>
          <w:p w14:paraId="7460E099">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主观分</w:t>
            </w:r>
          </w:p>
        </w:tc>
      </w:tr>
      <w:tr w14:paraId="3FC2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675" w:type="dxa"/>
            <w:noWrap w:val="0"/>
            <w:vAlign w:val="center"/>
          </w:tcPr>
          <w:p w14:paraId="375AB5E1">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eastAsia="宋体"/>
                <w:color w:val="auto"/>
                <w:highlight w:val="none"/>
                <w:lang w:eastAsia="zh-CN"/>
              </w:rPr>
            </w:pPr>
            <w:r>
              <w:rPr>
                <w:rFonts w:hint="eastAsia"/>
                <w:color w:val="auto"/>
                <w:highlight w:val="none"/>
                <w:lang w:val="en-US" w:eastAsia="zh-CN"/>
              </w:rPr>
              <w:t>7</w:t>
            </w:r>
          </w:p>
        </w:tc>
        <w:tc>
          <w:tcPr>
            <w:tcW w:w="1070" w:type="dxa"/>
            <w:noWrap w:val="0"/>
            <w:vAlign w:val="center"/>
          </w:tcPr>
          <w:p w14:paraId="49E53B01">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服务</w:t>
            </w:r>
          </w:p>
        </w:tc>
        <w:tc>
          <w:tcPr>
            <w:tcW w:w="6701" w:type="dxa"/>
            <w:noWrap w:val="0"/>
            <w:vAlign w:val="center"/>
          </w:tcPr>
          <w:p w14:paraId="217E386D">
            <w:pPr>
              <w:keepNext w:val="0"/>
              <w:keepLines w:val="0"/>
              <w:pageBreakBefore w:val="0"/>
              <w:suppressLineNumbers w:val="0"/>
              <w:kinsoku/>
              <w:wordWrap/>
              <w:overflowPunct/>
              <w:topLinePunct w:val="0"/>
              <w:bidi w:val="0"/>
              <w:spacing w:before="0" w:beforeAutospacing="0" w:after="0" w:afterAutospacing="0" w:line="360" w:lineRule="auto"/>
              <w:ind w:left="0" w:right="0" w:firstLine="220"/>
              <w:jc w:val="left"/>
              <w:textAlignment w:val="auto"/>
              <w:rPr>
                <w:rFonts w:hint="default"/>
                <w:color w:val="auto"/>
                <w:highlight w:val="none"/>
              </w:rPr>
            </w:pPr>
            <w:r>
              <w:rPr>
                <w:rFonts w:hint="eastAsia"/>
                <w:color w:val="auto"/>
                <w:highlight w:val="none"/>
              </w:rPr>
              <w:t>培训方案</w:t>
            </w:r>
          </w:p>
          <w:p w14:paraId="52C3FA2D">
            <w:pPr>
              <w:keepNext w:val="0"/>
              <w:keepLines w:val="0"/>
              <w:pageBreakBefore w:val="0"/>
              <w:suppressLineNumbers w:val="0"/>
              <w:kinsoku/>
              <w:wordWrap/>
              <w:overflowPunct/>
              <w:topLinePunct w:val="0"/>
              <w:bidi w:val="0"/>
              <w:spacing w:before="0" w:beforeAutospacing="0" w:after="0" w:afterAutospacing="0" w:line="360" w:lineRule="auto"/>
              <w:ind w:left="0" w:right="0" w:firstLine="420" w:firstLineChars="200"/>
              <w:jc w:val="left"/>
              <w:textAlignment w:val="auto"/>
              <w:rPr>
                <w:rFonts w:hint="default"/>
                <w:color w:val="auto"/>
                <w:highlight w:val="none"/>
              </w:rPr>
            </w:pPr>
            <w:r>
              <w:rPr>
                <w:rFonts w:hint="eastAsia"/>
                <w:color w:val="auto"/>
                <w:highlight w:val="none"/>
              </w:rPr>
              <w:t>根据供应商针对本项目制定的培训方案（包括</w:t>
            </w:r>
            <w:r>
              <w:rPr>
                <w:rFonts w:hint="default"/>
                <w:color w:val="auto"/>
                <w:highlight w:val="none"/>
              </w:rPr>
              <w:t>培训内容、培训方式、培训计划，培训人数</w:t>
            </w:r>
            <w:r>
              <w:rPr>
                <w:rFonts w:hint="eastAsia"/>
                <w:color w:val="auto"/>
                <w:highlight w:val="none"/>
              </w:rPr>
              <w:t>）</w:t>
            </w:r>
            <w:r>
              <w:rPr>
                <w:rFonts w:hint="default"/>
                <w:color w:val="auto"/>
                <w:highlight w:val="none"/>
              </w:rPr>
              <w:t>进行</w:t>
            </w:r>
            <w:r>
              <w:rPr>
                <w:rFonts w:hint="eastAsia"/>
                <w:color w:val="auto"/>
                <w:highlight w:val="none"/>
              </w:rPr>
              <w:t>综合评价，分为三档：</w:t>
            </w:r>
          </w:p>
          <w:p w14:paraId="35A80E8D">
            <w:pPr>
              <w:keepNext w:val="0"/>
              <w:keepLines w:val="0"/>
              <w:pageBreakBefore w:val="0"/>
              <w:suppressLineNumbers w:val="0"/>
              <w:kinsoku/>
              <w:wordWrap/>
              <w:overflowPunct/>
              <w:topLinePunct w:val="0"/>
              <w:bidi w:val="0"/>
              <w:spacing w:before="0" w:beforeAutospacing="0" w:after="0" w:afterAutospacing="0" w:line="360" w:lineRule="auto"/>
              <w:ind w:left="0" w:right="0" w:firstLine="420" w:firstLineChars="200"/>
              <w:jc w:val="left"/>
              <w:textAlignment w:val="auto"/>
              <w:rPr>
                <w:rFonts w:hint="default"/>
                <w:color w:val="auto"/>
                <w:highlight w:val="none"/>
                <w:lang w:val="en-US"/>
              </w:rPr>
            </w:pPr>
            <w:r>
              <w:rPr>
                <w:rFonts w:hint="eastAsia"/>
                <w:color w:val="auto"/>
                <w:highlight w:val="none"/>
                <w:lang w:val="en-US"/>
              </w:rPr>
              <w:t>第一档：</w:t>
            </w:r>
            <w:r>
              <w:rPr>
                <w:rFonts w:hint="default"/>
                <w:color w:val="auto"/>
                <w:highlight w:val="none"/>
                <w:lang w:val="en-US"/>
              </w:rPr>
              <w:t>培训方案目标明确、方法科学、内容全面、培训时间和人员安排合理</w:t>
            </w:r>
            <w:r>
              <w:rPr>
                <w:rFonts w:hint="eastAsia"/>
                <w:color w:val="auto"/>
                <w:highlight w:val="none"/>
                <w:lang w:val="en-US"/>
              </w:rPr>
              <w:t>，</w:t>
            </w:r>
            <w:r>
              <w:rPr>
                <w:rFonts w:hint="default"/>
                <w:color w:val="auto"/>
                <w:highlight w:val="none"/>
                <w:lang w:val="en-US"/>
              </w:rPr>
              <w:t>得</w:t>
            </w:r>
            <w:r>
              <w:rPr>
                <w:rFonts w:hint="eastAsia"/>
                <w:color w:val="auto"/>
                <w:highlight w:val="none"/>
                <w:lang w:val="en-US"/>
              </w:rPr>
              <w:t>（</w:t>
            </w:r>
            <w:r>
              <w:rPr>
                <w:rFonts w:hint="default"/>
                <w:color w:val="auto"/>
                <w:highlight w:val="none"/>
                <w:lang w:val="en-US"/>
              </w:rPr>
              <w:t>4</w:t>
            </w:r>
            <w:r>
              <w:rPr>
                <w:rFonts w:hint="eastAsia"/>
                <w:color w:val="auto"/>
                <w:highlight w:val="none"/>
                <w:lang w:val="en-US"/>
              </w:rPr>
              <w:t>）</w:t>
            </w:r>
            <w:r>
              <w:rPr>
                <w:rFonts w:hint="default"/>
                <w:color w:val="auto"/>
                <w:highlight w:val="none"/>
                <w:lang w:val="en-US"/>
              </w:rPr>
              <w:t>分</w:t>
            </w:r>
            <w:r>
              <w:rPr>
                <w:rFonts w:hint="eastAsia"/>
                <w:color w:val="auto"/>
                <w:highlight w:val="none"/>
                <w:lang w:val="en-US"/>
              </w:rPr>
              <w:t>；</w:t>
            </w:r>
          </w:p>
          <w:p w14:paraId="75153FEA">
            <w:pPr>
              <w:keepNext w:val="0"/>
              <w:keepLines w:val="0"/>
              <w:pageBreakBefore w:val="0"/>
              <w:suppressLineNumbers w:val="0"/>
              <w:kinsoku/>
              <w:wordWrap/>
              <w:overflowPunct/>
              <w:topLinePunct w:val="0"/>
              <w:bidi w:val="0"/>
              <w:spacing w:before="0" w:beforeAutospacing="0" w:after="0" w:afterAutospacing="0" w:line="360" w:lineRule="auto"/>
              <w:ind w:left="0" w:right="0" w:firstLine="420" w:firstLineChars="200"/>
              <w:jc w:val="left"/>
              <w:textAlignment w:val="auto"/>
              <w:rPr>
                <w:rFonts w:hint="default"/>
                <w:color w:val="auto"/>
                <w:highlight w:val="none"/>
                <w:lang w:val="en-US"/>
              </w:rPr>
            </w:pPr>
            <w:r>
              <w:rPr>
                <w:rFonts w:hint="eastAsia"/>
                <w:color w:val="auto"/>
                <w:highlight w:val="none"/>
                <w:lang w:val="en-US"/>
              </w:rPr>
              <w:t>第二档：</w:t>
            </w:r>
            <w:r>
              <w:rPr>
                <w:rFonts w:hint="default"/>
                <w:color w:val="auto"/>
                <w:highlight w:val="none"/>
                <w:lang w:val="en-US"/>
              </w:rPr>
              <w:t>培训方案目标较为清晰、方法较科学、内容较全面、培训时间和人员安排较为合理</w:t>
            </w:r>
            <w:r>
              <w:rPr>
                <w:rFonts w:hint="eastAsia"/>
                <w:color w:val="auto"/>
                <w:highlight w:val="none"/>
                <w:lang w:val="en-US"/>
              </w:rPr>
              <w:t>，</w:t>
            </w:r>
            <w:r>
              <w:rPr>
                <w:rFonts w:hint="default"/>
                <w:color w:val="auto"/>
                <w:highlight w:val="none"/>
                <w:lang w:val="en-US"/>
              </w:rPr>
              <w:t>得</w:t>
            </w:r>
            <w:r>
              <w:rPr>
                <w:rFonts w:hint="eastAsia"/>
                <w:color w:val="auto"/>
                <w:highlight w:val="none"/>
                <w:lang w:val="en-US"/>
              </w:rPr>
              <w:t>（3）</w:t>
            </w:r>
            <w:r>
              <w:rPr>
                <w:rFonts w:hint="default"/>
                <w:color w:val="auto"/>
                <w:highlight w:val="none"/>
                <w:lang w:val="en-US"/>
              </w:rPr>
              <w:t>分</w:t>
            </w:r>
            <w:r>
              <w:rPr>
                <w:rFonts w:hint="eastAsia"/>
                <w:color w:val="auto"/>
                <w:highlight w:val="none"/>
                <w:lang w:val="en-US"/>
              </w:rPr>
              <w:t>；</w:t>
            </w:r>
          </w:p>
          <w:p w14:paraId="61C74AA8">
            <w:pPr>
              <w:keepNext w:val="0"/>
              <w:keepLines w:val="0"/>
              <w:pageBreakBefore w:val="0"/>
              <w:suppressLineNumbers w:val="0"/>
              <w:tabs>
                <w:tab w:val="left" w:pos="0"/>
              </w:tabs>
              <w:kinsoku/>
              <w:wordWrap/>
              <w:overflowPunct/>
              <w:topLinePunct w:val="0"/>
              <w:bidi w:val="0"/>
              <w:snapToGrid w:val="0"/>
              <w:spacing w:before="0" w:beforeAutospacing="0" w:after="0" w:afterAutospacing="0" w:line="360" w:lineRule="auto"/>
              <w:ind w:left="0" w:right="0" w:firstLine="420" w:firstLineChars="200"/>
              <w:jc w:val="left"/>
              <w:textAlignment w:val="auto"/>
              <w:rPr>
                <w:rFonts w:hint="default"/>
                <w:color w:val="auto"/>
                <w:highlight w:val="none"/>
              </w:rPr>
            </w:pPr>
            <w:r>
              <w:rPr>
                <w:rFonts w:hint="eastAsia"/>
                <w:color w:val="auto"/>
                <w:highlight w:val="none"/>
              </w:rPr>
              <w:t>第三档：</w:t>
            </w:r>
            <w:r>
              <w:rPr>
                <w:rFonts w:hint="default"/>
                <w:color w:val="auto"/>
                <w:highlight w:val="none"/>
              </w:rPr>
              <w:t>培训方案目标不够清晰、方法不够科学、内容不够全面、培训时间和人员安排不够合理，得</w:t>
            </w:r>
            <w:r>
              <w:rPr>
                <w:rFonts w:hint="eastAsia"/>
                <w:color w:val="auto"/>
                <w:highlight w:val="none"/>
              </w:rPr>
              <w:t>（</w:t>
            </w:r>
            <w:r>
              <w:rPr>
                <w:rFonts w:hint="default"/>
                <w:color w:val="auto"/>
                <w:highlight w:val="none"/>
              </w:rPr>
              <w:t>2</w:t>
            </w:r>
            <w:r>
              <w:rPr>
                <w:rFonts w:hint="eastAsia"/>
                <w:color w:val="auto"/>
                <w:highlight w:val="none"/>
              </w:rPr>
              <w:t>）</w:t>
            </w:r>
            <w:r>
              <w:rPr>
                <w:rFonts w:hint="default"/>
                <w:color w:val="auto"/>
                <w:highlight w:val="none"/>
              </w:rPr>
              <w:t>分</w:t>
            </w:r>
            <w:r>
              <w:rPr>
                <w:rFonts w:hint="eastAsia"/>
                <w:color w:val="auto"/>
                <w:highlight w:val="none"/>
              </w:rPr>
              <w:t>；</w:t>
            </w:r>
          </w:p>
          <w:p w14:paraId="31571A3F">
            <w:pPr>
              <w:keepNext w:val="0"/>
              <w:keepLines w:val="0"/>
              <w:pageBreakBefore w:val="0"/>
              <w:suppressLineNumbers w:val="0"/>
              <w:tabs>
                <w:tab w:val="left" w:pos="0"/>
              </w:tabs>
              <w:kinsoku/>
              <w:wordWrap/>
              <w:overflowPunct/>
              <w:topLinePunct w:val="0"/>
              <w:bidi w:val="0"/>
              <w:snapToGrid w:val="0"/>
              <w:spacing w:before="0" w:beforeAutospacing="0" w:after="0" w:afterAutospacing="0" w:line="360" w:lineRule="auto"/>
              <w:ind w:left="0" w:right="0" w:firstLine="420" w:firstLineChars="200"/>
              <w:jc w:val="left"/>
              <w:textAlignment w:val="auto"/>
              <w:rPr>
                <w:rFonts w:hint="default" w:ascii="Calibri" w:hAnsi="Calibri" w:eastAsia="宋体" w:cs="宋体"/>
                <w:color w:val="auto"/>
                <w:highlight w:val="none"/>
                <w:lang w:val="en-US" w:bidi="ar-SA"/>
              </w:rPr>
            </w:pPr>
            <w:r>
              <w:rPr>
                <w:rFonts w:hint="eastAsia"/>
                <w:color w:val="auto"/>
                <w:highlight w:val="none"/>
                <w:lang w:val="en-US"/>
              </w:rPr>
              <w:t>注：未提供不得分。</w:t>
            </w:r>
          </w:p>
        </w:tc>
        <w:tc>
          <w:tcPr>
            <w:tcW w:w="466" w:type="dxa"/>
            <w:noWrap w:val="0"/>
            <w:vAlign w:val="center"/>
          </w:tcPr>
          <w:p w14:paraId="75F4E171">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sz w:val="18"/>
                <w:szCs w:val="18"/>
                <w:highlight w:val="none"/>
              </w:rPr>
              <w:t>4</w:t>
            </w:r>
          </w:p>
        </w:tc>
        <w:tc>
          <w:tcPr>
            <w:tcW w:w="410" w:type="dxa"/>
            <w:noWrap w:val="0"/>
            <w:vAlign w:val="center"/>
          </w:tcPr>
          <w:p w14:paraId="0EBC6BD4">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default"/>
                <w:color w:val="auto"/>
                <w:highlight w:val="none"/>
              </w:rPr>
            </w:pPr>
            <w:r>
              <w:rPr>
                <w:rFonts w:hint="eastAsia"/>
                <w:color w:val="auto"/>
                <w:highlight w:val="none"/>
              </w:rPr>
              <w:t>主观分</w:t>
            </w:r>
          </w:p>
        </w:tc>
      </w:tr>
    </w:tbl>
    <w:p w14:paraId="77C94384">
      <w:pPr>
        <w:pStyle w:val="22"/>
        <w:rPr>
          <w:color w:val="auto"/>
        </w:rPr>
      </w:pPr>
    </w:p>
    <w:bookmarkEnd w:id="313"/>
    <w:bookmarkEnd w:id="314"/>
    <w:p w14:paraId="4DDA3037">
      <w:pPr>
        <w:pageBreakBefore w:val="0"/>
        <w:kinsoku/>
        <w:overflowPunct/>
        <w:topLinePunct w:val="0"/>
        <w:bidi w:val="0"/>
        <w:spacing w:line="360" w:lineRule="auto"/>
        <w:ind w:left="0" w:leftChars="0" w:firstLine="0" w:firstLineChars="0"/>
        <w:jc w:val="center"/>
        <w:textAlignment w:val="auto"/>
        <w:outlineLvl w:val="0"/>
        <w:rPr>
          <w:rFonts w:hint="eastAsia" w:hAnsi="宋体"/>
          <w:color w:val="auto"/>
          <w:sz w:val="24"/>
        </w:rPr>
      </w:pPr>
      <w:r>
        <w:rPr>
          <w:rFonts w:ascii="宋体" w:hAnsi="宋体"/>
          <w:color w:val="auto"/>
          <w:sz w:val="24"/>
        </w:rPr>
        <w:br w:type="page"/>
      </w:r>
      <w:bookmarkStart w:id="316" w:name="_Toc10756"/>
      <w:r>
        <w:rPr>
          <w:rFonts w:hint="eastAsia" w:ascii="宋体" w:hAnsi="宋体"/>
          <w:b/>
          <w:color w:val="auto"/>
          <w:sz w:val="32"/>
        </w:rPr>
        <w:t xml:space="preserve">第五章  </w:t>
      </w:r>
      <w:r>
        <w:rPr>
          <w:rFonts w:ascii="宋体" w:hAnsi="宋体"/>
          <w:b/>
          <w:color w:val="auto"/>
          <w:sz w:val="32"/>
        </w:rPr>
        <w:t>服务</w:t>
      </w:r>
      <w:r>
        <w:rPr>
          <w:rFonts w:hint="eastAsia" w:ascii="宋体" w:hAnsi="宋体"/>
          <w:b/>
          <w:color w:val="auto"/>
          <w:sz w:val="32"/>
        </w:rPr>
        <w:t>及</w:t>
      </w:r>
      <w:r>
        <w:rPr>
          <w:rFonts w:ascii="宋体" w:hAnsi="宋体"/>
          <w:b/>
          <w:color w:val="auto"/>
          <w:sz w:val="32"/>
        </w:rPr>
        <w:t>伴随</w:t>
      </w:r>
      <w:r>
        <w:rPr>
          <w:rFonts w:hint="eastAsia" w:ascii="宋体" w:hAnsi="宋体"/>
          <w:b/>
          <w:color w:val="auto"/>
          <w:sz w:val="32"/>
        </w:rPr>
        <w:t>货物需求</w:t>
      </w:r>
      <w:bookmarkEnd w:id="316"/>
    </w:p>
    <w:p w14:paraId="378EB09B">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rPr>
      </w:pPr>
    </w:p>
    <w:p w14:paraId="392DE648">
      <w:pPr>
        <w:pageBreakBefore w:val="0"/>
        <w:numPr>
          <w:ilvl w:val="0"/>
          <w:numId w:val="3"/>
        </w:numPr>
        <w:kinsoku/>
        <w:overflowPunct/>
        <w:topLinePunct w:val="0"/>
        <w:bidi w:val="0"/>
        <w:snapToGrid w:val="0"/>
        <w:spacing w:line="360" w:lineRule="auto"/>
        <w:ind w:left="0" w:leftChars="0" w:firstLine="0" w:firstLineChars="0"/>
        <w:jc w:val="left"/>
        <w:textAlignment w:val="auto"/>
        <w:outlineLvl w:val="1"/>
        <w:rPr>
          <w:rFonts w:hint="eastAsia" w:ascii="宋体" w:hAnsi="宋体"/>
          <w:b/>
          <w:bCs/>
          <w:color w:val="auto"/>
          <w:kern w:val="0"/>
          <w:sz w:val="24"/>
        </w:rPr>
      </w:pPr>
      <w:bookmarkStart w:id="317" w:name="_Toc28215"/>
      <w:r>
        <w:rPr>
          <w:rFonts w:hint="eastAsia" w:ascii="宋体" w:hAnsi="宋体"/>
          <w:b/>
          <w:bCs/>
          <w:color w:val="auto"/>
          <w:kern w:val="0"/>
          <w:sz w:val="24"/>
        </w:rPr>
        <w:t>项目概况</w:t>
      </w:r>
      <w:bookmarkEnd w:id="317"/>
    </w:p>
    <w:p w14:paraId="1EC3B163">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项目名称：</w:t>
      </w:r>
      <w:r>
        <w:rPr>
          <w:rFonts w:hint="eastAsia" w:ascii="宋体" w:hAnsi="宋体" w:cs="宋体"/>
          <w:color w:val="auto"/>
          <w:sz w:val="24"/>
          <w:szCs w:val="24"/>
          <w:lang w:eastAsia="zh-CN"/>
        </w:rPr>
        <w:t>柳林县中医院(新院区)信息化建设项目</w:t>
      </w:r>
    </w:p>
    <w:p w14:paraId="3902F75D">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项目编号：</w:t>
      </w:r>
      <w:r>
        <w:rPr>
          <w:rFonts w:hint="eastAsia" w:ascii="宋体" w:hAnsi="宋体" w:cs="宋体"/>
          <w:color w:val="auto"/>
          <w:sz w:val="24"/>
          <w:szCs w:val="24"/>
          <w:lang w:eastAsia="zh-CN"/>
        </w:rPr>
        <w:t>1411252025CGK00170</w:t>
      </w:r>
    </w:p>
    <w:p w14:paraId="4ADD409B">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采购方式：公开招标</w:t>
      </w:r>
    </w:p>
    <w:p w14:paraId="5F385625">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预算金额：</w:t>
      </w:r>
      <w:r>
        <w:rPr>
          <w:rFonts w:hint="default" w:ascii="宋体" w:hAnsi="宋体" w:cs="宋体"/>
          <w:color w:val="auto"/>
          <w:sz w:val="24"/>
          <w:szCs w:val="24"/>
          <w:highlight w:val="none"/>
          <w:lang w:eastAsia="zh-CN"/>
        </w:rPr>
        <w:t>8408100</w:t>
      </w:r>
      <w:r>
        <w:rPr>
          <w:rFonts w:hint="eastAsia" w:ascii="宋体" w:hAnsi="宋体" w:eastAsia="宋体" w:cs="宋体"/>
          <w:color w:val="auto"/>
          <w:sz w:val="24"/>
          <w:szCs w:val="24"/>
          <w:highlight w:val="none"/>
        </w:rPr>
        <w:t>元</w:t>
      </w:r>
    </w:p>
    <w:p w14:paraId="16B8EA35">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最高限价：</w:t>
      </w:r>
      <w:r>
        <w:rPr>
          <w:rFonts w:hint="eastAsia" w:ascii="宋体" w:hAnsi="宋体" w:cs="宋体"/>
          <w:color w:val="auto"/>
          <w:sz w:val="24"/>
          <w:szCs w:val="24"/>
          <w:highlight w:val="none"/>
          <w:lang w:eastAsia="zh-CN"/>
        </w:rPr>
        <w:t>6884604.97元</w:t>
      </w:r>
    </w:p>
    <w:p w14:paraId="555F57F8">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采购需求：</w:t>
      </w:r>
    </w:p>
    <w:p w14:paraId="5997B93A">
      <w:pPr>
        <w:pageBreakBefore w:val="0"/>
        <w:kinsoku/>
        <w:overflowPunct/>
        <w:topLinePunct w:val="0"/>
        <w:bidi w:val="0"/>
        <w:spacing w:line="360" w:lineRule="auto"/>
        <w:ind w:left="0" w:leftChars="0" w:firstLine="0" w:firstLineChars="0"/>
        <w:jc w:val="left"/>
        <w:textAlignment w:val="auto"/>
        <w:rPr>
          <w:rFonts w:hint="default" w:ascii="宋体" w:hAnsi="宋体" w:eastAsia="宋体" w:cs="宋体"/>
          <w:color w:val="auto"/>
          <w:sz w:val="24"/>
          <w:szCs w:val="24"/>
          <w:lang w:eastAsia="zh-CN"/>
        </w:rPr>
      </w:pPr>
      <w:r>
        <w:rPr>
          <w:rFonts w:hint="default" w:ascii="宋体" w:hAnsi="宋体" w:cs="宋体"/>
          <w:color w:val="auto"/>
          <w:sz w:val="24"/>
          <w:szCs w:val="24"/>
          <w:lang w:eastAsia="zh-CN"/>
        </w:rPr>
        <w:t>建设内容包括：医疗信息系统建设、数据中心建设，安全体系建设、机房工程。</w:t>
      </w:r>
    </w:p>
    <w:p w14:paraId="3653D870">
      <w:pPr>
        <w:pageBreakBefore w:val="0"/>
        <w:kinsoku/>
        <w:overflowPunct/>
        <w:topLinePunct w:val="0"/>
        <w:bidi w:val="0"/>
        <w:spacing w:line="360" w:lineRule="auto"/>
        <w:ind w:left="0" w:leftChars="0" w:firstLine="0" w:firstLineChars="0"/>
        <w:jc w:val="left"/>
        <w:textAlignment w:val="auto"/>
        <w:rPr>
          <w:rFonts w:hint="default" w:ascii="宋体" w:hAnsi="宋体" w:eastAsia="宋体" w:cs="宋体"/>
          <w:color w:val="auto"/>
          <w:sz w:val="24"/>
          <w:szCs w:val="24"/>
          <w:lang w:eastAsia="zh-CN"/>
        </w:rPr>
      </w:pPr>
      <w:r>
        <w:rPr>
          <w:rFonts w:hint="default" w:ascii="宋体" w:hAnsi="宋体" w:cs="宋体"/>
          <w:color w:val="auto"/>
          <w:sz w:val="24"/>
          <w:szCs w:val="24"/>
          <w:lang w:eastAsia="zh-CN"/>
        </w:rPr>
        <w:t>建设规模</w:t>
      </w:r>
      <w:r>
        <w:rPr>
          <w:rFonts w:hint="eastAsia" w:ascii="宋体" w:hAnsi="宋体" w:cs="宋体"/>
          <w:color w:val="auto"/>
          <w:sz w:val="24"/>
          <w:szCs w:val="24"/>
          <w:lang w:eastAsia="zh-CN"/>
        </w:rPr>
        <w:t>：</w:t>
      </w:r>
      <w:r>
        <w:rPr>
          <w:rFonts w:hint="default" w:ascii="宋体" w:hAnsi="宋体" w:cs="宋体"/>
          <w:color w:val="auto"/>
          <w:sz w:val="24"/>
          <w:szCs w:val="24"/>
          <w:lang w:eastAsia="zh-CN"/>
        </w:rPr>
        <w:t>医疗信息系统136个模块，数据中心18台硬件设备，等保安全二级建设，配套终端124台设备，</w:t>
      </w:r>
      <w:r>
        <w:rPr>
          <w:rFonts w:hint="eastAsia" w:ascii="宋体" w:hAnsi="宋体" w:cs="宋体"/>
          <w:color w:val="auto"/>
          <w:sz w:val="24"/>
          <w:szCs w:val="24"/>
          <w:lang w:eastAsia="zh-CN"/>
        </w:rPr>
        <w:t>机房工程建设（</w:t>
      </w:r>
      <w:r>
        <w:rPr>
          <w:rFonts w:hint="default" w:ascii="宋体" w:hAnsi="宋体" w:cs="宋体"/>
          <w:color w:val="auto"/>
          <w:sz w:val="24"/>
          <w:szCs w:val="24"/>
          <w:lang w:eastAsia="zh-CN"/>
        </w:rPr>
        <w:t>2台机柜，精密空调1台，消防系统1套，动环系统1套</w:t>
      </w:r>
      <w:r>
        <w:rPr>
          <w:rFonts w:hint="eastAsia" w:ascii="宋体" w:hAnsi="宋体" w:cs="宋体"/>
          <w:color w:val="auto"/>
          <w:sz w:val="24"/>
          <w:szCs w:val="24"/>
          <w:lang w:eastAsia="zh-CN"/>
        </w:rPr>
        <w:t>）</w:t>
      </w:r>
      <w:r>
        <w:rPr>
          <w:rFonts w:hint="default" w:ascii="宋体" w:hAnsi="宋体" w:cs="宋体"/>
          <w:color w:val="auto"/>
          <w:sz w:val="24"/>
          <w:szCs w:val="24"/>
          <w:lang w:eastAsia="zh-CN"/>
        </w:rPr>
        <w:t>。</w:t>
      </w:r>
    </w:p>
    <w:p w14:paraId="5CB9733E">
      <w:pPr>
        <w:pageBreakBefore w:val="0"/>
        <w:kinsoku/>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服务周期</w:t>
      </w:r>
      <w:r>
        <w:rPr>
          <w:rFonts w:hint="eastAsia" w:ascii="宋体" w:hAnsi="宋体" w:eastAsia="宋体" w:cs="宋体"/>
          <w:color w:val="auto"/>
          <w:sz w:val="24"/>
          <w:szCs w:val="24"/>
          <w:highlight w:val="none"/>
        </w:rPr>
        <w:t>：</w:t>
      </w:r>
      <w:r>
        <w:rPr>
          <w:rFonts w:hint="eastAsia" w:ascii="宋体" w:hAnsi="宋体" w:cs="宋体"/>
          <w:color w:val="auto"/>
          <w:sz w:val="24"/>
          <w:szCs w:val="24"/>
          <w:lang w:eastAsia="zh-CN"/>
        </w:rPr>
        <w:t>3个月内完成</w:t>
      </w:r>
      <w:r>
        <w:rPr>
          <w:rFonts w:hint="eastAsia" w:ascii="宋体" w:hAnsi="宋体" w:eastAsia="宋体" w:cs="宋体"/>
          <w:color w:val="auto"/>
          <w:sz w:val="24"/>
          <w:szCs w:val="24"/>
        </w:rPr>
        <w:t>；</w:t>
      </w:r>
    </w:p>
    <w:p w14:paraId="329764CF">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8.建设地点：</w:t>
      </w:r>
      <w:r>
        <w:rPr>
          <w:rFonts w:hint="eastAsia" w:ascii="宋体" w:hAnsi="宋体" w:eastAsia="宋体" w:cs="宋体"/>
          <w:color w:val="auto"/>
          <w:sz w:val="24"/>
          <w:szCs w:val="24"/>
          <w:highlight w:val="none"/>
          <w:u w:val="none"/>
          <w:lang w:val="en-US" w:eastAsia="zh-CN"/>
        </w:rPr>
        <w:t>山西省吕梁市柳林县清河西路146号</w:t>
      </w:r>
    </w:p>
    <w:p w14:paraId="022CBF04">
      <w:pPr>
        <w:pStyle w:val="93"/>
        <w:pageBreakBefore w:val="0"/>
        <w:kinsoku/>
        <w:overflowPunct/>
        <w:topLinePunct w:val="0"/>
        <w:bidi w:val="0"/>
        <w:snapToGrid w:val="0"/>
        <w:spacing w:line="360" w:lineRule="auto"/>
        <w:ind w:left="0" w:leftChars="0" w:firstLine="482" w:firstLineChars="200"/>
        <w:textAlignment w:val="auto"/>
        <w:rPr>
          <w:rFonts w:hint="eastAsia" w:ascii="宋体" w:hAnsi="宋体" w:eastAsia="宋体" w:cs="宋体"/>
          <w:b/>
          <w:bCs/>
          <w:color w:val="auto"/>
          <w:kern w:val="0"/>
          <w:sz w:val="24"/>
          <w:szCs w:val="24"/>
        </w:rPr>
      </w:pPr>
    </w:p>
    <w:p w14:paraId="17D4211C">
      <w:pPr>
        <w:pageBreakBefore w:val="0"/>
        <w:kinsoku/>
        <w:overflowPunct/>
        <w:topLinePunct w:val="0"/>
        <w:bidi w:val="0"/>
        <w:snapToGrid w:val="0"/>
        <w:spacing w:line="360" w:lineRule="auto"/>
        <w:ind w:left="0" w:leftChars="0" w:firstLine="0" w:firstLineChars="0"/>
        <w:textAlignment w:val="auto"/>
        <w:outlineLvl w:val="1"/>
        <w:rPr>
          <w:rFonts w:hint="eastAsia" w:ascii="宋体" w:hAnsi="宋体"/>
          <w:b/>
          <w:bCs/>
          <w:color w:val="auto"/>
          <w:kern w:val="0"/>
          <w:sz w:val="24"/>
        </w:rPr>
      </w:pPr>
      <w:bookmarkStart w:id="318" w:name="_Toc9307"/>
      <w:r>
        <w:rPr>
          <w:rFonts w:hint="eastAsia" w:ascii="宋体" w:hAnsi="宋体"/>
          <w:b/>
          <w:bCs/>
          <w:color w:val="auto"/>
          <w:kern w:val="0"/>
          <w:sz w:val="24"/>
        </w:rPr>
        <w:t>二、采购内容</w:t>
      </w:r>
      <w:bookmarkEnd w:id="318"/>
    </w:p>
    <w:p w14:paraId="6B414A33">
      <w:pPr>
        <w:pageBreakBefore w:val="0"/>
        <w:kinsoku/>
        <w:overflowPunct/>
        <w:topLinePunct w:val="0"/>
        <w:bidi w:val="0"/>
        <w:snapToGrid w:val="0"/>
        <w:spacing w:line="360" w:lineRule="auto"/>
        <w:ind w:left="0" w:leftChars="0" w:firstLine="0" w:firstLineChars="0"/>
        <w:jc w:val="left"/>
        <w:textAlignment w:val="auto"/>
        <w:outlineLvl w:val="2"/>
        <w:rPr>
          <w:rFonts w:hint="eastAsia" w:ascii="宋体" w:hAnsi="宋体" w:eastAsia="宋体"/>
          <w:b w:val="0"/>
          <w:bCs w:val="0"/>
          <w:color w:val="auto"/>
          <w:kern w:val="0"/>
          <w:sz w:val="24"/>
          <w:lang w:eastAsia="zh-CN"/>
        </w:rPr>
      </w:pPr>
      <w:bookmarkStart w:id="319" w:name="_Toc175844124"/>
      <w:bookmarkStart w:id="320" w:name="_Toc4330"/>
      <w:r>
        <w:rPr>
          <w:rFonts w:hint="eastAsia" w:ascii="宋体" w:hAnsi="宋体"/>
          <w:b w:val="0"/>
          <w:bCs w:val="0"/>
          <w:color w:val="auto"/>
          <w:kern w:val="0"/>
          <w:sz w:val="24"/>
        </w:rPr>
        <w:t>（一）</w:t>
      </w:r>
      <w:r>
        <w:rPr>
          <w:rFonts w:hint="eastAsia" w:ascii="宋体" w:hAnsi="宋体"/>
          <w:b w:val="0"/>
          <w:bCs w:val="0"/>
          <w:color w:val="auto"/>
          <w:kern w:val="0"/>
          <w:sz w:val="24"/>
          <w:lang w:eastAsia="zh-CN"/>
        </w:rPr>
        <w:t>柳林县中医院</w:t>
      </w:r>
      <w:r>
        <w:rPr>
          <w:rFonts w:hint="eastAsia" w:ascii="宋体" w:hAnsi="宋体"/>
          <w:b w:val="0"/>
          <w:bCs w:val="0"/>
          <w:color w:val="auto"/>
          <w:kern w:val="0"/>
          <w:sz w:val="24"/>
          <w:lang w:val="en-US" w:eastAsia="zh-CN"/>
        </w:rPr>
        <w:t>服务</w:t>
      </w:r>
      <w:r>
        <w:rPr>
          <w:rFonts w:hint="eastAsia" w:ascii="宋体" w:hAnsi="宋体"/>
          <w:b w:val="0"/>
          <w:bCs w:val="0"/>
          <w:color w:val="auto"/>
          <w:kern w:val="0"/>
          <w:sz w:val="24"/>
        </w:rPr>
        <w:t>项目采购清单</w:t>
      </w:r>
      <w:bookmarkEnd w:id="319"/>
      <w:bookmarkEnd w:id="320"/>
      <w:r>
        <w:rPr>
          <w:rFonts w:hint="eastAsia" w:ascii="宋体" w:hAnsi="宋体"/>
          <w:b w:val="0"/>
          <w:bCs w:val="0"/>
          <w:color w:val="auto"/>
          <w:kern w:val="0"/>
          <w:sz w:val="24"/>
          <w:lang w:eastAsia="zh-CN"/>
        </w:rPr>
        <w:t>（见附件</w:t>
      </w:r>
      <w:r>
        <w:rPr>
          <w:rFonts w:hint="eastAsia" w:ascii="宋体" w:hAnsi="宋体"/>
          <w:b w:val="0"/>
          <w:bCs w:val="0"/>
          <w:color w:val="auto"/>
          <w:kern w:val="0"/>
          <w:sz w:val="24"/>
          <w:lang w:val="en-US" w:eastAsia="zh-CN"/>
        </w:rPr>
        <w:t>1</w:t>
      </w:r>
      <w:r>
        <w:rPr>
          <w:rFonts w:hint="eastAsia" w:ascii="宋体" w:hAnsi="宋体"/>
          <w:b w:val="0"/>
          <w:bCs w:val="0"/>
          <w:color w:val="auto"/>
          <w:kern w:val="0"/>
          <w:sz w:val="24"/>
          <w:lang w:eastAsia="zh-CN"/>
        </w:rPr>
        <w:t>）</w:t>
      </w:r>
    </w:p>
    <w:p w14:paraId="4487D2A0">
      <w:pPr>
        <w:pageBreakBefore w:val="0"/>
        <w:kinsoku/>
        <w:overflowPunct/>
        <w:topLinePunct w:val="0"/>
        <w:bidi w:val="0"/>
        <w:snapToGrid w:val="0"/>
        <w:spacing w:line="360" w:lineRule="auto"/>
        <w:ind w:left="0" w:leftChars="0" w:firstLine="0" w:firstLineChars="0"/>
        <w:jc w:val="left"/>
        <w:textAlignment w:val="auto"/>
        <w:outlineLvl w:val="2"/>
        <w:rPr>
          <w:rFonts w:ascii="宋体" w:hAnsi="宋体"/>
          <w:b w:val="0"/>
          <w:bCs w:val="0"/>
          <w:color w:val="auto"/>
          <w:kern w:val="0"/>
          <w:sz w:val="24"/>
        </w:rPr>
      </w:pPr>
      <w:bookmarkStart w:id="321" w:name="_Toc175844125"/>
      <w:bookmarkStart w:id="322" w:name="_Toc6331"/>
      <w:r>
        <w:rPr>
          <w:rFonts w:hint="eastAsia" w:ascii="宋体" w:hAnsi="宋体"/>
          <w:b w:val="0"/>
          <w:bCs w:val="0"/>
          <w:color w:val="auto"/>
          <w:kern w:val="0"/>
          <w:sz w:val="24"/>
        </w:rPr>
        <w:t>（二）</w:t>
      </w:r>
      <w:r>
        <w:rPr>
          <w:rFonts w:hint="eastAsia" w:ascii="宋体" w:hAnsi="宋体"/>
          <w:b w:val="0"/>
          <w:bCs w:val="0"/>
          <w:color w:val="auto"/>
          <w:kern w:val="0"/>
          <w:sz w:val="24"/>
          <w:lang w:eastAsia="zh-CN"/>
        </w:rPr>
        <w:t>柳林县中医院</w:t>
      </w:r>
      <w:r>
        <w:rPr>
          <w:rFonts w:hint="eastAsia" w:ascii="宋体" w:hAnsi="宋体"/>
          <w:b w:val="0"/>
          <w:bCs w:val="0"/>
          <w:color w:val="auto"/>
          <w:kern w:val="0"/>
          <w:sz w:val="24"/>
          <w:lang w:val="en-US" w:eastAsia="zh-CN"/>
        </w:rPr>
        <w:t>伴随</w:t>
      </w:r>
      <w:r>
        <w:rPr>
          <w:rFonts w:hint="eastAsia" w:ascii="宋体" w:hAnsi="宋体"/>
          <w:b w:val="0"/>
          <w:bCs w:val="0"/>
          <w:color w:val="auto"/>
          <w:kern w:val="0"/>
          <w:sz w:val="24"/>
        </w:rPr>
        <w:t>货物采购清单</w:t>
      </w:r>
      <w:bookmarkEnd w:id="321"/>
      <w:bookmarkEnd w:id="322"/>
      <w:r>
        <w:rPr>
          <w:rFonts w:hint="eastAsia" w:ascii="宋体" w:hAnsi="宋体"/>
          <w:b w:val="0"/>
          <w:bCs w:val="0"/>
          <w:color w:val="auto"/>
          <w:kern w:val="0"/>
          <w:sz w:val="24"/>
          <w:lang w:eastAsia="zh-CN"/>
        </w:rPr>
        <w:t>（见附件</w:t>
      </w:r>
      <w:r>
        <w:rPr>
          <w:rFonts w:hint="eastAsia" w:ascii="宋体" w:hAnsi="宋体"/>
          <w:b w:val="0"/>
          <w:bCs w:val="0"/>
          <w:color w:val="auto"/>
          <w:kern w:val="0"/>
          <w:sz w:val="24"/>
          <w:lang w:val="en-US" w:eastAsia="zh-CN"/>
        </w:rPr>
        <w:t>2</w:t>
      </w:r>
      <w:r>
        <w:rPr>
          <w:rFonts w:hint="eastAsia" w:ascii="宋体" w:hAnsi="宋体"/>
          <w:b w:val="0"/>
          <w:bCs w:val="0"/>
          <w:color w:val="auto"/>
          <w:kern w:val="0"/>
          <w:sz w:val="24"/>
          <w:lang w:eastAsia="zh-CN"/>
        </w:rPr>
        <w:t>）</w:t>
      </w:r>
    </w:p>
    <w:p w14:paraId="42B0CA5C">
      <w:pPr>
        <w:pageBreakBefore w:val="0"/>
        <w:kinsoku/>
        <w:overflowPunct/>
        <w:topLinePunct w:val="0"/>
        <w:bidi w:val="0"/>
        <w:snapToGrid w:val="0"/>
        <w:spacing w:line="360" w:lineRule="auto"/>
        <w:ind w:left="0" w:leftChars="0" w:firstLine="0" w:firstLineChars="0"/>
        <w:jc w:val="left"/>
        <w:textAlignment w:val="auto"/>
        <w:outlineLvl w:val="1"/>
        <w:rPr>
          <w:rFonts w:hint="eastAsia" w:ascii="宋体" w:hAnsi="宋体" w:eastAsia="宋体"/>
          <w:b/>
          <w:bCs/>
          <w:color w:val="auto"/>
          <w:kern w:val="0"/>
          <w:sz w:val="28"/>
          <w:szCs w:val="28"/>
          <w:highlight w:val="none"/>
          <w:lang w:eastAsia="zh-CN"/>
        </w:rPr>
      </w:pPr>
      <w:bookmarkStart w:id="323" w:name="_Toc27010"/>
      <w:r>
        <w:rPr>
          <w:rFonts w:hint="eastAsia" w:ascii="宋体" w:hAnsi="宋体"/>
          <w:b/>
          <w:bCs/>
          <w:color w:val="auto"/>
          <w:kern w:val="0"/>
          <w:sz w:val="28"/>
          <w:szCs w:val="28"/>
          <w:highlight w:val="none"/>
        </w:rPr>
        <w:t>三、</w:t>
      </w:r>
      <w:bookmarkEnd w:id="323"/>
      <w:r>
        <w:rPr>
          <w:rFonts w:hint="eastAsia" w:ascii="宋体" w:hAnsi="宋体"/>
          <w:b/>
          <w:bCs/>
          <w:color w:val="auto"/>
          <w:kern w:val="0"/>
          <w:sz w:val="28"/>
          <w:szCs w:val="28"/>
          <w:highlight w:val="none"/>
          <w:lang w:val="en-US" w:eastAsia="zh-CN"/>
        </w:rPr>
        <w:t>服务周期</w:t>
      </w:r>
    </w:p>
    <w:p w14:paraId="627194FB">
      <w:pPr>
        <w:pageBreakBefore w:val="0"/>
        <w:kinsoku/>
        <w:overflowPunct/>
        <w:topLinePunct w:val="0"/>
        <w:bidi w:val="0"/>
        <w:snapToGrid w:val="0"/>
        <w:spacing w:line="360" w:lineRule="auto"/>
        <w:ind w:left="0" w:leftChars="0" w:firstLine="560" w:firstLineChars="200"/>
        <w:jc w:val="left"/>
        <w:textAlignment w:val="auto"/>
        <w:rPr>
          <w:rFonts w:hint="eastAsia" w:ascii="宋体" w:hAnsi="宋体"/>
          <w:color w:val="auto"/>
          <w:kern w:val="0"/>
          <w:sz w:val="28"/>
          <w:szCs w:val="28"/>
        </w:rPr>
      </w:pPr>
      <w:r>
        <w:rPr>
          <w:rFonts w:hint="eastAsia" w:ascii="宋体" w:hAnsi="宋体"/>
          <w:color w:val="auto"/>
          <w:kern w:val="0"/>
          <w:sz w:val="28"/>
          <w:szCs w:val="28"/>
          <w:lang w:eastAsia="zh-CN"/>
        </w:rPr>
        <w:t>3个月内完成项目的系统集成直至验收</w:t>
      </w:r>
      <w:r>
        <w:rPr>
          <w:rFonts w:hint="eastAsia" w:ascii="宋体" w:hAnsi="宋体"/>
          <w:color w:val="auto"/>
          <w:kern w:val="0"/>
          <w:sz w:val="28"/>
          <w:szCs w:val="28"/>
        </w:rPr>
        <w:t>；</w:t>
      </w:r>
      <w:r>
        <w:rPr>
          <w:rFonts w:hint="eastAsia" w:ascii="宋体" w:hAnsi="宋体"/>
          <w:color w:val="auto"/>
          <w:kern w:val="0"/>
          <w:sz w:val="28"/>
          <w:szCs w:val="28"/>
          <w:lang w:eastAsia="zh-CN"/>
        </w:rPr>
        <w:t>伴随设备质保期三年，软件产品免费维保期三年。</w:t>
      </w:r>
    </w:p>
    <w:p w14:paraId="2A582589">
      <w:pPr>
        <w:pageBreakBefore w:val="0"/>
        <w:kinsoku/>
        <w:overflowPunct/>
        <w:topLinePunct w:val="0"/>
        <w:bidi w:val="0"/>
        <w:snapToGrid w:val="0"/>
        <w:spacing w:line="360" w:lineRule="auto"/>
        <w:ind w:left="0" w:leftChars="0" w:firstLine="0" w:firstLineChars="0"/>
        <w:jc w:val="left"/>
        <w:textAlignment w:val="auto"/>
        <w:outlineLvl w:val="1"/>
        <w:rPr>
          <w:rFonts w:hint="eastAsia" w:ascii="宋体" w:hAnsi="宋体" w:cs="宋体"/>
          <w:b/>
          <w:bCs/>
          <w:color w:val="auto"/>
          <w:kern w:val="0"/>
          <w:sz w:val="28"/>
          <w:szCs w:val="28"/>
        </w:rPr>
      </w:pPr>
      <w:bookmarkStart w:id="324" w:name="_Toc3179"/>
      <w:r>
        <w:rPr>
          <w:rFonts w:hint="eastAsia" w:ascii="宋体" w:hAnsi="宋体"/>
          <w:b/>
          <w:bCs/>
          <w:color w:val="auto"/>
          <w:kern w:val="0"/>
          <w:sz w:val="28"/>
          <w:szCs w:val="28"/>
        </w:rPr>
        <w:t>四、</w:t>
      </w:r>
      <w:r>
        <w:rPr>
          <w:rFonts w:hint="eastAsia" w:ascii="宋体" w:hAnsi="宋体" w:cs="宋体"/>
          <w:b/>
          <w:bCs/>
          <w:color w:val="auto"/>
          <w:kern w:val="0"/>
          <w:sz w:val="28"/>
          <w:szCs w:val="28"/>
        </w:rPr>
        <w:t>合同付款条件</w:t>
      </w:r>
      <w:bookmarkEnd w:id="324"/>
    </w:p>
    <w:p w14:paraId="33908E99">
      <w:pPr>
        <w:pageBreakBefore w:val="0"/>
        <w:kinsoku/>
        <w:overflowPunct/>
        <w:topLinePunct w:val="0"/>
        <w:bidi w:val="0"/>
        <w:snapToGrid w:val="0"/>
        <w:spacing w:line="360" w:lineRule="auto"/>
        <w:ind w:left="0" w:leftChars="0" w:firstLine="560" w:firstLineChars="200"/>
        <w:jc w:val="left"/>
        <w:textAlignment w:val="auto"/>
        <w:rPr>
          <w:rFonts w:hint="eastAsia" w:ascii="宋体" w:hAnsi="宋体" w:eastAsia="宋体" w:cs="Times New Roman"/>
          <w:color w:val="auto"/>
          <w:kern w:val="0"/>
          <w:sz w:val="28"/>
          <w:szCs w:val="28"/>
          <w:lang w:val="en-US" w:eastAsia="zh-CN"/>
        </w:rPr>
      </w:pPr>
      <w:bookmarkStart w:id="325" w:name="_Toc32609"/>
      <w:bookmarkStart w:id="326" w:name="_Toc9255"/>
      <w:r>
        <w:rPr>
          <w:rFonts w:hint="default" w:ascii="宋体" w:hAnsi="宋体" w:eastAsia="宋体" w:cs="Times New Roman"/>
          <w:color w:val="auto"/>
          <w:kern w:val="0"/>
          <w:sz w:val="28"/>
          <w:szCs w:val="28"/>
          <w:lang w:val="en-US" w:eastAsia="zh-CN"/>
        </w:rPr>
        <w:t>签订合同后预付</w:t>
      </w:r>
      <w:r>
        <w:rPr>
          <w:rFonts w:hint="eastAsia" w:ascii="宋体" w:hAnsi="宋体" w:eastAsia="宋体" w:cs="Times New Roman"/>
          <w:color w:val="auto"/>
          <w:kern w:val="0"/>
          <w:sz w:val="28"/>
          <w:szCs w:val="28"/>
          <w:lang w:val="en-US" w:eastAsia="zh-CN"/>
        </w:rPr>
        <w:t>3</w:t>
      </w:r>
      <w:r>
        <w:rPr>
          <w:rFonts w:hint="default" w:ascii="宋体" w:hAnsi="宋体" w:eastAsia="宋体" w:cs="Times New Roman"/>
          <w:color w:val="auto"/>
          <w:kern w:val="0"/>
          <w:sz w:val="28"/>
          <w:szCs w:val="28"/>
          <w:lang w:val="en-US" w:eastAsia="zh-CN"/>
        </w:rPr>
        <w:t>0%，</w:t>
      </w:r>
      <w:r>
        <w:rPr>
          <w:rFonts w:hint="eastAsia" w:ascii="宋体" w:hAnsi="宋体" w:cs="Times New Roman"/>
          <w:color w:val="auto"/>
          <w:kern w:val="0"/>
          <w:sz w:val="28"/>
          <w:szCs w:val="28"/>
          <w:lang w:val="en-US" w:eastAsia="zh-CN"/>
        </w:rPr>
        <w:t>信息化系统集成调试</w:t>
      </w:r>
      <w:r>
        <w:rPr>
          <w:rFonts w:hint="eastAsia" w:ascii="宋体" w:hAnsi="宋体" w:eastAsia="宋体" w:cs="Times New Roman"/>
          <w:color w:val="auto"/>
          <w:kern w:val="0"/>
          <w:sz w:val="28"/>
          <w:szCs w:val="28"/>
          <w:lang w:val="en-US" w:eastAsia="zh-CN"/>
        </w:rPr>
        <w:t>完成后</w:t>
      </w:r>
      <w:r>
        <w:rPr>
          <w:rFonts w:hint="default" w:ascii="宋体" w:hAnsi="宋体" w:eastAsia="宋体" w:cs="Times New Roman"/>
          <w:color w:val="auto"/>
          <w:kern w:val="0"/>
          <w:sz w:val="28"/>
          <w:szCs w:val="28"/>
          <w:lang w:val="en-US" w:eastAsia="zh-CN"/>
        </w:rPr>
        <w:t>支付</w:t>
      </w:r>
      <w:r>
        <w:rPr>
          <w:rFonts w:hint="eastAsia" w:ascii="宋体" w:hAnsi="宋体" w:eastAsia="宋体" w:cs="Times New Roman"/>
          <w:color w:val="auto"/>
          <w:kern w:val="0"/>
          <w:sz w:val="28"/>
          <w:szCs w:val="28"/>
          <w:lang w:val="en-US" w:eastAsia="zh-CN"/>
        </w:rPr>
        <w:t>至9</w:t>
      </w:r>
      <w:r>
        <w:rPr>
          <w:rFonts w:hint="default" w:ascii="宋体" w:hAnsi="宋体" w:eastAsia="宋体" w:cs="Times New Roman"/>
          <w:color w:val="auto"/>
          <w:kern w:val="0"/>
          <w:sz w:val="28"/>
          <w:szCs w:val="28"/>
          <w:lang w:val="en-US" w:eastAsia="zh-CN"/>
        </w:rPr>
        <w:t>0%，验收合格</w:t>
      </w:r>
      <w:r>
        <w:rPr>
          <w:rFonts w:hint="eastAsia" w:ascii="宋体" w:hAnsi="宋体" w:eastAsia="宋体" w:cs="Times New Roman"/>
          <w:color w:val="auto"/>
          <w:kern w:val="0"/>
          <w:sz w:val="28"/>
          <w:szCs w:val="28"/>
          <w:lang w:val="en-US" w:eastAsia="zh-CN"/>
        </w:rPr>
        <w:t>后</w:t>
      </w:r>
      <w:r>
        <w:rPr>
          <w:rFonts w:hint="eastAsia" w:ascii="宋体" w:hAnsi="宋体" w:cs="Times New Roman"/>
          <w:color w:val="auto"/>
          <w:kern w:val="0"/>
          <w:sz w:val="28"/>
          <w:szCs w:val="28"/>
          <w:lang w:val="en-US" w:eastAsia="zh-CN"/>
        </w:rPr>
        <w:t>付清余款</w:t>
      </w:r>
      <w:r>
        <w:rPr>
          <w:rFonts w:hint="eastAsia" w:ascii="宋体" w:hAnsi="宋体" w:eastAsia="宋体" w:cs="Times New Roman"/>
          <w:color w:val="auto"/>
          <w:kern w:val="0"/>
          <w:sz w:val="28"/>
          <w:szCs w:val="28"/>
          <w:lang w:val="en-US" w:eastAsia="zh-CN"/>
        </w:rPr>
        <w:t>。</w:t>
      </w:r>
    </w:p>
    <w:p w14:paraId="3403070F">
      <w:pPr>
        <w:pageBreakBefore w:val="0"/>
        <w:kinsoku/>
        <w:overflowPunct/>
        <w:topLinePunct w:val="0"/>
        <w:bidi w:val="0"/>
        <w:snapToGrid w:val="0"/>
        <w:spacing w:line="360" w:lineRule="auto"/>
        <w:ind w:left="0" w:leftChars="0" w:firstLine="0" w:firstLineChars="0"/>
        <w:jc w:val="left"/>
        <w:textAlignment w:val="auto"/>
        <w:outlineLvl w:val="1"/>
        <w:rPr>
          <w:rFonts w:hint="eastAsia" w:ascii="宋体" w:hAnsi="宋体"/>
          <w:b/>
          <w:bCs/>
          <w:color w:val="auto"/>
          <w:kern w:val="0"/>
          <w:sz w:val="24"/>
        </w:rPr>
      </w:pPr>
      <w:bookmarkStart w:id="327" w:name="_Toc14882"/>
      <w:r>
        <w:rPr>
          <w:rFonts w:hint="eastAsia" w:ascii="宋体" w:hAnsi="宋体"/>
          <w:b/>
          <w:bCs/>
          <w:color w:val="auto"/>
          <w:kern w:val="0"/>
          <w:sz w:val="24"/>
        </w:rPr>
        <w:t>五、履约验收</w:t>
      </w:r>
      <w:bookmarkEnd w:id="325"/>
      <w:bookmarkEnd w:id="326"/>
      <w:bookmarkEnd w:id="327"/>
    </w:p>
    <w:p w14:paraId="218D8F88">
      <w:pPr>
        <w:pStyle w:val="17"/>
        <w:pageBreakBefore w:val="0"/>
        <w:kinsoku/>
        <w:overflowPunct/>
        <w:topLinePunct w:val="0"/>
        <w:bidi w:val="0"/>
        <w:spacing w:line="360" w:lineRule="auto"/>
        <w:ind w:left="0" w:leftChars="0" w:firstLine="0" w:firstLineChars="0"/>
        <w:textAlignment w:val="auto"/>
        <w:rPr>
          <w:color w:val="auto"/>
        </w:rPr>
      </w:pPr>
      <w:r>
        <w:rPr>
          <w:rFonts w:hint="eastAsia" w:ascii="宋体" w:hAnsi="宋体" w:eastAsia="宋体" w:cs="宋体"/>
          <w:color w:val="auto"/>
          <w:kern w:val="0"/>
          <w:sz w:val="24"/>
          <w:szCs w:val="22"/>
          <w:highlight w:val="none"/>
          <w:lang w:val="en-US" w:eastAsia="zh-CN" w:bidi="ar-SA"/>
        </w:rPr>
        <w:t>项目完成后，采购人自行组织验收。</w:t>
      </w:r>
    </w:p>
    <w:p w14:paraId="6E37B4A6">
      <w:pPr>
        <w:outlineLvl w:val="1"/>
        <w:rPr>
          <w:rFonts w:hint="eastAsia" w:ascii="宋体" w:hAnsi="宋体" w:eastAsia="宋体" w:cs="宋体"/>
          <w:color w:val="auto"/>
          <w:kern w:val="2"/>
          <w:sz w:val="24"/>
          <w:szCs w:val="24"/>
          <w:u w:val="none"/>
          <w:lang w:val="en-US" w:eastAsia="zh-CN" w:bidi="ar-SA"/>
        </w:rPr>
      </w:pPr>
      <w:r>
        <w:rPr>
          <w:rFonts w:hint="eastAsia" w:ascii="宋体" w:hAnsi="宋体" w:eastAsia="宋体" w:cs="Times New Roman"/>
          <w:b/>
          <w:bCs/>
          <w:color w:val="auto"/>
          <w:kern w:val="0"/>
          <w:sz w:val="24"/>
          <w:lang w:val="en-US" w:eastAsia="zh-CN"/>
        </w:rPr>
        <w:t>六、服务要求</w:t>
      </w:r>
    </w:p>
    <w:p w14:paraId="439D3334">
      <w:pPr>
        <w:pStyle w:val="93"/>
        <w:tabs>
          <w:tab w:val="left" w:pos="426"/>
          <w:tab w:val="left" w:pos="993"/>
          <w:tab w:val="left" w:pos="1560"/>
        </w:tabs>
        <w:snapToGrid w:val="0"/>
        <w:spacing w:line="360" w:lineRule="auto"/>
        <w:jc w:val="left"/>
        <w:textAlignment w:val="auto"/>
        <w:outlineLvl w:val="2"/>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1、投标人应提供针对本项目的总体实施方案。</w:t>
      </w:r>
    </w:p>
    <w:p w14:paraId="6B66DCAC">
      <w:pPr>
        <w:numPr>
          <w:ilvl w:val="0"/>
          <w:numId w:val="0"/>
        </w:numPr>
        <w:spacing w:line="560" w:lineRule="exact"/>
        <w:jc w:val="left"/>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2、服务</w:t>
      </w:r>
      <w:r>
        <w:rPr>
          <w:rFonts w:hint="eastAsia" w:ascii="宋体" w:hAnsi="宋体" w:cs="宋体"/>
          <w:color w:val="auto"/>
          <w:kern w:val="2"/>
          <w:sz w:val="24"/>
          <w:szCs w:val="24"/>
          <w:u w:val="none"/>
          <w:lang w:val="en-US" w:eastAsia="zh-CN" w:bidi="ar-SA"/>
        </w:rPr>
        <w:t>团队</w:t>
      </w:r>
      <w:r>
        <w:rPr>
          <w:rFonts w:hint="eastAsia" w:ascii="宋体" w:hAnsi="宋体" w:eastAsia="宋体" w:cs="宋体"/>
          <w:color w:val="auto"/>
          <w:kern w:val="2"/>
          <w:sz w:val="24"/>
          <w:szCs w:val="24"/>
          <w:u w:val="none"/>
          <w:lang w:val="en-US" w:eastAsia="zh-CN" w:bidi="ar-SA"/>
        </w:rPr>
        <w:t>要求：服务过程中</w:t>
      </w:r>
      <w:r>
        <w:rPr>
          <w:rFonts w:hint="eastAsia" w:ascii="宋体" w:hAnsi="宋体" w:cs="宋体"/>
          <w:color w:val="auto"/>
          <w:kern w:val="2"/>
          <w:sz w:val="24"/>
          <w:szCs w:val="24"/>
          <w:u w:val="none"/>
          <w:lang w:val="en-US" w:eastAsia="zh-CN" w:bidi="ar-SA"/>
        </w:rPr>
        <w:t>，</w:t>
      </w:r>
      <w:r>
        <w:rPr>
          <w:rFonts w:hint="eastAsia" w:ascii="宋体" w:hAnsi="宋体" w:eastAsia="宋体" w:cs="宋体"/>
          <w:color w:val="auto"/>
          <w:kern w:val="2"/>
          <w:sz w:val="24"/>
          <w:szCs w:val="24"/>
          <w:u w:val="none"/>
          <w:lang w:val="en-US" w:eastAsia="zh-CN" w:bidi="ar-SA"/>
        </w:rPr>
        <w:t>投标人要配备完整和专业的项目实施队伍，</w:t>
      </w:r>
      <w:r>
        <w:rPr>
          <w:rFonts w:hint="eastAsia" w:ascii="宋体" w:hAnsi="宋体" w:cs="宋体"/>
          <w:color w:val="auto"/>
          <w:kern w:val="2"/>
          <w:sz w:val="24"/>
          <w:szCs w:val="24"/>
          <w:u w:val="none"/>
          <w:lang w:val="en-US" w:eastAsia="zh-CN" w:bidi="ar-SA"/>
        </w:rPr>
        <w:t>除</w:t>
      </w:r>
      <w:r>
        <w:rPr>
          <w:rFonts w:hint="eastAsia" w:ascii="宋体" w:hAnsi="宋体" w:eastAsia="宋体" w:cs="宋体"/>
          <w:color w:val="auto"/>
          <w:kern w:val="2"/>
          <w:sz w:val="24"/>
          <w:szCs w:val="24"/>
          <w:u w:val="none"/>
          <w:lang w:val="en-US" w:eastAsia="zh-CN" w:bidi="ar-SA"/>
        </w:rPr>
        <w:t>项目负责人</w:t>
      </w:r>
      <w:r>
        <w:rPr>
          <w:rFonts w:hint="eastAsia" w:ascii="宋体" w:hAnsi="宋体" w:cs="宋体"/>
          <w:color w:val="auto"/>
          <w:kern w:val="2"/>
          <w:sz w:val="24"/>
          <w:szCs w:val="24"/>
          <w:u w:val="none"/>
          <w:lang w:val="en-US" w:eastAsia="zh-CN" w:bidi="ar-SA"/>
        </w:rPr>
        <w:t>外，不少于</w:t>
      </w:r>
      <w:r>
        <w:rPr>
          <w:rFonts w:hint="eastAsia" w:ascii="宋体" w:hAnsi="宋体" w:eastAsia="宋体" w:cs="宋体"/>
          <w:color w:val="auto"/>
          <w:kern w:val="2"/>
          <w:sz w:val="24"/>
          <w:szCs w:val="24"/>
          <w:u w:val="none"/>
          <w:lang w:val="en-US" w:eastAsia="zh-CN" w:bidi="ar-SA"/>
        </w:rPr>
        <w:t>3名</w:t>
      </w:r>
      <w:r>
        <w:rPr>
          <w:rFonts w:hint="eastAsia" w:ascii="宋体" w:hAnsi="宋体" w:cs="宋体"/>
          <w:color w:val="auto"/>
          <w:kern w:val="2"/>
          <w:sz w:val="24"/>
          <w:szCs w:val="24"/>
          <w:u w:val="none"/>
          <w:lang w:val="en-US" w:eastAsia="zh-CN" w:bidi="ar-SA"/>
        </w:rPr>
        <w:t>专业技术人员。</w:t>
      </w:r>
    </w:p>
    <w:p w14:paraId="5D2F7D9C">
      <w:pPr>
        <w:numPr>
          <w:ilvl w:val="0"/>
          <w:numId w:val="0"/>
        </w:numPr>
        <w:spacing w:line="560" w:lineRule="exact"/>
        <w:jc w:val="left"/>
        <w:rPr>
          <w:rFonts w:hint="eastAsia" w:ascii="宋体" w:hAnsi="宋体" w:eastAsia="宋体" w:cs="宋体"/>
          <w:color w:val="auto"/>
          <w:sz w:val="24"/>
          <w:szCs w:val="24"/>
          <w:u w:val="none"/>
          <w:lang w:val="en-US" w:eastAsia="zh-CN"/>
        </w:rPr>
      </w:pPr>
      <w:r>
        <w:rPr>
          <w:rFonts w:hint="eastAsia" w:ascii="宋体" w:hAnsi="宋体" w:cs="宋体"/>
          <w:color w:val="auto"/>
          <w:kern w:val="2"/>
          <w:sz w:val="24"/>
          <w:szCs w:val="24"/>
          <w:u w:val="none"/>
          <w:lang w:val="en-US" w:eastAsia="zh-CN" w:bidi="ar-SA"/>
        </w:rPr>
        <w:t>3</w:t>
      </w:r>
      <w:r>
        <w:rPr>
          <w:rFonts w:hint="eastAsia" w:ascii="宋体" w:hAnsi="宋体" w:eastAsia="宋体" w:cs="宋体"/>
          <w:color w:val="auto"/>
          <w:kern w:val="2"/>
          <w:sz w:val="24"/>
          <w:szCs w:val="24"/>
          <w:u w:val="none"/>
          <w:lang w:val="en-US" w:eastAsia="zh-CN" w:bidi="ar-SA"/>
        </w:rPr>
        <w:t>、</w:t>
      </w:r>
      <w:r>
        <w:rPr>
          <w:rFonts w:hint="eastAsia" w:ascii="宋体" w:hAnsi="宋体" w:eastAsia="宋体" w:cs="宋体"/>
          <w:color w:val="auto"/>
          <w:sz w:val="24"/>
          <w:szCs w:val="24"/>
          <w:u w:val="none"/>
          <w:lang w:val="en-US" w:eastAsia="zh-CN"/>
        </w:rPr>
        <w:t>每月提供一次运维巡检服务。包含系统检查、巡检记录、系统维护、故障排查、性能优化等。</w:t>
      </w:r>
    </w:p>
    <w:p w14:paraId="3BCCB22C">
      <w:pPr>
        <w:numPr>
          <w:ilvl w:val="0"/>
          <w:numId w:val="0"/>
        </w:numPr>
        <w:spacing w:line="560" w:lineRule="exact"/>
        <w:jc w:val="left"/>
        <w:rPr>
          <w:rFonts w:hint="eastAsia" w:ascii="宋体" w:hAnsi="宋体" w:eastAsia="宋体" w:cs="宋体"/>
          <w:color w:val="auto"/>
          <w:sz w:val="24"/>
          <w:szCs w:val="24"/>
          <w:u w:val="none"/>
          <w:lang w:val="en-US" w:eastAsia="zh-CN"/>
        </w:rPr>
      </w:pPr>
      <w:r>
        <w:rPr>
          <w:rFonts w:hint="eastAsia" w:ascii="宋体" w:hAnsi="宋体" w:cs="宋体"/>
          <w:color w:val="auto"/>
          <w:kern w:val="2"/>
          <w:sz w:val="24"/>
          <w:szCs w:val="24"/>
          <w:u w:val="none"/>
          <w:lang w:val="en-US" w:eastAsia="zh-CN" w:bidi="ar-SA"/>
        </w:rPr>
        <w:t>4</w:t>
      </w:r>
      <w:r>
        <w:rPr>
          <w:rFonts w:hint="eastAsia" w:ascii="宋体" w:hAnsi="宋体" w:eastAsia="宋体" w:cs="宋体"/>
          <w:color w:val="auto"/>
          <w:kern w:val="2"/>
          <w:sz w:val="24"/>
          <w:szCs w:val="24"/>
          <w:u w:val="none"/>
          <w:lang w:val="en-US" w:eastAsia="zh-CN" w:bidi="ar-SA"/>
        </w:rPr>
        <w:t>、</w:t>
      </w:r>
      <w:r>
        <w:rPr>
          <w:rFonts w:hint="eastAsia" w:ascii="宋体" w:hAnsi="宋体" w:eastAsia="宋体" w:cs="宋体"/>
          <w:color w:val="auto"/>
          <w:sz w:val="24"/>
          <w:szCs w:val="24"/>
          <w:u w:val="none"/>
          <w:lang w:val="en-US" w:eastAsia="zh-CN"/>
        </w:rPr>
        <w:t>提供应急服务方案。</w:t>
      </w:r>
      <w:r>
        <w:rPr>
          <w:rFonts w:hint="eastAsia" w:ascii="宋体" w:hAnsi="宋体" w:eastAsia="宋体" w:cs="宋体"/>
          <w:color w:val="auto"/>
          <w:sz w:val="24"/>
          <w:szCs w:val="24"/>
          <w:u w:val="none"/>
          <w:lang w:val="zh-CN" w:eastAsia="zh-CN"/>
        </w:rPr>
        <w:t>包含但不限于</w:t>
      </w:r>
      <w:r>
        <w:rPr>
          <w:rFonts w:hint="eastAsia" w:ascii="宋体" w:hAnsi="宋体" w:eastAsia="宋体" w:cs="宋体"/>
          <w:color w:val="auto"/>
          <w:sz w:val="24"/>
          <w:szCs w:val="24"/>
          <w:u w:val="none"/>
          <w:lang w:val="en-US" w:eastAsia="zh-CN"/>
        </w:rPr>
        <w:t>：</w:t>
      </w:r>
      <w:bookmarkStart w:id="328" w:name="OLE_LINK9"/>
      <w:r>
        <w:rPr>
          <w:rFonts w:hint="eastAsia" w:ascii="宋体" w:hAnsi="宋体" w:eastAsia="宋体" w:cs="宋体"/>
          <w:color w:val="auto"/>
          <w:sz w:val="24"/>
          <w:szCs w:val="24"/>
          <w:u w:val="none"/>
          <w:lang w:val="en-US" w:eastAsia="zh-CN"/>
        </w:rPr>
        <w:t>①</w:t>
      </w:r>
      <w:r>
        <w:rPr>
          <w:rFonts w:hint="eastAsia" w:ascii="宋体" w:hAnsi="宋体" w:eastAsia="宋体" w:cs="宋体"/>
          <w:color w:val="auto"/>
          <w:sz w:val="24"/>
          <w:szCs w:val="24"/>
          <w:u w:val="none"/>
          <w:lang w:val="zh-CN" w:eastAsia="zh-CN"/>
        </w:rPr>
        <w:t>对发现和处理各种安全隐患</w:t>
      </w:r>
      <w:r>
        <w:rPr>
          <w:rFonts w:hint="eastAsia" w:ascii="宋体" w:hAnsi="宋体" w:eastAsia="宋体" w:cs="宋体"/>
          <w:color w:val="auto"/>
          <w:sz w:val="24"/>
          <w:szCs w:val="24"/>
          <w:u w:val="none"/>
          <w:lang w:val="en-US" w:eastAsia="zh-CN"/>
        </w:rPr>
        <w:t>的应急方案及措施；②</w:t>
      </w:r>
      <w:r>
        <w:rPr>
          <w:rFonts w:hint="eastAsia" w:ascii="宋体" w:hAnsi="宋体" w:eastAsia="宋体" w:cs="宋体"/>
          <w:color w:val="auto"/>
          <w:sz w:val="24"/>
          <w:szCs w:val="24"/>
          <w:u w:val="none"/>
          <w:lang w:val="zh-CN" w:eastAsia="zh-CN"/>
        </w:rPr>
        <w:t>对发现和处理各种事故隐患的应急方案及措施；</w:t>
      </w:r>
      <w:r>
        <w:rPr>
          <w:rFonts w:hint="eastAsia" w:ascii="宋体" w:hAnsi="宋体" w:eastAsia="宋体" w:cs="宋体"/>
          <w:color w:val="auto"/>
          <w:sz w:val="24"/>
          <w:szCs w:val="24"/>
          <w:u w:val="none"/>
          <w:lang w:val="en-US" w:eastAsia="zh-CN"/>
        </w:rPr>
        <w:t>③</w:t>
      </w:r>
      <w:r>
        <w:rPr>
          <w:rFonts w:hint="eastAsia" w:ascii="宋体" w:hAnsi="宋体" w:eastAsia="宋体" w:cs="宋体"/>
          <w:color w:val="auto"/>
          <w:sz w:val="24"/>
          <w:szCs w:val="24"/>
          <w:u w:val="none"/>
          <w:lang w:val="zh-CN" w:eastAsia="zh-CN"/>
        </w:rPr>
        <w:t>对发现和处理紧急、突发事件的应急方案及措施</w:t>
      </w:r>
      <w:bookmarkEnd w:id="328"/>
      <w:r>
        <w:rPr>
          <w:rFonts w:hint="eastAsia" w:ascii="宋体" w:hAnsi="宋体" w:eastAsia="宋体" w:cs="宋体"/>
          <w:color w:val="auto"/>
          <w:sz w:val="24"/>
          <w:szCs w:val="24"/>
          <w:u w:val="none"/>
          <w:lang w:val="en-US" w:eastAsia="zh-CN"/>
        </w:rPr>
        <w:t>。</w:t>
      </w:r>
    </w:p>
    <w:p w14:paraId="0B47CAD5">
      <w:pPr>
        <w:numPr>
          <w:ilvl w:val="0"/>
          <w:numId w:val="0"/>
        </w:numPr>
        <w:spacing w:line="560" w:lineRule="exact"/>
        <w:jc w:val="left"/>
        <w:rPr>
          <w:rFonts w:hint="eastAsia" w:ascii="宋体" w:hAnsi="宋体" w:eastAsia="宋体" w:cs="宋体"/>
          <w:color w:val="auto"/>
          <w:sz w:val="24"/>
          <w:szCs w:val="24"/>
          <w:u w:val="none"/>
          <w:lang w:val="en-US" w:eastAsia="zh-CN"/>
        </w:rPr>
      </w:pPr>
      <w:r>
        <w:rPr>
          <w:rFonts w:hint="eastAsia" w:ascii="宋体" w:hAnsi="宋体" w:cs="宋体"/>
          <w:color w:val="auto"/>
          <w:kern w:val="2"/>
          <w:sz w:val="24"/>
          <w:szCs w:val="24"/>
          <w:u w:val="none"/>
          <w:lang w:val="en-US" w:eastAsia="zh-CN" w:bidi="ar-SA"/>
        </w:rPr>
        <w:t>5</w:t>
      </w:r>
      <w:r>
        <w:rPr>
          <w:rFonts w:hint="eastAsia" w:ascii="宋体" w:hAnsi="宋体" w:eastAsia="宋体" w:cs="宋体"/>
          <w:color w:val="auto"/>
          <w:kern w:val="2"/>
          <w:sz w:val="24"/>
          <w:szCs w:val="24"/>
          <w:u w:val="none"/>
          <w:lang w:val="en-US" w:eastAsia="zh-CN" w:bidi="ar-SA"/>
        </w:rPr>
        <w:t>、</w:t>
      </w:r>
      <w:r>
        <w:rPr>
          <w:rFonts w:hint="eastAsia" w:ascii="宋体" w:hAnsi="宋体" w:eastAsia="宋体" w:cs="宋体"/>
          <w:color w:val="auto"/>
          <w:sz w:val="24"/>
          <w:szCs w:val="24"/>
          <w:u w:val="none"/>
          <w:lang w:val="en-US" w:eastAsia="zh-CN"/>
        </w:rPr>
        <w:t>本项目系统建成通过招标人验收后，进入运行维护期。中标供应商必须提供完善、专业、高质量的售后及运维服务。</w:t>
      </w:r>
    </w:p>
    <w:p w14:paraId="2595C029">
      <w:pPr>
        <w:numPr>
          <w:ilvl w:val="0"/>
          <w:numId w:val="0"/>
        </w:numPr>
        <w:spacing w:line="560" w:lineRule="exact"/>
        <w:jc w:val="left"/>
        <w:rPr>
          <w:rFonts w:hint="eastAsia" w:ascii="宋体" w:hAnsi="宋体" w:eastAsia="宋体" w:cs="宋体"/>
          <w:color w:val="auto"/>
          <w:sz w:val="24"/>
          <w:szCs w:val="24"/>
          <w:u w:val="none"/>
          <w:lang w:val="en-US" w:eastAsia="zh-CN"/>
        </w:rPr>
      </w:pPr>
      <w:r>
        <w:rPr>
          <w:rFonts w:hint="eastAsia" w:ascii="宋体" w:hAnsi="宋体" w:cs="宋体"/>
          <w:color w:val="auto"/>
          <w:kern w:val="2"/>
          <w:sz w:val="24"/>
          <w:szCs w:val="24"/>
          <w:u w:val="none"/>
          <w:lang w:val="en-US" w:eastAsia="zh-CN" w:bidi="ar-SA"/>
        </w:rPr>
        <w:t>6</w:t>
      </w:r>
      <w:r>
        <w:rPr>
          <w:rFonts w:hint="eastAsia" w:ascii="宋体" w:hAnsi="宋体" w:eastAsia="宋体" w:cs="宋体"/>
          <w:color w:val="auto"/>
          <w:kern w:val="2"/>
          <w:sz w:val="24"/>
          <w:szCs w:val="24"/>
          <w:u w:val="none"/>
          <w:lang w:val="en-US" w:eastAsia="zh-CN" w:bidi="ar-SA"/>
        </w:rPr>
        <w:t>、</w:t>
      </w:r>
      <w:r>
        <w:rPr>
          <w:rFonts w:hint="eastAsia" w:ascii="宋体" w:hAnsi="宋体" w:eastAsia="宋体" w:cs="宋体"/>
          <w:color w:val="auto"/>
          <w:sz w:val="24"/>
          <w:szCs w:val="24"/>
          <w:u w:val="none"/>
          <w:lang w:val="en-US" w:eastAsia="zh-CN"/>
        </w:rPr>
        <w:t>技术支持要求：为了保证本次项目顺利成功，要求投标人承诺项目验收后提供7*24小时售后技术服务。质保期内出现问题，半小时内做出明确响应和安排：即时通过电话、Email 或传真等远程方式查找紧急事件的事发原因并通过远程途径解决相应问题。30分钟内到达现场，24小时内解决问题，提供不间断的服务直到系统正常运行；质保期内，投标人应免费维护。</w:t>
      </w:r>
    </w:p>
    <w:p w14:paraId="51E9D4B5">
      <w:pPr>
        <w:rPr>
          <w:rFonts w:hint="eastAsia" w:ascii="宋体" w:hAnsi="宋体" w:eastAsia="宋体" w:cs="宋体"/>
          <w:color w:val="auto"/>
          <w:sz w:val="24"/>
          <w:szCs w:val="24"/>
          <w:lang w:val="en-US" w:eastAsia="zh-CN"/>
        </w:rPr>
      </w:pPr>
    </w:p>
    <w:p w14:paraId="75ED6C5D">
      <w:pPr>
        <w:pStyle w:val="17"/>
        <w:pageBreakBefore w:val="0"/>
        <w:kinsoku/>
        <w:overflowPunct/>
        <w:topLinePunct w:val="0"/>
        <w:bidi w:val="0"/>
        <w:spacing w:line="360" w:lineRule="auto"/>
        <w:ind w:left="0" w:leftChars="0" w:firstLine="0" w:firstLineChars="0"/>
        <w:textAlignment w:val="auto"/>
        <w:rPr>
          <w:rFonts w:hint="eastAsia"/>
          <w:color w:val="auto"/>
        </w:rPr>
      </w:pPr>
    </w:p>
    <w:p w14:paraId="55E5EBF6">
      <w:pPr>
        <w:pStyle w:val="17"/>
        <w:pageBreakBefore w:val="0"/>
        <w:kinsoku/>
        <w:overflowPunct/>
        <w:topLinePunct w:val="0"/>
        <w:bidi w:val="0"/>
        <w:spacing w:line="360" w:lineRule="auto"/>
        <w:ind w:left="0" w:leftChars="0" w:firstLine="0" w:firstLineChars="0"/>
        <w:textAlignment w:val="auto"/>
        <w:rPr>
          <w:rFonts w:hint="eastAsia"/>
          <w:color w:val="auto"/>
        </w:rPr>
      </w:pPr>
    </w:p>
    <w:p w14:paraId="5761712E">
      <w:pPr>
        <w:pStyle w:val="17"/>
        <w:pageBreakBefore w:val="0"/>
        <w:kinsoku/>
        <w:overflowPunct/>
        <w:topLinePunct w:val="0"/>
        <w:bidi w:val="0"/>
        <w:spacing w:line="360" w:lineRule="auto"/>
        <w:ind w:left="0" w:leftChars="0" w:firstLine="0" w:firstLineChars="0"/>
        <w:textAlignment w:val="auto"/>
        <w:rPr>
          <w:rFonts w:hint="eastAsia"/>
          <w:color w:val="auto"/>
        </w:rPr>
      </w:pPr>
    </w:p>
    <w:p w14:paraId="702DC1C6">
      <w:pPr>
        <w:numPr>
          <w:ilvl w:val="0"/>
          <w:numId w:val="0"/>
        </w:numPr>
        <w:spacing w:line="560" w:lineRule="exact"/>
        <w:jc w:val="left"/>
        <w:rPr>
          <w:rFonts w:hint="eastAsia" w:ascii="宋体" w:hAnsi="宋体" w:eastAsia="宋体" w:cs="宋体"/>
          <w:color w:val="auto"/>
          <w:sz w:val="24"/>
          <w:szCs w:val="24"/>
          <w:u w:val="none"/>
          <w:lang w:val="en-US" w:eastAsia="zh-CN"/>
        </w:rPr>
      </w:pPr>
    </w:p>
    <w:p w14:paraId="5E3BDCE2">
      <w:pPr>
        <w:numPr>
          <w:ilvl w:val="0"/>
          <w:numId w:val="0"/>
        </w:numPr>
        <w:spacing w:line="560" w:lineRule="exact"/>
        <w:jc w:val="left"/>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附件：</w:t>
      </w:r>
    </w:p>
    <w:p w14:paraId="445C1FFE">
      <w:pPr>
        <w:numPr>
          <w:ilvl w:val="0"/>
          <w:numId w:val="0"/>
        </w:numPr>
        <w:spacing w:line="560" w:lineRule="exact"/>
        <w:jc w:val="left"/>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附件1：柳林县中医院服务项目采购清单</w:t>
      </w:r>
    </w:p>
    <w:p w14:paraId="0ECF7261">
      <w:pPr>
        <w:numPr>
          <w:ilvl w:val="0"/>
          <w:numId w:val="0"/>
        </w:numPr>
        <w:spacing w:line="560" w:lineRule="exact"/>
        <w:jc w:val="left"/>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附件2：柳林县中医院伴随货物采购清单</w:t>
      </w:r>
    </w:p>
    <w:p w14:paraId="6C283A36">
      <w:pPr>
        <w:numPr>
          <w:ilvl w:val="0"/>
          <w:numId w:val="0"/>
        </w:numPr>
        <w:spacing w:line="560" w:lineRule="exact"/>
        <w:jc w:val="left"/>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附件3：柳林中医院项目信息化图纸</w:t>
      </w:r>
    </w:p>
    <w:p w14:paraId="46268A28">
      <w:pPr>
        <w:rPr>
          <w:rFonts w:hint="eastAsia"/>
          <w:color w:val="auto"/>
          <w:lang w:eastAsia="zh-CN"/>
        </w:rPr>
      </w:pPr>
      <w:r>
        <w:rPr>
          <w:rFonts w:hint="eastAsia"/>
          <w:color w:val="auto"/>
          <w:lang w:eastAsia="zh-CN"/>
        </w:rPr>
        <w:br w:type="page"/>
      </w:r>
    </w:p>
    <w:p w14:paraId="2B534EDD">
      <w:pPr>
        <w:pageBreakBefore w:val="0"/>
        <w:kinsoku/>
        <w:overflowPunct/>
        <w:topLinePunct w:val="0"/>
        <w:bidi w:val="0"/>
        <w:spacing w:line="360" w:lineRule="auto"/>
        <w:ind w:left="0" w:leftChars="0" w:firstLine="0" w:firstLineChars="0"/>
        <w:jc w:val="center"/>
        <w:textAlignment w:val="auto"/>
        <w:outlineLvl w:val="0"/>
        <w:rPr>
          <w:rFonts w:hint="eastAsia" w:ascii="宋体" w:hAnsi="宋体"/>
          <w:b/>
          <w:color w:val="auto"/>
          <w:sz w:val="32"/>
        </w:rPr>
      </w:pPr>
      <w:bookmarkStart w:id="329" w:name="_Toc11033"/>
      <w:r>
        <w:rPr>
          <w:rFonts w:hint="eastAsia" w:ascii="宋体" w:hAnsi="宋体"/>
          <w:b/>
          <w:color w:val="auto"/>
          <w:sz w:val="32"/>
        </w:rPr>
        <w:t>第六章  政府采购合同</w:t>
      </w:r>
      <w:bookmarkEnd w:id="329"/>
    </w:p>
    <w:p w14:paraId="50755D50">
      <w:pPr>
        <w:pStyle w:val="3"/>
        <w:pageBreakBefore w:val="0"/>
        <w:kinsoku/>
        <w:overflowPunct/>
        <w:topLinePunct w:val="0"/>
        <w:bidi w:val="0"/>
        <w:snapToGrid w:val="0"/>
        <w:spacing w:line="360" w:lineRule="auto"/>
        <w:ind w:left="0" w:leftChars="0" w:firstLine="0" w:firstLineChars="0"/>
        <w:textAlignment w:val="auto"/>
        <w:rPr>
          <w:rFonts w:hint="eastAsia" w:ascii="宋体" w:hAnsi="宋体" w:eastAsia="宋体" w:cs="宋体"/>
          <w:color w:val="auto"/>
          <w:sz w:val="28"/>
          <w:szCs w:val="28"/>
        </w:rPr>
      </w:pPr>
      <w:bookmarkStart w:id="330" w:name="_Toc372_WPSOffice_Level1"/>
      <w:bookmarkStart w:id="331" w:name="_Toc3044_WPSOffice_Level1"/>
      <w:bookmarkStart w:id="332" w:name="_Toc29066"/>
      <w:bookmarkStart w:id="333" w:name="_Toc7342_WPSOffice_Level1"/>
      <w:r>
        <w:rPr>
          <w:rFonts w:hint="eastAsia" w:ascii="宋体" w:hAnsi="宋体" w:eastAsia="宋体" w:cs="宋体"/>
          <w:color w:val="auto"/>
          <w:sz w:val="28"/>
          <w:szCs w:val="28"/>
        </w:rPr>
        <w:t>合同格式</w:t>
      </w:r>
      <w:bookmarkEnd w:id="330"/>
      <w:bookmarkEnd w:id="331"/>
      <w:bookmarkEnd w:id="332"/>
      <w:bookmarkEnd w:id="333"/>
    </w:p>
    <w:p w14:paraId="0C3374CC">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政府采购合同编号：</w:t>
      </w:r>
    </w:p>
    <w:p w14:paraId="34D3B994">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签订地点：</w:t>
      </w:r>
    </w:p>
    <w:p w14:paraId="679F7231">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u w:val="single"/>
        </w:rPr>
        <w:t xml:space="preserve">    (需方名称)            </w:t>
      </w:r>
      <w:r>
        <w:rPr>
          <w:rFonts w:hint="eastAsia" w:ascii="宋体" w:hAnsi="宋体" w:cs="宋体"/>
          <w:color w:val="auto"/>
          <w:sz w:val="24"/>
        </w:rPr>
        <w:t xml:space="preserve"> （以下简称需方）和</w:t>
      </w:r>
      <w:r>
        <w:rPr>
          <w:rFonts w:hint="eastAsia" w:ascii="宋体" w:hAnsi="宋体" w:cs="宋体"/>
          <w:color w:val="auto"/>
          <w:sz w:val="24"/>
          <w:u w:val="single"/>
        </w:rPr>
        <w:t xml:space="preserve">   (供方名称)    </w:t>
      </w:r>
      <w:r>
        <w:rPr>
          <w:rFonts w:hint="eastAsia" w:ascii="宋体" w:hAnsi="宋体" w:cs="宋体"/>
          <w:color w:val="auto"/>
          <w:sz w:val="24"/>
        </w:rPr>
        <w:t xml:space="preserve"> （以下简称供方）根据《中华人民共和国民法典》和有关法律法规，遵循平等、自愿、公平和诚实信用原则，同意按照下面的条款和条件订立本政府采购合同，共同信守。</w:t>
      </w:r>
    </w:p>
    <w:p w14:paraId="1F03673C">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s="宋体"/>
          <w:b/>
          <w:color w:val="auto"/>
          <w:sz w:val="24"/>
        </w:rPr>
      </w:pPr>
      <w:r>
        <w:rPr>
          <w:rFonts w:hint="eastAsia" w:ascii="宋体" w:hAnsi="宋体" w:cs="宋体"/>
          <w:b/>
          <w:color w:val="auto"/>
          <w:sz w:val="24"/>
        </w:rPr>
        <w:t>　　一、政府采购合同文件</w:t>
      </w:r>
    </w:p>
    <w:p w14:paraId="52C34064">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 xml:space="preserve">    本政府采购合同所附下列文件是构成本政府采购合同不可分割的部分：</w:t>
      </w:r>
    </w:p>
    <w:p w14:paraId="07CDD3D4">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1.招标文件（招标文件编号</w:t>
      </w:r>
      <w:r>
        <w:rPr>
          <w:rFonts w:hint="eastAsia" w:ascii="宋体" w:hAnsi="宋体" w:cs="宋体"/>
          <w:color w:val="auto"/>
          <w:sz w:val="24"/>
          <w:u w:val="single"/>
        </w:rPr>
        <w:t xml:space="preserve">           </w:t>
      </w:r>
      <w:r>
        <w:rPr>
          <w:rFonts w:hint="eastAsia" w:ascii="宋体" w:hAnsi="宋体" w:cs="宋体"/>
          <w:color w:val="auto"/>
          <w:sz w:val="24"/>
        </w:rPr>
        <w:t>）；</w:t>
      </w:r>
    </w:p>
    <w:p w14:paraId="2245A09A">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2.招标文件的更正公告、变更公告；</w:t>
      </w:r>
    </w:p>
    <w:p w14:paraId="2ECF5381">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3.中标供应商提交的投标文件；</w:t>
      </w:r>
    </w:p>
    <w:p w14:paraId="7CE71807">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4.政府采购合同条款；</w:t>
      </w:r>
    </w:p>
    <w:p w14:paraId="3BB3BB37">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5.中标通知书；</w:t>
      </w:r>
    </w:p>
    <w:p w14:paraId="2297C369">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6.政府采购合同的其它附件。</w:t>
      </w:r>
    </w:p>
    <w:p w14:paraId="09385453">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s="宋体"/>
          <w:b/>
          <w:color w:val="auto"/>
          <w:sz w:val="24"/>
        </w:rPr>
      </w:pPr>
      <w:r>
        <w:rPr>
          <w:rFonts w:hint="eastAsia" w:ascii="宋体" w:hAnsi="宋体" w:cs="宋体"/>
          <w:b/>
          <w:color w:val="auto"/>
          <w:sz w:val="24"/>
        </w:rPr>
        <w:t>　　二、政府采购合同范围和条件</w:t>
      </w:r>
    </w:p>
    <w:p w14:paraId="447CB7DB">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 xml:space="preserve">    本政府采购合同的范围和条件与上述政府采购合同文件的规定相一致。</w:t>
      </w:r>
    </w:p>
    <w:p w14:paraId="6C7246B7">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s="宋体"/>
          <w:b/>
          <w:color w:val="auto"/>
          <w:sz w:val="24"/>
        </w:rPr>
      </w:pPr>
      <w:r>
        <w:rPr>
          <w:rFonts w:hint="eastAsia" w:ascii="宋体" w:hAnsi="宋体" w:cs="宋体"/>
          <w:b/>
          <w:color w:val="auto"/>
          <w:sz w:val="24"/>
        </w:rPr>
        <w:t>　　三、政府采购合同标的</w:t>
      </w:r>
    </w:p>
    <w:p w14:paraId="481EF9BC">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 xml:space="preserve">    本政府采购合同的标的为政府采购合同服务清单(同投标文件中投标服务价格明细表)中所列相关服务。</w:t>
      </w:r>
    </w:p>
    <w:p w14:paraId="498689FA">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s="宋体"/>
          <w:b/>
          <w:color w:val="auto"/>
          <w:sz w:val="24"/>
        </w:rPr>
      </w:pPr>
      <w:r>
        <w:rPr>
          <w:rFonts w:hint="eastAsia" w:ascii="宋体" w:hAnsi="宋体" w:cs="宋体"/>
          <w:b/>
          <w:color w:val="auto"/>
          <w:sz w:val="24"/>
        </w:rPr>
        <w:t>　　四、政府采购合同金额</w:t>
      </w:r>
    </w:p>
    <w:p w14:paraId="5F525BAB">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 xml:space="preserve">    根据上述政府采购合同文件要求，政府采购合同的总金额为人民币</w:t>
      </w:r>
      <w:r>
        <w:rPr>
          <w:rFonts w:hint="eastAsia" w:ascii="宋体" w:hAnsi="宋体" w:cs="宋体"/>
          <w:color w:val="auto"/>
          <w:sz w:val="24"/>
          <w:u w:val="single"/>
        </w:rPr>
        <w:t xml:space="preserve">  （大写）                </w:t>
      </w:r>
      <w:r>
        <w:rPr>
          <w:rFonts w:hint="eastAsia" w:ascii="宋体" w:hAnsi="宋体" w:cs="宋体"/>
          <w:color w:val="auto"/>
          <w:sz w:val="24"/>
        </w:rPr>
        <w:t xml:space="preserve"> 元。</w:t>
      </w:r>
    </w:p>
    <w:p w14:paraId="451881D0">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s="宋体"/>
          <w:b/>
          <w:color w:val="auto"/>
          <w:sz w:val="24"/>
        </w:rPr>
      </w:pPr>
      <w:r>
        <w:rPr>
          <w:rFonts w:hint="eastAsia" w:ascii="宋体" w:hAnsi="宋体" w:cs="宋体"/>
          <w:b/>
          <w:color w:val="auto"/>
          <w:sz w:val="24"/>
        </w:rPr>
        <w:t>　  五、付款方式及条件</w:t>
      </w:r>
    </w:p>
    <w:p w14:paraId="61EC705D">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u w:val="single"/>
        </w:rPr>
      </w:pPr>
      <w:r>
        <w:rPr>
          <w:rFonts w:hint="eastAsia" w:ascii="宋体" w:hAnsi="宋体" w:cs="宋体"/>
          <w:color w:val="auto"/>
          <w:sz w:val="24"/>
        </w:rPr>
        <w:t xml:space="preserve">    1.付款时间：</w:t>
      </w:r>
      <w:r>
        <w:rPr>
          <w:rFonts w:hint="eastAsia" w:ascii="宋体" w:hAnsi="宋体" w:cs="宋体"/>
          <w:color w:val="auto"/>
          <w:sz w:val="24"/>
          <w:u w:val="single"/>
        </w:rPr>
        <w:t xml:space="preserve">        </w:t>
      </w:r>
    </w:p>
    <w:p w14:paraId="0E0701C9">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u w:val="single"/>
        </w:rPr>
      </w:pPr>
      <w:r>
        <w:rPr>
          <w:rFonts w:hint="eastAsia" w:ascii="宋体" w:hAnsi="宋体" w:cs="宋体"/>
          <w:color w:val="auto"/>
          <w:sz w:val="24"/>
        </w:rPr>
        <w:t xml:space="preserve">    2.付款方式：</w:t>
      </w:r>
      <w:r>
        <w:rPr>
          <w:rFonts w:hint="eastAsia" w:ascii="宋体" w:hAnsi="宋体" w:cs="宋体"/>
          <w:color w:val="auto"/>
          <w:sz w:val="24"/>
          <w:u w:val="single"/>
        </w:rPr>
        <w:t xml:space="preserve">        </w:t>
      </w:r>
    </w:p>
    <w:p w14:paraId="666CFB0F">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u w:val="single"/>
        </w:rPr>
      </w:pPr>
      <w:r>
        <w:rPr>
          <w:rFonts w:hint="eastAsia" w:ascii="宋体" w:hAnsi="宋体" w:cs="宋体"/>
          <w:color w:val="auto"/>
          <w:sz w:val="24"/>
        </w:rPr>
        <w:t xml:space="preserve">    3.付款条件：</w:t>
      </w:r>
      <w:r>
        <w:rPr>
          <w:rFonts w:hint="eastAsia" w:ascii="宋体" w:hAnsi="宋体" w:cs="宋体"/>
          <w:color w:val="auto"/>
          <w:sz w:val="24"/>
          <w:u w:val="single"/>
        </w:rPr>
        <w:t xml:space="preserve">        </w:t>
      </w:r>
    </w:p>
    <w:p w14:paraId="491BAD5B">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s="宋体"/>
          <w:color w:val="auto"/>
          <w:sz w:val="24"/>
        </w:rPr>
      </w:pPr>
      <w:r>
        <w:rPr>
          <w:rFonts w:hint="eastAsia" w:ascii="宋体" w:hAnsi="宋体" w:cs="宋体"/>
          <w:b/>
          <w:color w:val="auto"/>
          <w:sz w:val="24"/>
        </w:rPr>
        <w:t>　　六、服务时间和服务地点</w:t>
      </w:r>
      <w:r>
        <w:rPr>
          <w:rFonts w:hint="eastAsia" w:ascii="宋体" w:hAnsi="宋体" w:cs="宋体"/>
          <w:color w:val="auto"/>
          <w:sz w:val="24"/>
        </w:rPr>
        <w:t xml:space="preserve">   </w:t>
      </w:r>
    </w:p>
    <w:p w14:paraId="5294B9AE">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u w:val="single"/>
        </w:rPr>
      </w:pPr>
      <w:r>
        <w:rPr>
          <w:rFonts w:hint="eastAsia" w:ascii="宋体" w:hAnsi="宋体" w:cs="宋体"/>
          <w:color w:val="auto"/>
          <w:sz w:val="24"/>
        </w:rPr>
        <w:t xml:space="preserve">    1.服务时间：</w:t>
      </w:r>
      <w:r>
        <w:rPr>
          <w:rFonts w:hint="eastAsia" w:ascii="宋体" w:hAnsi="宋体" w:cs="宋体"/>
          <w:color w:val="auto"/>
          <w:sz w:val="24"/>
          <w:u w:val="single"/>
        </w:rPr>
        <w:t xml:space="preserve">        </w:t>
      </w:r>
    </w:p>
    <w:p w14:paraId="1CB4D88E">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u w:val="single"/>
        </w:rPr>
      </w:pPr>
      <w:r>
        <w:rPr>
          <w:rFonts w:hint="eastAsia" w:ascii="宋体" w:hAnsi="宋体" w:cs="宋体"/>
          <w:color w:val="auto"/>
          <w:sz w:val="24"/>
        </w:rPr>
        <w:t xml:space="preserve">    2.服务地点：</w:t>
      </w:r>
      <w:r>
        <w:rPr>
          <w:rFonts w:hint="eastAsia" w:ascii="宋体" w:hAnsi="宋体" w:cs="宋体"/>
          <w:color w:val="auto"/>
          <w:sz w:val="24"/>
          <w:u w:val="single"/>
        </w:rPr>
        <w:t xml:space="preserve">        </w:t>
      </w:r>
    </w:p>
    <w:p w14:paraId="2932BC43">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s="宋体"/>
          <w:b/>
          <w:color w:val="auto"/>
          <w:sz w:val="24"/>
        </w:rPr>
      </w:pPr>
      <w:r>
        <w:rPr>
          <w:rFonts w:hint="eastAsia" w:ascii="宋体" w:hAnsi="宋体" w:cs="宋体"/>
          <w:b/>
          <w:color w:val="auto"/>
          <w:sz w:val="24"/>
        </w:rPr>
        <w:t>　　七、验收要求</w:t>
      </w:r>
    </w:p>
    <w:p w14:paraId="51A9035E">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u w:val="single"/>
        </w:rPr>
      </w:pPr>
      <w:r>
        <w:rPr>
          <w:rFonts w:hint="eastAsia" w:ascii="宋体" w:hAnsi="宋体" w:cs="宋体"/>
          <w:b/>
          <w:color w:val="auto"/>
          <w:sz w:val="24"/>
        </w:rPr>
        <w:t xml:space="preserve">    </w:t>
      </w:r>
      <w:r>
        <w:rPr>
          <w:rFonts w:hint="eastAsia" w:ascii="宋体" w:hAnsi="宋体" w:cs="宋体"/>
          <w:color w:val="auto"/>
          <w:sz w:val="24"/>
        </w:rPr>
        <w:t>供方完全履行合同义务后，需方或需方的最终用户按照上述政府采购合同文件列明的标准进行验收，验收不合格的，供方需按照第八条的约定承担相应违约责任。</w:t>
      </w:r>
    </w:p>
    <w:p w14:paraId="1810EAE2">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s="宋体"/>
          <w:b/>
          <w:color w:val="auto"/>
          <w:sz w:val="24"/>
        </w:rPr>
      </w:pPr>
      <w:r>
        <w:rPr>
          <w:rFonts w:hint="eastAsia" w:ascii="宋体" w:hAnsi="宋体" w:cs="宋体"/>
          <w:b/>
          <w:color w:val="auto"/>
          <w:sz w:val="24"/>
        </w:rPr>
        <w:t xml:space="preserve">    八、违约责任</w:t>
      </w:r>
    </w:p>
    <w:p w14:paraId="128675FD">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 xml:space="preserve">    1.供方逾期提供服务的，每逾期一天向需方支付合同金额</w:t>
      </w:r>
      <w:r>
        <w:rPr>
          <w:rFonts w:hint="eastAsia" w:ascii="宋体" w:hAnsi="宋体" w:cs="宋体"/>
          <w:color w:val="auto"/>
          <w:sz w:val="24"/>
          <w:u w:val="single"/>
        </w:rPr>
        <w:t xml:space="preserve">  </w:t>
      </w:r>
      <w:r>
        <w:rPr>
          <w:rFonts w:hint="eastAsia" w:ascii="宋体" w:hAnsi="宋体" w:cs="宋体"/>
          <w:color w:val="auto"/>
          <w:sz w:val="24"/>
        </w:rPr>
        <w:t>%的违约金，逾期</w:t>
      </w:r>
      <w:r>
        <w:rPr>
          <w:rFonts w:hint="eastAsia" w:ascii="宋体" w:hAnsi="宋体" w:cs="宋体"/>
          <w:color w:val="auto"/>
          <w:sz w:val="24"/>
          <w:u w:val="single"/>
        </w:rPr>
        <w:t xml:space="preserve">  </w:t>
      </w:r>
      <w:r>
        <w:rPr>
          <w:rFonts w:hint="eastAsia" w:ascii="宋体" w:hAnsi="宋体" w:cs="宋体"/>
          <w:color w:val="auto"/>
          <w:sz w:val="24"/>
        </w:rPr>
        <w:t>日的，需方有权单方面解除本协议。</w:t>
      </w:r>
    </w:p>
    <w:p w14:paraId="31AF9AB6">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 xml:space="preserve">    2.供方提供的服务不符合约定的，需方有权向供方书面提出整改意见，供方需无条件整改至符合约定，自需方向供方提出书面意见之日起</w:t>
      </w:r>
      <w:r>
        <w:rPr>
          <w:rFonts w:hint="eastAsia" w:ascii="宋体" w:hAnsi="宋体" w:cs="宋体"/>
          <w:color w:val="auto"/>
          <w:sz w:val="24"/>
          <w:u w:val="single"/>
        </w:rPr>
        <w:t xml:space="preserve">  </w:t>
      </w:r>
      <w:r>
        <w:rPr>
          <w:rFonts w:hint="eastAsia" w:ascii="宋体" w:hAnsi="宋体" w:cs="宋体"/>
          <w:color w:val="auto"/>
          <w:sz w:val="24"/>
        </w:rPr>
        <w:t>日内，供方仍未整改或整改后服务仍不符合约定的，需方有权单方面解除本协议。</w:t>
      </w:r>
    </w:p>
    <w:p w14:paraId="48EA7981">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 xml:space="preserve">    3.需方逾期付款的，每逾期一天向供方支付逾期金额</w:t>
      </w:r>
      <w:r>
        <w:rPr>
          <w:rFonts w:hint="eastAsia" w:ascii="宋体" w:hAnsi="宋体" w:cs="宋体"/>
          <w:color w:val="auto"/>
          <w:sz w:val="24"/>
          <w:u w:val="single"/>
        </w:rPr>
        <w:t xml:space="preserve">  </w:t>
      </w:r>
      <w:r>
        <w:rPr>
          <w:rFonts w:hint="eastAsia" w:ascii="宋体" w:hAnsi="宋体" w:cs="宋体"/>
          <w:color w:val="auto"/>
          <w:sz w:val="24"/>
        </w:rPr>
        <w:t>%的违约金，逾期</w:t>
      </w:r>
      <w:r>
        <w:rPr>
          <w:rFonts w:hint="eastAsia" w:ascii="宋体" w:hAnsi="宋体" w:cs="宋体"/>
          <w:color w:val="auto"/>
          <w:sz w:val="24"/>
          <w:u w:val="single"/>
        </w:rPr>
        <w:t xml:space="preserve">  </w:t>
      </w:r>
      <w:r>
        <w:rPr>
          <w:rFonts w:hint="eastAsia" w:ascii="宋体" w:hAnsi="宋体" w:cs="宋体"/>
          <w:color w:val="auto"/>
          <w:sz w:val="24"/>
        </w:rPr>
        <w:t>日的，供方有权单方面解除本协议。</w:t>
      </w:r>
    </w:p>
    <w:p w14:paraId="140EA020">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s="宋体"/>
          <w:b/>
          <w:color w:val="auto"/>
          <w:sz w:val="24"/>
        </w:rPr>
      </w:pPr>
      <w:r>
        <w:rPr>
          <w:rFonts w:hint="eastAsia" w:ascii="宋体" w:hAnsi="宋体" w:cs="宋体"/>
          <w:b/>
          <w:color w:val="auto"/>
          <w:sz w:val="24"/>
        </w:rPr>
        <w:t xml:space="preserve">    九、争议解决</w:t>
      </w:r>
    </w:p>
    <w:p w14:paraId="025D5A86">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 xml:space="preserve">    双方因履行本协议而产生的争议，应友好协商解决，协商不成的，任何一方可向需方所在地的人民法院提起诉讼。</w:t>
      </w:r>
    </w:p>
    <w:p w14:paraId="139067E1">
      <w:pPr>
        <w:pageBreakBefore w:val="0"/>
        <w:kinsoku/>
        <w:overflowPunct/>
        <w:topLinePunct w:val="0"/>
        <w:bidi w:val="0"/>
        <w:spacing w:line="360" w:lineRule="auto"/>
        <w:ind w:left="0" w:leftChars="0" w:firstLine="0" w:firstLineChars="0"/>
        <w:jc w:val="left"/>
        <w:textAlignment w:val="auto"/>
        <w:outlineLvl w:val="1"/>
        <w:rPr>
          <w:rFonts w:hint="eastAsia" w:ascii="宋体" w:hAnsi="宋体" w:cs="宋体"/>
          <w:b/>
          <w:color w:val="auto"/>
          <w:sz w:val="24"/>
        </w:rPr>
      </w:pPr>
      <w:r>
        <w:rPr>
          <w:rFonts w:hint="eastAsia" w:ascii="宋体" w:hAnsi="宋体" w:cs="宋体"/>
          <w:b/>
          <w:color w:val="auto"/>
          <w:sz w:val="24"/>
        </w:rPr>
        <w:t xml:space="preserve">    十、合同生效</w:t>
      </w:r>
    </w:p>
    <w:p w14:paraId="5EFD1177">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 xml:space="preserve">    本政府采购合同经双方授权代表签字盖章后生效。</w:t>
      </w:r>
    </w:p>
    <w:p w14:paraId="0CA5ECAD">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p>
    <w:p w14:paraId="517730C0">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需方（公章）:                       供方(公章):</w:t>
      </w:r>
    </w:p>
    <w:p w14:paraId="018D1202">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法定代表人或授权代表人(签字):       法定代表人或授权代表人(签字):</w:t>
      </w:r>
    </w:p>
    <w:p w14:paraId="676E891B">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u w:val="single"/>
        </w:rPr>
      </w:pPr>
      <w:r>
        <w:rPr>
          <w:rFonts w:hint="eastAsia" w:ascii="宋体" w:hAnsi="宋体" w:cs="宋体"/>
          <w:color w:val="auto"/>
          <w:sz w:val="24"/>
        </w:rPr>
        <w:t>地址：</w:t>
      </w:r>
      <w:r>
        <w:rPr>
          <w:rFonts w:hint="eastAsia" w:ascii="宋体" w:hAnsi="宋体" w:cs="宋体"/>
          <w:color w:val="auto"/>
          <w:sz w:val="24"/>
          <w:u w:val="single"/>
        </w:rPr>
        <w:t xml:space="preserve">                        </w:t>
      </w:r>
      <w:r>
        <w:rPr>
          <w:rFonts w:hint="eastAsia" w:ascii="宋体" w:hAnsi="宋体" w:cs="宋体"/>
          <w:color w:val="auto"/>
          <w:sz w:val="24"/>
        </w:rPr>
        <w:t xml:space="preserve">      地址：</w:t>
      </w:r>
      <w:r>
        <w:rPr>
          <w:rFonts w:hint="eastAsia" w:ascii="宋体" w:hAnsi="宋体" w:cs="宋体"/>
          <w:color w:val="auto"/>
          <w:sz w:val="24"/>
          <w:u w:val="single"/>
        </w:rPr>
        <w:t xml:space="preserve">                          </w:t>
      </w:r>
    </w:p>
    <w:p w14:paraId="4B21BFC1">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single"/>
        </w:rPr>
        <w:t xml:space="preserve">                      </w:t>
      </w:r>
      <w:r>
        <w:rPr>
          <w:rFonts w:hint="eastAsia" w:ascii="宋体" w:hAnsi="宋体" w:cs="宋体"/>
          <w:color w:val="auto"/>
          <w:sz w:val="24"/>
        </w:rPr>
        <w:t xml:space="preserve">      联系人：</w:t>
      </w:r>
      <w:r>
        <w:rPr>
          <w:rFonts w:hint="eastAsia" w:ascii="宋体" w:hAnsi="宋体" w:cs="宋体"/>
          <w:color w:val="auto"/>
          <w:sz w:val="24"/>
          <w:u w:val="single"/>
        </w:rPr>
        <w:t xml:space="preserve">                        </w:t>
      </w:r>
    </w:p>
    <w:p w14:paraId="3FD149DC">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u w:val="single"/>
        </w:rPr>
      </w:pPr>
      <w:r>
        <w:rPr>
          <w:rFonts w:hint="eastAsia" w:ascii="宋体" w:hAnsi="宋体" w:cs="宋体"/>
          <w:color w:val="auto"/>
          <w:sz w:val="24"/>
        </w:rPr>
        <w:t>电话：</w:t>
      </w:r>
      <w:r>
        <w:rPr>
          <w:rFonts w:hint="eastAsia" w:ascii="宋体" w:hAnsi="宋体" w:cs="宋体"/>
          <w:color w:val="auto"/>
          <w:sz w:val="24"/>
          <w:u w:val="single"/>
        </w:rPr>
        <w:t xml:space="preserve">                        </w:t>
      </w:r>
      <w:r>
        <w:rPr>
          <w:rFonts w:hint="eastAsia" w:ascii="宋体" w:hAnsi="宋体" w:cs="宋体"/>
          <w:color w:val="auto"/>
          <w:sz w:val="24"/>
        </w:rPr>
        <w:t xml:space="preserve">      电话：</w:t>
      </w:r>
      <w:r>
        <w:rPr>
          <w:rFonts w:hint="eastAsia" w:ascii="宋体" w:hAnsi="宋体" w:cs="宋体"/>
          <w:color w:val="auto"/>
          <w:sz w:val="24"/>
          <w:u w:val="single"/>
        </w:rPr>
        <w:t xml:space="preserve">                          </w:t>
      </w:r>
    </w:p>
    <w:p w14:paraId="267CEFAF">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u w:val="single"/>
        </w:rPr>
      </w:pPr>
      <w:r>
        <w:rPr>
          <w:rFonts w:hint="eastAsia" w:ascii="宋体" w:hAnsi="宋体" w:cs="宋体"/>
          <w:color w:val="auto"/>
          <w:sz w:val="24"/>
        </w:rPr>
        <w:t>传真：</w:t>
      </w:r>
      <w:r>
        <w:rPr>
          <w:rFonts w:hint="eastAsia" w:ascii="宋体" w:hAnsi="宋体" w:cs="宋体"/>
          <w:color w:val="auto"/>
          <w:sz w:val="24"/>
          <w:u w:val="single"/>
        </w:rPr>
        <w:t xml:space="preserve">                        </w:t>
      </w:r>
      <w:r>
        <w:rPr>
          <w:rFonts w:hint="eastAsia" w:ascii="宋体" w:hAnsi="宋体" w:cs="宋体"/>
          <w:color w:val="auto"/>
          <w:sz w:val="24"/>
        </w:rPr>
        <w:t xml:space="preserve">      传真：</w:t>
      </w:r>
      <w:r>
        <w:rPr>
          <w:rFonts w:hint="eastAsia" w:ascii="宋体" w:hAnsi="宋体" w:cs="宋体"/>
          <w:color w:val="auto"/>
          <w:sz w:val="24"/>
          <w:u w:val="single"/>
        </w:rPr>
        <w:t xml:space="preserve">                          </w:t>
      </w:r>
    </w:p>
    <w:p w14:paraId="633C25B4">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u w:val="single"/>
        </w:rPr>
      </w:pPr>
      <w:r>
        <w:rPr>
          <w:rFonts w:hint="eastAsia" w:ascii="宋体" w:hAnsi="宋体" w:cs="宋体"/>
          <w:color w:val="auto"/>
          <w:sz w:val="24"/>
        </w:rPr>
        <w:t>邮编：</w:t>
      </w:r>
      <w:r>
        <w:rPr>
          <w:rFonts w:hint="eastAsia" w:ascii="宋体" w:hAnsi="宋体" w:cs="宋体"/>
          <w:color w:val="auto"/>
          <w:sz w:val="24"/>
          <w:u w:val="single"/>
        </w:rPr>
        <w:t xml:space="preserve">                        </w:t>
      </w:r>
      <w:r>
        <w:rPr>
          <w:rFonts w:hint="eastAsia" w:ascii="宋体" w:hAnsi="宋体" w:cs="宋体"/>
          <w:color w:val="auto"/>
          <w:sz w:val="24"/>
        </w:rPr>
        <w:t xml:space="preserve">      邮编：</w:t>
      </w:r>
      <w:r>
        <w:rPr>
          <w:rFonts w:hint="eastAsia" w:ascii="宋体" w:hAnsi="宋体" w:cs="宋体"/>
          <w:color w:val="auto"/>
          <w:sz w:val="24"/>
          <w:u w:val="single"/>
        </w:rPr>
        <w:t xml:space="preserve">                          </w:t>
      </w:r>
    </w:p>
    <w:p w14:paraId="01ED12EA">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u w:val="single"/>
        </w:rPr>
      </w:pPr>
      <w:r>
        <w:rPr>
          <w:rFonts w:hint="eastAsia" w:ascii="宋体" w:hAnsi="宋体" w:cs="宋体"/>
          <w:color w:val="auto"/>
          <w:sz w:val="24"/>
        </w:rPr>
        <w:t>日期：</w:t>
      </w:r>
      <w:r>
        <w:rPr>
          <w:rFonts w:hint="eastAsia" w:ascii="宋体" w:hAnsi="宋体" w:cs="宋体"/>
          <w:color w:val="auto"/>
          <w:sz w:val="24"/>
          <w:u w:val="single"/>
        </w:rPr>
        <w:t xml:space="preserve">      年      月      日</w:t>
      </w:r>
      <w:r>
        <w:rPr>
          <w:rFonts w:hint="eastAsia" w:ascii="宋体" w:hAnsi="宋体" w:cs="宋体"/>
          <w:color w:val="auto"/>
          <w:sz w:val="24"/>
        </w:rPr>
        <w:t xml:space="preserve">      日期：</w:t>
      </w:r>
      <w:r>
        <w:rPr>
          <w:rFonts w:hint="eastAsia" w:ascii="宋体" w:hAnsi="宋体" w:cs="宋体"/>
          <w:color w:val="auto"/>
          <w:sz w:val="24"/>
          <w:u w:val="single"/>
        </w:rPr>
        <w:t xml:space="preserve">       年      月     日</w:t>
      </w:r>
    </w:p>
    <w:p w14:paraId="15A7C6D0">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p>
    <w:p w14:paraId="3D976709">
      <w:pPr>
        <w:rPr>
          <w:rFonts w:hint="eastAsia" w:ascii="宋体" w:hAnsi="宋体" w:eastAsia="宋体" w:cs="宋体"/>
          <w:color w:val="auto"/>
          <w:sz w:val="28"/>
          <w:szCs w:val="28"/>
        </w:rPr>
      </w:pPr>
      <w:bookmarkStart w:id="334" w:name="_Toc31528"/>
      <w:bookmarkStart w:id="335" w:name="_Toc23704_WPSOffice_Level1"/>
      <w:r>
        <w:rPr>
          <w:rFonts w:hint="eastAsia" w:ascii="宋体" w:hAnsi="宋体" w:eastAsia="宋体" w:cs="宋体"/>
          <w:color w:val="auto"/>
          <w:sz w:val="28"/>
          <w:szCs w:val="28"/>
        </w:rPr>
        <w:br w:type="page"/>
      </w:r>
    </w:p>
    <w:p w14:paraId="13E536B1">
      <w:pPr>
        <w:pStyle w:val="3"/>
        <w:pageBreakBefore w:val="0"/>
        <w:kinsoku/>
        <w:overflowPunct/>
        <w:topLinePunct w:val="0"/>
        <w:bidi w:val="0"/>
        <w:snapToGrid w:val="0"/>
        <w:spacing w:line="360" w:lineRule="auto"/>
        <w:ind w:left="0" w:leftChars="0" w:firstLine="0" w:firstLineChars="0"/>
        <w:textAlignment w:val="auto"/>
        <w:outlineLvl w:val="2"/>
        <w:rPr>
          <w:rFonts w:hint="eastAsia" w:ascii="宋体" w:hAnsi="宋体" w:eastAsia="宋体" w:cs="宋体"/>
          <w:color w:val="auto"/>
          <w:sz w:val="28"/>
          <w:szCs w:val="28"/>
        </w:rPr>
      </w:pPr>
      <w:r>
        <w:rPr>
          <w:rFonts w:hint="eastAsia" w:ascii="宋体" w:hAnsi="宋体" w:eastAsia="宋体" w:cs="宋体"/>
          <w:color w:val="auto"/>
          <w:sz w:val="28"/>
          <w:szCs w:val="28"/>
        </w:rPr>
        <w:t>合同条款</w:t>
      </w:r>
      <w:bookmarkEnd w:id="334"/>
      <w:bookmarkEnd w:id="335"/>
    </w:p>
    <w:p w14:paraId="54EC5145">
      <w:pPr>
        <w:pageBreakBefore w:val="0"/>
        <w:numPr>
          <w:ilvl w:val="0"/>
          <w:numId w:val="4"/>
        </w:numPr>
        <w:kinsoku/>
        <w:overflowPunct/>
        <w:topLinePunct w:val="0"/>
        <w:bidi w:val="0"/>
        <w:spacing w:line="360" w:lineRule="auto"/>
        <w:ind w:left="0" w:leftChars="0" w:firstLine="0" w:firstLineChars="0"/>
        <w:textAlignment w:val="auto"/>
        <w:outlineLvl w:val="2"/>
        <w:rPr>
          <w:rFonts w:hint="eastAsia" w:ascii="宋体" w:hAnsi="宋体" w:cs="宋体"/>
          <w:b/>
          <w:color w:val="auto"/>
          <w:sz w:val="24"/>
        </w:rPr>
      </w:pPr>
      <w:r>
        <w:rPr>
          <w:rFonts w:hint="eastAsia" w:ascii="宋体" w:hAnsi="宋体" w:cs="宋体"/>
          <w:b/>
          <w:color w:val="auto"/>
          <w:sz w:val="24"/>
        </w:rPr>
        <w:t>术语定义</w:t>
      </w:r>
    </w:p>
    <w:p w14:paraId="0041F2FC">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本政府采购合同下列术语应解释为：</w:t>
      </w:r>
    </w:p>
    <w:p w14:paraId="2CDCF5D8">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b/>
          <w:color w:val="auto"/>
          <w:sz w:val="24"/>
        </w:rPr>
        <w:t>.</w:t>
      </w:r>
      <w:r>
        <w:rPr>
          <w:rFonts w:hint="eastAsia" w:ascii="宋体" w:hAnsi="宋体" w:cs="宋体"/>
          <w:color w:val="auto"/>
          <w:sz w:val="24"/>
        </w:rPr>
        <w:t>1“政府采购合同”指供需双方依照政府采购程序、按照招标文件投标文件确定的事项所达成的协议，包括附件、附录和上述文件所提到的构成政府采购合同的所有文件。</w:t>
      </w:r>
    </w:p>
    <w:p w14:paraId="78F67B0D">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b/>
          <w:color w:val="auto"/>
          <w:sz w:val="24"/>
        </w:rPr>
        <w:t>.</w:t>
      </w:r>
      <w:r>
        <w:rPr>
          <w:rFonts w:hint="eastAsia" w:ascii="宋体" w:hAnsi="宋体" w:cs="宋体"/>
          <w:color w:val="auto"/>
          <w:sz w:val="24"/>
        </w:rPr>
        <w:t>2 “政府采购合同价”指根据合同约定供方在正确地完全履行政府采购合同义务后需方应支付给供方的价格。</w:t>
      </w:r>
    </w:p>
    <w:p w14:paraId="38CD8FE8">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b/>
          <w:color w:val="auto"/>
          <w:sz w:val="24"/>
        </w:rPr>
        <w:t>.</w:t>
      </w:r>
      <w:r>
        <w:rPr>
          <w:rFonts w:hint="eastAsia" w:ascii="宋体" w:hAnsi="宋体" w:cs="宋体"/>
          <w:color w:val="auto"/>
          <w:sz w:val="24"/>
        </w:rPr>
        <w:t>3 “服务”指政府采购合同服务清单（同投标文件中开标一览表及其附表，下同）所约定的服务内容。</w:t>
      </w:r>
    </w:p>
    <w:p w14:paraId="4A8AD6FC">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b/>
          <w:color w:val="auto"/>
          <w:sz w:val="24"/>
        </w:rPr>
        <w:t>.</w:t>
      </w:r>
      <w:r>
        <w:rPr>
          <w:rFonts w:hint="eastAsia" w:ascii="宋体" w:hAnsi="宋体" w:cs="宋体"/>
          <w:color w:val="auto"/>
          <w:sz w:val="24"/>
        </w:rPr>
        <w:t>5 “需方”指项目基本内容及要求中所述取得产品和服务的采购单位。</w:t>
      </w:r>
    </w:p>
    <w:p w14:paraId="79E6F412">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b/>
          <w:color w:val="auto"/>
          <w:sz w:val="24"/>
        </w:rPr>
        <w:t>.</w:t>
      </w:r>
      <w:r>
        <w:rPr>
          <w:rFonts w:hint="eastAsia" w:ascii="宋体" w:hAnsi="宋体" w:cs="宋体"/>
          <w:color w:val="auto"/>
          <w:sz w:val="24"/>
        </w:rPr>
        <w:t>6 “供方”指项目基本内容及要求中所述提供产品和服务的中标供应商。</w:t>
      </w:r>
    </w:p>
    <w:p w14:paraId="43698551">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b/>
          <w:color w:val="auto"/>
          <w:sz w:val="24"/>
        </w:rPr>
        <w:t>.</w:t>
      </w:r>
      <w:r>
        <w:rPr>
          <w:rFonts w:hint="eastAsia" w:ascii="宋体" w:hAnsi="宋体" w:cs="宋体"/>
          <w:color w:val="auto"/>
          <w:sz w:val="24"/>
        </w:rPr>
        <w:t>7 “检验”指需方按照政府采购合同约定的标准对供方所提供服务进行的检测和查验。</w:t>
      </w:r>
    </w:p>
    <w:p w14:paraId="6E0BE034">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b/>
          <w:color w:val="auto"/>
          <w:sz w:val="24"/>
        </w:rPr>
        <w:t>.</w:t>
      </w:r>
      <w:r>
        <w:rPr>
          <w:rFonts w:hint="eastAsia" w:ascii="宋体" w:hAnsi="宋体" w:cs="宋体"/>
          <w:color w:val="auto"/>
          <w:sz w:val="24"/>
        </w:rPr>
        <w:t>8 “验收书”指采购单位或采购代理机构根据合同履约验收意见书形成反映采购单位和组织验收机构意见的文件。</w:t>
      </w:r>
    </w:p>
    <w:p w14:paraId="3E872413">
      <w:pPr>
        <w:pageBreakBefore w:val="0"/>
        <w:kinsoku/>
        <w:overflowPunct/>
        <w:topLinePunct w:val="0"/>
        <w:bidi w:val="0"/>
        <w:spacing w:line="360" w:lineRule="auto"/>
        <w:ind w:left="0" w:leftChars="0" w:firstLine="0" w:firstLineChars="0"/>
        <w:textAlignment w:val="auto"/>
        <w:outlineLvl w:val="3"/>
        <w:rPr>
          <w:rFonts w:hint="eastAsia" w:ascii="宋体" w:hAnsi="宋体" w:cs="宋体"/>
          <w:color w:val="auto"/>
          <w:sz w:val="24"/>
        </w:rPr>
      </w:pPr>
      <w:r>
        <w:rPr>
          <w:rFonts w:hint="eastAsia" w:ascii="宋体" w:hAnsi="宋体" w:cs="宋体"/>
          <w:color w:val="auto"/>
          <w:sz w:val="24"/>
        </w:rPr>
        <w:t>1.9“天”指日历天数（如无特别说明）。</w:t>
      </w:r>
    </w:p>
    <w:p w14:paraId="016412BD">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b/>
          <w:color w:val="auto"/>
          <w:sz w:val="24"/>
        </w:rPr>
        <w:t>.</w:t>
      </w:r>
      <w:r>
        <w:rPr>
          <w:rFonts w:hint="eastAsia" w:ascii="宋体" w:hAnsi="宋体" w:cs="宋体"/>
          <w:color w:val="auto"/>
          <w:sz w:val="24"/>
        </w:rPr>
        <w:t>10“第三人”是指本政府采购合同双方以外的任何中国境内外的自然人、法人或其它经济组织。</w:t>
      </w:r>
    </w:p>
    <w:p w14:paraId="3F855926">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b/>
          <w:color w:val="auto"/>
          <w:sz w:val="24"/>
        </w:rPr>
        <w:t>.</w:t>
      </w:r>
      <w:r>
        <w:rPr>
          <w:rFonts w:hint="eastAsia" w:ascii="宋体" w:hAnsi="宋体" w:cs="宋体"/>
          <w:color w:val="auto"/>
          <w:sz w:val="24"/>
        </w:rPr>
        <w:t>11“法律、法规”是指由中国各级政府及有关部门制定的法律、行政法规、地方性法规、规章及其它规范性文件的有关规定。</w:t>
      </w:r>
    </w:p>
    <w:p w14:paraId="5D820F2A">
      <w:pPr>
        <w:pageBreakBefore w:val="0"/>
        <w:kinsoku/>
        <w:overflowPunct/>
        <w:topLinePunct w:val="0"/>
        <w:bidi w:val="0"/>
        <w:spacing w:line="360" w:lineRule="auto"/>
        <w:ind w:left="0" w:leftChars="0" w:firstLine="0" w:firstLineChars="0"/>
        <w:textAlignment w:val="auto"/>
        <w:outlineLvl w:val="3"/>
        <w:rPr>
          <w:rFonts w:hint="eastAsia" w:ascii="宋体" w:hAnsi="宋体" w:cs="宋体"/>
          <w:color w:val="auto"/>
          <w:sz w:val="24"/>
        </w:rPr>
      </w:pPr>
      <w:r>
        <w:rPr>
          <w:rFonts w:hint="eastAsia" w:ascii="宋体" w:hAnsi="宋体" w:cs="宋体"/>
          <w:color w:val="auto"/>
          <w:sz w:val="24"/>
        </w:rPr>
        <w:t>1</w:t>
      </w:r>
      <w:r>
        <w:rPr>
          <w:rFonts w:hint="eastAsia" w:ascii="宋体" w:hAnsi="宋体" w:cs="宋体"/>
          <w:b/>
          <w:color w:val="auto"/>
          <w:sz w:val="24"/>
        </w:rPr>
        <w:t>.</w:t>
      </w:r>
      <w:r>
        <w:rPr>
          <w:rFonts w:hint="eastAsia" w:ascii="宋体" w:hAnsi="宋体" w:cs="宋体"/>
          <w:color w:val="auto"/>
          <w:sz w:val="24"/>
        </w:rPr>
        <w:t>12“招标文件”指采购人或采购代理机构发布的招标文件。</w:t>
      </w:r>
    </w:p>
    <w:p w14:paraId="1ECD9F3C">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b/>
          <w:color w:val="auto"/>
          <w:sz w:val="24"/>
        </w:rPr>
        <w:t>.</w:t>
      </w:r>
      <w:r>
        <w:rPr>
          <w:rFonts w:hint="eastAsia" w:ascii="宋体" w:hAnsi="宋体" w:cs="宋体"/>
          <w:color w:val="auto"/>
          <w:sz w:val="24"/>
        </w:rPr>
        <w:t>13“投标文件”指供方按照采购代理机构招标文件的要求编制和递交，并最终被评标委员会接受的投标文件。</w:t>
      </w:r>
    </w:p>
    <w:p w14:paraId="7248EFAD">
      <w:pPr>
        <w:pageBreakBefore w:val="0"/>
        <w:kinsoku/>
        <w:overflowPunct/>
        <w:topLinePunct w:val="0"/>
        <w:bidi w:val="0"/>
        <w:spacing w:line="360" w:lineRule="auto"/>
        <w:ind w:left="0" w:leftChars="0" w:firstLine="0" w:firstLineChars="0"/>
        <w:textAlignment w:val="auto"/>
        <w:outlineLvl w:val="2"/>
        <w:rPr>
          <w:rFonts w:hint="eastAsia" w:ascii="宋体" w:hAnsi="宋体" w:cs="宋体"/>
          <w:b/>
          <w:color w:val="auto"/>
          <w:sz w:val="24"/>
        </w:rPr>
      </w:pPr>
      <w:r>
        <w:rPr>
          <w:rFonts w:hint="eastAsia" w:ascii="宋体" w:hAnsi="宋体" w:cs="宋体"/>
          <w:b/>
          <w:color w:val="auto"/>
          <w:sz w:val="24"/>
        </w:rPr>
        <w:t>2.技术规范与服务内容</w:t>
      </w:r>
    </w:p>
    <w:p w14:paraId="4982CFD6">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2.1投标服务的技术规范应与招标文件规定的技术规范（如果有的话）相一致。若无相应说明，则以国家有关部门最新颁布的相应标识及规范为准。</w:t>
      </w:r>
    </w:p>
    <w:p w14:paraId="28426089">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2.2 投标服务的服务内容应与招标文件规定服务内容及投标文件中的项目要求及投标响应表一致。</w:t>
      </w:r>
    </w:p>
    <w:p w14:paraId="5934BE43">
      <w:pPr>
        <w:pageBreakBefore w:val="0"/>
        <w:kinsoku/>
        <w:overflowPunct/>
        <w:topLinePunct w:val="0"/>
        <w:bidi w:val="0"/>
        <w:spacing w:line="360" w:lineRule="auto"/>
        <w:ind w:left="0" w:leftChars="0" w:firstLine="0" w:firstLineChars="0"/>
        <w:textAlignment w:val="auto"/>
        <w:outlineLvl w:val="2"/>
        <w:rPr>
          <w:rFonts w:hint="eastAsia" w:ascii="宋体" w:hAnsi="宋体" w:cs="宋体"/>
          <w:b/>
          <w:color w:val="auto"/>
          <w:sz w:val="24"/>
        </w:rPr>
      </w:pPr>
      <w:r>
        <w:rPr>
          <w:rFonts w:hint="eastAsia" w:ascii="宋体" w:hAnsi="宋体" w:cs="宋体"/>
          <w:b/>
          <w:color w:val="auto"/>
          <w:sz w:val="24"/>
        </w:rPr>
        <w:t>3.知识产权</w:t>
      </w:r>
    </w:p>
    <w:p w14:paraId="7FDE43E7">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3.1供方应保证需方在使用本政府采购合同项下的服务或其任何一部分时免受第三方提出侵犯其知识产权、商标权或工业设计权的起诉。如果发生此类问题，供方负责交涉、处理并承担由此引起的全部法律及经济责任。</w:t>
      </w:r>
    </w:p>
    <w:p w14:paraId="287F8B4D">
      <w:pPr>
        <w:pageBreakBefore w:val="0"/>
        <w:kinsoku/>
        <w:overflowPunct/>
        <w:topLinePunct w:val="0"/>
        <w:bidi w:val="0"/>
        <w:spacing w:line="360" w:lineRule="auto"/>
        <w:ind w:left="0" w:leftChars="0" w:firstLine="0" w:firstLineChars="0"/>
        <w:jc w:val="left"/>
        <w:textAlignment w:val="auto"/>
        <w:outlineLvl w:val="3"/>
        <w:rPr>
          <w:rFonts w:hint="eastAsia" w:ascii="宋体" w:hAnsi="宋体" w:cs="宋体"/>
          <w:color w:val="auto"/>
          <w:sz w:val="24"/>
        </w:rPr>
      </w:pPr>
      <w:r>
        <w:rPr>
          <w:rFonts w:hint="eastAsia" w:ascii="宋体" w:hAnsi="宋体" w:cs="宋体"/>
          <w:color w:val="auto"/>
          <w:sz w:val="24"/>
        </w:rPr>
        <w:t>3.2供方应保证所供服务符合国家的有关规定。</w:t>
      </w:r>
    </w:p>
    <w:p w14:paraId="56BAD733">
      <w:pPr>
        <w:pageBreakBefore w:val="0"/>
        <w:tabs>
          <w:tab w:val="left" w:pos="360"/>
        </w:tabs>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3.3供方保证，供方依据本政府采购合同提供的服务及相关的软件和技术资料，供方均已得到有关知识产权的权利人的合法授权，如发生涉及到专利权、著作权、商标权等争议，供方负责交涉、处理，并承担由此引起的全部法律及经济责任。</w:t>
      </w:r>
    </w:p>
    <w:p w14:paraId="72D0D368">
      <w:pPr>
        <w:pageBreakBefore w:val="0"/>
        <w:kinsoku/>
        <w:overflowPunct/>
        <w:topLinePunct w:val="0"/>
        <w:bidi w:val="0"/>
        <w:spacing w:line="360" w:lineRule="auto"/>
        <w:ind w:left="0" w:leftChars="0" w:firstLine="0" w:firstLineChars="0"/>
        <w:textAlignment w:val="auto"/>
        <w:outlineLvl w:val="2"/>
        <w:rPr>
          <w:rFonts w:hint="eastAsia" w:ascii="宋体" w:hAnsi="宋体" w:cs="宋体"/>
          <w:b/>
          <w:color w:val="auto"/>
          <w:sz w:val="24"/>
        </w:rPr>
      </w:pPr>
      <w:r>
        <w:rPr>
          <w:rFonts w:hint="eastAsia" w:ascii="宋体" w:hAnsi="宋体" w:cs="宋体"/>
          <w:b/>
          <w:color w:val="auto"/>
          <w:sz w:val="24"/>
        </w:rPr>
        <w:t>4.完成方式</w:t>
      </w:r>
    </w:p>
    <w:p w14:paraId="30A01885">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供方按照合同约定的时间、地点完成服务。</w:t>
      </w:r>
    </w:p>
    <w:p w14:paraId="667BE5F4">
      <w:pPr>
        <w:pageBreakBefore w:val="0"/>
        <w:kinsoku/>
        <w:overflowPunct/>
        <w:topLinePunct w:val="0"/>
        <w:bidi w:val="0"/>
        <w:spacing w:line="360" w:lineRule="auto"/>
        <w:ind w:left="0" w:leftChars="0" w:firstLine="0" w:firstLineChars="0"/>
        <w:textAlignment w:val="auto"/>
        <w:outlineLvl w:val="2"/>
        <w:rPr>
          <w:rFonts w:hint="eastAsia" w:ascii="宋体" w:hAnsi="宋体" w:cs="宋体"/>
          <w:b/>
          <w:color w:val="auto"/>
          <w:sz w:val="24"/>
        </w:rPr>
      </w:pPr>
      <w:r>
        <w:rPr>
          <w:rFonts w:hint="eastAsia" w:ascii="宋体" w:hAnsi="宋体" w:cs="宋体"/>
          <w:b/>
          <w:color w:val="auto"/>
          <w:sz w:val="24"/>
        </w:rPr>
        <w:t>5.付款</w:t>
      </w:r>
    </w:p>
    <w:p w14:paraId="3AACD532">
      <w:pPr>
        <w:pageBreakBefore w:val="0"/>
        <w:kinsoku/>
        <w:overflowPunct/>
        <w:topLinePunct w:val="0"/>
        <w:bidi w:val="0"/>
        <w:spacing w:line="360" w:lineRule="auto"/>
        <w:ind w:left="0" w:leftChars="0" w:firstLine="0" w:firstLineChars="0"/>
        <w:textAlignment w:val="auto"/>
        <w:outlineLvl w:val="3"/>
        <w:rPr>
          <w:rFonts w:hint="eastAsia" w:ascii="宋体" w:hAnsi="宋体" w:cs="宋体"/>
          <w:color w:val="auto"/>
          <w:sz w:val="24"/>
        </w:rPr>
      </w:pPr>
      <w:r>
        <w:rPr>
          <w:rFonts w:hint="eastAsia" w:ascii="宋体" w:hAnsi="宋体" w:cs="宋体"/>
          <w:color w:val="auto"/>
          <w:sz w:val="24"/>
        </w:rPr>
        <w:t>5.1政府采购合同以人民币付款。</w:t>
      </w:r>
    </w:p>
    <w:p w14:paraId="4249585E">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5.2在供方按照政府采购合同的规定履行服务后，需方按照合同约定的方式和条件付款。</w:t>
      </w:r>
    </w:p>
    <w:p w14:paraId="59AD784D">
      <w:pPr>
        <w:pageBreakBefore w:val="0"/>
        <w:kinsoku/>
        <w:overflowPunct/>
        <w:topLinePunct w:val="0"/>
        <w:bidi w:val="0"/>
        <w:spacing w:line="360" w:lineRule="auto"/>
        <w:ind w:left="0" w:leftChars="0" w:firstLine="0" w:firstLineChars="0"/>
        <w:textAlignment w:val="auto"/>
        <w:outlineLvl w:val="2"/>
        <w:rPr>
          <w:rFonts w:hint="eastAsia" w:ascii="宋体" w:hAnsi="宋体" w:cs="宋体"/>
          <w:b/>
          <w:color w:val="auto"/>
          <w:sz w:val="24"/>
        </w:rPr>
      </w:pPr>
      <w:r>
        <w:rPr>
          <w:rFonts w:hint="eastAsia" w:ascii="宋体" w:hAnsi="宋体" w:cs="宋体"/>
          <w:b/>
          <w:color w:val="auto"/>
          <w:sz w:val="24"/>
        </w:rPr>
        <w:t>6.服务质量</w:t>
      </w:r>
    </w:p>
    <w:p w14:paraId="6C472066">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6.1供方应保证政府采购合同项下所供服务是由供方提供的，并完全符合强制性的国家技术质量规范和政府采购合同规定的质量、性能和技术规范等要求。</w:t>
      </w:r>
    </w:p>
    <w:p w14:paraId="70BF8A07">
      <w:pPr>
        <w:pageBreakBefore w:val="0"/>
        <w:kinsoku/>
        <w:overflowPunct/>
        <w:topLinePunct w:val="0"/>
        <w:bidi w:val="0"/>
        <w:spacing w:line="360" w:lineRule="auto"/>
        <w:ind w:left="0" w:leftChars="0" w:firstLine="0" w:firstLineChars="0"/>
        <w:textAlignment w:val="auto"/>
        <w:outlineLvl w:val="3"/>
        <w:rPr>
          <w:rFonts w:hint="eastAsia" w:ascii="宋体" w:hAnsi="宋体" w:cs="宋体"/>
          <w:color w:val="auto"/>
          <w:sz w:val="24"/>
        </w:rPr>
      </w:pPr>
      <w:r>
        <w:rPr>
          <w:rFonts w:hint="eastAsia" w:ascii="宋体" w:hAnsi="宋体" w:cs="宋体"/>
          <w:color w:val="auto"/>
          <w:sz w:val="24"/>
        </w:rPr>
        <w:t>6.2供方提供的服务质量应满足行业一般标准，符合合同约定。</w:t>
      </w:r>
    </w:p>
    <w:p w14:paraId="3309922C">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6.3需方有权对供方的服务质量进行监督，发现服务存在不符合合同标准的情形的，可以要求供方改正服务方式、替换服务人员等补救方式，供方应按需方要求改正，并赔偿需方实际损失。</w:t>
      </w:r>
    </w:p>
    <w:p w14:paraId="4BCD6310">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6.4对于委托开发等最终以产品形式交付需方使用的服务，供方需按照招标文件要求对产品提供售后服务及质量保证，供方投标文件承诺的售后服务及质量保证优于招标文件要求的，以投标文件承诺的售后服务及质量保证为准。</w:t>
      </w:r>
    </w:p>
    <w:p w14:paraId="425F3548">
      <w:pPr>
        <w:pageBreakBefore w:val="0"/>
        <w:kinsoku/>
        <w:overflowPunct/>
        <w:topLinePunct w:val="0"/>
        <w:bidi w:val="0"/>
        <w:spacing w:line="360" w:lineRule="auto"/>
        <w:ind w:left="0" w:leftChars="0" w:firstLine="0" w:firstLineChars="0"/>
        <w:textAlignment w:val="auto"/>
        <w:outlineLvl w:val="2"/>
        <w:rPr>
          <w:rFonts w:hint="eastAsia" w:ascii="宋体" w:hAnsi="宋体" w:cs="宋体"/>
          <w:b/>
          <w:color w:val="auto"/>
          <w:sz w:val="24"/>
        </w:rPr>
      </w:pPr>
      <w:r>
        <w:rPr>
          <w:rFonts w:hint="eastAsia" w:ascii="宋体" w:hAnsi="宋体" w:cs="宋体"/>
          <w:b/>
          <w:color w:val="auto"/>
          <w:sz w:val="24"/>
        </w:rPr>
        <w:t>7.技术服务和保修责任</w:t>
      </w:r>
    </w:p>
    <w:p w14:paraId="7F0CAFFB">
      <w:pPr>
        <w:pageBreakBefore w:val="0"/>
        <w:kinsoku/>
        <w:overflowPunct/>
        <w:topLinePunct w:val="0"/>
        <w:bidi w:val="0"/>
        <w:spacing w:line="360" w:lineRule="auto"/>
        <w:ind w:left="0" w:leftChars="0" w:firstLine="0" w:firstLineChars="0"/>
        <w:textAlignment w:val="auto"/>
        <w:outlineLvl w:val="3"/>
        <w:rPr>
          <w:rFonts w:hint="eastAsia" w:ascii="宋体" w:hAnsi="宋体" w:cs="宋体"/>
          <w:color w:val="auto"/>
          <w:sz w:val="24"/>
        </w:rPr>
      </w:pPr>
      <w:r>
        <w:rPr>
          <w:rFonts w:hint="eastAsia" w:ascii="宋体" w:hAnsi="宋体" w:cs="宋体"/>
          <w:color w:val="auto"/>
          <w:sz w:val="24"/>
        </w:rPr>
        <w:t>7.1本条适用于委托开发等最终以产品形式交付需方使用的服务。</w:t>
      </w:r>
    </w:p>
    <w:p w14:paraId="11FB037C">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7.2供方对交付的产品的保修期，以招标文件中的规定为准，如果投标文件中的承诺优于招标文件规定，则以投标文件为准。</w:t>
      </w:r>
    </w:p>
    <w:p w14:paraId="422A7864">
      <w:pPr>
        <w:pageBreakBefore w:val="0"/>
        <w:kinsoku/>
        <w:overflowPunct/>
        <w:topLinePunct w:val="0"/>
        <w:bidi w:val="0"/>
        <w:spacing w:line="360" w:lineRule="auto"/>
        <w:ind w:left="0" w:leftChars="0" w:firstLine="0" w:firstLineChars="0"/>
        <w:textAlignment w:val="auto"/>
        <w:outlineLvl w:val="3"/>
        <w:rPr>
          <w:rFonts w:hint="eastAsia" w:ascii="宋体" w:hAnsi="宋体" w:cs="宋体"/>
          <w:color w:val="auto"/>
          <w:sz w:val="24"/>
        </w:rPr>
      </w:pPr>
      <w:r>
        <w:rPr>
          <w:rFonts w:hint="eastAsia" w:ascii="宋体" w:hAnsi="宋体" w:cs="宋体"/>
          <w:color w:val="auto"/>
          <w:sz w:val="24"/>
        </w:rPr>
        <w:t>7.3投标人应按如下内容提供售后服务承诺书：</w:t>
      </w:r>
    </w:p>
    <w:p w14:paraId="7DB0597A">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7.2.1产品经过试运行期，所有性能指标达到技术规范书的要求时，可按招标文件、投标文件内容进行初验。在试运行期间，由于产品质量等造成某些指标达不到要求，供方须更换或进行修复，试运行期重新计算。</w:t>
      </w:r>
    </w:p>
    <w:p w14:paraId="7BA707E3">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7.2.2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14:paraId="76E19074">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7.2.3保修期间供方要保修除消耗品以外的所有产品。如果系统、设备等发生故障，供方要调查故障原因并修复直至满足最终验收指标和性能的要求，或者修理、更换整个或部分有缺陷的材料。</w:t>
      </w:r>
    </w:p>
    <w:p w14:paraId="1800B833">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7.2.4保修期内，供方提供电话、电子邮件、Web、现场服务等方式的技术支持，对用户的现场服务要求，供方必须按投标文件做出的承诺进行响应。</w:t>
      </w:r>
    </w:p>
    <w:p w14:paraId="5D6277FD">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7.2.5保修期内，供方应对出现故障无法修复的产品或无法正常运行的系统，提供替代产品以保证系统的正常工作。</w:t>
      </w:r>
    </w:p>
    <w:p w14:paraId="118661CA">
      <w:pPr>
        <w:pageBreakBefore w:val="0"/>
        <w:kinsoku/>
        <w:overflowPunct/>
        <w:topLinePunct w:val="0"/>
        <w:bidi w:val="0"/>
        <w:spacing w:line="360" w:lineRule="auto"/>
        <w:ind w:left="0" w:leftChars="0" w:firstLine="0" w:firstLineChars="0"/>
        <w:textAlignment w:val="auto"/>
        <w:outlineLvl w:val="4"/>
        <w:rPr>
          <w:rFonts w:hint="eastAsia" w:ascii="宋体" w:hAnsi="宋体" w:cs="宋体"/>
          <w:color w:val="auto"/>
          <w:sz w:val="24"/>
        </w:rPr>
      </w:pPr>
      <w:r>
        <w:rPr>
          <w:rFonts w:hint="eastAsia" w:ascii="宋体" w:hAnsi="宋体" w:cs="宋体"/>
          <w:color w:val="auto"/>
          <w:sz w:val="24"/>
        </w:rPr>
        <w:t>7.2.6保修期内，供方应投标时的承诺提供相关服务。</w:t>
      </w:r>
    </w:p>
    <w:p w14:paraId="7911EC18">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7.2.7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062C7B5A">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7.2.8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14:paraId="21399A1B">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7.2.9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质尚未支付的政府采购合同价款中扣除。如果这些金额不足以补偿，需方有权向供方提出不足部分的赔偿要求。货物经维修或更换后仍无法达到约定质量要求和技术标准，需方有权退货并向供方索赔。</w:t>
      </w:r>
    </w:p>
    <w:p w14:paraId="472F8BED">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7.2.10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14:paraId="38F11592">
      <w:pPr>
        <w:pageBreakBefore w:val="0"/>
        <w:kinsoku/>
        <w:overflowPunct/>
        <w:topLinePunct w:val="0"/>
        <w:bidi w:val="0"/>
        <w:spacing w:line="360" w:lineRule="auto"/>
        <w:ind w:left="0" w:leftChars="0" w:firstLine="0" w:firstLineChars="0"/>
        <w:textAlignment w:val="auto"/>
        <w:outlineLvl w:val="2"/>
        <w:rPr>
          <w:rFonts w:hint="eastAsia" w:ascii="宋体" w:hAnsi="宋体" w:cs="宋体"/>
          <w:b/>
          <w:color w:val="auto"/>
          <w:sz w:val="24"/>
        </w:rPr>
      </w:pPr>
      <w:r>
        <w:rPr>
          <w:rFonts w:hint="eastAsia" w:ascii="宋体" w:hAnsi="宋体" w:cs="宋体"/>
          <w:b/>
          <w:color w:val="auto"/>
          <w:sz w:val="24"/>
        </w:rPr>
        <w:t>8.检验和验收</w:t>
      </w:r>
    </w:p>
    <w:p w14:paraId="572D3D37">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8.1完成服务后，需方或采购代理机构（由具体项目决定）应在政府采购合同规定的时间内组织验收，并在“验收书”上签字。“验收书”将作为申请付款文件的一部分。</w:t>
      </w:r>
    </w:p>
    <w:p w14:paraId="0CB5397E">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8.2对于委托开发等最终以产品形式交付需方使用的服务，保修期自验收书签署之日起计算。</w:t>
      </w:r>
    </w:p>
    <w:p w14:paraId="00E9578B">
      <w:pPr>
        <w:pageBreakBefore w:val="0"/>
        <w:tabs>
          <w:tab w:val="left" w:pos="360"/>
        </w:tabs>
        <w:kinsoku/>
        <w:overflowPunct/>
        <w:topLinePunct w:val="0"/>
        <w:bidi w:val="0"/>
        <w:spacing w:line="360" w:lineRule="auto"/>
        <w:ind w:left="0" w:leftChars="0" w:firstLine="0" w:firstLineChars="0"/>
        <w:textAlignment w:val="auto"/>
        <w:outlineLvl w:val="2"/>
        <w:rPr>
          <w:rFonts w:hint="eastAsia" w:ascii="宋体" w:hAnsi="宋体" w:cs="宋体"/>
          <w:b/>
          <w:color w:val="auto"/>
          <w:sz w:val="24"/>
        </w:rPr>
      </w:pPr>
      <w:r>
        <w:rPr>
          <w:rFonts w:hint="eastAsia" w:ascii="宋体" w:hAnsi="宋体" w:cs="宋体"/>
          <w:b/>
          <w:color w:val="auto"/>
          <w:sz w:val="24"/>
        </w:rPr>
        <w:t>9.违约责任</w:t>
      </w:r>
    </w:p>
    <w:p w14:paraId="23699E93">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9.1如果供方未按照政府采购合同规定的要求提供服务；或供方未能履行政府采购合同规定的任何其它义务时，需方有权向供方发出违约通知书，供方应按照需方选择的下列一种或多种方式承担赔偿责任：</w:t>
      </w:r>
    </w:p>
    <w:p w14:paraId="4751D35A">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9.1.1在需方同意延长的期限内提供服务并承担由此给需方造成的一切损失；</w:t>
      </w:r>
    </w:p>
    <w:p w14:paraId="35C6B4B5">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9.1.2在需方规定的时间内，用符合政府采购合同规定的服务以达到政府采购合同规定的要求，供方应承担由此发生的一切费用和风险。此时，相关服务的期限也应相应延长；</w:t>
      </w:r>
    </w:p>
    <w:p w14:paraId="494AC69E">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9.1.3需方有权部分或全部解除政府采购合同并要求供方赔偿由此造成的损失。此时需方可采取必要的补救措施，相关费用由供方承担。</w:t>
      </w:r>
    </w:p>
    <w:p w14:paraId="0C8B8057">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9.2如果供方在收到需方的违约通知书后10日内未作答复也没有按照需方选择的方式承担违约责任，则需方有权从履约保证金（如有）、尚未支付的政府采购合同价款中扣回索赔金额。如果这些金额不足以补偿，需方有权向供方提出不足部分的赔偿要求。</w:t>
      </w:r>
    </w:p>
    <w:p w14:paraId="1A9FB134">
      <w:pPr>
        <w:pageBreakBefore w:val="0"/>
        <w:kinsoku/>
        <w:overflowPunct/>
        <w:topLinePunct w:val="0"/>
        <w:bidi w:val="0"/>
        <w:spacing w:line="360" w:lineRule="auto"/>
        <w:ind w:left="0" w:leftChars="0" w:firstLine="0" w:firstLineChars="0"/>
        <w:textAlignment w:val="auto"/>
        <w:outlineLvl w:val="3"/>
        <w:rPr>
          <w:rFonts w:hint="eastAsia" w:ascii="宋体" w:hAnsi="宋体" w:cs="宋体"/>
          <w:color w:val="auto"/>
          <w:sz w:val="24"/>
        </w:rPr>
      </w:pPr>
      <w:r>
        <w:rPr>
          <w:rFonts w:hint="eastAsia" w:ascii="宋体" w:hAnsi="宋体" w:cs="宋体"/>
          <w:color w:val="auto"/>
          <w:sz w:val="24"/>
        </w:rPr>
        <w:t>9.3延期服务的违约责任</w:t>
      </w:r>
    </w:p>
    <w:p w14:paraId="22F2FDCF">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9.3.1除本合同条款第9条规定外，如果供方没有按照政府采购合同规定的时间提供服务，需方可要求供方支付违约金。违约金按照每周未提供服务费用的0.5%计收，但违约金的最高限额为未提供服务的合同价格的5%。一周按7天计算，不足7天按一周计算。如果达到最高限额，需方有权解除政府采购合同。</w:t>
      </w:r>
    </w:p>
    <w:p w14:paraId="0064D2C7">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8.4以上各项交付的违约金并不影响违约方履行政府采购合同的各项义务。</w:t>
      </w:r>
    </w:p>
    <w:p w14:paraId="15AD371C">
      <w:pPr>
        <w:pageBreakBefore w:val="0"/>
        <w:kinsoku/>
        <w:overflowPunct/>
        <w:topLinePunct w:val="0"/>
        <w:bidi w:val="0"/>
        <w:spacing w:line="360" w:lineRule="auto"/>
        <w:ind w:left="0" w:leftChars="0" w:firstLine="0" w:firstLineChars="0"/>
        <w:textAlignment w:val="auto"/>
        <w:outlineLvl w:val="2"/>
        <w:rPr>
          <w:rFonts w:hint="eastAsia" w:ascii="宋体" w:hAnsi="宋体" w:cs="宋体"/>
          <w:b/>
          <w:color w:val="auto"/>
          <w:sz w:val="24"/>
        </w:rPr>
      </w:pPr>
      <w:r>
        <w:rPr>
          <w:rFonts w:hint="eastAsia" w:ascii="宋体" w:hAnsi="宋体" w:cs="宋体"/>
          <w:b/>
          <w:color w:val="auto"/>
          <w:sz w:val="24"/>
        </w:rPr>
        <w:t>10.不可抗力</w:t>
      </w:r>
    </w:p>
    <w:p w14:paraId="6D1AE050">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10.1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14:paraId="61043C3A">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10.2本条所述的“不可抗力”系指那些双方无法控制，不可预见的事件，但不包括双方的违约或疏忽。这些事件包括但不限于：战争、严重火灾、洪水、台风、地震。</w:t>
      </w:r>
    </w:p>
    <w:p w14:paraId="46AD5FAA">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10.3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14:paraId="07186D62">
      <w:pPr>
        <w:pageBreakBefore w:val="0"/>
        <w:kinsoku/>
        <w:overflowPunct/>
        <w:topLinePunct w:val="0"/>
        <w:bidi w:val="0"/>
        <w:spacing w:line="360" w:lineRule="auto"/>
        <w:ind w:left="0" w:leftChars="0" w:firstLine="0" w:firstLineChars="0"/>
        <w:textAlignment w:val="auto"/>
        <w:outlineLvl w:val="2"/>
        <w:rPr>
          <w:rFonts w:hint="eastAsia" w:ascii="宋体" w:hAnsi="宋体" w:cs="宋体"/>
          <w:b/>
          <w:color w:val="auto"/>
          <w:sz w:val="24"/>
        </w:rPr>
      </w:pPr>
      <w:r>
        <w:rPr>
          <w:rFonts w:hint="eastAsia" w:ascii="宋体" w:hAnsi="宋体" w:cs="宋体"/>
          <w:b/>
          <w:color w:val="auto"/>
          <w:sz w:val="24"/>
        </w:rPr>
        <w:t>11.争端的解决</w:t>
      </w:r>
    </w:p>
    <w:p w14:paraId="45F9F66A">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11.1需方和供方应通过友好协商，解决在执行本政府采购合同过程中所发生的或与本政府采购合同有关的一切争端。</w:t>
      </w:r>
    </w:p>
    <w:p w14:paraId="17D10AAE">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11.2如果协商不成，双方中的任何一方可向需方所在地的人民法院提起诉讼。</w:t>
      </w:r>
    </w:p>
    <w:p w14:paraId="4A20C5C5">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11.3因政府采购合同部分履行引发诉讼的，在诉讼期间，除正在进行诉讼的部分外，本政府采购合同的其它部分应继续执行。</w:t>
      </w:r>
    </w:p>
    <w:p w14:paraId="23CA316B">
      <w:pPr>
        <w:pageBreakBefore w:val="0"/>
        <w:kinsoku/>
        <w:overflowPunct/>
        <w:topLinePunct w:val="0"/>
        <w:bidi w:val="0"/>
        <w:spacing w:line="360" w:lineRule="auto"/>
        <w:ind w:left="0" w:leftChars="0" w:firstLine="0" w:firstLineChars="0"/>
        <w:textAlignment w:val="auto"/>
        <w:outlineLvl w:val="2"/>
        <w:rPr>
          <w:rFonts w:hint="eastAsia" w:ascii="宋体" w:hAnsi="宋体" w:cs="宋体"/>
          <w:b/>
          <w:color w:val="auto"/>
          <w:sz w:val="24"/>
        </w:rPr>
      </w:pPr>
      <w:r>
        <w:rPr>
          <w:rFonts w:hint="eastAsia" w:ascii="宋体" w:hAnsi="宋体" w:cs="宋体"/>
          <w:b/>
          <w:color w:val="auto"/>
          <w:sz w:val="24"/>
        </w:rPr>
        <w:t>12.违约终止政府采购合同</w:t>
      </w:r>
    </w:p>
    <w:p w14:paraId="4D9217B4">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12.1在需方因供方违约而按政府采购合同约定采取的任何补救措施不起作用的情况下，需方可在下列情况下向供方发出书面通知，提出终止部分或全部政府采购合同。</w:t>
      </w:r>
    </w:p>
    <w:p w14:paraId="6BDDB562">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12.1.1如果供方未能在政府采购合同规定的限期或需方同意延长的限期内提供部分或全部服务；</w:t>
      </w:r>
    </w:p>
    <w:p w14:paraId="2B8ED793">
      <w:pPr>
        <w:pageBreakBefore w:val="0"/>
        <w:kinsoku/>
        <w:overflowPunct/>
        <w:topLinePunct w:val="0"/>
        <w:bidi w:val="0"/>
        <w:spacing w:line="360" w:lineRule="auto"/>
        <w:ind w:left="0" w:leftChars="0" w:firstLine="0" w:firstLineChars="0"/>
        <w:textAlignment w:val="auto"/>
        <w:outlineLvl w:val="3"/>
        <w:rPr>
          <w:rFonts w:hint="eastAsia" w:ascii="宋体" w:hAnsi="宋体" w:cs="宋体"/>
          <w:color w:val="auto"/>
          <w:sz w:val="24"/>
        </w:rPr>
      </w:pPr>
      <w:r>
        <w:rPr>
          <w:rFonts w:hint="eastAsia" w:ascii="宋体" w:hAnsi="宋体" w:cs="宋体"/>
          <w:color w:val="auto"/>
          <w:sz w:val="24"/>
        </w:rPr>
        <w:t>12.1.2如果供方未能履行政府采购合同规定的其它任何义务。</w:t>
      </w:r>
    </w:p>
    <w:p w14:paraId="062AFD37">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12.1.3未经需方事先书面同意，供方部分转让和分包或全部转让和分包其应履行的政府采购合同义务。</w:t>
      </w:r>
    </w:p>
    <w:p w14:paraId="24339A26">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12.2 如果需方根据上述规定，终止了全部或部分政府采购合同，需方可以依其认为适当的条件和方法购买与未履行服务类似的服务，供方应对购买类似服务所超出的那部分费用负责。供方应继续履行政府采购合同中未终止的部分。</w:t>
      </w:r>
    </w:p>
    <w:p w14:paraId="51B3F956">
      <w:pPr>
        <w:pageBreakBefore w:val="0"/>
        <w:kinsoku/>
        <w:overflowPunct/>
        <w:topLinePunct w:val="0"/>
        <w:bidi w:val="0"/>
        <w:spacing w:line="360" w:lineRule="auto"/>
        <w:ind w:left="0" w:leftChars="0" w:firstLine="0" w:firstLineChars="0"/>
        <w:textAlignment w:val="auto"/>
        <w:outlineLvl w:val="2"/>
        <w:rPr>
          <w:rFonts w:hint="eastAsia" w:ascii="宋体" w:hAnsi="宋体" w:cs="宋体"/>
          <w:b/>
          <w:color w:val="auto"/>
          <w:sz w:val="24"/>
        </w:rPr>
      </w:pPr>
      <w:r>
        <w:rPr>
          <w:rFonts w:hint="eastAsia" w:ascii="宋体" w:hAnsi="宋体" w:cs="宋体"/>
          <w:b/>
          <w:color w:val="auto"/>
          <w:sz w:val="24"/>
        </w:rPr>
        <w:t>13.政府采购法对政府采购合同变更终止的规定</w:t>
      </w:r>
    </w:p>
    <w:p w14:paraId="7C82D6EA">
      <w:pPr>
        <w:pageBreakBefore w:val="0"/>
        <w:kinsoku/>
        <w:overflowPunct/>
        <w:topLinePunct w:val="0"/>
        <w:bidi w:val="0"/>
        <w:spacing w:line="360" w:lineRule="auto"/>
        <w:ind w:left="0" w:leftChars="0" w:firstLine="0" w:firstLineChars="0"/>
        <w:textAlignment w:val="auto"/>
        <w:rPr>
          <w:rFonts w:hint="eastAsia" w:ascii="宋体" w:hAnsi="宋体" w:cs="宋体"/>
          <w:b/>
          <w:color w:val="auto"/>
          <w:sz w:val="24"/>
        </w:rPr>
      </w:pPr>
      <w:r>
        <w:rPr>
          <w:rFonts w:hint="eastAsia" w:ascii="宋体" w:hAnsi="宋体" w:cs="宋体"/>
          <w:color w:val="auto"/>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p>
    <w:p w14:paraId="1E65A2EC">
      <w:pPr>
        <w:pageBreakBefore w:val="0"/>
        <w:kinsoku/>
        <w:overflowPunct/>
        <w:topLinePunct w:val="0"/>
        <w:bidi w:val="0"/>
        <w:spacing w:line="360" w:lineRule="auto"/>
        <w:ind w:left="0" w:leftChars="0" w:firstLine="0" w:firstLineChars="0"/>
        <w:textAlignment w:val="auto"/>
        <w:outlineLvl w:val="2"/>
        <w:rPr>
          <w:rFonts w:hint="eastAsia" w:ascii="宋体" w:hAnsi="宋体" w:cs="宋体"/>
          <w:b/>
          <w:color w:val="auto"/>
          <w:sz w:val="24"/>
        </w:rPr>
      </w:pPr>
      <w:r>
        <w:rPr>
          <w:rFonts w:hint="eastAsia" w:ascii="宋体" w:hAnsi="宋体" w:cs="宋体"/>
          <w:b/>
          <w:color w:val="auto"/>
          <w:sz w:val="24"/>
        </w:rPr>
        <w:t>14.政府采购合同转让和分包</w:t>
      </w:r>
    </w:p>
    <w:p w14:paraId="1CF14B0E">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除招标文件规定,并经需方事先书面同意外，供方不得部分转让和分包或全部转让和分包其应履行的政府采购合同义务。</w:t>
      </w:r>
    </w:p>
    <w:p w14:paraId="35F32DD7">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b/>
          <w:color w:val="auto"/>
          <w:sz w:val="24"/>
        </w:rPr>
        <w:t>15.适用法律：</w:t>
      </w:r>
      <w:r>
        <w:rPr>
          <w:rFonts w:hint="eastAsia" w:ascii="宋体" w:hAnsi="宋体" w:cs="宋体"/>
          <w:color w:val="auto"/>
          <w:sz w:val="24"/>
        </w:rPr>
        <w:t>本政府采购合同按照中华人民共和国的现行法律进行解释。</w:t>
      </w:r>
    </w:p>
    <w:p w14:paraId="1EAB3249">
      <w:pPr>
        <w:pageBreakBefore w:val="0"/>
        <w:kinsoku/>
        <w:overflowPunct/>
        <w:topLinePunct w:val="0"/>
        <w:bidi w:val="0"/>
        <w:spacing w:line="360" w:lineRule="auto"/>
        <w:ind w:left="0" w:leftChars="0" w:firstLine="0" w:firstLineChars="0"/>
        <w:textAlignment w:val="auto"/>
        <w:outlineLvl w:val="2"/>
        <w:rPr>
          <w:rFonts w:hint="eastAsia" w:ascii="宋体" w:hAnsi="宋体" w:cs="宋体"/>
          <w:b/>
          <w:color w:val="auto"/>
          <w:sz w:val="24"/>
        </w:rPr>
      </w:pPr>
      <w:r>
        <w:rPr>
          <w:rFonts w:hint="eastAsia" w:ascii="宋体" w:hAnsi="宋体" w:cs="宋体"/>
          <w:b/>
          <w:color w:val="auto"/>
          <w:sz w:val="24"/>
        </w:rPr>
        <w:t>16.政府采购合同生效</w:t>
      </w:r>
    </w:p>
    <w:p w14:paraId="117C851E">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16.1本政府采购合同在工序双方法定代表人或其授权代理人签字和加盖公章后生效。</w:t>
      </w:r>
    </w:p>
    <w:p w14:paraId="454A18B7">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 xml:space="preserve">16.2本政府采购合同一式五份，需方执二份，供方、采购代理机构、财政部门各执一份。 </w:t>
      </w:r>
    </w:p>
    <w:p w14:paraId="6B3DC2B7">
      <w:pPr>
        <w:pageBreakBefore w:val="0"/>
        <w:kinsoku/>
        <w:overflowPunct/>
        <w:topLinePunct w:val="0"/>
        <w:bidi w:val="0"/>
        <w:spacing w:line="360" w:lineRule="auto"/>
        <w:ind w:left="0" w:leftChars="0" w:firstLine="0" w:firstLineChars="0"/>
        <w:textAlignment w:val="auto"/>
        <w:outlineLvl w:val="2"/>
        <w:rPr>
          <w:rFonts w:hint="eastAsia" w:ascii="宋体" w:hAnsi="宋体" w:cs="宋体"/>
          <w:b/>
          <w:color w:val="auto"/>
          <w:sz w:val="24"/>
        </w:rPr>
      </w:pPr>
      <w:r>
        <w:rPr>
          <w:rFonts w:hint="eastAsia" w:ascii="宋体" w:hAnsi="宋体" w:cs="宋体"/>
          <w:b/>
          <w:color w:val="auto"/>
          <w:sz w:val="24"/>
        </w:rPr>
        <w:t>17.政府采购合同附件</w:t>
      </w:r>
    </w:p>
    <w:p w14:paraId="6331E6BF">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下列文件构成本政府采购合同不可分割的组成部分，与本政府采购合同具有同等法律效力：</w:t>
      </w:r>
    </w:p>
    <w:p w14:paraId="1E3BEFBF">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17.1招标文件；</w:t>
      </w:r>
    </w:p>
    <w:p w14:paraId="1CCCBABB">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17.2招标文件的更正公告、变更公告；</w:t>
      </w:r>
    </w:p>
    <w:p w14:paraId="47D04976">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 xml:space="preserve">17.3中标供应商提交的投标文件；        </w:t>
      </w:r>
    </w:p>
    <w:p w14:paraId="1677AF91">
      <w:pPr>
        <w:pageBreakBefore w:val="0"/>
        <w:kinsoku/>
        <w:overflowPunct/>
        <w:topLinePunct w:val="0"/>
        <w:bidi w:val="0"/>
        <w:spacing w:line="360" w:lineRule="auto"/>
        <w:ind w:left="0" w:leftChars="0" w:firstLine="0" w:firstLineChars="0"/>
        <w:jc w:val="left"/>
        <w:textAlignment w:val="auto"/>
        <w:rPr>
          <w:rFonts w:hint="eastAsia" w:ascii="宋体" w:hAnsi="宋体" w:cs="宋体"/>
          <w:color w:val="auto"/>
          <w:sz w:val="24"/>
        </w:rPr>
      </w:pPr>
      <w:r>
        <w:rPr>
          <w:rFonts w:hint="eastAsia" w:ascii="宋体" w:hAnsi="宋体" w:cs="宋体"/>
          <w:color w:val="auto"/>
          <w:sz w:val="24"/>
        </w:rPr>
        <w:t>17.4政府采购合同条款；</w:t>
      </w:r>
    </w:p>
    <w:p w14:paraId="66A63187">
      <w:pPr>
        <w:pageBreakBefore w:val="0"/>
        <w:kinsoku/>
        <w:overflowPunct/>
        <w:topLinePunct w:val="0"/>
        <w:bidi w:val="0"/>
        <w:spacing w:line="360" w:lineRule="auto"/>
        <w:ind w:left="0" w:leftChars="0" w:firstLine="0" w:firstLineChars="0"/>
        <w:textAlignment w:val="auto"/>
        <w:rPr>
          <w:rFonts w:hint="eastAsia" w:ascii="宋体" w:hAnsi="宋体" w:cs="宋体"/>
          <w:color w:val="auto"/>
          <w:sz w:val="24"/>
        </w:rPr>
      </w:pPr>
      <w:r>
        <w:rPr>
          <w:rFonts w:hint="eastAsia" w:ascii="宋体" w:hAnsi="宋体" w:cs="宋体"/>
          <w:color w:val="auto"/>
          <w:sz w:val="24"/>
        </w:rPr>
        <w:t>17.5中标通知书；</w:t>
      </w:r>
    </w:p>
    <w:p w14:paraId="68DBC29A">
      <w:pPr>
        <w:rPr>
          <w:rFonts w:hAnsi="宋体"/>
          <w:b/>
          <w:color w:val="auto"/>
        </w:rPr>
      </w:pPr>
      <w:r>
        <w:rPr>
          <w:rFonts w:hint="eastAsia" w:ascii="宋体" w:hAnsi="宋体" w:cs="宋体"/>
          <w:color w:val="auto"/>
          <w:sz w:val="24"/>
        </w:rPr>
        <w:t>17.6政府采购合同的其它附件。</w:t>
      </w:r>
      <w:r>
        <w:rPr>
          <w:rFonts w:hAnsi="宋体"/>
          <w:b/>
          <w:color w:val="auto"/>
        </w:rPr>
        <w:br w:type="page"/>
      </w:r>
      <w:bookmarkStart w:id="336" w:name="_Toc728"/>
      <w:bookmarkStart w:id="337" w:name="_Toc2582307"/>
      <w:bookmarkStart w:id="338" w:name="_Toc702"/>
      <w:bookmarkStart w:id="339" w:name="_Toc532473493"/>
      <w:bookmarkStart w:id="340" w:name="_Toc216582812"/>
      <w:bookmarkStart w:id="341" w:name="_Toc3247"/>
      <w:bookmarkStart w:id="342" w:name="_Toc515647802"/>
    </w:p>
    <w:p w14:paraId="36B5933C">
      <w:pPr>
        <w:pageBreakBefore w:val="0"/>
        <w:kinsoku/>
        <w:overflowPunct/>
        <w:topLinePunct w:val="0"/>
        <w:bidi w:val="0"/>
        <w:spacing w:line="360" w:lineRule="auto"/>
        <w:ind w:left="0" w:leftChars="0" w:firstLine="0" w:firstLineChars="0"/>
        <w:jc w:val="center"/>
        <w:textAlignment w:val="auto"/>
        <w:rPr>
          <w:rFonts w:hint="eastAsia" w:ascii="宋体" w:hAnsi="宋体"/>
          <w:b/>
          <w:color w:val="auto"/>
          <w:sz w:val="32"/>
        </w:rPr>
      </w:pPr>
      <w:r>
        <w:rPr>
          <w:rFonts w:hint="eastAsia" w:ascii="宋体" w:hAnsi="宋体"/>
          <w:b/>
          <w:color w:val="auto"/>
          <w:sz w:val="32"/>
        </w:rPr>
        <w:t>第七章  投标文件格式</w:t>
      </w:r>
      <w:bookmarkEnd w:id="336"/>
      <w:bookmarkEnd w:id="337"/>
      <w:bookmarkEnd w:id="338"/>
      <w:bookmarkEnd w:id="339"/>
      <w:bookmarkEnd w:id="340"/>
      <w:bookmarkEnd w:id="341"/>
      <w:bookmarkEnd w:id="342"/>
    </w:p>
    <w:p w14:paraId="686AC5FA">
      <w:pPr>
        <w:pageBreakBefore w:val="0"/>
        <w:tabs>
          <w:tab w:val="left" w:pos="5580"/>
        </w:tabs>
        <w:kinsoku/>
        <w:overflowPunct/>
        <w:topLinePunct w:val="0"/>
        <w:bidi w:val="0"/>
        <w:spacing w:line="360" w:lineRule="auto"/>
        <w:ind w:left="0" w:leftChars="0" w:firstLine="0" w:firstLineChars="0"/>
        <w:jc w:val="center"/>
        <w:textAlignment w:val="auto"/>
        <w:outlineLvl w:val="3"/>
        <w:rPr>
          <w:rFonts w:ascii="宋体" w:hAnsi="宋体"/>
          <w:b/>
          <w:bCs/>
          <w:color w:val="auto"/>
          <w:sz w:val="24"/>
        </w:rPr>
      </w:pPr>
      <w:bookmarkStart w:id="343" w:name="_Toc18974"/>
      <w:bookmarkStart w:id="344" w:name="_Toc18694"/>
      <w:bookmarkStart w:id="345" w:name="_Toc2582308"/>
      <w:bookmarkStart w:id="346" w:name="_Toc515647803"/>
      <w:bookmarkStart w:id="347" w:name="_Toc532473494"/>
      <w:bookmarkStart w:id="348" w:name="_Toc15718"/>
      <w:r>
        <w:rPr>
          <w:rFonts w:ascii="宋体" w:hAnsi="宋体"/>
          <w:b/>
          <w:bCs/>
          <w:color w:val="auto"/>
          <w:sz w:val="24"/>
        </w:rPr>
        <w:t xml:space="preserve">第一部分 </w:t>
      </w:r>
      <w:r>
        <w:rPr>
          <w:rFonts w:hint="eastAsia" w:ascii="宋体" w:hAnsi="宋体"/>
          <w:b/>
          <w:bCs/>
          <w:color w:val="auto"/>
          <w:sz w:val="24"/>
        </w:rPr>
        <w:t>资格证明文件</w:t>
      </w:r>
      <w:bookmarkEnd w:id="343"/>
      <w:bookmarkEnd w:id="344"/>
      <w:bookmarkEnd w:id="345"/>
      <w:bookmarkEnd w:id="346"/>
      <w:bookmarkEnd w:id="347"/>
      <w:bookmarkEnd w:id="348"/>
    </w:p>
    <w:p w14:paraId="0FD4AFAE">
      <w:pPr>
        <w:pageBreakBefore w:val="0"/>
        <w:tabs>
          <w:tab w:val="left" w:pos="5580"/>
        </w:tabs>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封面格式</w:t>
      </w:r>
    </w:p>
    <w:p w14:paraId="133850D0">
      <w:pPr>
        <w:pageBreakBefore w:val="0"/>
        <w:tabs>
          <w:tab w:val="left" w:pos="5580"/>
        </w:tabs>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1</w:t>
      </w:r>
      <w:r>
        <w:rPr>
          <w:rFonts w:hint="eastAsia" w:ascii="宋体" w:hAnsi="宋体"/>
          <w:color w:val="auto"/>
          <w:sz w:val="24"/>
        </w:rPr>
        <w:t>、法人或者非法人组织的营业执照等证明文件或自然人的身份证明</w:t>
      </w:r>
    </w:p>
    <w:p w14:paraId="4D13F65D">
      <w:pPr>
        <w:pageBreakBefore w:val="0"/>
        <w:tabs>
          <w:tab w:val="left" w:pos="5580"/>
        </w:tabs>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2</w:t>
      </w:r>
      <w:r>
        <w:rPr>
          <w:rFonts w:hint="eastAsia" w:ascii="宋体" w:hAnsi="宋体"/>
          <w:color w:val="auto"/>
          <w:sz w:val="24"/>
        </w:rPr>
        <w:t>、法定代表人身份证明书</w:t>
      </w:r>
    </w:p>
    <w:p w14:paraId="6C903B44">
      <w:pPr>
        <w:pageBreakBefore w:val="0"/>
        <w:tabs>
          <w:tab w:val="left" w:pos="5580"/>
        </w:tabs>
        <w:kinsoku/>
        <w:overflowPunct/>
        <w:topLinePunct w:val="0"/>
        <w:bidi w:val="0"/>
        <w:spacing w:line="360" w:lineRule="auto"/>
        <w:ind w:left="0" w:leftChars="0" w:firstLine="0" w:firstLineChars="0"/>
        <w:jc w:val="left"/>
        <w:textAlignment w:val="auto"/>
        <w:rPr>
          <w:rFonts w:ascii="宋体" w:hAnsi="宋体"/>
          <w:color w:val="auto"/>
          <w:sz w:val="24"/>
        </w:rPr>
      </w:pPr>
      <w:r>
        <w:rPr>
          <w:rFonts w:ascii="宋体" w:hAnsi="宋体"/>
          <w:color w:val="auto"/>
          <w:sz w:val="24"/>
        </w:rPr>
        <w:t>3</w:t>
      </w:r>
      <w:r>
        <w:rPr>
          <w:rFonts w:hint="eastAsia" w:ascii="宋体" w:hAnsi="宋体"/>
          <w:color w:val="auto"/>
          <w:sz w:val="24"/>
        </w:rPr>
        <w:t>、法定代表人授权委托书</w:t>
      </w:r>
    </w:p>
    <w:p w14:paraId="2782FCAE">
      <w:pPr>
        <w:pageBreakBefore w:val="0"/>
        <w:tabs>
          <w:tab w:val="left" w:pos="5580"/>
        </w:tabs>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4、投标保证金</w:t>
      </w:r>
    </w:p>
    <w:p w14:paraId="5E84BFAF">
      <w:pPr>
        <w:pageBreakBefore w:val="0"/>
        <w:tabs>
          <w:tab w:val="left" w:pos="5580"/>
        </w:tabs>
        <w:kinsoku/>
        <w:overflowPunct/>
        <w:topLinePunct w:val="0"/>
        <w:bidi w:val="0"/>
        <w:spacing w:line="360" w:lineRule="auto"/>
        <w:ind w:left="0" w:leftChars="0" w:firstLine="0" w:firstLineChars="0"/>
        <w:jc w:val="left"/>
        <w:textAlignment w:val="auto"/>
        <w:rPr>
          <w:rFonts w:ascii="宋体" w:hAnsi="宋体"/>
          <w:color w:val="auto"/>
          <w:sz w:val="24"/>
        </w:rPr>
      </w:pPr>
      <w:r>
        <w:rPr>
          <w:rFonts w:ascii="宋体" w:hAnsi="宋体"/>
          <w:color w:val="auto"/>
          <w:sz w:val="24"/>
        </w:rPr>
        <w:t>5</w:t>
      </w:r>
      <w:r>
        <w:rPr>
          <w:rFonts w:hint="eastAsia" w:ascii="宋体" w:hAnsi="宋体"/>
          <w:color w:val="auto"/>
          <w:sz w:val="24"/>
        </w:rPr>
        <w:t>、供应商信用承诺书</w:t>
      </w:r>
    </w:p>
    <w:p w14:paraId="02D967D9">
      <w:pPr>
        <w:pageBreakBefore w:val="0"/>
        <w:tabs>
          <w:tab w:val="left" w:pos="5580"/>
        </w:tabs>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6、投标须知前附表要求的其他资格证明文件</w:t>
      </w:r>
    </w:p>
    <w:p w14:paraId="022C8632">
      <w:pPr>
        <w:pageBreakBefore w:val="0"/>
        <w:tabs>
          <w:tab w:val="left" w:pos="5580"/>
        </w:tabs>
        <w:kinsoku/>
        <w:overflowPunct/>
        <w:topLinePunct w:val="0"/>
        <w:bidi w:val="0"/>
        <w:spacing w:line="360" w:lineRule="auto"/>
        <w:ind w:left="0" w:leftChars="0" w:firstLine="0" w:firstLineChars="0"/>
        <w:jc w:val="left"/>
        <w:textAlignment w:val="auto"/>
        <w:rPr>
          <w:rFonts w:ascii="宋体" w:hAnsi="宋体"/>
          <w:color w:val="auto"/>
          <w:sz w:val="24"/>
        </w:rPr>
      </w:pPr>
      <w:r>
        <w:rPr>
          <w:rFonts w:ascii="宋体" w:hAnsi="宋体"/>
          <w:color w:val="auto"/>
          <w:sz w:val="24"/>
        </w:rPr>
        <w:t>7</w:t>
      </w:r>
      <w:r>
        <w:rPr>
          <w:rFonts w:hint="eastAsia" w:ascii="宋体" w:hAnsi="宋体"/>
          <w:color w:val="auto"/>
          <w:sz w:val="24"/>
        </w:rPr>
        <w:t>、中小企业声明函</w:t>
      </w:r>
    </w:p>
    <w:p w14:paraId="31B138BA">
      <w:pPr>
        <w:pageBreakBefore w:val="0"/>
        <w:tabs>
          <w:tab w:val="left" w:pos="5580"/>
        </w:tabs>
        <w:kinsoku/>
        <w:overflowPunct/>
        <w:topLinePunct w:val="0"/>
        <w:bidi w:val="0"/>
        <w:spacing w:line="360" w:lineRule="auto"/>
        <w:ind w:left="0" w:leftChars="0" w:firstLine="0" w:firstLineChars="0"/>
        <w:jc w:val="left"/>
        <w:textAlignment w:val="auto"/>
        <w:rPr>
          <w:rFonts w:ascii="宋体" w:hAnsi="宋体"/>
          <w:color w:val="auto"/>
          <w:sz w:val="24"/>
        </w:rPr>
      </w:pPr>
    </w:p>
    <w:p w14:paraId="36038E7D">
      <w:pPr>
        <w:pageBreakBefore w:val="0"/>
        <w:kinsoku/>
        <w:overflowPunct/>
        <w:topLinePunct w:val="0"/>
        <w:bidi w:val="0"/>
        <w:snapToGrid w:val="0"/>
        <w:spacing w:line="360" w:lineRule="auto"/>
        <w:ind w:left="0" w:leftChars="0" w:right="640" w:firstLine="0" w:firstLineChars="0"/>
        <w:jc w:val="left"/>
        <w:textAlignment w:val="auto"/>
        <w:rPr>
          <w:rFonts w:ascii="宋体" w:hAnsi="宋体" w:cs="宋体"/>
          <w:color w:val="auto"/>
          <w:kern w:val="0"/>
          <w:sz w:val="24"/>
        </w:rPr>
      </w:pPr>
      <w:r>
        <w:rPr>
          <w:rFonts w:hint="eastAsia" w:ascii="宋体" w:hAnsi="宋体"/>
          <w:color w:val="auto"/>
          <w:sz w:val="24"/>
        </w:rPr>
        <w:br w:type="page"/>
      </w:r>
      <w:r>
        <w:rPr>
          <w:rFonts w:hint="eastAsia" w:ascii="宋体" w:hAnsi="宋体" w:cs="宋体"/>
          <w:color w:val="auto"/>
          <w:kern w:val="0"/>
          <w:sz w:val="24"/>
        </w:rPr>
        <w:t>（格式）</w:t>
      </w:r>
    </w:p>
    <w:p w14:paraId="047BB204">
      <w:pPr>
        <w:pageBreakBefore w:val="0"/>
        <w:kinsoku/>
        <w:overflowPunct/>
        <w:topLinePunct w:val="0"/>
        <w:bidi w:val="0"/>
        <w:snapToGrid w:val="0"/>
        <w:spacing w:line="360" w:lineRule="auto"/>
        <w:ind w:left="0" w:leftChars="0" w:firstLine="0" w:firstLineChars="0"/>
        <w:jc w:val="center"/>
        <w:textAlignment w:val="auto"/>
        <w:rPr>
          <w:rFonts w:hint="eastAsia" w:ascii="宋体" w:hAnsi="宋体" w:cs="宋体"/>
          <w:b/>
          <w:color w:val="auto"/>
          <w:kern w:val="0"/>
          <w:sz w:val="32"/>
          <w:szCs w:val="32"/>
        </w:rPr>
      </w:pPr>
    </w:p>
    <w:p w14:paraId="727F7DE4">
      <w:pPr>
        <w:pageBreakBefore w:val="0"/>
        <w:kinsoku/>
        <w:overflowPunct/>
        <w:topLinePunct w:val="0"/>
        <w:bidi w:val="0"/>
        <w:snapToGrid w:val="0"/>
        <w:spacing w:line="360" w:lineRule="auto"/>
        <w:ind w:left="0" w:leftChars="0" w:firstLine="0" w:firstLineChars="0"/>
        <w:jc w:val="center"/>
        <w:textAlignment w:val="auto"/>
        <w:rPr>
          <w:rFonts w:ascii="宋体" w:hAnsi="宋体" w:cs="宋体"/>
          <w:color w:val="auto"/>
          <w:kern w:val="0"/>
          <w:sz w:val="24"/>
        </w:rPr>
      </w:pPr>
      <w:r>
        <w:rPr>
          <w:rFonts w:hint="eastAsia" w:ascii="宋体" w:hAnsi="宋体" w:cs="宋体"/>
          <w:b/>
          <w:color w:val="auto"/>
          <w:kern w:val="0"/>
          <w:sz w:val="52"/>
          <w:szCs w:val="52"/>
          <w:u w:val="single"/>
        </w:rPr>
        <w:t xml:space="preserve">   (项目名称)   </w:t>
      </w:r>
      <w:r>
        <w:rPr>
          <w:rFonts w:hint="eastAsia" w:ascii="宋体" w:hAnsi="宋体" w:cs="宋体"/>
          <w:b/>
          <w:color w:val="auto"/>
          <w:kern w:val="0"/>
          <w:sz w:val="52"/>
          <w:szCs w:val="52"/>
        </w:rPr>
        <w:t>项目</w:t>
      </w:r>
    </w:p>
    <w:p w14:paraId="54523C4C">
      <w:pPr>
        <w:pageBreakBefore w:val="0"/>
        <w:kinsoku/>
        <w:overflowPunct/>
        <w:topLinePunct w:val="0"/>
        <w:bidi w:val="0"/>
        <w:snapToGrid w:val="0"/>
        <w:spacing w:line="360" w:lineRule="auto"/>
        <w:ind w:left="0" w:leftChars="0" w:firstLine="0" w:firstLineChars="0"/>
        <w:textAlignment w:val="auto"/>
        <w:rPr>
          <w:rFonts w:hint="eastAsia" w:ascii="宋体" w:hAnsi="宋体" w:cs="宋体"/>
          <w:color w:val="auto"/>
          <w:kern w:val="0"/>
          <w:sz w:val="30"/>
          <w:szCs w:val="30"/>
        </w:rPr>
      </w:pPr>
    </w:p>
    <w:p w14:paraId="21C35295">
      <w:pPr>
        <w:pageBreakBefore w:val="0"/>
        <w:kinsoku/>
        <w:overflowPunct/>
        <w:topLinePunct w:val="0"/>
        <w:bidi w:val="0"/>
        <w:snapToGrid w:val="0"/>
        <w:spacing w:line="360" w:lineRule="auto"/>
        <w:ind w:left="0" w:leftChars="0" w:firstLine="2940" w:firstLineChars="980"/>
        <w:textAlignment w:val="auto"/>
        <w:rPr>
          <w:rFonts w:ascii="宋体" w:hAnsi="宋体" w:cs="宋体"/>
          <w:color w:val="auto"/>
          <w:kern w:val="0"/>
          <w:sz w:val="24"/>
          <w:u w:val="single"/>
        </w:rPr>
      </w:pPr>
      <w:r>
        <w:rPr>
          <w:rFonts w:hint="eastAsia" w:ascii="宋体" w:hAnsi="宋体" w:cs="宋体"/>
          <w:color w:val="auto"/>
          <w:kern w:val="0"/>
          <w:sz w:val="30"/>
          <w:szCs w:val="30"/>
        </w:rPr>
        <w:t>项目编号：</w:t>
      </w:r>
      <w:r>
        <w:rPr>
          <w:rFonts w:hint="eastAsia" w:ascii="宋体" w:hAnsi="宋体" w:cs="宋体"/>
          <w:color w:val="auto"/>
          <w:kern w:val="0"/>
          <w:sz w:val="30"/>
          <w:szCs w:val="30"/>
          <w:u w:val="single"/>
        </w:rPr>
        <w:t xml:space="preserve">              </w:t>
      </w:r>
    </w:p>
    <w:p w14:paraId="451D517F">
      <w:pPr>
        <w:pageBreakBefore w:val="0"/>
        <w:kinsoku/>
        <w:overflowPunct/>
        <w:topLinePunct w:val="0"/>
        <w:bidi w:val="0"/>
        <w:snapToGrid w:val="0"/>
        <w:spacing w:line="360" w:lineRule="auto"/>
        <w:ind w:left="0" w:leftChars="0" w:firstLine="0" w:firstLineChars="0"/>
        <w:jc w:val="both"/>
        <w:textAlignment w:val="auto"/>
        <w:rPr>
          <w:rFonts w:hint="eastAsia" w:ascii="宋体" w:hAnsi="宋体" w:cs="宋体"/>
          <w:color w:val="auto"/>
          <w:kern w:val="0"/>
          <w:sz w:val="30"/>
          <w:szCs w:val="30"/>
        </w:rPr>
      </w:pPr>
    </w:p>
    <w:p w14:paraId="385C7F7D">
      <w:pPr>
        <w:pageBreakBefore w:val="0"/>
        <w:kinsoku/>
        <w:overflowPunct/>
        <w:topLinePunct w:val="0"/>
        <w:bidi w:val="0"/>
        <w:snapToGrid w:val="0"/>
        <w:spacing w:line="360" w:lineRule="auto"/>
        <w:ind w:left="0" w:leftChars="0" w:firstLine="0" w:firstLineChars="0"/>
        <w:jc w:val="center"/>
        <w:textAlignment w:val="auto"/>
        <w:rPr>
          <w:rFonts w:hint="eastAsia" w:ascii="宋体" w:hAnsi="宋体" w:cs="宋体"/>
          <w:color w:val="auto"/>
          <w:kern w:val="0"/>
          <w:sz w:val="44"/>
          <w:szCs w:val="44"/>
        </w:rPr>
      </w:pPr>
      <w:r>
        <w:rPr>
          <w:rFonts w:hint="eastAsia" w:ascii="宋体" w:hAnsi="宋体" w:cs="宋体"/>
          <w:color w:val="auto"/>
          <w:kern w:val="0"/>
          <w:sz w:val="44"/>
          <w:szCs w:val="44"/>
        </w:rPr>
        <w:t>（资格证明文件）</w:t>
      </w:r>
    </w:p>
    <w:p w14:paraId="6A42C21D">
      <w:pPr>
        <w:pageBreakBefore w:val="0"/>
        <w:kinsoku/>
        <w:overflowPunct/>
        <w:topLinePunct w:val="0"/>
        <w:bidi w:val="0"/>
        <w:snapToGrid w:val="0"/>
        <w:spacing w:line="360" w:lineRule="auto"/>
        <w:ind w:left="0" w:leftChars="0" w:firstLine="0" w:firstLineChars="0"/>
        <w:jc w:val="center"/>
        <w:textAlignment w:val="auto"/>
        <w:rPr>
          <w:rFonts w:ascii="宋体" w:hAnsi="宋体" w:cs="宋体"/>
          <w:color w:val="auto"/>
          <w:kern w:val="0"/>
          <w:sz w:val="24"/>
        </w:rPr>
      </w:pPr>
    </w:p>
    <w:p w14:paraId="193FDB06">
      <w:pPr>
        <w:pageBreakBefore w:val="0"/>
        <w:kinsoku/>
        <w:overflowPunct/>
        <w:topLinePunct w:val="0"/>
        <w:bidi w:val="0"/>
        <w:snapToGrid w:val="0"/>
        <w:spacing w:line="360" w:lineRule="auto"/>
        <w:ind w:left="0" w:leftChars="0" w:firstLine="0" w:firstLineChars="0"/>
        <w:jc w:val="center"/>
        <w:textAlignment w:val="auto"/>
        <w:outlineLvl w:val="2"/>
        <w:rPr>
          <w:rFonts w:ascii="宋体" w:hAnsi="宋体" w:cs="宋体"/>
          <w:color w:val="auto"/>
          <w:kern w:val="0"/>
          <w:sz w:val="24"/>
        </w:rPr>
      </w:pPr>
      <w:r>
        <w:rPr>
          <w:rFonts w:hint="eastAsia" w:ascii="宋体" w:hAnsi="宋体" w:cs="宋体"/>
          <w:b/>
          <w:color w:val="auto"/>
          <w:kern w:val="0"/>
          <w:sz w:val="84"/>
          <w:szCs w:val="20"/>
        </w:rPr>
        <w:t>投</w:t>
      </w:r>
    </w:p>
    <w:p w14:paraId="0C33C186">
      <w:pPr>
        <w:pageBreakBefore w:val="0"/>
        <w:kinsoku/>
        <w:overflowPunct/>
        <w:topLinePunct w:val="0"/>
        <w:bidi w:val="0"/>
        <w:snapToGrid w:val="0"/>
        <w:spacing w:line="360" w:lineRule="auto"/>
        <w:ind w:left="0" w:leftChars="0" w:firstLine="0" w:firstLineChars="0"/>
        <w:jc w:val="center"/>
        <w:textAlignment w:val="auto"/>
        <w:rPr>
          <w:rFonts w:ascii="宋体" w:hAnsi="宋体" w:cs="宋体"/>
          <w:color w:val="auto"/>
          <w:kern w:val="0"/>
          <w:sz w:val="24"/>
        </w:rPr>
      </w:pPr>
      <w:r>
        <w:rPr>
          <w:rFonts w:hint="eastAsia" w:ascii="宋体" w:hAnsi="宋体" w:cs="宋体"/>
          <w:b/>
          <w:color w:val="auto"/>
          <w:kern w:val="0"/>
          <w:sz w:val="84"/>
          <w:szCs w:val="20"/>
        </w:rPr>
        <w:t>标</w:t>
      </w:r>
    </w:p>
    <w:p w14:paraId="15763523">
      <w:pPr>
        <w:pageBreakBefore w:val="0"/>
        <w:kinsoku/>
        <w:overflowPunct/>
        <w:topLinePunct w:val="0"/>
        <w:bidi w:val="0"/>
        <w:snapToGrid w:val="0"/>
        <w:spacing w:line="360" w:lineRule="auto"/>
        <w:ind w:left="0" w:leftChars="0" w:firstLine="0" w:firstLineChars="0"/>
        <w:jc w:val="center"/>
        <w:textAlignment w:val="auto"/>
        <w:rPr>
          <w:rFonts w:ascii="宋体" w:hAnsi="宋体" w:cs="宋体"/>
          <w:color w:val="auto"/>
          <w:kern w:val="0"/>
          <w:sz w:val="24"/>
        </w:rPr>
      </w:pPr>
      <w:r>
        <w:rPr>
          <w:rFonts w:hint="eastAsia" w:ascii="宋体" w:hAnsi="宋体" w:cs="宋体"/>
          <w:b/>
          <w:color w:val="auto"/>
          <w:kern w:val="0"/>
          <w:sz w:val="84"/>
          <w:szCs w:val="20"/>
        </w:rPr>
        <w:t>文</w:t>
      </w:r>
    </w:p>
    <w:p w14:paraId="2D0DA066">
      <w:pPr>
        <w:pageBreakBefore w:val="0"/>
        <w:kinsoku/>
        <w:overflowPunct/>
        <w:topLinePunct w:val="0"/>
        <w:bidi w:val="0"/>
        <w:snapToGrid w:val="0"/>
        <w:spacing w:line="360" w:lineRule="auto"/>
        <w:ind w:left="0" w:leftChars="0" w:firstLine="0" w:firstLineChars="0"/>
        <w:jc w:val="center"/>
        <w:textAlignment w:val="auto"/>
        <w:rPr>
          <w:rFonts w:ascii="宋体" w:hAnsi="宋体" w:cs="宋体"/>
          <w:color w:val="auto"/>
          <w:kern w:val="0"/>
          <w:sz w:val="24"/>
        </w:rPr>
      </w:pPr>
      <w:r>
        <w:rPr>
          <w:rFonts w:hint="eastAsia" w:ascii="宋体" w:hAnsi="宋体" w:cs="宋体"/>
          <w:b/>
          <w:color w:val="auto"/>
          <w:kern w:val="0"/>
          <w:sz w:val="84"/>
          <w:szCs w:val="20"/>
        </w:rPr>
        <w:t>件</w:t>
      </w:r>
    </w:p>
    <w:p w14:paraId="7B1EEE05">
      <w:pPr>
        <w:pageBreakBefore w:val="0"/>
        <w:kinsoku/>
        <w:overflowPunct/>
        <w:topLinePunct w:val="0"/>
        <w:bidi w:val="0"/>
        <w:snapToGrid w:val="0"/>
        <w:spacing w:line="360" w:lineRule="auto"/>
        <w:ind w:left="0" w:leftChars="0" w:firstLine="0" w:firstLineChars="0"/>
        <w:jc w:val="center"/>
        <w:textAlignment w:val="auto"/>
        <w:rPr>
          <w:rFonts w:hint="eastAsia" w:ascii="宋体" w:hAnsi="宋体" w:cs="宋体"/>
          <w:color w:val="auto"/>
          <w:kern w:val="0"/>
          <w:sz w:val="32"/>
          <w:szCs w:val="32"/>
        </w:rPr>
      </w:pPr>
    </w:p>
    <w:p w14:paraId="6965DBBF">
      <w:pPr>
        <w:pageBreakBefore w:val="0"/>
        <w:kinsoku/>
        <w:overflowPunct/>
        <w:topLinePunct w:val="0"/>
        <w:bidi w:val="0"/>
        <w:snapToGrid w:val="0"/>
        <w:spacing w:line="360" w:lineRule="auto"/>
        <w:ind w:left="0" w:leftChars="0" w:firstLine="0" w:firstLineChars="0"/>
        <w:jc w:val="center"/>
        <w:textAlignment w:val="auto"/>
        <w:rPr>
          <w:rFonts w:hint="eastAsia" w:ascii="宋体" w:hAnsi="宋体" w:cs="宋体"/>
          <w:color w:val="auto"/>
          <w:kern w:val="0"/>
          <w:szCs w:val="21"/>
        </w:rPr>
      </w:pPr>
      <w:r>
        <w:rPr>
          <w:rFonts w:hint="eastAsia" w:ascii="宋体" w:hAnsi="宋体" w:cs="宋体"/>
          <w:color w:val="auto"/>
          <w:kern w:val="0"/>
          <w:sz w:val="32"/>
          <w:szCs w:val="32"/>
        </w:rPr>
        <w:t>投标人单位全称：</w:t>
      </w:r>
      <w:r>
        <w:rPr>
          <w:rFonts w:hint="eastAsia" w:ascii="宋体" w:hAnsi="宋体" w:cs="宋体"/>
          <w:color w:val="auto"/>
          <w:kern w:val="0"/>
          <w:szCs w:val="21"/>
        </w:rPr>
        <w:t>（加盖单位公章、法定代表人或授权代表签字或签章）</w:t>
      </w:r>
    </w:p>
    <w:p w14:paraId="24B228B8">
      <w:pPr>
        <w:pageBreakBefore w:val="0"/>
        <w:kinsoku/>
        <w:overflowPunct/>
        <w:topLinePunct w:val="0"/>
        <w:bidi w:val="0"/>
        <w:snapToGrid w:val="0"/>
        <w:spacing w:line="360" w:lineRule="auto"/>
        <w:ind w:left="0" w:leftChars="0" w:firstLine="0" w:firstLineChars="0"/>
        <w:jc w:val="center"/>
        <w:textAlignment w:val="auto"/>
        <w:rPr>
          <w:rFonts w:ascii="宋体" w:hAnsi="宋体" w:cs="宋体"/>
          <w:color w:val="auto"/>
          <w:kern w:val="0"/>
          <w:sz w:val="24"/>
        </w:rPr>
      </w:pPr>
    </w:p>
    <w:p w14:paraId="2E3B3E76">
      <w:pPr>
        <w:pageBreakBefore w:val="0"/>
        <w:kinsoku/>
        <w:overflowPunct/>
        <w:topLinePunct w:val="0"/>
        <w:bidi w:val="0"/>
        <w:snapToGrid w:val="0"/>
        <w:spacing w:line="360" w:lineRule="auto"/>
        <w:ind w:left="0" w:leftChars="0" w:firstLine="0" w:firstLineChars="0"/>
        <w:jc w:val="center"/>
        <w:textAlignment w:val="auto"/>
        <w:rPr>
          <w:rFonts w:hint="eastAsia" w:ascii="宋体" w:hAnsi="宋体" w:cs="宋体"/>
          <w:color w:val="auto"/>
          <w:kern w:val="0"/>
          <w:sz w:val="24"/>
        </w:rPr>
      </w:pP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olor w:val="auto"/>
          <w:kern w:val="0"/>
          <w:sz w:val="24"/>
          <w:u w:val="single"/>
        </w:rPr>
        <w:t xml:space="preserve">     </w:t>
      </w:r>
      <w:r>
        <w:rPr>
          <w:rFonts w:hint="eastAsia" w:ascii="宋体" w:hAnsi="宋体" w:cs="宋体"/>
          <w:color w:val="auto"/>
          <w:kern w:val="0"/>
          <w:sz w:val="24"/>
        </w:rPr>
        <w:t>月</w:t>
      </w:r>
      <w:r>
        <w:rPr>
          <w:rFonts w:hint="eastAsia" w:ascii="宋体" w:hAnsi="宋体"/>
          <w:color w:val="auto"/>
          <w:kern w:val="0"/>
          <w:sz w:val="24"/>
          <w:u w:val="single"/>
        </w:rPr>
        <w:t xml:space="preserve">      </w:t>
      </w:r>
      <w:r>
        <w:rPr>
          <w:rFonts w:hint="eastAsia" w:ascii="宋体" w:hAnsi="宋体" w:cs="宋体"/>
          <w:color w:val="auto"/>
          <w:kern w:val="0"/>
          <w:sz w:val="24"/>
        </w:rPr>
        <w:t>日</w:t>
      </w:r>
    </w:p>
    <w:p w14:paraId="7F3DD5DF">
      <w:pPr>
        <w:rPr>
          <w:rFonts w:hint="eastAsia" w:ascii="宋体" w:hAnsi="宋体" w:cs="宋体"/>
          <w:color w:val="auto"/>
          <w:kern w:val="0"/>
          <w:sz w:val="24"/>
        </w:rPr>
      </w:pPr>
      <w:r>
        <w:rPr>
          <w:rFonts w:hint="eastAsia" w:ascii="宋体" w:hAnsi="宋体" w:cs="宋体"/>
          <w:color w:val="auto"/>
          <w:kern w:val="0"/>
          <w:sz w:val="24"/>
        </w:rPr>
        <w:br w:type="page"/>
      </w:r>
    </w:p>
    <w:p w14:paraId="4FCD53EB">
      <w:pPr>
        <w:pStyle w:val="2"/>
        <w:rPr>
          <w:color w:val="auto"/>
        </w:rPr>
      </w:pPr>
    </w:p>
    <w:p w14:paraId="63186A13">
      <w:pPr>
        <w:pageBreakBefore w:val="0"/>
        <w:tabs>
          <w:tab w:val="left" w:pos="5580"/>
        </w:tabs>
        <w:kinsoku/>
        <w:overflowPunct/>
        <w:topLinePunct w:val="0"/>
        <w:bidi w:val="0"/>
        <w:spacing w:line="360" w:lineRule="auto"/>
        <w:ind w:left="0" w:leftChars="0" w:firstLine="0" w:firstLineChars="0"/>
        <w:textAlignment w:val="auto"/>
        <w:outlineLvl w:val="2"/>
        <w:rPr>
          <w:rFonts w:hint="eastAsia" w:ascii="宋体" w:hAnsi="宋体"/>
          <w:b/>
          <w:bCs/>
          <w:color w:val="auto"/>
          <w:sz w:val="24"/>
        </w:rPr>
      </w:pPr>
      <w:bookmarkStart w:id="349" w:name="_Toc532473496"/>
      <w:bookmarkStart w:id="350" w:name="_Toc17577"/>
      <w:bookmarkStart w:id="351" w:name="_Toc515647805"/>
      <w:bookmarkStart w:id="352" w:name="_Toc27150"/>
      <w:bookmarkStart w:id="353" w:name="_Toc29899"/>
      <w:bookmarkStart w:id="354" w:name="_Toc2582310"/>
      <w:bookmarkStart w:id="355" w:name="_Toc480942349"/>
      <w:bookmarkStart w:id="356" w:name="_Ref467988698"/>
      <w:bookmarkStart w:id="357" w:name="_Toc520356217"/>
      <w:bookmarkStart w:id="358" w:name="_Toc216582813"/>
      <w:r>
        <w:rPr>
          <w:rFonts w:ascii="宋体" w:hAnsi="宋体"/>
          <w:b/>
          <w:bCs/>
          <w:color w:val="auto"/>
          <w:sz w:val="24"/>
        </w:rPr>
        <w:t xml:space="preserve">1 </w:t>
      </w:r>
      <w:r>
        <w:rPr>
          <w:rFonts w:hint="eastAsia" w:ascii="宋体" w:hAnsi="宋体"/>
          <w:b/>
          <w:bCs/>
          <w:color w:val="auto"/>
          <w:sz w:val="24"/>
        </w:rPr>
        <w:t>法人或者非法人组织的营业执照等证明文件</w:t>
      </w:r>
      <w:bookmarkEnd w:id="349"/>
      <w:bookmarkEnd w:id="350"/>
      <w:bookmarkEnd w:id="351"/>
      <w:bookmarkEnd w:id="352"/>
      <w:bookmarkEnd w:id="353"/>
      <w:bookmarkEnd w:id="354"/>
    </w:p>
    <w:p w14:paraId="723C1F98">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b/>
          <w:color w:val="auto"/>
          <w:sz w:val="24"/>
          <w:szCs w:val="24"/>
        </w:rPr>
      </w:pPr>
    </w:p>
    <w:p w14:paraId="7EB958DB">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b/>
          <w:color w:val="auto"/>
          <w:sz w:val="24"/>
          <w:szCs w:val="24"/>
        </w:rPr>
      </w:pPr>
    </w:p>
    <w:p w14:paraId="74C4A63C">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b/>
          <w:color w:val="auto"/>
          <w:sz w:val="24"/>
          <w:szCs w:val="24"/>
        </w:rPr>
      </w:pPr>
    </w:p>
    <w:p w14:paraId="55447193">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b/>
          <w:color w:val="auto"/>
          <w:sz w:val="24"/>
          <w:szCs w:val="24"/>
        </w:rPr>
      </w:pPr>
    </w:p>
    <w:p w14:paraId="637E7F44">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b/>
          <w:color w:val="auto"/>
          <w:sz w:val="24"/>
          <w:szCs w:val="24"/>
        </w:rPr>
      </w:pPr>
    </w:p>
    <w:p w14:paraId="1B8F02A7">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b/>
          <w:color w:val="auto"/>
          <w:sz w:val="24"/>
          <w:szCs w:val="24"/>
        </w:rPr>
      </w:pPr>
    </w:p>
    <w:p w14:paraId="020455BF">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b/>
          <w:color w:val="auto"/>
          <w:sz w:val="24"/>
          <w:szCs w:val="24"/>
        </w:rPr>
      </w:pPr>
    </w:p>
    <w:p w14:paraId="588F7080">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b/>
          <w:color w:val="auto"/>
          <w:sz w:val="24"/>
          <w:szCs w:val="24"/>
        </w:rPr>
      </w:pPr>
    </w:p>
    <w:p w14:paraId="1F4DCA15">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b/>
          <w:color w:val="auto"/>
          <w:sz w:val="24"/>
          <w:szCs w:val="24"/>
        </w:rPr>
      </w:pPr>
    </w:p>
    <w:p w14:paraId="40C78F22">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b/>
          <w:color w:val="auto"/>
          <w:sz w:val="24"/>
          <w:szCs w:val="24"/>
        </w:rPr>
      </w:pPr>
    </w:p>
    <w:p w14:paraId="349DC266">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b/>
          <w:color w:val="auto"/>
          <w:sz w:val="24"/>
          <w:szCs w:val="24"/>
        </w:rPr>
      </w:pPr>
    </w:p>
    <w:p w14:paraId="1113AA63">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b/>
          <w:color w:val="auto"/>
          <w:sz w:val="24"/>
          <w:szCs w:val="24"/>
        </w:rPr>
      </w:pPr>
    </w:p>
    <w:p w14:paraId="2CA9E353">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说明：提供有效的营业执照等证明文件扫描件。</w:t>
      </w:r>
    </w:p>
    <w:p w14:paraId="1813D7E5">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 xml:space="preserve">      </w:t>
      </w:r>
    </w:p>
    <w:p w14:paraId="5517A063">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355685E5">
      <w:pPr>
        <w:rPr>
          <w:rFonts w:hAnsi="宋体"/>
          <w:color w:val="auto"/>
          <w:sz w:val="24"/>
          <w:szCs w:val="24"/>
        </w:rPr>
      </w:pPr>
      <w:bookmarkStart w:id="359" w:name="_Toc2582311"/>
      <w:bookmarkStart w:id="360" w:name="_Toc7071"/>
      <w:bookmarkStart w:id="361" w:name="_Toc532473497"/>
      <w:bookmarkStart w:id="362" w:name="_Toc515647807"/>
      <w:bookmarkStart w:id="363" w:name="_Toc1083"/>
      <w:bookmarkStart w:id="364" w:name="_Toc22472"/>
      <w:r>
        <w:rPr>
          <w:rFonts w:hAnsi="宋体"/>
          <w:color w:val="auto"/>
          <w:sz w:val="24"/>
          <w:szCs w:val="24"/>
        </w:rPr>
        <w:br w:type="page"/>
      </w:r>
    </w:p>
    <w:p w14:paraId="08A3DDC8">
      <w:pPr>
        <w:pStyle w:val="17"/>
        <w:pageBreakBefore w:val="0"/>
        <w:tabs>
          <w:tab w:val="left" w:pos="5580"/>
        </w:tabs>
        <w:kinsoku/>
        <w:overflowPunct/>
        <w:topLinePunct w:val="0"/>
        <w:bidi w:val="0"/>
        <w:spacing w:line="360" w:lineRule="auto"/>
        <w:ind w:left="0" w:leftChars="0" w:firstLine="0" w:firstLineChars="0"/>
        <w:jc w:val="left"/>
        <w:textAlignment w:val="auto"/>
        <w:outlineLvl w:val="2"/>
        <w:rPr>
          <w:rFonts w:hAnsi="宋体"/>
          <w:b/>
          <w:bCs/>
          <w:color w:val="auto"/>
          <w:sz w:val="24"/>
          <w:szCs w:val="24"/>
        </w:rPr>
      </w:pPr>
    </w:p>
    <w:p w14:paraId="5F5C5AAA">
      <w:pPr>
        <w:pStyle w:val="17"/>
        <w:pageBreakBefore w:val="0"/>
        <w:tabs>
          <w:tab w:val="left" w:pos="5580"/>
        </w:tabs>
        <w:kinsoku/>
        <w:overflowPunct/>
        <w:topLinePunct w:val="0"/>
        <w:bidi w:val="0"/>
        <w:spacing w:line="360" w:lineRule="auto"/>
        <w:ind w:left="0" w:leftChars="0" w:firstLine="0" w:firstLineChars="0"/>
        <w:jc w:val="left"/>
        <w:textAlignment w:val="auto"/>
        <w:outlineLvl w:val="2"/>
        <w:rPr>
          <w:rFonts w:hAnsi="宋体"/>
          <w:b/>
          <w:bCs/>
          <w:color w:val="auto"/>
          <w:sz w:val="24"/>
          <w:szCs w:val="24"/>
        </w:rPr>
      </w:pPr>
      <w:r>
        <w:rPr>
          <w:rFonts w:hAnsi="宋体"/>
          <w:b/>
          <w:bCs/>
          <w:color w:val="auto"/>
          <w:sz w:val="24"/>
          <w:szCs w:val="24"/>
        </w:rPr>
        <w:t>2</w:t>
      </w:r>
      <w:r>
        <w:rPr>
          <w:rFonts w:hint="eastAsia" w:hAnsi="宋体"/>
          <w:b/>
          <w:bCs/>
          <w:color w:val="auto"/>
          <w:sz w:val="24"/>
          <w:szCs w:val="24"/>
        </w:rPr>
        <w:t xml:space="preserve"> 法定代表人</w:t>
      </w:r>
      <w:r>
        <w:rPr>
          <w:rFonts w:hAnsi="宋体"/>
          <w:b/>
          <w:bCs/>
          <w:color w:val="auto"/>
          <w:sz w:val="24"/>
          <w:szCs w:val="24"/>
        </w:rPr>
        <w:t>身份证明书</w:t>
      </w:r>
      <w:bookmarkEnd w:id="359"/>
      <w:bookmarkEnd w:id="360"/>
    </w:p>
    <w:bookmarkEnd w:id="361"/>
    <w:p w14:paraId="56A03F4B">
      <w:pPr>
        <w:pageBreakBefore w:val="0"/>
        <w:kinsoku/>
        <w:overflowPunct/>
        <w:topLinePunct w:val="0"/>
        <w:bidi w:val="0"/>
        <w:spacing w:line="360" w:lineRule="auto"/>
        <w:ind w:left="0" w:leftChars="0" w:firstLine="0" w:firstLineChars="0"/>
        <w:jc w:val="left"/>
        <w:textAlignment w:val="auto"/>
        <w:rPr>
          <w:rFonts w:hint="eastAsia" w:ascii="宋体" w:hAnsi="宋体"/>
          <w:color w:val="auto"/>
          <w:sz w:val="24"/>
          <w:u w:val="single"/>
        </w:rPr>
      </w:pPr>
    </w:p>
    <w:p w14:paraId="4006DCCA">
      <w:pPr>
        <w:pBdr>
          <w:top w:val="none" w:color="auto" w:sz="0" w:space="1"/>
          <w:left w:val="none" w:color="auto" w:sz="0" w:space="1"/>
          <w:bottom w:val="none" w:color="auto" w:sz="0" w:space="1"/>
          <w:right w:val="none" w:color="auto" w:sz="0" w:space="4"/>
        </w:pBdr>
        <w:spacing w:line="360" w:lineRule="auto"/>
        <w:ind w:left="562" w:hanging="562" w:hangingChars="200"/>
        <w:jc w:val="center"/>
        <w:rPr>
          <w:rFonts w:hint="eastAsia" w:ascii="宋体" w:hAnsi="宋体" w:cs="仿宋"/>
          <w:b/>
          <w:color w:val="auto"/>
          <w:spacing w:val="6"/>
          <w:sz w:val="24"/>
          <w:szCs w:val="28"/>
          <w:highlight w:val="none"/>
        </w:rPr>
      </w:pPr>
      <w:r>
        <w:rPr>
          <w:rFonts w:hint="eastAsia" w:ascii="宋体" w:hAnsi="宋体" w:cs="仿宋"/>
          <w:b/>
          <w:bCs/>
          <w:color w:val="auto"/>
          <w:spacing w:val="20"/>
          <w:sz w:val="24"/>
          <w:szCs w:val="28"/>
          <w:highlight w:val="none"/>
        </w:rPr>
        <w:t>法定代表人（负责人）身份证明书</w:t>
      </w:r>
    </w:p>
    <w:p w14:paraId="4C9AED18">
      <w:pPr>
        <w:pBdr>
          <w:top w:val="none" w:color="auto" w:sz="0" w:space="1"/>
          <w:left w:val="none" w:color="auto" w:sz="0" w:space="1"/>
          <w:bottom w:val="none" w:color="auto" w:sz="0" w:space="1"/>
          <w:right w:val="none" w:color="auto" w:sz="0" w:space="4"/>
        </w:pBdr>
        <w:spacing w:line="360" w:lineRule="auto"/>
        <w:rPr>
          <w:rFonts w:hint="eastAsia" w:ascii="宋体" w:hAnsi="宋体" w:cs="仿宋"/>
          <w:color w:val="auto"/>
          <w:spacing w:val="6"/>
          <w:sz w:val="24"/>
          <w:szCs w:val="28"/>
          <w:highlight w:val="none"/>
          <w:u w:val="single"/>
        </w:rPr>
      </w:pPr>
      <w:r>
        <w:rPr>
          <w:rFonts w:hint="eastAsia" w:ascii="宋体" w:hAnsi="宋体" w:cs="仿宋"/>
          <w:color w:val="auto"/>
          <w:spacing w:val="6"/>
          <w:sz w:val="24"/>
          <w:szCs w:val="28"/>
          <w:highlight w:val="none"/>
        </w:rPr>
        <w:t>单位名称：</w:t>
      </w:r>
      <w:r>
        <w:rPr>
          <w:rFonts w:hint="eastAsia" w:ascii="宋体" w:hAnsi="宋体" w:cs="仿宋"/>
          <w:color w:val="auto"/>
          <w:spacing w:val="6"/>
          <w:sz w:val="24"/>
          <w:szCs w:val="28"/>
          <w:highlight w:val="none"/>
          <w:u w:val="single"/>
        </w:rPr>
        <w:t xml:space="preserve">                  </w:t>
      </w:r>
    </w:p>
    <w:p w14:paraId="09F99FB1">
      <w:pPr>
        <w:pBdr>
          <w:top w:val="none" w:color="auto" w:sz="0" w:space="1"/>
          <w:left w:val="none" w:color="auto" w:sz="0" w:space="1"/>
          <w:bottom w:val="none" w:color="auto" w:sz="0" w:space="1"/>
          <w:right w:val="none" w:color="auto" w:sz="0" w:space="4"/>
        </w:pBdr>
        <w:spacing w:line="360" w:lineRule="auto"/>
        <w:rPr>
          <w:rFonts w:hint="eastAsia" w:ascii="宋体" w:hAnsi="宋体" w:cs="仿宋"/>
          <w:color w:val="auto"/>
          <w:spacing w:val="6"/>
          <w:sz w:val="24"/>
          <w:szCs w:val="28"/>
          <w:highlight w:val="none"/>
        </w:rPr>
      </w:pPr>
      <w:r>
        <w:rPr>
          <w:rFonts w:hint="eastAsia" w:ascii="宋体" w:hAnsi="宋体" w:cs="仿宋"/>
          <w:color w:val="auto"/>
          <w:spacing w:val="6"/>
          <w:sz w:val="24"/>
          <w:szCs w:val="28"/>
          <w:highlight w:val="none"/>
        </w:rPr>
        <w:t>单位性质：</w:t>
      </w:r>
      <w:r>
        <w:rPr>
          <w:rFonts w:hint="eastAsia" w:ascii="宋体" w:hAnsi="宋体" w:cs="仿宋"/>
          <w:color w:val="auto"/>
          <w:spacing w:val="6"/>
          <w:sz w:val="24"/>
          <w:szCs w:val="28"/>
          <w:highlight w:val="none"/>
          <w:u w:val="single"/>
        </w:rPr>
        <w:t xml:space="preserve">                  </w:t>
      </w:r>
    </w:p>
    <w:p w14:paraId="324268DE">
      <w:pPr>
        <w:pBdr>
          <w:top w:val="none" w:color="auto" w:sz="0" w:space="1"/>
          <w:left w:val="none" w:color="auto" w:sz="0" w:space="1"/>
          <w:bottom w:val="none" w:color="auto" w:sz="0" w:space="1"/>
          <w:right w:val="none" w:color="auto" w:sz="0" w:space="4"/>
        </w:pBdr>
        <w:spacing w:line="360" w:lineRule="auto"/>
        <w:rPr>
          <w:rFonts w:hint="eastAsia" w:ascii="宋体" w:hAnsi="宋体" w:cs="仿宋"/>
          <w:color w:val="auto"/>
          <w:spacing w:val="6"/>
          <w:sz w:val="24"/>
          <w:szCs w:val="28"/>
          <w:highlight w:val="none"/>
        </w:rPr>
      </w:pPr>
      <w:r>
        <w:rPr>
          <w:rFonts w:hint="eastAsia" w:ascii="宋体" w:hAnsi="宋体" w:cs="仿宋"/>
          <w:color w:val="auto"/>
          <w:spacing w:val="6"/>
          <w:sz w:val="24"/>
          <w:szCs w:val="28"/>
          <w:highlight w:val="none"/>
        </w:rPr>
        <w:t>地    址：</w:t>
      </w:r>
      <w:r>
        <w:rPr>
          <w:rFonts w:hint="eastAsia" w:ascii="宋体" w:hAnsi="宋体" w:cs="仿宋"/>
          <w:color w:val="auto"/>
          <w:spacing w:val="6"/>
          <w:sz w:val="24"/>
          <w:szCs w:val="28"/>
          <w:highlight w:val="none"/>
          <w:u w:val="single"/>
        </w:rPr>
        <w:t xml:space="preserve">                  </w:t>
      </w:r>
    </w:p>
    <w:p w14:paraId="31739534">
      <w:pPr>
        <w:pBdr>
          <w:top w:val="none" w:color="auto" w:sz="0" w:space="1"/>
          <w:left w:val="none" w:color="auto" w:sz="0" w:space="1"/>
          <w:bottom w:val="none" w:color="auto" w:sz="0" w:space="1"/>
          <w:right w:val="none" w:color="auto" w:sz="0" w:space="4"/>
        </w:pBdr>
        <w:spacing w:line="360" w:lineRule="auto"/>
        <w:rPr>
          <w:rFonts w:hint="eastAsia" w:ascii="宋体" w:hAnsi="宋体" w:cs="仿宋"/>
          <w:color w:val="auto"/>
          <w:spacing w:val="6"/>
          <w:sz w:val="24"/>
          <w:szCs w:val="28"/>
          <w:highlight w:val="none"/>
        </w:rPr>
      </w:pPr>
      <w:r>
        <w:rPr>
          <w:rFonts w:hint="eastAsia" w:ascii="宋体" w:hAnsi="宋体" w:cs="仿宋"/>
          <w:color w:val="auto"/>
          <w:spacing w:val="6"/>
          <w:sz w:val="24"/>
          <w:szCs w:val="28"/>
          <w:highlight w:val="none"/>
        </w:rPr>
        <w:t>成立时间：</w:t>
      </w:r>
      <w:r>
        <w:rPr>
          <w:rFonts w:hint="eastAsia" w:ascii="宋体" w:hAnsi="宋体" w:cs="仿宋"/>
          <w:color w:val="auto"/>
          <w:spacing w:val="6"/>
          <w:sz w:val="24"/>
          <w:szCs w:val="28"/>
          <w:highlight w:val="none"/>
          <w:u w:val="single"/>
        </w:rPr>
        <w:t xml:space="preserve">    </w:t>
      </w:r>
      <w:r>
        <w:rPr>
          <w:rFonts w:hint="eastAsia" w:ascii="宋体" w:hAnsi="宋体" w:cs="仿宋"/>
          <w:color w:val="auto"/>
          <w:spacing w:val="6"/>
          <w:sz w:val="24"/>
          <w:szCs w:val="28"/>
          <w:highlight w:val="none"/>
        </w:rPr>
        <w:t>年</w:t>
      </w:r>
      <w:r>
        <w:rPr>
          <w:rFonts w:hint="eastAsia" w:ascii="宋体" w:hAnsi="宋体" w:cs="仿宋"/>
          <w:color w:val="auto"/>
          <w:spacing w:val="6"/>
          <w:sz w:val="24"/>
          <w:szCs w:val="28"/>
          <w:highlight w:val="none"/>
          <w:u w:val="single"/>
        </w:rPr>
        <w:t xml:space="preserve">    </w:t>
      </w:r>
      <w:r>
        <w:rPr>
          <w:rFonts w:hint="eastAsia" w:ascii="宋体" w:hAnsi="宋体" w:cs="仿宋"/>
          <w:color w:val="auto"/>
          <w:spacing w:val="6"/>
          <w:sz w:val="24"/>
          <w:szCs w:val="28"/>
          <w:highlight w:val="none"/>
        </w:rPr>
        <w:t>月</w:t>
      </w:r>
      <w:r>
        <w:rPr>
          <w:rFonts w:hint="eastAsia" w:ascii="宋体" w:hAnsi="宋体" w:cs="仿宋"/>
          <w:color w:val="auto"/>
          <w:spacing w:val="6"/>
          <w:sz w:val="24"/>
          <w:szCs w:val="28"/>
          <w:highlight w:val="none"/>
          <w:u w:val="single"/>
        </w:rPr>
        <w:t xml:space="preserve">    </w:t>
      </w:r>
      <w:r>
        <w:rPr>
          <w:rFonts w:hint="eastAsia" w:ascii="宋体" w:hAnsi="宋体" w:cs="仿宋"/>
          <w:color w:val="auto"/>
          <w:spacing w:val="6"/>
          <w:sz w:val="24"/>
          <w:szCs w:val="28"/>
          <w:highlight w:val="none"/>
        </w:rPr>
        <w:t>日</w:t>
      </w:r>
    </w:p>
    <w:p w14:paraId="723CBBA8">
      <w:pPr>
        <w:pBdr>
          <w:top w:val="none" w:color="auto" w:sz="0" w:space="1"/>
          <w:left w:val="none" w:color="auto" w:sz="0" w:space="1"/>
          <w:bottom w:val="none" w:color="auto" w:sz="0" w:space="1"/>
          <w:right w:val="none" w:color="auto" w:sz="0" w:space="4"/>
        </w:pBdr>
        <w:spacing w:line="360" w:lineRule="auto"/>
        <w:rPr>
          <w:rFonts w:hint="eastAsia" w:ascii="宋体" w:hAnsi="宋体" w:cs="仿宋"/>
          <w:color w:val="auto"/>
          <w:spacing w:val="6"/>
          <w:sz w:val="24"/>
          <w:szCs w:val="28"/>
          <w:highlight w:val="none"/>
        </w:rPr>
      </w:pPr>
      <w:r>
        <w:rPr>
          <w:rFonts w:hint="eastAsia" w:ascii="宋体" w:hAnsi="宋体" w:cs="仿宋"/>
          <w:color w:val="auto"/>
          <w:spacing w:val="6"/>
          <w:sz w:val="24"/>
          <w:szCs w:val="28"/>
          <w:highlight w:val="none"/>
        </w:rPr>
        <w:t>经营期限：</w:t>
      </w:r>
      <w:r>
        <w:rPr>
          <w:rFonts w:hint="eastAsia" w:ascii="宋体" w:hAnsi="宋体" w:cs="仿宋"/>
          <w:color w:val="auto"/>
          <w:spacing w:val="6"/>
          <w:sz w:val="24"/>
          <w:szCs w:val="28"/>
          <w:highlight w:val="none"/>
          <w:u w:val="single"/>
        </w:rPr>
        <w:t xml:space="preserve">                  </w:t>
      </w:r>
    </w:p>
    <w:p w14:paraId="4D13AD49">
      <w:pPr>
        <w:pBdr>
          <w:top w:val="none" w:color="auto" w:sz="0" w:space="1"/>
          <w:left w:val="none" w:color="auto" w:sz="0" w:space="1"/>
          <w:bottom w:val="none" w:color="auto" w:sz="0" w:space="1"/>
          <w:right w:val="none" w:color="auto" w:sz="0" w:space="4"/>
        </w:pBdr>
        <w:spacing w:line="360" w:lineRule="auto"/>
        <w:rPr>
          <w:rFonts w:hint="eastAsia" w:ascii="宋体" w:hAnsi="宋体" w:cs="仿宋"/>
          <w:color w:val="auto"/>
          <w:spacing w:val="6"/>
          <w:sz w:val="24"/>
          <w:szCs w:val="28"/>
          <w:highlight w:val="none"/>
        </w:rPr>
      </w:pPr>
      <w:r>
        <w:rPr>
          <w:rFonts w:hint="eastAsia" w:ascii="宋体" w:hAnsi="宋体" w:cs="仿宋"/>
          <w:color w:val="auto"/>
          <w:spacing w:val="6"/>
          <w:sz w:val="24"/>
          <w:szCs w:val="28"/>
          <w:highlight w:val="none"/>
        </w:rPr>
        <w:t>姓    名：</w:t>
      </w:r>
      <w:r>
        <w:rPr>
          <w:rFonts w:hint="eastAsia" w:ascii="宋体" w:hAnsi="宋体" w:cs="仿宋"/>
          <w:color w:val="auto"/>
          <w:spacing w:val="6"/>
          <w:sz w:val="24"/>
          <w:szCs w:val="28"/>
          <w:highlight w:val="none"/>
          <w:u w:val="single"/>
        </w:rPr>
        <w:t xml:space="preserve">                  </w:t>
      </w:r>
      <w:r>
        <w:rPr>
          <w:rFonts w:hint="eastAsia" w:ascii="宋体" w:hAnsi="宋体" w:cs="仿宋"/>
          <w:color w:val="auto"/>
          <w:spacing w:val="6"/>
          <w:sz w:val="24"/>
          <w:szCs w:val="28"/>
          <w:highlight w:val="none"/>
        </w:rPr>
        <w:t xml:space="preserve">    性  别：</w:t>
      </w:r>
      <w:r>
        <w:rPr>
          <w:rFonts w:hint="eastAsia" w:ascii="宋体" w:hAnsi="宋体" w:cs="仿宋"/>
          <w:color w:val="auto"/>
          <w:spacing w:val="6"/>
          <w:sz w:val="24"/>
          <w:szCs w:val="28"/>
          <w:highlight w:val="none"/>
          <w:u w:val="single"/>
        </w:rPr>
        <w:t xml:space="preserve">                  </w:t>
      </w:r>
    </w:p>
    <w:p w14:paraId="490EBF1F">
      <w:pPr>
        <w:pBdr>
          <w:top w:val="none" w:color="auto" w:sz="0" w:space="1"/>
          <w:left w:val="none" w:color="auto" w:sz="0" w:space="1"/>
          <w:bottom w:val="none" w:color="auto" w:sz="0" w:space="1"/>
          <w:right w:val="none" w:color="auto" w:sz="0" w:space="4"/>
        </w:pBdr>
        <w:spacing w:line="360" w:lineRule="auto"/>
        <w:rPr>
          <w:rFonts w:hint="eastAsia" w:ascii="宋体" w:hAnsi="宋体" w:cs="仿宋"/>
          <w:color w:val="auto"/>
          <w:spacing w:val="6"/>
          <w:sz w:val="24"/>
          <w:szCs w:val="28"/>
          <w:highlight w:val="none"/>
        </w:rPr>
      </w:pPr>
      <w:r>
        <w:rPr>
          <w:rFonts w:hint="eastAsia" w:ascii="宋体" w:hAnsi="宋体" w:cs="仿宋"/>
          <w:color w:val="auto"/>
          <w:spacing w:val="6"/>
          <w:sz w:val="24"/>
          <w:szCs w:val="28"/>
          <w:highlight w:val="none"/>
        </w:rPr>
        <w:t>身份证号：</w:t>
      </w:r>
      <w:r>
        <w:rPr>
          <w:rFonts w:hint="eastAsia" w:ascii="宋体" w:hAnsi="宋体" w:cs="仿宋"/>
          <w:color w:val="auto"/>
          <w:spacing w:val="6"/>
          <w:sz w:val="24"/>
          <w:szCs w:val="28"/>
          <w:highlight w:val="none"/>
          <w:u w:val="single"/>
        </w:rPr>
        <w:t xml:space="preserve">                  </w:t>
      </w:r>
      <w:r>
        <w:rPr>
          <w:rFonts w:hint="eastAsia" w:ascii="宋体" w:hAnsi="宋体" w:cs="仿宋"/>
          <w:color w:val="auto"/>
          <w:spacing w:val="6"/>
          <w:sz w:val="24"/>
          <w:szCs w:val="28"/>
          <w:highlight w:val="none"/>
        </w:rPr>
        <w:t xml:space="preserve">    职  务：</w:t>
      </w:r>
      <w:r>
        <w:rPr>
          <w:rFonts w:hint="eastAsia" w:ascii="宋体" w:hAnsi="宋体" w:cs="仿宋"/>
          <w:color w:val="auto"/>
          <w:spacing w:val="6"/>
          <w:sz w:val="24"/>
          <w:szCs w:val="28"/>
          <w:highlight w:val="none"/>
          <w:u w:val="single"/>
        </w:rPr>
        <w:t xml:space="preserve">                  </w:t>
      </w:r>
      <w:r>
        <w:rPr>
          <w:rFonts w:hint="eastAsia" w:ascii="宋体" w:hAnsi="宋体" w:cs="仿宋"/>
          <w:color w:val="auto"/>
          <w:spacing w:val="6"/>
          <w:sz w:val="24"/>
          <w:szCs w:val="28"/>
          <w:highlight w:val="none"/>
        </w:rPr>
        <w:t xml:space="preserve"> </w:t>
      </w:r>
    </w:p>
    <w:p w14:paraId="514460B9">
      <w:pPr>
        <w:pBdr>
          <w:top w:val="none" w:color="auto" w:sz="0" w:space="1"/>
          <w:left w:val="none" w:color="auto" w:sz="0" w:space="1"/>
          <w:bottom w:val="none" w:color="auto" w:sz="0" w:space="1"/>
          <w:right w:val="none" w:color="auto" w:sz="0" w:space="4"/>
        </w:pBdr>
        <w:spacing w:line="360" w:lineRule="auto"/>
        <w:rPr>
          <w:rFonts w:hint="eastAsia" w:ascii="宋体" w:hAnsi="宋体" w:cs="仿宋"/>
          <w:color w:val="auto"/>
          <w:spacing w:val="6"/>
          <w:sz w:val="24"/>
          <w:szCs w:val="28"/>
          <w:highlight w:val="none"/>
        </w:rPr>
      </w:pPr>
      <w:r>
        <w:rPr>
          <w:rFonts w:hint="eastAsia" w:ascii="宋体" w:hAnsi="宋体" w:cs="仿宋"/>
          <w:color w:val="auto"/>
          <w:spacing w:val="6"/>
          <w:sz w:val="24"/>
          <w:szCs w:val="28"/>
          <w:highlight w:val="none"/>
        </w:rPr>
        <w:t>系</w:t>
      </w:r>
      <w:r>
        <w:rPr>
          <w:rFonts w:hint="eastAsia" w:ascii="宋体" w:hAnsi="宋体" w:cs="仿宋"/>
          <w:color w:val="auto"/>
          <w:spacing w:val="6"/>
          <w:sz w:val="24"/>
          <w:szCs w:val="28"/>
          <w:highlight w:val="none"/>
          <w:u w:val="single"/>
        </w:rPr>
        <w:t xml:space="preserve">       （供应商名称）         </w:t>
      </w:r>
      <w:r>
        <w:rPr>
          <w:rFonts w:hint="eastAsia" w:ascii="宋体" w:hAnsi="宋体" w:cs="仿宋"/>
          <w:color w:val="auto"/>
          <w:spacing w:val="6"/>
          <w:sz w:val="24"/>
          <w:szCs w:val="28"/>
          <w:highlight w:val="none"/>
        </w:rPr>
        <w:t xml:space="preserve"> 的法定代表人（负责人）。</w:t>
      </w:r>
    </w:p>
    <w:p w14:paraId="5F8978EA">
      <w:pPr>
        <w:pBdr>
          <w:top w:val="none" w:color="auto" w:sz="0" w:space="1"/>
          <w:left w:val="none" w:color="auto" w:sz="0" w:space="1"/>
          <w:bottom w:val="none" w:color="auto" w:sz="0" w:space="1"/>
          <w:right w:val="none" w:color="auto" w:sz="0" w:space="4"/>
        </w:pBdr>
        <w:spacing w:line="360" w:lineRule="auto"/>
        <w:ind w:firstLine="504" w:firstLineChars="200"/>
        <w:rPr>
          <w:rFonts w:hint="eastAsia" w:ascii="宋体" w:hAnsi="宋体" w:cs="仿宋"/>
          <w:color w:val="auto"/>
          <w:spacing w:val="6"/>
          <w:sz w:val="24"/>
          <w:szCs w:val="28"/>
          <w:highlight w:val="none"/>
        </w:rPr>
      </w:pPr>
      <w:r>
        <w:rPr>
          <w:rFonts w:hint="eastAsia" w:ascii="宋体" w:hAnsi="宋体" w:cs="仿宋"/>
          <w:color w:val="auto"/>
          <w:spacing w:val="6"/>
          <w:sz w:val="24"/>
          <w:szCs w:val="28"/>
          <w:highlight w:val="none"/>
        </w:rPr>
        <w:t>特此证明。</w:t>
      </w:r>
    </w:p>
    <w:p w14:paraId="6536C6CB">
      <w:pPr>
        <w:pStyle w:val="17"/>
        <w:pageBreakBefore w:val="0"/>
        <w:tabs>
          <w:tab w:val="left" w:pos="5580"/>
        </w:tabs>
        <w:kinsoku/>
        <w:wordWrap w:val="0"/>
        <w:overflowPunct/>
        <w:topLinePunct w:val="0"/>
        <w:bidi w:val="0"/>
        <w:spacing w:line="360" w:lineRule="auto"/>
        <w:ind w:left="0" w:leftChars="0" w:firstLine="0" w:firstLineChars="0"/>
        <w:jc w:val="right"/>
        <w:textAlignment w:val="auto"/>
        <w:rPr>
          <w:rFonts w:hint="eastAsia" w:hAnsi="宋体"/>
          <w:color w:val="auto"/>
          <w:sz w:val="24"/>
          <w:szCs w:val="24"/>
        </w:rPr>
      </w:pPr>
      <w:r>
        <w:rPr>
          <w:rFonts w:hint="eastAsia" w:hAnsi="宋体"/>
          <w:color w:val="auto"/>
          <w:sz w:val="24"/>
          <w:szCs w:val="24"/>
        </w:rPr>
        <w:t>投标人（盖公</w:t>
      </w:r>
      <w:r>
        <w:rPr>
          <w:rFonts w:hAnsi="宋体"/>
          <w:color w:val="auto"/>
          <w:sz w:val="24"/>
          <w:szCs w:val="24"/>
        </w:rPr>
        <w:t>章）：</w:t>
      </w:r>
      <w:r>
        <w:rPr>
          <w:rFonts w:hAnsi="宋体"/>
          <w:color w:val="auto"/>
          <w:sz w:val="24"/>
          <w:szCs w:val="24"/>
          <w:u w:val="single"/>
        </w:rPr>
        <w:t xml:space="preserve">                    </w:t>
      </w:r>
    </w:p>
    <w:p w14:paraId="77E7C4EB">
      <w:pPr>
        <w:pStyle w:val="17"/>
        <w:pageBreakBefore w:val="0"/>
        <w:tabs>
          <w:tab w:val="left" w:pos="5580"/>
        </w:tabs>
        <w:kinsoku/>
        <w:overflowPunct/>
        <w:topLinePunct w:val="0"/>
        <w:bidi w:val="0"/>
        <w:spacing w:line="360" w:lineRule="auto"/>
        <w:ind w:left="0" w:leftChars="0" w:firstLine="0" w:firstLineChars="0"/>
        <w:jc w:val="right"/>
        <w:textAlignment w:val="auto"/>
        <w:rPr>
          <w:rFonts w:hint="eastAsia" w:hAnsi="宋体"/>
          <w:color w:val="auto"/>
          <w:sz w:val="24"/>
          <w:szCs w:val="24"/>
        </w:rPr>
      </w:pP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p>
    <w:p w14:paraId="76111FEA">
      <w:pPr>
        <w:pBdr>
          <w:top w:val="none" w:color="auto" w:sz="0" w:space="1"/>
          <w:left w:val="none" w:color="auto" w:sz="0" w:space="1"/>
          <w:bottom w:val="none" w:color="auto" w:sz="0" w:space="1"/>
          <w:right w:val="none" w:color="auto" w:sz="0" w:space="4"/>
        </w:pBdr>
        <w:tabs>
          <w:tab w:val="left" w:pos="4490"/>
        </w:tabs>
        <w:spacing w:before="240" w:beforeLines="100" w:line="560" w:lineRule="exact"/>
        <w:rPr>
          <w:rFonts w:hint="eastAsia" w:ascii="宋体" w:hAnsi="宋体" w:cs="仿宋"/>
          <w:color w:val="auto"/>
          <w:spacing w:val="20"/>
          <w:sz w:val="22"/>
          <w:szCs w:val="28"/>
          <w:highlight w:val="none"/>
        </w:rPr>
      </w:pPr>
      <w:r>
        <w:rPr>
          <w:rFonts w:hint="eastAsia" w:ascii="宋体" w:hAnsi="宋体" w:cs="仿宋"/>
          <w:b/>
          <w:color w:val="auto"/>
          <w:sz w:val="22"/>
          <w:szCs w:val="28"/>
          <w:highlight w:val="none"/>
        </w:rPr>
        <w:t>附：法定代表人有效的身份证正反两面扫描件</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4"/>
        <w:gridCol w:w="5168"/>
      </w:tblGrid>
      <w:tr w14:paraId="575A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trPr>
        <w:tc>
          <w:tcPr>
            <w:tcW w:w="2406" w:type="pct"/>
            <w:tcBorders>
              <w:top w:val="single" w:color="auto" w:sz="4" w:space="0"/>
              <w:left w:val="single" w:color="auto" w:sz="4" w:space="0"/>
              <w:bottom w:val="single" w:color="auto" w:sz="4" w:space="0"/>
              <w:right w:val="single" w:color="auto" w:sz="4" w:space="0"/>
            </w:tcBorders>
            <w:noWrap w:val="0"/>
            <w:vAlign w:val="top"/>
          </w:tcPr>
          <w:p w14:paraId="044F964E">
            <w:pPr>
              <w:pBdr>
                <w:top w:val="none" w:color="auto" w:sz="0" w:space="1"/>
                <w:left w:val="none" w:color="auto" w:sz="0" w:space="4"/>
                <w:bottom w:val="none" w:color="auto" w:sz="0" w:space="1"/>
                <w:right w:val="none" w:color="auto" w:sz="0" w:space="4"/>
              </w:pBdr>
              <w:spacing w:line="560" w:lineRule="exact"/>
              <w:rPr>
                <w:rFonts w:hint="eastAsia" w:ascii="宋体" w:hAnsi="宋体" w:cs="仿宋"/>
                <w:b/>
                <w:color w:val="auto"/>
                <w:sz w:val="30"/>
                <w:szCs w:val="30"/>
                <w:highlight w:val="none"/>
              </w:rPr>
            </w:pPr>
          </w:p>
        </w:tc>
        <w:tc>
          <w:tcPr>
            <w:tcW w:w="2594" w:type="pct"/>
            <w:tcBorders>
              <w:top w:val="single" w:color="auto" w:sz="4" w:space="0"/>
              <w:left w:val="single" w:color="auto" w:sz="4" w:space="0"/>
              <w:bottom w:val="single" w:color="auto" w:sz="4" w:space="0"/>
              <w:right w:val="single" w:color="auto" w:sz="4" w:space="0"/>
            </w:tcBorders>
            <w:noWrap w:val="0"/>
            <w:vAlign w:val="top"/>
          </w:tcPr>
          <w:p w14:paraId="26C7AD6C">
            <w:pPr>
              <w:pBdr>
                <w:top w:val="none" w:color="auto" w:sz="0" w:space="1"/>
                <w:left w:val="none" w:color="auto" w:sz="0" w:space="4"/>
                <w:bottom w:val="none" w:color="auto" w:sz="0" w:space="1"/>
                <w:right w:val="none" w:color="auto" w:sz="0" w:space="4"/>
              </w:pBdr>
              <w:spacing w:line="560" w:lineRule="exact"/>
              <w:rPr>
                <w:rFonts w:hint="eastAsia" w:ascii="宋体" w:hAnsi="宋体" w:cs="仿宋"/>
                <w:b/>
                <w:color w:val="auto"/>
                <w:sz w:val="30"/>
                <w:szCs w:val="30"/>
                <w:highlight w:val="none"/>
              </w:rPr>
            </w:pPr>
          </w:p>
        </w:tc>
      </w:tr>
    </w:tbl>
    <w:p w14:paraId="0868C2F7">
      <w:pPr>
        <w:pageBreakBefore w:val="0"/>
        <w:kinsoku/>
        <w:overflowPunct/>
        <w:topLinePunct w:val="0"/>
        <w:bidi w:val="0"/>
        <w:spacing w:line="360" w:lineRule="auto"/>
        <w:ind w:left="0" w:leftChars="0" w:firstLine="0" w:firstLineChars="0"/>
        <w:jc w:val="left"/>
        <w:textAlignment w:val="auto"/>
        <w:rPr>
          <w:rFonts w:ascii="宋体" w:hAnsi="宋体" w:cs="Arial"/>
          <w:color w:val="auto"/>
          <w:sz w:val="24"/>
          <w:shd w:val="clear" w:color="auto" w:fill="FFFFFF"/>
        </w:rPr>
      </w:pPr>
    </w:p>
    <w:p w14:paraId="046AD9FB">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r>
        <w:rPr>
          <w:rFonts w:ascii="宋体" w:hAnsi="宋体"/>
          <w:color w:val="auto"/>
          <w:sz w:val="24"/>
        </w:rPr>
        <w:br w:type="page"/>
      </w:r>
      <w:bookmarkStart w:id="365" w:name="_Toc17532"/>
      <w:bookmarkStart w:id="366" w:name="_Toc2582312"/>
      <w:bookmarkStart w:id="367" w:name="_Toc532473498"/>
    </w:p>
    <w:p w14:paraId="0E1DC9FD">
      <w:pPr>
        <w:pageBreakBefore w:val="0"/>
        <w:kinsoku/>
        <w:overflowPunct/>
        <w:topLinePunct w:val="0"/>
        <w:bidi w:val="0"/>
        <w:spacing w:line="360" w:lineRule="auto"/>
        <w:ind w:left="0" w:leftChars="0" w:firstLine="0" w:firstLineChars="0"/>
        <w:jc w:val="left"/>
        <w:textAlignment w:val="auto"/>
        <w:outlineLvl w:val="2"/>
        <w:rPr>
          <w:rFonts w:ascii="宋体" w:hAnsi="宋体"/>
          <w:color w:val="auto"/>
          <w:sz w:val="24"/>
        </w:rPr>
      </w:pPr>
    </w:p>
    <w:p w14:paraId="053CAD66">
      <w:pPr>
        <w:pageBreakBefore w:val="0"/>
        <w:kinsoku/>
        <w:overflowPunct/>
        <w:topLinePunct w:val="0"/>
        <w:bidi w:val="0"/>
        <w:spacing w:line="360" w:lineRule="auto"/>
        <w:ind w:left="0" w:leftChars="0" w:firstLine="0" w:firstLineChars="0"/>
        <w:jc w:val="left"/>
        <w:textAlignment w:val="auto"/>
        <w:outlineLvl w:val="2"/>
        <w:rPr>
          <w:rFonts w:hint="eastAsia" w:ascii="宋体" w:hAnsi="宋体"/>
          <w:b/>
          <w:bCs/>
          <w:color w:val="auto"/>
          <w:sz w:val="24"/>
        </w:rPr>
      </w:pPr>
      <w:r>
        <w:rPr>
          <w:rFonts w:ascii="宋体" w:hAnsi="宋体"/>
          <w:b/>
          <w:bCs/>
          <w:color w:val="auto"/>
          <w:sz w:val="24"/>
        </w:rPr>
        <w:t>3</w:t>
      </w:r>
      <w:r>
        <w:rPr>
          <w:rFonts w:hint="eastAsia" w:ascii="宋体" w:hAnsi="宋体"/>
          <w:b/>
          <w:bCs/>
          <w:color w:val="auto"/>
          <w:sz w:val="24"/>
        </w:rPr>
        <w:t xml:space="preserve"> 法定代表人授权委托书</w:t>
      </w:r>
      <w:bookmarkEnd w:id="365"/>
      <w:bookmarkEnd w:id="366"/>
    </w:p>
    <w:bookmarkEnd w:id="362"/>
    <w:bookmarkEnd w:id="363"/>
    <w:bookmarkEnd w:id="364"/>
    <w:bookmarkEnd w:id="367"/>
    <w:p w14:paraId="2EF5E31F">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0D968244">
      <w:pPr>
        <w:pBdr>
          <w:top w:val="none" w:color="auto" w:sz="0" w:space="2"/>
          <w:left w:val="none" w:color="auto" w:sz="0" w:space="4"/>
          <w:bottom w:val="none" w:color="auto" w:sz="0" w:space="1"/>
          <w:right w:val="none" w:color="auto" w:sz="0" w:space="4"/>
        </w:pBdr>
        <w:spacing w:line="360" w:lineRule="auto"/>
        <w:rPr>
          <w:rFonts w:hint="eastAsia" w:ascii="宋体" w:hAnsi="宋体" w:cs="仿宋"/>
          <w:b/>
          <w:color w:val="auto"/>
          <w:sz w:val="24"/>
          <w:szCs w:val="28"/>
          <w:highlight w:val="none"/>
          <w:u w:val="single"/>
        </w:rPr>
      </w:pPr>
      <w:r>
        <w:rPr>
          <w:rFonts w:hint="eastAsia" w:ascii="宋体" w:hAnsi="宋体" w:cs="仿宋"/>
          <w:color w:val="auto"/>
          <w:sz w:val="24"/>
          <w:szCs w:val="28"/>
          <w:highlight w:val="none"/>
        </w:rPr>
        <w:t>采购代理机构</w:t>
      </w:r>
      <w:r>
        <w:rPr>
          <w:rFonts w:hint="eastAsia" w:ascii="宋体" w:hAnsi="宋体" w:cs="仿宋"/>
          <w:b/>
          <w:color w:val="auto"/>
          <w:sz w:val="24"/>
          <w:szCs w:val="28"/>
          <w:highlight w:val="none"/>
        </w:rPr>
        <w:t>：</w:t>
      </w:r>
      <w:r>
        <w:rPr>
          <w:rFonts w:hint="eastAsia" w:ascii="宋体" w:hAnsi="宋体" w:cs="仿宋"/>
          <w:b/>
          <w:color w:val="auto"/>
          <w:sz w:val="24"/>
          <w:szCs w:val="28"/>
          <w:highlight w:val="none"/>
          <w:u w:val="single"/>
        </w:rPr>
        <w:t xml:space="preserve">        </w:t>
      </w:r>
    </w:p>
    <w:p w14:paraId="5951C16F">
      <w:pPr>
        <w:pBdr>
          <w:top w:val="none" w:color="auto" w:sz="0" w:space="2"/>
          <w:left w:val="none" w:color="auto" w:sz="0" w:space="4"/>
          <w:bottom w:val="none" w:color="auto" w:sz="0" w:space="1"/>
          <w:right w:val="none" w:color="auto" w:sz="0" w:space="4"/>
        </w:pBdr>
        <w:spacing w:line="360" w:lineRule="auto"/>
        <w:ind w:firstLine="420"/>
        <w:rPr>
          <w:rFonts w:hint="eastAsia" w:ascii="宋体" w:hAnsi="宋体" w:cs="仿宋"/>
          <w:color w:val="auto"/>
          <w:sz w:val="24"/>
          <w:szCs w:val="28"/>
          <w:highlight w:val="none"/>
        </w:rPr>
      </w:pPr>
      <w:r>
        <w:rPr>
          <w:rFonts w:hint="eastAsia" w:ascii="宋体" w:hAnsi="宋体" w:cs="仿宋"/>
          <w:color w:val="auto"/>
          <w:sz w:val="24"/>
          <w:szCs w:val="28"/>
          <w:highlight w:val="none"/>
        </w:rPr>
        <w:t>本授权委托书声明：注册于</w:t>
      </w:r>
      <w:r>
        <w:rPr>
          <w:rFonts w:hint="eastAsia" w:ascii="宋体" w:hAnsi="宋体" w:cs="仿宋"/>
          <w:color w:val="auto"/>
          <w:sz w:val="24"/>
          <w:szCs w:val="28"/>
          <w:highlight w:val="none"/>
          <w:u w:val="single"/>
        </w:rPr>
        <w:t xml:space="preserve">     （供应商住址）</w:t>
      </w:r>
      <w:r>
        <w:rPr>
          <w:rFonts w:hint="eastAsia" w:ascii="宋体" w:hAnsi="宋体" w:cs="仿宋"/>
          <w:color w:val="auto"/>
          <w:sz w:val="24"/>
          <w:szCs w:val="28"/>
          <w:highlight w:val="none"/>
        </w:rPr>
        <w:t>的</w:t>
      </w:r>
      <w:r>
        <w:rPr>
          <w:rFonts w:hint="eastAsia" w:ascii="宋体" w:hAnsi="宋体" w:cs="仿宋"/>
          <w:color w:val="auto"/>
          <w:sz w:val="24"/>
          <w:szCs w:val="28"/>
          <w:highlight w:val="none"/>
          <w:u w:val="single"/>
        </w:rPr>
        <w:t xml:space="preserve">     （供应商名称）</w:t>
      </w:r>
      <w:r>
        <w:rPr>
          <w:rFonts w:hint="eastAsia" w:ascii="宋体" w:hAnsi="宋体" w:cs="仿宋"/>
          <w:color w:val="auto"/>
          <w:sz w:val="24"/>
          <w:szCs w:val="28"/>
          <w:highlight w:val="none"/>
        </w:rPr>
        <w:t>法定代表人</w:t>
      </w:r>
      <w:r>
        <w:rPr>
          <w:rFonts w:hint="eastAsia" w:ascii="宋体" w:hAnsi="宋体" w:cs="仿宋"/>
          <w:color w:val="auto"/>
          <w:sz w:val="24"/>
          <w:szCs w:val="28"/>
          <w:highlight w:val="none"/>
          <w:u w:val="single"/>
        </w:rPr>
        <w:t xml:space="preserve">     （法定代表人姓名、职务、身份证号）</w:t>
      </w:r>
      <w:r>
        <w:rPr>
          <w:rFonts w:hint="eastAsia" w:ascii="宋体" w:hAnsi="宋体" w:cs="仿宋"/>
          <w:color w:val="auto"/>
          <w:sz w:val="24"/>
          <w:szCs w:val="28"/>
          <w:highlight w:val="none"/>
        </w:rPr>
        <w:t>代表本公司授权</w:t>
      </w:r>
      <w:r>
        <w:rPr>
          <w:rFonts w:hint="eastAsia" w:ascii="宋体" w:hAnsi="宋体" w:cs="仿宋"/>
          <w:color w:val="auto"/>
          <w:sz w:val="24"/>
          <w:szCs w:val="28"/>
          <w:highlight w:val="none"/>
          <w:u w:val="single"/>
        </w:rPr>
        <w:t xml:space="preserve">  （供应商代表姓名、职务、身份证号）</w:t>
      </w:r>
      <w:r>
        <w:rPr>
          <w:rFonts w:hint="eastAsia" w:ascii="宋体" w:hAnsi="宋体" w:cs="仿宋"/>
          <w:color w:val="auto"/>
          <w:sz w:val="24"/>
          <w:szCs w:val="28"/>
          <w:highlight w:val="none"/>
        </w:rPr>
        <w:t>为本公司的合法代理人，就贵方组织</w:t>
      </w:r>
      <w:r>
        <w:rPr>
          <w:rFonts w:hint="eastAsia" w:ascii="宋体" w:hAnsi="宋体" w:cs="仿宋"/>
          <w:color w:val="auto"/>
          <w:sz w:val="24"/>
          <w:szCs w:val="28"/>
          <w:highlight w:val="none"/>
          <w:u w:val="single"/>
        </w:rPr>
        <w:t xml:space="preserve">   </w:t>
      </w:r>
      <w:r>
        <w:rPr>
          <w:rFonts w:hint="eastAsia" w:ascii="宋体" w:hAnsi="宋体" w:cs="仿宋"/>
          <w:color w:val="auto"/>
          <w:spacing w:val="6"/>
          <w:sz w:val="24"/>
          <w:szCs w:val="28"/>
          <w:highlight w:val="none"/>
          <w:u w:val="single"/>
        </w:rPr>
        <w:t>（项目名称、项目编号）</w:t>
      </w:r>
      <w:r>
        <w:rPr>
          <w:rFonts w:hint="eastAsia" w:ascii="宋体" w:hAnsi="宋体" w:cs="仿宋"/>
          <w:color w:val="auto"/>
          <w:sz w:val="24"/>
          <w:szCs w:val="28"/>
          <w:highlight w:val="none"/>
        </w:rPr>
        <w:t>项目，以本公司名义处理一切与之有关的事务。</w:t>
      </w:r>
    </w:p>
    <w:p w14:paraId="0341B5F1">
      <w:pPr>
        <w:pBdr>
          <w:top w:val="none" w:color="auto" w:sz="0" w:space="2"/>
          <w:left w:val="none" w:color="auto" w:sz="0" w:space="4"/>
          <w:bottom w:val="none" w:color="auto" w:sz="0" w:space="1"/>
          <w:right w:val="none" w:color="auto" w:sz="0" w:space="4"/>
        </w:pBdr>
        <w:spacing w:line="360" w:lineRule="auto"/>
        <w:ind w:firstLine="480" w:firstLineChars="200"/>
        <w:rPr>
          <w:rFonts w:hint="eastAsia" w:ascii="宋体" w:hAnsi="宋体" w:cs="仿宋"/>
          <w:color w:val="auto"/>
          <w:sz w:val="24"/>
          <w:szCs w:val="28"/>
          <w:highlight w:val="none"/>
        </w:rPr>
      </w:pPr>
      <w:r>
        <w:rPr>
          <w:rFonts w:hint="eastAsia" w:ascii="宋体" w:hAnsi="宋体" w:cs="仿宋"/>
          <w:color w:val="auto"/>
          <w:sz w:val="24"/>
          <w:szCs w:val="28"/>
          <w:highlight w:val="none"/>
        </w:rPr>
        <w:t>本授权书于</w:t>
      </w:r>
      <w:r>
        <w:rPr>
          <w:rFonts w:hint="eastAsia" w:ascii="宋体" w:hAnsi="宋体" w:cs="仿宋"/>
          <w:color w:val="auto"/>
          <w:sz w:val="24"/>
          <w:szCs w:val="28"/>
          <w:highlight w:val="none"/>
          <w:u w:val="single"/>
        </w:rPr>
        <w:t xml:space="preserve">    </w:t>
      </w:r>
      <w:r>
        <w:rPr>
          <w:rFonts w:hint="eastAsia" w:ascii="宋体" w:hAnsi="宋体" w:cs="仿宋"/>
          <w:color w:val="auto"/>
          <w:sz w:val="24"/>
          <w:szCs w:val="28"/>
          <w:highlight w:val="none"/>
        </w:rPr>
        <w:t>年</w:t>
      </w:r>
      <w:r>
        <w:rPr>
          <w:rFonts w:hint="eastAsia" w:ascii="宋体" w:hAnsi="宋体" w:cs="仿宋"/>
          <w:color w:val="auto"/>
          <w:sz w:val="24"/>
          <w:szCs w:val="28"/>
          <w:highlight w:val="none"/>
          <w:u w:val="single"/>
        </w:rPr>
        <w:t xml:space="preserve">    </w:t>
      </w:r>
      <w:r>
        <w:rPr>
          <w:rFonts w:hint="eastAsia" w:ascii="宋体" w:hAnsi="宋体" w:cs="仿宋"/>
          <w:color w:val="auto"/>
          <w:sz w:val="24"/>
          <w:szCs w:val="28"/>
          <w:highlight w:val="none"/>
        </w:rPr>
        <w:t>月</w:t>
      </w:r>
      <w:r>
        <w:rPr>
          <w:rFonts w:hint="eastAsia" w:ascii="宋体" w:hAnsi="宋体" w:cs="仿宋"/>
          <w:color w:val="auto"/>
          <w:sz w:val="24"/>
          <w:szCs w:val="28"/>
          <w:highlight w:val="none"/>
          <w:u w:val="single"/>
        </w:rPr>
        <w:t xml:space="preserve">    </w:t>
      </w:r>
      <w:r>
        <w:rPr>
          <w:rFonts w:hint="eastAsia" w:ascii="宋体" w:hAnsi="宋体" w:cs="仿宋"/>
          <w:color w:val="auto"/>
          <w:sz w:val="24"/>
          <w:szCs w:val="28"/>
          <w:highlight w:val="none"/>
        </w:rPr>
        <w:t>日生效，特此声明。</w:t>
      </w:r>
    </w:p>
    <w:p w14:paraId="428E1EBA">
      <w:pPr>
        <w:pStyle w:val="2"/>
        <w:ind w:left="630"/>
        <w:rPr>
          <w:rFonts w:hint="eastAsia"/>
          <w:color w:val="auto"/>
          <w:sz w:val="28"/>
          <w:highlight w:val="none"/>
        </w:rPr>
      </w:pPr>
    </w:p>
    <w:p w14:paraId="4D73B5AB">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u w:val="single"/>
        </w:rPr>
      </w:pPr>
      <w:r>
        <w:rPr>
          <w:rFonts w:hint="eastAsia" w:hAnsi="宋体"/>
          <w:color w:val="auto"/>
          <w:sz w:val="24"/>
          <w:szCs w:val="24"/>
          <w:u w:val="single" w:color="FFFFFF"/>
        </w:rPr>
        <w:t>投标</w:t>
      </w:r>
      <w:r>
        <w:rPr>
          <w:rFonts w:hint="eastAsia" w:hAnsi="宋体"/>
          <w:color w:val="auto"/>
          <w:sz w:val="24"/>
          <w:szCs w:val="24"/>
        </w:rPr>
        <w:t>人（盖公章）：</w:t>
      </w:r>
      <w:r>
        <w:rPr>
          <w:rFonts w:hint="eastAsia" w:hAnsi="宋体"/>
          <w:color w:val="auto"/>
          <w:sz w:val="24"/>
          <w:szCs w:val="24"/>
          <w:u w:val="single"/>
        </w:rPr>
        <w:t xml:space="preserve">                    </w:t>
      </w:r>
      <w:r>
        <w:rPr>
          <w:rFonts w:hAnsi="宋体"/>
          <w:color w:val="auto"/>
          <w:sz w:val="24"/>
          <w:szCs w:val="24"/>
          <w:u w:val="single"/>
        </w:rPr>
        <w:t xml:space="preserve">   </w:t>
      </w:r>
      <w:r>
        <w:rPr>
          <w:rFonts w:hint="eastAsia" w:hAnsi="宋体"/>
          <w:color w:val="auto"/>
          <w:sz w:val="24"/>
          <w:szCs w:val="24"/>
          <w:u w:val="single"/>
        </w:rPr>
        <w:t xml:space="preserve">       </w:t>
      </w:r>
    </w:p>
    <w:p w14:paraId="58595EBB">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u w:val="single" w:color="FFFFFF"/>
        </w:rPr>
        <w:t>法定代表人（签字或签章）</w:t>
      </w:r>
      <w:r>
        <w:rPr>
          <w:rFonts w:hint="eastAsia" w:hAnsi="宋体"/>
          <w:color w:val="auto"/>
          <w:sz w:val="24"/>
          <w:szCs w:val="24"/>
        </w:rPr>
        <w:t>：</w:t>
      </w:r>
      <w:r>
        <w:rPr>
          <w:rFonts w:hint="eastAsia" w:hAnsi="宋体"/>
          <w:color w:val="auto"/>
          <w:sz w:val="24"/>
          <w:szCs w:val="24"/>
          <w:u w:val="single"/>
        </w:rPr>
        <w:t xml:space="preserve">              </w:t>
      </w:r>
      <w:r>
        <w:rPr>
          <w:rFonts w:hAnsi="宋体"/>
          <w:color w:val="auto"/>
          <w:sz w:val="24"/>
          <w:szCs w:val="24"/>
          <w:u w:val="single"/>
        </w:rPr>
        <w:t xml:space="preserve"> </w:t>
      </w:r>
      <w:r>
        <w:rPr>
          <w:rFonts w:hint="eastAsia" w:hAnsi="宋体"/>
          <w:color w:val="auto"/>
          <w:sz w:val="24"/>
          <w:szCs w:val="24"/>
          <w:u w:val="single"/>
        </w:rPr>
        <w:t xml:space="preserve">       </w:t>
      </w:r>
    </w:p>
    <w:p w14:paraId="5E5F4C0C">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u w:val="single"/>
        </w:rPr>
      </w:pPr>
      <w:r>
        <w:rPr>
          <w:rFonts w:hint="eastAsia" w:hAnsi="宋体"/>
          <w:color w:val="auto"/>
          <w:sz w:val="24"/>
          <w:szCs w:val="24"/>
          <w:u w:val="single" w:color="EEECE1"/>
        </w:rPr>
        <w:t>身份证号码</w:t>
      </w:r>
      <w:r>
        <w:rPr>
          <w:rFonts w:hint="eastAsia" w:hAnsi="宋体"/>
          <w:color w:val="auto"/>
          <w:sz w:val="24"/>
          <w:szCs w:val="24"/>
        </w:rPr>
        <w:t xml:space="preserve">：__________________________________ </w:t>
      </w:r>
    </w:p>
    <w:p w14:paraId="2EDD61FC">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委托代理人</w:t>
      </w:r>
      <w:r>
        <w:rPr>
          <w:rFonts w:hint="eastAsia" w:hAnsi="宋体"/>
          <w:color w:val="auto"/>
          <w:sz w:val="24"/>
          <w:szCs w:val="24"/>
          <w:u w:val="single" w:color="FFFFFF"/>
        </w:rPr>
        <w:t>（签字或签章）</w:t>
      </w:r>
      <w:r>
        <w:rPr>
          <w:rFonts w:hint="eastAsia" w:hAnsi="宋体"/>
          <w:color w:val="auto"/>
          <w:sz w:val="24"/>
          <w:szCs w:val="24"/>
        </w:rPr>
        <w:t>：</w:t>
      </w:r>
      <w:r>
        <w:rPr>
          <w:rFonts w:hint="eastAsia" w:hAnsi="宋体"/>
          <w:color w:val="auto"/>
          <w:sz w:val="24"/>
          <w:szCs w:val="24"/>
          <w:u w:val="single"/>
        </w:rPr>
        <w:t xml:space="preserve">                      </w:t>
      </w:r>
    </w:p>
    <w:p w14:paraId="41178834">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color w:val="auto"/>
          <w:sz w:val="24"/>
          <w:szCs w:val="24"/>
          <w:u w:val="single"/>
        </w:rPr>
      </w:pPr>
      <w:r>
        <w:rPr>
          <w:rFonts w:hint="eastAsia" w:hAnsi="宋体"/>
          <w:color w:val="auto"/>
          <w:sz w:val="24"/>
          <w:szCs w:val="24"/>
        </w:rPr>
        <w:t>身份证号码：</w:t>
      </w:r>
      <w:r>
        <w:rPr>
          <w:rFonts w:hint="eastAsia" w:hAnsi="宋体"/>
          <w:color w:val="auto"/>
          <w:sz w:val="24"/>
          <w:szCs w:val="24"/>
          <w:u w:val="single"/>
        </w:rPr>
        <w:t xml:space="preserve">                                   </w:t>
      </w:r>
    </w:p>
    <w:p w14:paraId="66AC2C0F">
      <w:pPr>
        <w:pStyle w:val="17"/>
        <w:pageBreakBefore w:val="0"/>
        <w:tabs>
          <w:tab w:val="left" w:pos="5580"/>
        </w:tabs>
        <w:kinsoku/>
        <w:overflowPunct/>
        <w:topLinePunct w:val="0"/>
        <w:bidi w:val="0"/>
        <w:spacing w:line="360" w:lineRule="auto"/>
        <w:ind w:left="0" w:leftChars="0" w:firstLine="0" w:firstLineChars="0"/>
        <w:jc w:val="right"/>
        <w:textAlignment w:val="auto"/>
        <w:rPr>
          <w:rFonts w:hint="eastAsia" w:hAnsi="宋体"/>
          <w:color w:val="auto"/>
          <w:sz w:val="24"/>
          <w:szCs w:val="24"/>
        </w:rPr>
      </w:pP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p>
    <w:p w14:paraId="5129A323">
      <w:pPr>
        <w:pBdr>
          <w:top w:val="none" w:color="auto" w:sz="0" w:space="1"/>
          <w:left w:val="none" w:color="auto" w:sz="0" w:space="4"/>
          <w:bottom w:val="none" w:color="auto" w:sz="0" w:space="1"/>
          <w:right w:val="none" w:color="auto" w:sz="0" w:space="4"/>
        </w:pBdr>
        <w:spacing w:after="240" w:afterLines="100" w:line="560" w:lineRule="exact"/>
        <w:rPr>
          <w:rFonts w:hint="eastAsia" w:ascii="宋体" w:hAnsi="宋体" w:cs="仿宋"/>
          <w:b/>
          <w:color w:val="auto"/>
          <w:sz w:val="24"/>
          <w:szCs w:val="28"/>
          <w:highlight w:val="none"/>
        </w:rPr>
      </w:pPr>
    </w:p>
    <w:p w14:paraId="1EA029FC">
      <w:pPr>
        <w:pBdr>
          <w:top w:val="none" w:color="auto" w:sz="0" w:space="1"/>
          <w:left w:val="none" w:color="auto" w:sz="0" w:space="4"/>
          <w:bottom w:val="none" w:color="auto" w:sz="0" w:space="1"/>
          <w:right w:val="none" w:color="auto" w:sz="0" w:space="4"/>
        </w:pBdr>
        <w:spacing w:after="240" w:afterLines="100" w:line="560" w:lineRule="exact"/>
        <w:rPr>
          <w:rFonts w:hint="eastAsia" w:ascii="宋体" w:hAnsi="宋体" w:cs="仿宋"/>
          <w:b/>
          <w:color w:val="auto"/>
          <w:sz w:val="24"/>
          <w:szCs w:val="28"/>
          <w:highlight w:val="none"/>
        </w:rPr>
      </w:pPr>
      <w:r>
        <w:rPr>
          <w:rFonts w:hint="eastAsia" w:ascii="宋体" w:hAnsi="宋体" w:cs="仿宋"/>
          <w:b/>
          <w:color w:val="auto"/>
          <w:sz w:val="24"/>
          <w:szCs w:val="28"/>
          <w:highlight w:val="none"/>
        </w:rPr>
        <w:t>附：供应商代表有效的身份证正反两面扫描件</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5"/>
        <w:gridCol w:w="4917"/>
      </w:tblGrid>
      <w:tr w14:paraId="759E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trPr>
        <w:tc>
          <w:tcPr>
            <w:tcW w:w="2532" w:type="pct"/>
            <w:tcBorders>
              <w:top w:val="single" w:color="auto" w:sz="4" w:space="0"/>
              <w:left w:val="single" w:color="auto" w:sz="4" w:space="0"/>
              <w:bottom w:val="single" w:color="auto" w:sz="4" w:space="0"/>
              <w:right w:val="single" w:color="auto" w:sz="4" w:space="0"/>
            </w:tcBorders>
            <w:noWrap w:val="0"/>
            <w:vAlign w:val="top"/>
          </w:tcPr>
          <w:p w14:paraId="3A3FEC61">
            <w:pPr>
              <w:pBdr>
                <w:top w:val="none" w:color="auto" w:sz="0" w:space="1"/>
                <w:left w:val="none" w:color="auto" w:sz="0" w:space="4"/>
                <w:bottom w:val="none" w:color="auto" w:sz="0" w:space="1"/>
                <w:right w:val="none" w:color="auto" w:sz="0" w:space="4"/>
              </w:pBdr>
              <w:spacing w:line="560" w:lineRule="exact"/>
              <w:rPr>
                <w:rFonts w:hint="eastAsia" w:ascii="宋体" w:hAnsi="宋体" w:cs="仿宋"/>
                <w:b/>
                <w:color w:val="auto"/>
                <w:sz w:val="30"/>
                <w:szCs w:val="30"/>
                <w:highlight w:val="none"/>
              </w:rPr>
            </w:pPr>
          </w:p>
        </w:tc>
        <w:tc>
          <w:tcPr>
            <w:tcW w:w="2468" w:type="pct"/>
            <w:tcBorders>
              <w:top w:val="single" w:color="auto" w:sz="4" w:space="0"/>
              <w:left w:val="single" w:color="auto" w:sz="4" w:space="0"/>
              <w:bottom w:val="single" w:color="auto" w:sz="4" w:space="0"/>
              <w:right w:val="single" w:color="auto" w:sz="4" w:space="0"/>
            </w:tcBorders>
            <w:noWrap w:val="0"/>
            <w:vAlign w:val="top"/>
          </w:tcPr>
          <w:p w14:paraId="4D6C9B2B">
            <w:pPr>
              <w:pBdr>
                <w:top w:val="none" w:color="auto" w:sz="0" w:space="1"/>
                <w:left w:val="none" w:color="auto" w:sz="0" w:space="4"/>
                <w:bottom w:val="none" w:color="auto" w:sz="0" w:space="1"/>
                <w:right w:val="none" w:color="auto" w:sz="0" w:space="4"/>
              </w:pBdr>
              <w:spacing w:line="560" w:lineRule="exact"/>
              <w:rPr>
                <w:rFonts w:hint="eastAsia" w:ascii="宋体" w:hAnsi="宋体" w:cs="仿宋"/>
                <w:b/>
                <w:color w:val="auto"/>
                <w:sz w:val="30"/>
                <w:szCs w:val="30"/>
                <w:highlight w:val="none"/>
              </w:rPr>
            </w:pPr>
          </w:p>
        </w:tc>
      </w:tr>
    </w:tbl>
    <w:p w14:paraId="0AEB1926">
      <w:pPr>
        <w:pStyle w:val="17"/>
        <w:pageBreakBefore w:val="0"/>
        <w:tabs>
          <w:tab w:val="left" w:pos="5580"/>
        </w:tabs>
        <w:kinsoku/>
        <w:overflowPunct/>
        <w:topLinePunct w:val="0"/>
        <w:bidi w:val="0"/>
        <w:spacing w:line="360" w:lineRule="auto"/>
        <w:ind w:left="0" w:leftChars="0" w:firstLine="0" w:firstLineChars="0"/>
        <w:jc w:val="left"/>
        <w:textAlignment w:val="auto"/>
        <w:outlineLvl w:val="2"/>
        <w:rPr>
          <w:rFonts w:hAnsi="宋体"/>
          <w:color w:val="auto"/>
          <w:sz w:val="24"/>
          <w:szCs w:val="24"/>
        </w:rPr>
      </w:pPr>
      <w:bookmarkStart w:id="368" w:name="_Toc515647808"/>
      <w:bookmarkStart w:id="369" w:name="_Toc532473499"/>
      <w:bookmarkStart w:id="370" w:name="_Toc32520"/>
      <w:bookmarkStart w:id="371" w:name="_Toc7039"/>
      <w:r>
        <w:rPr>
          <w:rFonts w:hAnsi="宋体"/>
          <w:color w:val="auto"/>
          <w:sz w:val="24"/>
          <w:szCs w:val="24"/>
        </w:rPr>
        <w:br w:type="page"/>
      </w:r>
      <w:bookmarkStart w:id="372" w:name="_Toc2582313"/>
      <w:bookmarkStart w:id="373" w:name="_Toc9387"/>
    </w:p>
    <w:p w14:paraId="3991CA1B">
      <w:pPr>
        <w:pStyle w:val="17"/>
        <w:pageBreakBefore w:val="0"/>
        <w:tabs>
          <w:tab w:val="left" w:pos="5580"/>
        </w:tabs>
        <w:kinsoku/>
        <w:overflowPunct/>
        <w:topLinePunct w:val="0"/>
        <w:bidi w:val="0"/>
        <w:spacing w:line="360" w:lineRule="auto"/>
        <w:ind w:left="0" w:leftChars="0" w:firstLine="0" w:firstLineChars="0"/>
        <w:jc w:val="left"/>
        <w:textAlignment w:val="auto"/>
        <w:outlineLvl w:val="2"/>
        <w:rPr>
          <w:rFonts w:hAnsi="宋体"/>
          <w:color w:val="auto"/>
          <w:sz w:val="24"/>
          <w:szCs w:val="24"/>
        </w:rPr>
      </w:pPr>
    </w:p>
    <w:p w14:paraId="33CFF2E7">
      <w:pPr>
        <w:pStyle w:val="17"/>
        <w:pageBreakBefore w:val="0"/>
        <w:tabs>
          <w:tab w:val="left" w:pos="5580"/>
        </w:tabs>
        <w:kinsoku/>
        <w:overflowPunct/>
        <w:topLinePunct w:val="0"/>
        <w:bidi w:val="0"/>
        <w:spacing w:line="360" w:lineRule="auto"/>
        <w:ind w:left="0" w:leftChars="0" w:firstLine="0" w:firstLineChars="0"/>
        <w:jc w:val="left"/>
        <w:textAlignment w:val="auto"/>
        <w:outlineLvl w:val="2"/>
        <w:rPr>
          <w:rFonts w:hAnsi="宋体"/>
          <w:b/>
          <w:bCs/>
          <w:color w:val="auto"/>
          <w:sz w:val="24"/>
          <w:szCs w:val="24"/>
        </w:rPr>
      </w:pPr>
      <w:r>
        <w:rPr>
          <w:rFonts w:hAnsi="宋体"/>
          <w:b/>
          <w:bCs/>
          <w:color w:val="auto"/>
          <w:sz w:val="24"/>
          <w:szCs w:val="24"/>
        </w:rPr>
        <w:t xml:space="preserve">4 </w:t>
      </w:r>
      <w:r>
        <w:rPr>
          <w:rFonts w:hint="eastAsia" w:hAnsi="宋体"/>
          <w:b/>
          <w:bCs/>
          <w:color w:val="auto"/>
          <w:sz w:val="24"/>
          <w:szCs w:val="24"/>
        </w:rPr>
        <w:t>投标保证</w:t>
      </w:r>
      <w:bookmarkEnd w:id="372"/>
      <w:r>
        <w:rPr>
          <w:rFonts w:hint="eastAsia" w:hAnsi="宋体"/>
          <w:b/>
          <w:bCs/>
          <w:color w:val="auto"/>
          <w:sz w:val="24"/>
          <w:szCs w:val="24"/>
        </w:rPr>
        <w:t>金</w:t>
      </w:r>
      <w:bookmarkEnd w:id="373"/>
    </w:p>
    <w:p w14:paraId="75F764BD">
      <w:pPr>
        <w:pageBreakBefore w:val="0"/>
        <w:kinsoku/>
        <w:overflowPunct/>
        <w:topLinePunct w:val="0"/>
        <w:bidi w:val="0"/>
        <w:snapToGrid w:val="0"/>
        <w:spacing w:line="360" w:lineRule="auto"/>
        <w:ind w:left="0" w:leftChars="0" w:firstLine="0" w:firstLineChars="0"/>
        <w:jc w:val="left"/>
        <w:textAlignment w:val="auto"/>
        <w:rPr>
          <w:rFonts w:ascii="宋体" w:hAnsi="宋体" w:cs="宋体"/>
          <w:color w:val="auto"/>
          <w:kern w:val="0"/>
          <w:sz w:val="24"/>
        </w:rPr>
      </w:pPr>
      <w:r>
        <w:rPr>
          <w:rFonts w:hint="eastAsia" w:ascii="宋体" w:hAnsi="宋体" w:cs="宋体"/>
          <w:color w:val="auto"/>
          <w:kern w:val="0"/>
          <w:sz w:val="24"/>
        </w:rPr>
        <w:t>若采用现金转账的，投标人应在此提供汇款凭证扫描件和开户许可证或基本账户备案凭证。如采用保函，格式如下。</w:t>
      </w:r>
    </w:p>
    <w:p w14:paraId="5BE4A559">
      <w:pPr>
        <w:pageBreakBefore w:val="0"/>
        <w:kinsoku/>
        <w:overflowPunct/>
        <w:topLinePunct w:val="0"/>
        <w:bidi w:val="0"/>
        <w:snapToGrid w:val="0"/>
        <w:spacing w:line="360" w:lineRule="auto"/>
        <w:ind w:left="0" w:leftChars="0" w:firstLine="0" w:firstLineChars="0"/>
        <w:jc w:val="left"/>
        <w:textAlignment w:val="auto"/>
        <w:rPr>
          <w:rFonts w:ascii="宋体" w:hAnsi="宋体" w:cs="宋体"/>
          <w:color w:val="auto"/>
          <w:kern w:val="0"/>
          <w:sz w:val="24"/>
        </w:rPr>
      </w:pPr>
    </w:p>
    <w:p w14:paraId="45699F65">
      <w:pPr>
        <w:pageBreakBefore w:val="0"/>
        <w:kinsoku/>
        <w:overflowPunct/>
        <w:topLinePunct w:val="0"/>
        <w:bidi w:val="0"/>
        <w:spacing w:line="360" w:lineRule="auto"/>
        <w:ind w:left="0" w:leftChars="0" w:firstLine="0" w:firstLineChars="0"/>
        <w:jc w:val="both"/>
        <w:textAlignment w:val="auto"/>
        <w:rPr>
          <w:rFonts w:hint="eastAsia" w:ascii="宋体" w:hAnsi="宋体" w:eastAsia="宋体"/>
          <w:b/>
          <w:bCs/>
          <w:color w:val="auto"/>
          <w:sz w:val="28"/>
          <w:szCs w:val="28"/>
          <w:lang w:eastAsia="zh-CN"/>
        </w:rPr>
      </w:pPr>
      <w:r>
        <w:rPr>
          <w:rFonts w:hint="eastAsia" w:ascii="宋体" w:hAnsi="宋体"/>
          <w:b/>
          <w:bCs/>
          <w:color w:val="auto"/>
          <w:sz w:val="28"/>
          <w:szCs w:val="28"/>
        </w:rPr>
        <w:t>政府采购投标担保函</w:t>
      </w:r>
      <w:r>
        <w:rPr>
          <w:rFonts w:hint="eastAsia" w:ascii="宋体" w:hAnsi="宋体"/>
          <w:b/>
          <w:bCs/>
          <w:color w:val="auto"/>
          <w:sz w:val="28"/>
          <w:szCs w:val="28"/>
          <w:lang w:eastAsia="zh-CN"/>
        </w:rPr>
        <w:t>（格式自拟）</w:t>
      </w:r>
    </w:p>
    <w:p w14:paraId="55696585">
      <w:pPr>
        <w:pageBreakBefore w:val="0"/>
        <w:kinsoku/>
        <w:overflowPunct/>
        <w:topLinePunct w:val="0"/>
        <w:bidi w:val="0"/>
        <w:spacing w:line="360" w:lineRule="auto"/>
        <w:ind w:left="0" w:leftChars="0" w:firstLine="0" w:firstLineChars="0"/>
        <w:jc w:val="right"/>
        <w:textAlignment w:val="auto"/>
        <w:rPr>
          <w:rFonts w:ascii="宋体" w:hAnsi="宋体"/>
          <w:color w:val="auto"/>
          <w:sz w:val="24"/>
        </w:rPr>
      </w:pPr>
    </w:p>
    <w:p w14:paraId="49627606">
      <w:pPr>
        <w:pStyle w:val="17"/>
        <w:pageBreakBefore w:val="0"/>
        <w:tabs>
          <w:tab w:val="left" w:pos="5580"/>
        </w:tabs>
        <w:kinsoku/>
        <w:overflowPunct/>
        <w:topLinePunct w:val="0"/>
        <w:bidi w:val="0"/>
        <w:spacing w:line="360" w:lineRule="auto"/>
        <w:ind w:left="0" w:leftChars="0" w:firstLine="0" w:firstLineChars="0"/>
        <w:jc w:val="left"/>
        <w:textAlignment w:val="auto"/>
        <w:outlineLvl w:val="2"/>
        <w:rPr>
          <w:rFonts w:hint="eastAsia" w:hAnsi="宋体"/>
          <w:b/>
          <w:bCs/>
          <w:color w:val="auto"/>
          <w:sz w:val="24"/>
          <w:szCs w:val="24"/>
        </w:rPr>
      </w:pPr>
      <w:r>
        <w:rPr>
          <w:rFonts w:hint="eastAsia" w:ascii="宋体" w:hAnsi="宋体" w:cs="宋体"/>
          <w:color w:val="auto"/>
          <w:kern w:val="0"/>
          <w:sz w:val="24"/>
        </w:rPr>
        <w:br w:type="page"/>
      </w:r>
      <w:bookmarkStart w:id="374" w:name="_Toc2582314"/>
      <w:bookmarkStart w:id="375" w:name="_Toc31100"/>
      <w:r>
        <w:rPr>
          <w:rFonts w:hAnsi="宋体"/>
          <w:b/>
          <w:bCs/>
          <w:color w:val="auto"/>
          <w:sz w:val="24"/>
          <w:szCs w:val="24"/>
        </w:rPr>
        <w:t>5</w:t>
      </w:r>
      <w:r>
        <w:rPr>
          <w:rFonts w:hint="eastAsia" w:hAnsi="宋体"/>
          <w:b/>
          <w:bCs/>
          <w:color w:val="auto"/>
          <w:sz w:val="24"/>
          <w:szCs w:val="24"/>
        </w:rPr>
        <w:t xml:space="preserve"> </w:t>
      </w:r>
      <w:bookmarkEnd w:id="368"/>
      <w:bookmarkEnd w:id="369"/>
      <w:bookmarkEnd w:id="370"/>
      <w:bookmarkEnd w:id="371"/>
      <w:bookmarkEnd w:id="374"/>
      <w:r>
        <w:rPr>
          <w:rFonts w:hint="eastAsia" w:hAnsi="宋体"/>
          <w:b/>
          <w:bCs/>
          <w:color w:val="auto"/>
          <w:sz w:val="24"/>
          <w:szCs w:val="24"/>
        </w:rPr>
        <w:t>供应商信用承诺书</w:t>
      </w:r>
      <w:bookmarkEnd w:id="375"/>
    </w:p>
    <w:p w14:paraId="718996A3">
      <w:pPr>
        <w:pStyle w:val="66"/>
        <w:pageBreakBefore w:val="0"/>
        <w:kinsoku/>
        <w:overflowPunct/>
        <w:topLinePunct w:val="0"/>
        <w:bidi w:val="0"/>
        <w:spacing w:line="360" w:lineRule="auto"/>
        <w:ind w:left="0" w:leftChars="0" w:firstLine="0" w:firstLineChars="0"/>
        <w:textAlignment w:val="auto"/>
        <w:rPr>
          <w:rFonts w:ascii="宋体" w:hAnsi="宋体"/>
          <w:color w:val="auto"/>
        </w:rPr>
      </w:pPr>
      <w:bookmarkStart w:id="376" w:name="_Toc515647811"/>
      <w:bookmarkStart w:id="377" w:name="_Toc24428"/>
      <w:bookmarkStart w:id="378" w:name="_Toc532473501"/>
      <w:bookmarkStart w:id="379" w:name="_Toc32670"/>
    </w:p>
    <w:p w14:paraId="0F911363">
      <w:pPr>
        <w:pageBreakBefore w:val="0"/>
        <w:kinsoku/>
        <w:overflowPunct/>
        <w:topLinePunct w:val="0"/>
        <w:bidi w:val="0"/>
        <w:spacing w:line="360" w:lineRule="auto"/>
        <w:ind w:left="0" w:leftChars="0" w:firstLine="0" w:firstLineChars="0"/>
        <w:jc w:val="center"/>
        <w:textAlignment w:val="auto"/>
        <w:rPr>
          <w:rFonts w:ascii="宋体" w:hAnsi="宋体" w:cs="宋体"/>
          <w:b/>
          <w:color w:val="auto"/>
          <w:sz w:val="24"/>
        </w:rPr>
      </w:pPr>
      <w:r>
        <w:rPr>
          <w:rFonts w:hint="eastAsia" w:ascii="宋体" w:hAnsi="宋体" w:cs="宋体"/>
          <w:b/>
          <w:color w:val="auto"/>
          <w:sz w:val="24"/>
        </w:rPr>
        <w:t>供应商信用承诺书</w:t>
      </w:r>
    </w:p>
    <w:p w14:paraId="5139EDC9">
      <w:pPr>
        <w:pageBreakBefore w:val="0"/>
        <w:kinsoku/>
        <w:overflowPunct/>
        <w:topLinePunct w:val="0"/>
        <w:bidi w:val="0"/>
        <w:spacing w:line="360" w:lineRule="auto"/>
        <w:ind w:left="0" w:leftChars="0" w:firstLine="0" w:firstLineChars="0"/>
        <w:textAlignment w:val="auto"/>
        <w:rPr>
          <w:rFonts w:ascii="宋体" w:hAnsi="宋体" w:cs="宋体"/>
          <w:b/>
          <w:bCs/>
          <w:color w:val="auto"/>
          <w:sz w:val="24"/>
        </w:rPr>
      </w:pPr>
      <w:r>
        <w:rPr>
          <w:rFonts w:hint="eastAsia" w:ascii="宋体" w:hAnsi="宋体" w:cs="宋体"/>
          <w:b/>
          <w:bCs/>
          <w:color w:val="auto"/>
          <w:sz w:val="24"/>
        </w:rPr>
        <w:t>（采购代理机构）：</w:t>
      </w:r>
    </w:p>
    <w:p w14:paraId="0801A560">
      <w:pPr>
        <w:pageBreakBefore w:val="0"/>
        <w:kinsoku/>
        <w:overflowPunct/>
        <w:topLinePunct w:val="0"/>
        <w:bidi w:val="0"/>
        <w:spacing w:line="360" w:lineRule="auto"/>
        <w:ind w:left="0" w:leftChars="0" w:firstLine="0" w:firstLineChars="0"/>
        <w:textAlignment w:val="auto"/>
        <w:rPr>
          <w:rFonts w:ascii="宋体" w:hAnsi="宋体" w:cs="宋体"/>
          <w:color w:val="auto"/>
          <w:sz w:val="24"/>
        </w:rPr>
      </w:pPr>
      <w:r>
        <w:rPr>
          <w:rFonts w:hint="eastAsia" w:ascii="宋体" w:hAnsi="宋体" w:cs="宋体"/>
          <w:color w:val="auto"/>
          <w:sz w:val="24"/>
        </w:rPr>
        <w:t>现针对贵单位组织的</w:t>
      </w:r>
      <w:r>
        <w:rPr>
          <w:rFonts w:hint="eastAsia" w:ascii="宋体" w:hAnsi="宋体" w:cs="宋体"/>
          <w:color w:val="auto"/>
          <w:sz w:val="24"/>
          <w:u w:val="single"/>
        </w:rPr>
        <w:t xml:space="preserve">    （项目名称、项目编号）   </w:t>
      </w:r>
      <w:r>
        <w:rPr>
          <w:rFonts w:hint="eastAsia" w:ascii="宋体" w:hAnsi="宋体" w:cs="宋体"/>
          <w:color w:val="auto"/>
          <w:sz w:val="24"/>
        </w:rPr>
        <w:t>项目，截至开标日我方的“信用承诺书”情况声明如下：</w:t>
      </w:r>
    </w:p>
    <w:p w14:paraId="06A1DDB3">
      <w:pPr>
        <w:pageBreakBefore w:val="0"/>
        <w:kinsoku/>
        <w:overflowPunct/>
        <w:topLinePunct w:val="0"/>
        <w:bidi w:val="0"/>
        <w:spacing w:line="360" w:lineRule="auto"/>
        <w:ind w:left="0" w:leftChars="0" w:firstLine="0" w:firstLineChars="0"/>
        <w:textAlignment w:val="auto"/>
        <w:rPr>
          <w:rFonts w:ascii="宋体" w:hAnsi="宋体" w:cs="宋体"/>
          <w:color w:val="auto"/>
          <w:sz w:val="24"/>
        </w:rPr>
      </w:pPr>
      <w:r>
        <w:rPr>
          <w:rFonts w:hint="eastAsia" w:ascii="宋体" w:hAnsi="宋体" w:cs="宋体"/>
          <w:color w:val="auto"/>
          <w:sz w:val="24"/>
        </w:rPr>
        <w:t>一、具有履行合同所必需的设备和专业技术能力；</w:t>
      </w:r>
      <w:r>
        <w:rPr>
          <w:rFonts w:ascii="宋体" w:hAnsi="宋体" w:cs="宋体"/>
          <w:color w:val="auto"/>
          <w:sz w:val="24"/>
        </w:rPr>
        <w:t xml:space="preserve"> </w:t>
      </w:r>
    </w:p>
    <w:p w14:paraId="762C53D6">
      <w:pPr>
        <w:pageBreakBefore w:val="0"/>
        <w:kinsoku/>
        <w:overflowPunct/>
        <w:topLinePunct w:val="0"/>
        <w:bidi w:val="0"/>
        <w:spacing w:line="360" w:lineRule="auto"/>
        <w:ind w:left="0" w:leftChars="0" w:firstLine="0" w:firstLineChars="0"/>
        <w:jc w:val="left"/>
        <w:textAlignment w:val="auto"/>
        <w:rPr>
          <w:rFonts w:ascii="宋体" w:hAnsi="宋体" w:cs="宋体"/>
          <w:color w:val="auto"/>
          <w:sz w:val="24"/>
        </w:rPr>
      </w:pPr>
      <w:r>
        <w:rPr>
          <w:rFonts w:hint="eastAsia" w:ascii="宋体" w:hAnsi="宋体" w:cs="宋体"/>
          <w:color w:val="auto"/>
          <w:sz w:val="24"/>
        </w:rPr>
        <w:t>二、具有良好的商业信誉和健全的财务会计制度；</w:t>
      </w:r>
    </w:p>
    <w:p w14:paraId="2A8722DC">
      <w:pPr>
        <w:pageBreakBefore w:val="0"/>
        <w:kinsoku/>
        <w:overflowPunct/>
        <w:topLinePunct w:val="0"/>
        <w:bidi w:val="0"/>
        <w:spacing w:line="360" w:lineRule="auto"/>
        <w:ind w:left="0" w:leftChars="0" w:firstLine="0" w:firstLineChars="0"/>
        <w:jc w:val="left"/>
        <w:textAlignment w:val="auto"/>
        <w:rPr>
          <w:rFonts w:ascii="宋体" w:hAnsi="宋体" w:cs="宋体"/>
          <w:color w:val="auto"/>
          <w:sz w:val="24"/>
        </w:rPr>
      </w:pPr>
      <w:r>
        <w:rPr>
          <w:rFonts w:hint="eastAsia" w:ascii="宋体" w:hAnsi="宋体" w:cs="宋体"/>
          <w:color w:val="auto"/>
          <w:sz w:val="24"/>
        </w:rPr>
        <w:t>三、有依法缴纳税收和社会保障资金的良好记录；</w:t>
      </w:r>
      <w:r>
        <w:rPr>
          <w:rFonts w:ascii="宋体" w:hAnsi="宋体" w:cs="宋体"/>
          <w:color w:val="auto"/>
          <w:sz w:val="24"/>
        </w:rPr>
        <w:t xml:space="preserve"> </w:t>
      </w:r>
    </w:p>
    <w:p w14:paraId="7129C1F2">
      <w:pPr>
        <w:pageBreakBefore w:val="0"/>
        <w:kinsoku/>
        <w:overflowPunct/>
        <w:topLinePunct w:val="0"/>
        <w:bidi w:val="0"/>
        <w:spacing w:line="360" w:lineRule="auto"/>
        <w:ind w:left="0" w:leftChars="0" w:firstLine="0" w:firstLineChars="0"/>
        <w:jc w:val="left"/>
        <w:textAlignment w:val="auto"/>
        <w:rPr>
          <w:rFonts w:ascii="宋体" w:hAnsi="宋体" w:cs="宋体"/>
          <w:color w:val="auto"/>
          <w:sz w:val="24"/>
        </w:rPr>
      </w:pPr>
      <w:r>
        <w:rPr>
          <w:rFonts w:hint="eastAsia" w:ascii="宋体" w:hAnsi="宋体" w:cs="宋体"/>
          <w:color w:val="auto"/>
          <w:sz w:val="24"/>
        </w:rPr>
        <w:t>四、参加本项目投标前</w:t>
      </w:r>
      <w:r>
        <w:rPr>
          <w:rFonts w:hint="eastAsia" w:ascii="宋体" w:hAnsi="宋体" w:cs="宋体"/>
          <w:color w:val="auto"/>
          <w:spacing w:val="-2"/>
          <w:sz w:val="24"/>
        </w:rPr>
        <w:t>三年内，在经营活动中没有重大违法记录；</w:t>
      </w:r>
    </w:p>
    <w:p w14:paraId="1F1698A8">
      <w:pPr>
        <w:pageBreakBefore w:val="0"/>
        <w:kinsoku/>
        <w:overflowPunct/>
        <w:topLinePunct w:val="0"/>
        <w:bidi w:val="0"/>
        <w:spacing w:line="360" w:lineRule="auto"/>
        <w:ind w:left="0" w:leftChars="0" w:firstLine="0" w:firstLineChars="0"/>
        <w:jc w:val="left"/>
        <w:textAlignment w:val="auto"/>
        <w:rPr>
          <w:rFonts w:ascii="宋体" w:hAnsi="宋体" w:cs="宋体"/>
          <w:color w:val="auto"/>
          <w:spacing w:val="-2"/>
          <w:sz w:val="24"/>
        </w:rPr>
      </w:pPr>
      <w:r>
        <w:rPr>
          <w:rFonts w:hint="eastAsia" w:ascii="宋体" w:hAnsi="宋体" w:cs="宋体"/>
          <w:color w:val="auto"/>
          <w:spacing w:val="-2"/>
          <w:sz w:val="24"/>
        </w:rPr>
        <w:t>五、</w:t>
      </w:r>
      <w:r>
        <w:rPr>
          <w:rFonts w:hint="eastAsia" w:ascii="宋体" w:hAnsi="宋体" w:cs="宋体"/>
          <w:color w:val="auto"/>
          <w:sz w:val="24"/>
        </w:rPr>
        <w:t>具有独立承担民事责任的能力。</w:t>
      </w:r>
      <w:r>
        <w:rPr>
          <w:rFonts w:ascii="宋体" w:hAnsi="宋体" w:cs="宋体"/>
          <w:color w:val="auto"/>
          <w:spacing w:val="-2"/>
          <w:sz w:val="24"/>
        </w:rPr>
        <w:t xml:space="preserve"> </w:t>
      </w:r>
    </w:p>
    <w:p w14:paraId="108028F5">
      <w:pPr>
        <w:pageBreakBefore w:val="0"/>
        <w:kinsoku/>
        <w:overflowPunct/>
        <w:topLinePunct w:val="0"/>
        <w:bidi w:val="0"/>
        <w:spacing w:line="360" w:lineRule="auto"/>
        <w:ind w:left="0" w:leftChars="0" w:firstLine="0" w:firstLineChars="0"/>
        <w:jc w:val="center"/>
        <w:textAlignment w:val="auto"/>
        <w:rPr>
          <w:rFonts w:ascii="宋体" w:hAnsi="宋体" w:cs="宋体"/>
          <w:b/>
          <w:color w:val="auto"/>
          <w:sz w:val="24"/>
        </w:rPr>
      </w:pPr>
    </w:p>
    <w:p w14:paraId="03C04EA1">
      <w:pPr>
        <w:pageBreakBefore w:val="0"/>
        <w:kinsoku/>
        <w:overflowPunct/>
        <w:topLinePunct w:val="0"/>
        <w:bidi w:val="0"/>
        <w:spacing w:line="360" w:lineRule="auto"/>
        <w:ind w:left="0" w:leftChars="0" w:firstLine="0" w:firstLineChars="0"/>
        <w:textAlignment w:val="auto"/>
        <w:rPr>
          <w:rFonts w:ascii="宋体" w:hAnsi="宋体" w:cs="宋体"/>
          <w:color w:val="auto"/>
          <w:sz w:val="24"/>
        </w:rPr>
      </w:pPr>
      <w:r>
        <w:rPr>
          <w:rFonts w:hint="eastAsia" w:ascii="宋体" w:hAnsi="宋体" w:cs="宋体"/>
          <w:color w:val="auto"/>
          <w:sz w:val="24"/>
        </w:rPr>
        <w:t>我方保证上述承诺符合要求、有效、完整。否则，响应无效。</w:t>
      </w:r>
    </w:p>
    <w:p w14:paraId="6B1263E5">
      <w:pPr>
        <w:pageBreakBefore w:val="0"/>
        <w:kinsoku/>
        <w:overflowPunct/>
        <w:topLinePunct w:val="0"/>
        <w:bidi w:val="0"/>
        <w:spacing w:line="360" w:lineRule="auto"/>
        <w:ind w:left="0" w:leftChars="0" w:firstLine="0" w:firstLineChars="0"/>
        <w:textAlignment w:val="auto"/>
        <w:outlineLvl w:val="3"/>
        <w:rPr>
          <w:rFonts w:ascii="宋体" w:hAnsi="宋体" w:cs="宋体"/>
          <w:b/>
          <w:color w:val="auto"/>
          <w:sz w:val="24"/>
        </w:rPr>
      </w:pPr>
      <w:r>
        <w:rPr>
          <w:rFonts w:hint="eastAsia" w:ascii="宋体" w:hAnsi="宋体" w:cs="宋体"/>
          <w:b/>
          <w:color w:val="auto"/>
          <w:sz w:val="24"/>
        </w:rPr>
        <w:t>特此承诺！</w:t>
      </w:r>
    </w:p>
    <w:p w14:paraId="07CE089E">
      <w:pPr>
        <w:pageBreakBefore w:val="0"/>
        <w:kinsoku/>
        <w:overflowPunct/>
        <w:topLinePunct w:val="0"/>
        <w:bidi w:val="0"/>
        <w:spacing w:line="360" w:lineRule="auto"/>
        <w:ind w:left="0" w:leftChars="0" w:firstLine="0" w:firstLineChars="0"/>
        <w:textAlignment w:val="auto"/>
        <w:rPr>
          <w:rFonts w:ascii="宋体" w:hAnsi="宋体" w:cs="宋体"/>
          <w:b/>
          <w:color w:val="auto"/>
          <w:sz w:val="24"/>
        </w:rPr>
      </w:pPr>
    </w:p>
    <w:p w14:paraId="1AF74D48">
      <w:pPr>
        <w:pageBreakBefore w:val="0"/>
        <w:kinsoku/>
        <w:overflowPunct/>
        <w:topLinePunct w:val="0"/>
        <w:bidi w:val="0"/>
        <w:spacing w:line="360" w:lineRule="auto"/>
        <w:ind w:left="0" w:leftChars="0" w:firstLine="0" w:firstLineChars="0"/>
        <w:textAlignment w:val="auto"/>
        <w:rPr>
          <w:rFonts w:ascii="宋体" w:hAnsi="宋体" w:cs="宋体"/>
          <w:b/>
          <w:color w:val="auto"/>
          <w:sz w:val="24"/>
          <w:u w:val="single"/>
        </w:rPr>
      </w:pPr>
      <w:r>
        <w:rPr>
          <w:rFonts w:hint="eastAsia" w:ascii="宋体" w:hAnsi="宋体" w:cs="宋体"/>
          <w:b/>
          <w:color w:val="auto"/>
          <w:sz w:val="24"/>
        </w:rPr>
        <w:t>投标人名称（公章）：</w:t>
      </w:r>
      <w:r>
        <w:rPr>
          <w:rFonts w:hint="eastAsia" w:ascii="宋体" w:hAnsi="宋体" w:cs="宋体"/>
          <w:b/>
          <w:color w:val="auto"/>
          <w:sz w:val="24"/>
          <w:u w:val="single"/>
        </w:rPr>
        <w:t xml:space="preserve">                </w:t>
      </w:r>
    </w:p>
    <w:p w14:paraId="2EA86D18">
      <w:pPr>
        <w:pageBreakBefore w:val="0"/>
        <w:kinsoku/>
        <w:overflowPunct/>
        <w:topLinePunct w:val="0"/>
        <w:bidi w:val="0"/>
        <w:spacing w:line="360" w:lineRule="auto"/>
        <w:ind w:left="0" w:leftChars="0" w:firstLine="0" w:firstLineChars="0"/>
        <w:textAlignment w:val="auto"/>
        <w:rPr>
          <w:rFonts w:ascii="宋体" w:hAnsi="宋体" w:cs="宋体"/>
          <w:b/>
          <w:color w:val="auto"/>
          <w:sz w:val="24"/>
          <w:u w:val="single"/>
        </w:rPr>
      </w:pPr>
      <w:r>
        <w:rPr>
          <w:rFonts w:hint="eastAsia" w:ascii="宋体" w:hAnsi="宋体" w:cs="宋体"/>
          <w:b/>
          <w:color w:val="auto"/>
          <w:sz w:val="24"/>
        </w:rPr>
        <w:t>法定代表人或全权代理人：</w:t>
      </w:r>
      <w:r>
        <w:rPr>
          <w:rFonts w:hint="eastAsia" w:ascii="宋体" w:hAnsi="宋体" w:cs="宋体"/>
          <w:b/>
          <w:color w:val="auto"/>
          <w:sz w:val="24"/>
          <w:u w:val="single"/>
        </w:rPr>
        <w:t xml:space="preserve">（签字或盖章） </w:t>
      </w:r>
    </w:p>
    <w:p w14:paraId="0E358338">
      <w:pPr>
        <w:pageBreakBefore w:val="0"/>
        <w:kinsoku/>
        <w:overflowPunct/>
        <w:topLinePunct w:val="0"/>
        <w:bidi w:val="0"/>
        <w:spacing w:line="360" w:lineRule="auto"/>
        <w:ind w:left="0" w:leftChars="0" w:firstLine="0" w:firstLineChars="0"/>
        <w:textAlignment w:val="auto"/>
        <w:rPr>
          <w:rFonts w:ascii="宋体" w:hAnsi="宋体" w:cs="宋体"/>
          <w:b/>
          <w:color w:val="auto"/>
          <w:sz w:val="24"/>
          <w:u w:val="single"/>
        </w:rPr>
      </w:pPr>
      <w:r>
        <w:rPr>
          <w:rFonts w:hint="eastAsia" w:ascii="宋体" w:hAnsi="宋体" w:cs="宋体"/>
          <w:b/>
          <w:color w:val="auto"/>
          <w:sz w:val="24"/>
        </w:rPr>
        <w:t>签署日期：</w:t>
      </w:r>
      <w:r>
        <w:rPr>
          <w:rFonts w:hint="eastAsia" w:ascii="宋体" w:hAnsi="宋体" w:cs="宋体"/>
          <w:b/>
          <w:color w:val="auto"/>
          <w:sz w:val="24"/>
          <w:u w:val="single"/>
        </w:rPr>
        <w:t xml:space="preserve">      </w:t>
      </w:r>
      <w:r>
        <w:rPr>
          <w:rFonts w:hint="eastAsia" w:ascii="宋体" w:hAnsi="宋体" w:cs="宋体"/>
          <w:b/>
          <w:color w:val="auto"/>
          <w:sz w:val="24"/>
        </w:rPr>
        <w:t>年</w:t>
      </w:r>
      <w:r>
        <w:rPr>
          <w:rFonts w:hint="eastAsia" w:ascii="宋体" w:hAnsi="宋体" w:cs="宋体"/>
          <w:b/>
          <w:color w:val="auto"/>
          <w:sz w:val="24"/>
          <w:u w:val="single"/>
        </w:rPr>
        <w:t xml:space="preserve">      </w:t>
      </w:r>
      <w:r>
        <w:rPr>
          <w:rFonts w:hint="eastAsia" w:ascii="宋体" w:hAnsi="宋体" w:cs="宋体"/>
          <w:b/>
          <w:color w:val="auto"/>
          <w:sz w:val="24"/>
        </w:rPr>
        <w:t>月</w:t>
      </w:r>
      <w:r>
        <w:rPr>
          <w:rFonts w:hint="eastAsia" w:ascii="宋体" w:hAnsi="宋体" w:cs="宋体"/>
          <w:b/>
          <w:color w:val="auto"/>
          <w:sz w:val="24"/>
          <w:u w:val="single"/>
        </w:rPr>
        <w:t xml:space="preserve">      </w:t>
      </w:r>
      <w:r>
        <w:rPr>
          <w:rFonts w:hint="eastAsia" w:ascii="宋体" w:hAnsi="宋体" w:cs="宋体"/>
          <w:b/>
          <w:color w:val="auto"/>
          <w:sz w:val="24"/>
        </w:rPr>
        <w:t>日</w:t>
      </w:r>
    </w:p>
    <w:p w14:paraId="02131DF6">
      <w:pPr>
        <w:pageBreakBefore w:val="0"/>
        <w:kinsoku/>
        <w:overflowPunct/>
        <w:topLinePunct w:val="0"/>
        <w:bidi w:val="0"/>
        <w:spacing w:line="360" w:lineRule="auto"/>
        <w:ind w:left="0" w:leftChars="0" w:firstLine="0" w:firstLineChars="0"/>
        <w:textAlignment w:val="auto"/>
        <w:rPr>
          <w:color w:val="auto"/>
        </w:rPr>
      </w:pPr>
    </w:p>
    <w:p w14:paraId="4BC664AD">
      <w:pPr>
        <w:pStyle w:val="66"/>
        <w:pageBreakBefore w:val="0"/>
        <w:widowControl w:val="0"/>
        <w:kinsoku/>
        <w:overflowPunct/>
        <w:topLinePunct w:val="0"/>
        <w:bidi w:val="0"/>
        <w:spacing w:line="360" w:lineRule="auto"/>
        <w:ind w:left="0" w:leftChars="0" w:firstLine="0" w:firstLineChars="0"/>
        <w:textAlignment w:val="auto"/>
        <w:rPr>
          <w:rFonts w:ascii="宋体" w:hAnsi="宋体"/>
          <w:color w:val="auto"/>
        </w:rPr>
      </w:pPr>
    </w:p>
    <w:p w14:paraId="56332960">
      <w:pPr>
        <w:pStyle w:val="66"/>
        <w:pageBreakBefore w:val="0"/>
        <w:widowControl w:val="0"/>
        <w:kinsoku/>
        <w:overflowPunct/>
        <w:topLinePunct w:val="0"/>
        <w:bidi w:val="0"/>
        <w:spacing w:line="360" w:lineRule="auto"/>
        <w:ind w:left="0" w:leftChars="0" w:firstLine="0" w:firstLineChars="0"/>
        <w:textAlignment w:val="auto"/>
        <w:outlineLvl w:val="2"/>
        <w:rPr>
          <w:rFonts w:hint="eastAsia" w:hAnsi="宋体"/>
          <w:b/>
          <w:bCs/>
          <w:color w:val="auto"/>
        </w:rPr>
      </w:pPr>
      <w:r>
        <w:rPr>
          <w:rFonts w:hint="eastAsia" w:ascii="宋体" w:hAnsi="宋体"/>
          <w:color w:val="auto"/>
        </w:rPr>
        <w:br w:type="page"/>
      </w:r>
      <w:bookmarkEnd w:id="376"/>
      <w:bookmarkEnd w:id="377"/>
      <w:bookmarkEnd w:id="378"/>
      <w:bookmarkEnd w:id="379"/>
      <w:bookmarkStart w:id="380" w:name="_Toc17207"/>
      <w:bookmarkStart w:id="381" w:name="_Toc2582317"/>
      <w:bookmarkStart w:id="382" w:name="_Toc515647813"/>
      <w:bookmarkStart w:id="383" w:name="_Toc29703"/>
      <w:bookmarkStart w:id="384" w:name="_Toc532473502"/>
      <w:bookmarkStart w:id="385" w:name="_Toc18909"/>
      <w:r>
        <w:rPr>
          <w:rFonts w:ascii="宋体" w:hAnsi="宋体"/>
          <w:b/>
          <w:bCs/>
          <w:color w:val="auto"/>
        </w:rPr>
        <w:t>6</w:t>
      </w:r>
      <w:r>
        <w:rPr>
          <w:rFonts w:hint="eastAsia" w:hAnsi="宋体"/>
          <w:b/>
          <w:bCs/>
          <w:color w:val="auto"/>
        </w:rPr>
        <w:t xml:space="preserve"> 投标须知前附表要求的其他资格证明文件</w:t>
      </w:r>
      <w:bookmarkEnd w:id="380"/>
      <w:bookmarkEnd w:id="381"/>
      <w:bookmarkEnd w:id="382"/>
      <w:bookmarkEnd w:id="383"/>
      <w:bookmarkEnd w:id="384"/>
      <w:bookmarkEnd w:id="385"/>
    </w:p>
    <w:p w14:paraId="00BE509F">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53830A40">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color w:val="auto"/>
          <w:sz w:val="24"/>
          <w:szCs w:val="24"/>
        </w:rPr>
      </w:pPr>
    </w:p>
    <w:p w14:paraId="48BC08D1">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color w:val="auto"/>
          <w:sz w:val="24"/>
          <w:szCs w:val="24"/>
        </w:rPr>
      </w:pPr>
    </w:p>
    <w:p w14:paraId="7A09FD36">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color w:val="auto"/>
          <w:sz w:val="24"/>
          <w:szCs w:val="24"/>
        </w:rPr>
      </w:pPr>
    </w:p>
    <w:p w14:paraId="0B55E642">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color w:val="auto"/>
          <w:sz w:val="24"/>
          <w:szCs w:val="24"/>
        </w:rPr>
      </w:pPr>
    </w:p>
    <w:p w14:paraId="3FA43759">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color w:val="auto"/>
          <w:sz w:val="24"/>
          <w:szCs w:val="24"/>
        </w:rPr>
      </w:pPr>
    </w:p>
    <w:p w14:paraId="42618BCB">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color w:val="auto"/>
          <w:sz w:val="24"/>
          <w:szCs w:val="24"/>
        </w:rPr>
      </w:pPr>
    </w:p>
    <w:p w14:paraId="48058450">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color w:val="auto"/>
          <w:sz w:val="24"/>
          <w:szCs w:val="24"/>
        </w:rPr>
      </w:pPr>
    </w:p>
    <w:p w14:paraId="7A182ACA">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color w:val="auto"/>
          <w:sz w:val="24"/>
          <w:szCs w:val="24"/>
        </w:rPr>
      </w:pPr>
    </w:p>
    <w:p w14:paraId="0462FFC5">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24D4826D">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3CA9C8D3">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说明：1.应提供</w:t>
      </w:r>
      <w:r>
        <w:rPr>
          <w:rFonts w:hint="eastAsia" w:hAnsi="宋体"/>
          <w:color w:val="auto"/>
          <w:sz w:val="24"/>
          <w:szCs w:val="24"/>
          <w:u w:val="single"/>
        </w:rPr>
        <w:t>投标须知前附表</w:t>
      </w:r>
      <w:r>
        <w:rPr>
          <w:rFonts w:hint="eastAsia" w:hAnsi="宋体"/>
          <w:color w:val="auto"/>
          <w:sz w:val="24"/>
          <w:szCs w:val="24"/>
        </w:rPr>
        <w:t>要求的其他资格证明文件。</w:t>
      </w:r>
    </w:p>
    <w:p w14:paraId="0ED2951E">
      <w:pPr>
        <w:pStyle w:val="17"/>
        <w:pageBreakBefore w:val="0"/>
        <w:tabs>
          <w:tab w:val="left" w:pos="5580"/>
        </w:tabs>
        <w:kinsoku/>
        <w:overflowPunct/>
        <w:topLinePunct w:val="0"/>
        <w:bidi w:val="0"/>
        <w:spacing w:line="360" w:lineRule="auto"/>
        <w:ind w:left="0" w:leftChars="0" w:firstLine="0" w:firstLineChars="0"/>
        <w:jc w:val="left"/>
        <w:textAlignment w:val="auto"/>
        <w:outlineLvl w:val="2"/>
        <w:rPr>
          <w:rFonts w:hAnsi="宋体"/>
          <w:b/>
          <w:bCs/>
          <w:color w:val="auto"/>
          <w:sz w:val="24"/>
          <w:szCs w:val="24"/>
        </w:rPr>
      </w:pPr>
      <w:r>
        <w:rPr>
          <w:rFonts w:hAnsi="宋体"/>
          <w:color w:val="auto"/>
          <w:sz w:val="24"/>
          <w:szCs w:val="24"/>
        </w:rPr>
        <w:br w:type="page"/>
      </w:r>
      <w:bookmarkStart w:id="386" w:name="_Toc8048"/>
      <w:r>
        <w:rPr>
          <w:rFonts w:hAnsi="宋体"/>
          <w:b/>
          <w:bCs/>
          <w:color w:val="auto"/>
          <w:sz w:val="24"/>
          <w:szCs w:val="24"/>
        </w:rPr>
        <w:t>7</w:t>
      </w:r>
      <w:r>
        <w:rPr>
          <w:rFonts w:hint="eastAsia" w:hAnsi="宋体"/>
          <w:b/>
          <w:bCs/>
          <w:color w:val="auto"/>
          <w:sz w:val="24"/>
          <w:szCs w:val="24"/>
        </w:rPr>
        <w:t xml:space="preserve"> 中小企业声明函</w:t>
      </w:r>
      <w:bookmarkEnd w:id="386"/>
    </w:p>
    <w:p w14:paraId="69076BEE">
      <w:pPr>
        <w:pageBreakBefore w:val="0"/>
        <w:kinsoku/>
        <w:overflowPunct/>
        <w:topLinePunct w:val="0"/>
        <w:bidi w:val="0"/>
        <w:spacing w:line="360" w:lineRule="auto"/>
        <w:ind w:left="0" w:leftChars="0" w:firstLine="0" w:firstLineChars="0"/>
        <w:jc w:val="left"/>
        <w:textAlignment w:val="auto"/>
        <w:rPr>
          <w:rFonts w:hint="eastAsia" w:hAnsi="宋体"/>
          <w:b/>
          <w:bCs/>
          <w:color w:val="auto"/>
          <w:sz w:val="24"/>
        </w:rPr>
      </w:pPr>
      <w:r>
        <w:rPr>
          <w:rFonts w:hint="eastAsia" w:ascii="宋体" w:hAnsi="宋体"/>
          <w:color w:val="auto"/>
          <w:sz w:val="24"/>
        </w:rPr>
        <w:t>仅</w:t>
      </w:r>
      <w:r>
        <w:rPr>
          <w:rFonts w:ascii="宋体" w:hAnsi="宋体"/>
          <w:color w:val="auto"/>
          <w:sz w:val="24"/>
        </w:rPr>
        <w:t>限于招标文件</w:t>
      </w:r>
      <w:r>
        <w:rPr>
          <w:rFonts w:hint="eastAsia" w:ascii="宋体" w:hAnsi="宋体"/>
          <w:color w:val="auto"/>
          <w:sz w:val="24"/>
        </w:rPr>
        <w:t>投标须知前附表规定专门面向中小企业采购的项目，监狱企业、残疾人福利性单位视同小微企业，声明函格式见第二部分商务及技术文件政府采购相关政策要求。</w:t>
      </w:r>
    </w:p>
    <w:p w14:paraId="2776692F">
      <w:pPr>
        <w:pStyle w:val="17"/>
        <w:pageBreakBefore w:val="0"/>
        <w:tabs>
          <w:tab w:val="left" w:pos="5580"/>
        </w:tabs>
        <w:kinsoku/>
        <w:overflowPunct/>
        <w:topLinePunct w:val="0"/>
        <w:bidi w:val="0"/>
        <w:spacing w:line="360" w:lineRule="auto"/>
        <w:ind w:left="0" w:leftChars="0" w:firstLine="0" w:firstLineChars="0"/>
        <w:jc w:val="center"/>
        <w:textAlignment w:val="auto"/>
        <w:outlineLvl w:val="3"/>
        <w:rPr>
          <w:rFonts w:hAnsi="宋体"/>
          <w:b/>
          <w:bCs/>
          <w:color w:val="auto"/>
          <w:sz w:val="24"/>
          <w:szCs w:val="24"/>
        </w:rPr>
      </w:pPr>
      <w:r>
        <w:rPr>
          <w:rFonts w:hAnsi="宋体"/>
          <w:color w:val="auto"/>
          <w:sz w:val="24"/>
          <w:szCs w:val="24"/>
        </w:rPr>
        <w:br w:type="page"/>
      </w:r>
      <w:bookmarkStart w:id="387" w:name="_Toc515647816"/>
      <w:bookmarkStart w:id="388" w:name="_Toc28930"/>
      <w:bookmarkStart w:id="389" w:name="_Toc11180"/>
      <w:bookmarkStart w:id="390" w:name="_Toc22967"/>
      <w:bookmarkStart w:id="391" w:name="_Toc532473504"/>
      <w:bookmarkStart w:id="392" w:name="_Toc2582319"/>
      <w:r>
        <w:rPr>
          <w:rFonts w:hAnsi="宋体"/>
          <w:b/>
          <w:bCs/>
          <w:color w:val="auto"/>
          <w:sz w:val="24"/>
          <w:szCs w:val="24"/>
        </w:rPr>
        <w:t>第</w:t>
      </w:r>
      <w:r>
        <w:rPr>
          <w:rFonts w:hint="eastAsia" w:hAnsi="宋体"/>
          <w:b/>
          <w:bCs/>
          <w:color w:val="auto"/>
          <w:sz w:val="24"/>
          <w:szCs w:val="24"/>
        </w:rPr>
        <w:t>二</w:t>
      </w:r>
      <w:r>
        <w:rPr>
          <w:rFonts w:hAnsi="宋体"/>
          <w:b/>
          <w:bCs/>
          <w:color w:val="auto"/>
          <w:sz w:val="24"/>
          <w:szCs w:val="24"/>
        </w:rPr>
        <w:t>部分</w:t>
      </w:r>
      <w:r>
        <w:rPr>
          <w:rFonts w:hint="eastAsia" w:hAnsi="宋体"/>
          <w:b/>
          <w:bCs/>
          <w:color w:val="auto"/>
          <w:sz w:val="24"/>
          <w:szCs w:val="24"/>
        </w:rPr>
        <w:t xml:space="preserve">  商务及</w:t>
      </w:r>
      <w:r>
        <w:rPr>
          <w:rFonts w:hAnsi="宋体"/>
          <w:b/>
          <w:bCs/>
          <w:color w:val="auto"/>
          <w:sz w:val="24"/>
          <w:szCs w:val="24"/>
        </w:rPr>
        <w:t>技术</w:t>
      </w:r>
      <w:r>
        <w:rPr>
          <w:rFonts w:hint="eastAsia" w:hAnsi="宋体"/>
          <w:b/>
          <w:bCs/>
          <w:color w:val="auto"/>
          <w:sz w:val="24"/>
          <w:szCs w:val="24"/>
        </w:rPr>
        <w:t>文件</w:t>
      </w:r>
      <w:bookmarkEnd w:id="387"/>
      <w:bookmarkEnd w:id="388"/>
      <w:bookmarkEnd w:id="389"/>
      <w:bookmarkEnd w:id="390"/>
      <w:bookmarkEnd w:id="391"/>
      <w:bookmarkEnd w:id="392"/>
    </w:p>
    <w:p w14:paraId="6C5EB33E">
      <w:pPr>
        <w:pageBreakBefore w:val="0"/>
        <w:tabs>
          <w:tab w:val="left" w:pos="5580"/>
        </w:tabs>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封面格式</w:t>
      </w:r>
    </w:p>
    <w:p w14:paraId="1FFD4C30">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1、投标书</w:t>
      </w:r>
    </w:p>
    <w:p w14:paraId="1B4E51DC">
      <w:pPr>
        <w:pageBreakBefore w:val="0"/>
        <w:tabs>
          <w:tab w:val="left" w:pos="5580"/>
        </w:tabs>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ascii="宋体" w:hAnsi="宋体"/>
          <w:color w:val="auto"/>
          <w:sz w:val="24"/>
        </w:rPr>
        <w:t>2</w:t>
      </w:r>
      <w:r>
        <w:rPr>
          <w:rFonts w:hint="eastAsia" w:ascii="宋体" w:hAnsi="宋体"/>
          <w:color w:val="auto"/>
          <w:sz w:val="24"/>
        </w:rPr>
        <w:t>、开标一览表</w:t>
      </w:r>
    </w:p>
    <w:p w14:paraId="085649EF">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3、投标分项报价表</w:t>
      </w:r>
    </w:p>
    <w:p w14:paraId="1C6724FB">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4、技术规格偏离表</w:t>
      </w:r>
    </w:p>
    <w:p w14:paraId="7CC2763F">
      <w:pPr>
        <w:pStyle w:val="17"/>
        <w:pageBreakBefore w:val="0"/>
        <w:kinsoku/>
        <w:overflowPunct/>
        <w:topLinePunct w:val="0"/>
        <w:bidi w:val="0"/>
        <w:spacing w:line="360" w:lineRule="auto"/>
        <w:ind w:left="0" w:leftChars="0" w:firstLine="0" w:firstLineChars="0"/>
        <w:jc w:val="left"/>
        <w:textAlignment w:val="auto"/>
        <w:rPr>
          <w:rFonts w:hAnsi="宋体"/>
          <w:color w:val="auto"/>
          <w:sz w:val="24"/>
          <w:szCs w:val="24"/>
        </w:rPr>
      </w:pPr>
      <w:r>
        <w:rPr>
          <w:rFonts w:hint="eastAsia" w:hAnsi="宋体"/>
          <w:color w:val="auto"/>
          <w:sz w:val="24"/>
          <w:szCs w:val="24"/>
        </w:rPr>
        <w:t>5、商务条款偏离表</w:t>
      </w:r>
    </w:p>
    <w:p w14:paraId="7E6A345F">
      <w:pPr>
        <w:pStyle w:val="17"/>
        <w:pageBreakBefore w:val="0"/>
        <w:kinsoku/>
        <w:overflowPunct/>
        <w:topLinePunct w:val="0"/>
        <w:bidi w:val="0"/>
        <w:spacing w:line="360" w:lineRule="auto"/>
        <w:ind w:left="0" w:leftChars="0" w:firstLine="0" w:firstLineChars="0"/>
        <w:jc w:val="left"/>
        <w:textAlignment w:val="auto"/>
        <w:rPr>
          <w:rFonts w:hAnsi="宋体"/>
          <w:color w:val="auto"/>
          <w:sz w:val="24"/>
          <w:szCs w:val="24"/>
        </w:rPr>
      </w:pPr>
      <w:r>
        <w:rPr>
          <w:rFonts w:hint="eastAsia" w:hAnsi="宋体"/>
          <w:color w:val="auto"/>
          <w:sz w:val="24"/>
          <w:szCs w:val="24"/>
        </w:rPr>
        <w:t>6、政府采购相关政策要求（如涉及）</w:t>
      </w:r>
    </w:p>
    <w:p w14:paraId="1430AEE5">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7、投标人关联单位的说明</w:t>
      </w:r>
    </w:p>
    <w:p w14:paraId="2BBC4F9B">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8、评审所需要的其他商务文件</w:t>
      </w:r>
    </w:p>
    <w:p w14:paraId="476C36AA">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9、投标人须知第10条的所有技术文件</w:t>
      </w:r>
    </w:p>
    <w:p w14:paraId="41EABDCB">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10、投标须知前附表要求的其他文件</w:t>
      </w:r>
    </w:p>
    <w:p w14:paraId="50FB1A42">
      <w:pPr>
        <w:pageBreakBefore w:val="0"/>
        <w:kinsoku/>
        <w:overflowPunct/>
        <w:topLinePunct w:val="0"/>
        <w:bidi w:val="0"/>
        <w:snapToGrid w:val="0"/>
        <w:spacing w:line="360" w:lineRule="auto"/>
        <w:ind w:left="0" w:leftChars="0" w:right="640" w:firstLine="0" w:firstLineChars="0"/>
        <w:jc w:val="left"/>
        <w:textAlignment w:val="auto"/>
        <w:rPr>
          <w:rFonts w:hint="eastAsia" w:ascii="宋体" w:hAnsi="宋体" w:cs="宋体"/>
          <w:color w:val="auto"/>
          <w:kern w:val="0"/>
          <w:sz w:val="24"/>
        </w:rPr>
      </w:pPr>
      <w:r>
        <w:rPr>
          <w:color w:val="auto"/>
        </w:rPr>
        <w:br w:type="page"/>
      </w:r>
      <w:bookmarkStart w:id="393" w:name="_Hlt520355504"/>
      <w:bookmarkEnd w:id="393"/>
      <w:bookmarkStart w:id="394" w:name="_Toc2582320"/>
      <w:bookmarkStart w:id="395" w:name="_Toc515647817"/>
      <w:bookmarkStart w:id="396" w:name="_Toc14915"/>
      <w:bookmarkStart w:id="397" w:name="_Toc2041"/>
      <w:bookmarkStart w:id="398" w:name="_Toc532473505"/>
      <w:r>
        <w:rPr>
          <w:rFonts w:hint="eastAsia" w:ascii="宋体" w:hAnsi="宋体" w:cs="宋体"/>
          <w:color w:val="auto"/>
          <w:kern w:val="0"/>
          <w:sz w:val="24"/>
        </w:rPr>
        <w:t>（格式）</w:t>
      </w:r>
    </w:p>
    <w:p w14:paraId="045F31B8">
      <w:pPr>
        <w:pStyle w:val="17"/>
        <w:ind w:left="0" w:leftChars="0" w:firstLine="0" w:firstLineChars="0"/>
        <w:rPr>
          <w:rFonts w:hint="eastAsia"/>
          <w:color w:val="auto"/>
        </w:rPr>
      </w:pPr>
    </w:p>
    <w:p w14:paraId="37374AC0">
      <w:pPr>
        <w:pageBreakBefore w:val="0"/>
        <w:kinsoku/>
        <w:overflowPunct/>
        <w:topLinePunct w:val="0"/>
        <w:bidi w:val="0"/>
        <w:snapToGrid w:val="0"/>
        <w:spacing w:line="360" w:lineRule="auto"/>
        <w:ind w:left="0" w:leftChars="0" w:firstLine="0" w:firstLineChars="0"/>
        <w:jc w:val="center"/>
        <w:textAlignment w:val="auto"/>
        <w:rPr>
          <w:rFonts w:ascii="宋体" w:hAnsi="宋体" w:cs="宋体"/>
          <w:color w:val="auto"/>
          <w:kern w:val="0"/>
          <w:sz w:val="24"/>
        </w:rPr>
      </w:pPr>
      <w:r>
        <w:rPr>
          <w:rFonts w:hint="eastAsia" w:ascii="宋体" w:hAnsi="宋体" w:cs="宋体"/>
          <w:b/>
          <w:color w:val="auto"/>
          <w:kern w:val="0"/>
          <w:sz w:val="52"/>
          <w:szCs w:val="52"/>
          <w:u w:val="single"/>
        </w:rPr>
        <w:t xml:space="preserve">(项目名称)   </w:t>
      </w:r>
      <w:r>
        <w:rPr>
          <w:rFonts w:hint="eastAsia" w:ascii="宋体" w:hAnsi="宋体" w:cs="宋体"/>
          <w:b/>
          <w:color w:val="auto"/>
          <w:kern w:val="0"/>
          <w:sz w:val="52"/>
          <w:szCs w:val="52"/>
        </w:rPr>
        <w:t>项目</w:t>
      </w:r>
    </w:p>
    <w:p w14:paraId="64A21449">
      <w:pPr>
        <w:pageBreakBefore w:val="0"/>
        <w:kinsoku/>
        <w:overflowPunct/>
        <w:topLinePunct w:val="0"/>
        <w:bidi w:val="0"/>
        <w:snapToGrid w:val="0"/>
        <w:spacing w:line="360" w:lineRule="auto"/>
        <w:ind w:left="0" w:leftChars="0" w:firstLine="0" w:firstLineChars="0"/>
        <w:textAlignment w:val="auto"/>
        <w:rPr>
          <w:rFonts w:hint="eastAsia" w:ascii="宋体" w:hAnsi="宋体" w:cs="宋体"/>
          <w:color w:val="auto"/>
          <w:kern w:val="0"/>
          <w:sz w:val="30"/>
          <w:szCs w:val="30"/>
        </w:rPr>
      </w:pPr>
    </w:p>
    <w:p w14:paraId="442297B4">
      <w:pPr>
        <w:pageBreakBefore w:val="0"/>
        <w:kinsoku/>
        <w:overflowPunct/>
        <w:topLinePunct w:val="0"/>
        <w:bidi w:val="0"/>
        <w:snapToGrid w:val="0"/>
        <w:spacing w:line="360" w:lineRule="auto"/>
        <w:ind w:left="0" w:leftChars="0" w:firstLine="3159" w:firstLineChars="1053"/>
        <w:jc w:val="both"/>
        <w:textAlignment w:val="auto"/>
        <w:rPr>
          <w:rFonts w:hint="default" w:ascii="宋体" w:hAnsi="宋体" w:eastAsia="宋体" w:cs="宋体"/>
          <w:color w:val="auto"/>
          <w:kern w:val="0"/>
          <w:sz w:val="30"/>
          <w:szCs w:val="30"/>
          <w:u w:val="single"/>
          <w:lang w:val="en-US" w:eastAsia="zh-CN"/>
        </w:rPr>
      </w:pPr>
      <w:r>
        <w:rPr>
          <w:rFonts w:hint="eastAsia" w:ascii="宋体" w:hAnsi="宋体" w:cs="宋体"/>
          <w:color w:val="auto"/>
          <w:kern w:val="0"/>
          <w:sz w:val="30"/>
          <w:szCs w:val="30"/>
        </w:rPr>
        <w:t>项目编号：</w:t>
      </w:r>
      <w:r>
        <w:rPr>
          <w:rFonts w:hint="eastAsia" w:ascii="宋体" w:hAnsi="宋体" w:cs="宋体"/>
          <w:color w:val="auto"/>
          <w:kern w:val="0"/>
          <w:sz w:val="30"/>
          <w:szCs w:val="30"/>
          <w:u w:val="single"/>
          <w:lang w:val="en-US" w:eastAsia="zh-CN"/>
        </w:rPr>
        <w:t xml:space="preserve">           </w:t>
      </w:r>
    </w:p>
    <w:p w14:paraId="5FA5E337">
      <w:pPr>
        <w:pageBreakBefore w:val="0"/>
        <w:kinsoku/>
        <w:overflowPunct/>
        <w:topLinePunct w:val="0"/>
        <w:bidi w:val="0"/>
        <w:snapToGrid w:val="0"/>
        <w:spacing w:line="360" w:lineRule="auto"/>
        <w:ind w:left="0" w:leftChars="0" w:firstLine="0" w:firstLineChars="0"/>
        <w:jc w:val="both"/>
        <w:textAlignment w:val="auto"/>
        <w:rPr>
          <w:rFonts w:hint="eastAsia" w:ascii="宋体" w:hAnsi="宋体" w:cs="宋体"/>
          <w:color w:val="auto"/>
          <w:kern w:val="0"/>
          <w:sz w:val="30"/>
          <w:szCs w:val="30"/>
        </w:rPr>
      </w:pPr>
    </w:p>
    <w:p w14:paraId="563C5FE4">
      <w:pPr>
        <w:pageBreakBefore w:val="0"/>
        <w:kinsoku/>
        <w:overflowPunct/>
        <w:topLinePunct w:val="0"/>
        <w:bidi w:val="0"/>
        <w:snapToGrid w:val="0"/>
        <w:spacing w:line="360" w:lineRule="auto"/>
        <w:ind w:left="0" w:leftChars="0" w:firstLine="0" w:firstLineChars="0"/>
        <w:jc w:val="center"/>
        <w:textAlignment w:val="auto"/>
        <w:rPr>
          <w:rFonts w:hint="eastAsia" w:ascii="宋体" w:hAnsi="宋体" w:cs="宋体"/>
          <w:color w:val="auto"/>
          <w:kern w:val="0"/>
          <w:sz w:val="44"/>
          <w:szCs w:val="44"/>
        </w:rPr>
      </w:pPr>
      <w:r>
        <w:rPr>
          <w:rFonts w:hint="eastAsia" w:ascii="宋体" w:hAnsi="宋体" w:cs="宋体"/>
          <w:color w:val="auto"/>
          <w:kern w:val="0"/>
          <w:sz w:val="44"/>
          <w:szCs w:val="44"/>
        </w:rPr>
        <w:t>（商务及技术文件）</w:t>
      </w:r>
    </w:p>
    <w:p w14:paraId="2B60B326">
      <w:pPr>
        <w:pageBreakBefore w:val="0"/>
        <w:kinsoku/>
        <w:overflowPunct/>
        <w:topLinePunct w:val="0"/>
        <w:bidi w:val="0"/>
        <w:snapToGrid w:val="0"/>
        <w:spacing w:line="360" w:lineRule="auto"/>
        <w:ind w:left="0" w:leftChars="0" w:firstLine="0" w:firstLineChars="0"/>
        <w:jc w:val="center"/>
        <w:textAlignment w:val="auto"/>
        <w:rPr>
          <w:rFonts w:ascii="宋体" w:hAnsi="宋体" w:cs="宋体"/>
          <w:color w:val="auto"/>
          <w:kern w:val="0"/>
          <w:sz w:val="24"/>
        </w:rPr>
      </w:pPr>
    </w:p>
    <w:p w14:paraId="7090524A">
      <w:pPr>
        <w:pageBreakBefore w:val="0"/>
        <w:kinsoku/>
        <w:overflowPunct/>
        <w:topLinePunct w:val="0"/>
        <w:bidi w:val="0"/>
        <w:snapToGrid w:val="0"/>
        <w:spacing w:line="360" w:lineRule="auto"/>
        <w:ind w:left="0" w:leftChars="0" w:right="84" w:rightChars="40" w:firstLine="0" w:firstLineChars="0"/>
        <w:jc w:val="center"/>
        <w:textAlignment w:val="auto"/>
        <w:outlineLvl w:val="2"/>
        <w:rPr>
          <w:rFonts w:ascii="宋体" w:hAnsi="宋体" w:cs="宋体"/>
          <w:color w:val="auto"/>
          <w:kern w:val="0"/>
          <w:sz w:val="24"/>
        </w:rPr>
      </w:pPr>
      <w:r>
        <w:rPr>
          <w:rFonts w:hint="eastAsia" w:ascii="宋体" w:hAnsi="宋体" w:cs="宋体"/>
          <w:b/>
          <w:color w:val="auto"/>
          <w:kern w:val="0"/>
          <w:sz w:val="84"/>
          <w:szCs w:val="20"/>
        </w:rPr>
        <w:t>投</w:t>
      </w:r>
    </w:p>
    <w:p w14:paraId="7B42470F">
      <w:pPr>
        <w:pageBreakBefore w:val="0"/>
        <w:kinsoku/>
        <w:overflowPunct/>
        <w:topLinePunct w:val="0"/>
        <w:bidi w:val="0"/>
        <w:snapToGrid w:val="0"/>
        <w:spacing w:line="360" w:lineRule="auto"/>
        <w:ind w:left="0" w:leftChars="0" w:right="84" w:rightChars="40" w:firstLine="0" w:firstLineChars="0"/>
        <w:jc w:val="center"/>
        <w:textAlignment w:val="auto"/>
        <w:rPr>
          <w:rFonts w:ascii="宋体" w:hAnsi="宋体" w:cs="宋体"/>
          <w:color w:val="auto"/>
          <w:kern w:val="0"/>
          <w:sz w:val="24"/>
        </w:rPr>
      </w:pPr>
      <w:r>
        <w:rPr>
          <w:rFonts w:hint="eastAsia" w:ascii="宋体" w:hAnsi="宋体" w:cs="宋体"/>
          <w:b/>
          <w:color w:val="auto"/>
          <w:kern w:val="0"/>
          <w:sz w:val="84"/>
          <w:szCs w:val="20"/>
        </w:rPr>
        <w:t>标</w:t>
      </w:r>
    </w:p>
    <w:p w14:paraId="275DAA08">
      <w:pPr>
        <w:pageBreakBefore w:val="0"/>
        <w:kinsoku/>
        <w:overflowPunct/>
        <w:topLinePunct w:val="0"/>
        <w:bidi w:val="0"/>
        <w:snapToGrid w:val="0"/>
        <w:spacing w:line="360" w:lineRule="auto"/>
        <w:ind w:left="0" w:leftChars="0" w:right="84" w:rightChars="40" w:firstLine="0" w:firstLineChars="0"/>
        <w:jc w:val="center"/>
        <w:textAlignment w:val="auto"/>
        <w:rPr>
          <w:rFonts w:ascii="宋体" w:hAnsi="宋体" w:cs="宋体"/>
          <w:color w:val="auto"/>
          <w:kern w:val="0"/>
          <w:sz w:val="24"/>
        </w:rPr>
      </w:pPr>
      <w:r>
        <w:rPr>
          <w:rFonts w:hint="eastAsia" w:ascii="宋体" w:hAnsi="宋体" w:cs="宋体"/>
          <w:b/>
          <w:color w:val="auto"/>
          <w:kern w:val="0"/>
          <w:sz w:val="84"/>
          <w:szCs w:val="20"/>
        </w:rPr>
        <w:t>文</w:t>
      </w:r>
    </w:p>
    <w:p w14:paraId="71F93EFD">
      <w:pPr>
        <w:pageBreakBefore w:val="0"/>
        <w:kinsoku/>
        <w:overflowPunct/>
        <w:topLinePunct w:val="0"/>
        <w:bidi w:val="0"/>
        <w:snapToGrid w:val="0"/>
        <w:spacing w:line="360" w:lineRule="auto"/>
        <w:ind w:left="0" w:leftChars="0" w:right="84" w:rightChars="40" w:firstLine="0" w:firstLineChars="0"/>
        <w:jc w:val="center"/>
        <w:textAlignment w:val="auto"/>
        <w:rPr>
          <w:rFonts w:ascii="宋体" w:hAnsi="宋体" w:cs="宋体"/>
          <w:color w:val="auto"/>
          <w:kern w:val="0"/>
          <w:sz w:val="24"/>
        </w:rPr>
      </w:pPr>
      <w:r>
        <w:rPr>
          <w:rFonts w:hint="eastAsia" w:ascii="宋体" w:hAnsi="宋体" w:cs="宋体"/>
          <w:b/>
          <w:color w:val="auto"/>
          <w:kern w:val="0"/>
          <w:sz w:val="84"/>
          <w:szCs w:val="20"/>
        </w:rPr>
        <w:t>件</w:t>
      </w:r>
    </w:p>
    <w:p w14:paraId="4FB43C1D">
      <w:pPr>
        <w:pageBreakBefore w:val="0"/>
        <w:kinsoku/>
        <w:overflowPunct/>
        <w:topLinePunct w:val="0"/>
        <w:bidi w:val="0"/>
        <w:snapToGrid w:val="0"/>
        <w:spacing w:line="360" w:lineRule="auto"/>
        <w:ind w:left="0" w:leftChars="0" w:firstLine="0" w:firstLineChars="0"/>
        <w:jc w:val="center"/>
        <w:textAlignment w:val="auto"/>
        <w:rPr>
          <w:rFonts w:hint="eastAsia" w:ascii="宋体" w:hAnsi="宋体" w:cs="宋体"/>
          <w:color w:val="auto"/>
          <w:kern w:val="0"/>
          <w:sz w:val="32"/>
          <w:szCs w:val="32"/>
        </w:rPr>
      </w:pPr>
    </w:p>
    <w:p w14:paraId="270D180F">
      <w:pPr>
        <w:pageBreakBefore w:val="0"/>
        <w:kinsoku/>
        <w:overflowPunct/>
        <w:topLinePunct w:val="0"/>
        <w:bidi w:val="0"/>
        <w:snapToGrid w:val="0"/>
        <w:spacing w:line="360" w:lineRule="auto"/>
        <w:ind w:left="0" w:leftChars="0" w:firstLine="0" w:firstLineChars="0"/>
        <w:jc w:val="center"/>
        <w:textAlignment w:val="auto"/>
        <w:rPr>
          <w:rFonts w:hint="eastAsia" w:ascii="宋体" w:hAnsi="宋体" w:cs="宋体"/>
          <w:color w:val="auto"/>
          <w:kern w:val="0"/>
          <w:szCs w:val="21"/>
        </w:rPr>
      </w:pPr>
      <w:r>
        <w:rPr>
          <w:rFonts w:hint="eastAsia" w:ascii="宋体" w:hAnsi="宋体" w:cs="宋体"/>
          <w:color w:val="auto"/>
          <w:kern w:val="0"/>
          <w:sz w:val="32"/>
          <w:szCs w:val="32"/>
        </w:rPr>
        <w:t>投标人单位全称：</w:t>
      </w:r>
      <w:r>
        <w:rPr>
          <w:rFonts w:hint="eastAsia" w:ascii="宋体" w:hAnsi="宋体" w:cs="宋体"/>
          <w:color w:val="auto"/>
          <w:kern w:val="0"/>
          <w:szCs w:val="21"/>
        </w:rPr>
        <w:t>（加盖单位公章、法定代表人或授权代表签字或签章）</w:t>
      </w:r>
    </w:p>
    <w:p w14:paraId="6FC5379F">
      <w:pPr>
        <w:pageBreakBefore w:val="0"/>
        <w:kinsoku/>
        <w:overflowPunct/>
        <w:topLinePunct w:val="0"/>
        <w:bidi w:val="0"/>
        <w:snapToGrid w:val="0"/>
        <w:spacing w:line="360" w:lineRule="auto"/>
        <w:ind w:left="0" w:leftChars="0" w:firstLine="0" w:firstLineChars="0"/>
        <w:jc w:val="center"/>
        <w:textAlignment w:val="auto"/>
        <w:rPr>
          <w:rFonts w:ascii="宋体" w:hAnsi="宋体" w:cs="宋体"/>
          <w:color w:val="auto"/>
          <w:kern w:val="0"/>
          <w:sz w:val="24"/>
        </w:rPr>
      </w:pPr>
    </w:p>
    <w:p w14:paraId="550E3BA5">
      <w:pPr>
        <w:pageBreakBefore w:val="0"/>
        <w:kinsoku/>
        <w:overflowPunct/>
        <w:topLinePunct w:val="0"/>
        <w:bidi w:val="0"/>
        <w:snapToGrid w:val="0"/>
        <w:spacing w:line="360" w:lineRule="auto"/>
        <w:ind w:left="0" w:leftChars="0" w:firstLine="0" w:firstLineChars="0"/>
        <w:jc w:val="center"/>
        <w:textAlignment w:val="auto"/>
        <w:rPr>
          <w:rFonts w:ascii="宋体" w:hAnsi="宋体"/>
          <w:color w:val="auto"/>
          <w:sz w:val="24"/>
        </w:rPr>
      </w:pP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olor w:val="auto"/>
          <w:kern w:val="0"/>
          <w:sz w:val="24"/>
          <w:u w:val="single"/>
        </w:rPr>
        <w:t xml:space="preserve">     </w:t>
      </w:r>
      <w:r>
        <w:rPr>
          <w:rFonts w:hint="eastAsia" w:ascii="宋体" w:hAnsi="宋体" w:cs="宋体"/>
          <w:color w:val="auto"/>
          <w:kern w:val="0"/>
          <w:sz w:val="24"/>
        </w:rPr>
        <w:t>月</w:t>
      </w:r>
      <w:r>
        <w:rPr>
          <w:rFonts w:hint="eastAsia" w:ascii="宋体" w:hAnsi="宋体"/>
          <w:color w:val="auto"/>
          <w:kern w:val="0"/>
          <w:sz w:val="24"/>
          <w:u w:val="single"/>
        </w:rPr>
        <w:t xml:space="preserve">      </w:t>
      </w:r>
      <w:r>
        <w:rPr>
          <w:rFonts w:hint="eastAsia" w:ascii="宋体" w:hAnsi="宋体" w:cs="宋体"/>
          <w:color w:val="auto"/>
          <w:kern w:val="0"/>
          <w:sz w:val="24"/>
        </w:rPr>
        <w:t>日</w:t>
      </w:r>
    </w:p>
    <w:p w14:paraId="3395DDD8">
      <w:pPr>
        <w:pageBreakBefore w:val="0"/>
        <w:kinsoku/>
        <w:overflowPunct/>
        <w:topLinePunct w:val="0"/>
        <w:bidi w:val="0"/>
        <w:spacing w:line="360" w:lineRule="auto"/>
        <w:ind w:left="0" w:leftChars="0" w:firstLine="0" w:firstLineChars="0"/>
        <w:textAlignment w:val="auto"/>
        <w:rPr>
          <w:color w:val="auto"/>
        </w:rPr>
      </w:pPr>
    </w:p>
    <w:p w14:paraId="36D73812">
      <w:pPr>
        <w:pageBreakBefore w:val="0"/>
        <w:tabs>
          <w:tab w:val="left" w:pos="5580"/>
        </w:tabs>
        <w:kinsoku/>
        <w:overflowPunct/>
        <w:topLinePunct w:val="0"/>
        <w:bidi w:val="0"/>
        <w:spacing w:line="360" w:lineRule="auto"/>
        <w:ind w:left="0" w:leftChars="0" w:firstLine="0" w:firstLineChars="0"/>
        <w:jc w:val="left"/>
        <w:textAlignment w:val="auto"/>
        <w:outlineLvl w:val="2"/>
        <w:rPr>
          <w:rFonts w:ascii="宋体" w:hAnsi="宋体"/>
          <w:b/>
          <w:bCs/>
          <w:color w:val="auto"/>
          <w:sz w:val="24"/>
        </w:rPr>
      </w:pPr>
      <w:r>
        <w:rPr>
          <w:rFonts w:hint="eastAsia" w:hAnsi="宋体"/>
          <w:color w:val="auto"/>
          <w:sz w:val="24"/>
        </w:rPr>
        <w:br w:type="page"/>
      </w:r>
      <w:bookmarkStart w:id="399" w:name="_Toc21020"/>
      <w:r>
        <w:rPr>
          <w:rFonts w:hAnsi="宋体"/>
          <w:b/>
          <w:bCs/>
          <w:color w:val="auto"/>
          <w:sz w:val="24"/>
        </w:rPr>
        <w:t>1</w:t>
      </w:r>
      <w:r>
        <w:rPr>
          <w:rFonts w:hint="eastAsia" w:hAnsi="宋体"/>
          <w:b/>
          <w:bCs/>
          <w:color w:val="auto"/>
          <w:sz w:val="24"/>
        </w:rPr>
        <w:t xml:space="preserve"> </w:t>
      </w:r>
      <w:r>
        <w:rPr>
          <w:rFonts w:hint="eastAsia" w:ascii="宋体" w:hAnsi="宋体"/>
          <w:b/>
          <w:bCs/>
          <w:color w:val="auto"/>
          <w:sz w:val="24"/>
        </w:rPr>
        <w:t>投标</w:t>
      </w:r>
      <w:bookmarkEnd w:id="355"/>
      <w:bookmarkEnd w:id="356"/>
      <w:r>
        <w:rPr>
          <w:rFonts w:hint="eastAsia" w:ascii="宋体" w:hAnsi="宋体"/>
          <w:b/>
          <w:bCs/>
          <w:color w:val="auto"/>
          <w:sz w:val="24"/>
        </w:rPr>
        <w:t>书</w:t>
      </w:r>
      <w:bookmarkEnd w:id="357"/>
      <w:bookmarkEnd w:id="394"/>
      <w:bookmarkEnd w:id="399"/>
    </w:p>
    <w:bookmarkEnd w:id="358"/>
    <w:bookmarkEnd w:id="395"/>
    <w:bookmarkEnd w:id="396"/>
    <w:bookmarkEnd w:id="397"/>
    <w:bookmarkEnd w:id="398"/>
    <w:p w14:paraId="621C9086">
      <w:pPr>
        <w:pageBreakBefore w:val="0"/>
        <w:tabs>
          <w:tab w:val="left" w:pos="5580"/>
        </w:tabs>
        <w:kinsoku/>
        <w:overflowPunct/>
        <w:topLinePunct w:val="0"/>
        <w:bidi w:val="0"/>
        <w:spacing w:line="360" w:lineRule="auto"/>
        <w:ind w:left="0" w:leftChars="0" w:firstLine="0" w:firstLineChars="0"/>
        <w:jc w:val="left"/>
        <w:textAlignment w:val="auto"/>
        <w:rPr>
          <w:rFonts w:hint="eastAsia" w:ascii="宋体" w:hAnsi="宋体"/>
          <w:color w:val="auto"/>
          <w:sz w:val="24"/>
        </w:rPr>
      </w:pPr>
    </w:p>
    <w:p w14:paraId="4CD70501">
      <w:pPr>
        <w:pageBreakBefore w:val="0"/>
        <w:tabs>
          <w:tab w:val="left" w:pos="5580"/>
        </w:tabs>
        <w:kinsoku/>
        <w:overflowPunct/>
        <w:topLinePunct w:val="0"/>
        <w:bidi w:val="0"/>
        <w:spacing w:line="360" w:lineRule="auto"/>
        <w:ind w:left="0" w:leftChars="0" w:firstLine="0" w:firstLineChars="0"/>
        <w:jc w:val="left"/>
        <w:textAlignment w:val="auto"/>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（采购人名称） </w:t>
      </w:r>
      <w:r>
        <w:rPr>
          <w:rFonts w:ascii="宋体" w:hAnsi="宋体"/>
          <w:color w:val="auto"/>
          <w:sz w:val="24"/>
          <w:u w:val="single"/>
        </w:rPr>
        <w:t xml:space="preserve">     </w:t>
      </w:r>
    </w:p>
    <w:p w14:paraId="0757E541">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68A32A5B">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根据贵方(</w:t>
      </w:r>
      <w:r>
        <w:rPr>
          <w:rFonts w:hint="eastAsia" w:hAnsi="宋体"/>
          <w:i/>
          <w:color w:val="auto"/>
          <w:sz w:val="24"/>
          <w:szCs w:val="24"/>
          <w:u w:val="single"/>
        </w:rPr>
        <w:t>项目名称</w:t>
      </w:r>
      <w:r>
        <w:rPr>
          <w:rFonts w:hint="eastAsia" w:hAnsi="宋体"/>
          <w:color w:val="auto"/>
          <w:sz w:val="24"/>
          <w:szCs w:val="24"/>
        </w:rPr>
        <w:t>)项目的招标文件(</w:t>
      </w:r>
      <w:r>
        <w:rPr>
          <w:rFonts w:hint="eastAsia" w:hAnsi="宋体"/>
          <w:i/>
          <w:color w:val="auto"/>
          <w:sz w:val="24"/>
          <w:szCs w:val="24"/>
          <w:u w:val="single"/>
        </w:rPr>
        <w:t>项目编号</w:t>
      </w:r>
      <w:r>
        <w:rPr>
          <w:rFonts w:hint="eastAsia" w:hAnsi="宋体"/>
          <w:color w:val="auto"/>
          <w:sz w:val="24"/>
          <w:szCs w:val="24"/>
        </w:rPr>
        <w:t>),签字代表(</w:t>
      </w:r>
      <w:r>
        <w:rPr>
          <w:rFonts w:hint="eastAsia" w:hAnsi="宋体"/>
          <w:i/>
          <w:color w:val="auto"/>
          <w:sz w:val="24"/>
          <w:szCs w:val="24"/>
          <w:u w:val="single"/>
        </w:rPr>
        <w:t>姓名、职务</w:t>
      </w:r>
      <w:r>
        <w:rPr>
          <w:rFonts w:hint="eastAsia" w:hAnsi="宋体"/>
          <w:color w:val="auto"/>
          <w:sz w:val="24"/>
          <w:szCs w:val="24"/>
        </w:rPr>
        <w:t>)经正式授权并代表投标人（</w:t>
      </w:r>
      <w:r>
        <w:rPr>
          <w:rFonts w:hint="eastAsia" w:hAnsi="宋体"/>
          <w:i/>
          <w:color w:val="auto"/>
          <w:sz w:val="24"/>
          <w:szCs w:val="24"/>
          <w:u w:val="single"/>
        </w:rPr>
        <w:t>名称、地址</w:t>
      </w:r>
      <w:r>
        <w:rPr>
          <w:rFonts w:hint="eastAsia" w:hAnsi="宋体"/>
          <w:color w:val="auto"/>
          <w:sz w:val="24"/>
          <w:szCs w:val="24"/>
        </w:rPr>
        <w:t>）提交下述投标文件。</w:t>
      </w:r>
    </w:p>
    <w:p w14:paraId="0D972B6D">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据此，签字代表宣布同意如下：</w:t>
      </w:r>
    </w:p>
    <w:p w14:paraId="40EF5245">
      <w:pPr>
        <w:pStyle w:val="17"/>
        <w:pageBreakBefore w:val="0"/>
        <w:tabs>
          <w:tab w:val="left" w:pos="720"/>
          <w:tab w:val="left" w:pos="900"/>
        </w:tabs>
        <w:kinsoku/>
        <w:overflowPunct/>
        <w:topLinePunct w:val="0"/>
        <w:bidi w:val="0"/>
        <w:spacing w:line="360" w:lineRule="auto"/>
        <w:ind w:left="0" w:leftChars="0" w:firstLine="0" w:firstLineChars="0"/>
        <w:jc w:val="left"/>
        <w:textAlignment w:val="auto"/>
        <w:rPr>
          <w:rFonts w:hint="eastAsia" w:hAnsi="宋体"/>
          <w:color w:val="auto"/>
          <w:sz w:val="24"/>
          <w:szCs w:val="24"/>
          <w:highlight w:val="yellow"/>
          <w:u w:val="single"/>
        </w:rPr>
      </w:pPr>
      <w:r>
        <w:rPr>
          <w:rFonts w:hint="eastAsia" w:hAnsi="宋体"/>
          <w:color w:val="auto"/>
          <w:sz w:val="24"/>
          <w:szCs w:val="24"/>
        </w:rPr>
        <w:t>（1）</w:t>
      </w:r>
      <w:r>
        <w:rPr>
          <w:rFonts w:hint="eastAsia" w:hAnsi="宋体"/>
          <w:color w:val="auto"/>
          <w:sz w:val="24"/>
          <w:szCs w:val="24"/>
          <w:highlight w:val="none"/>
        </w:rPr>
        <w:t>投标</w:t>
      </w:r>
      <w:r>
        <w:rPr>
          <w:rFonts w:hint="eastAsia" w:hAnsi="宋体"/>
          <w:color w:val="auto"/>
          <w:sz w:val="24"/>
          <w:szCs w:val="24"/>
          <w:highlight w:val="none"/>
          <w:lang w:eastAsia="zh-CN"/>
        </w:rPr>
        <w:t>报</w:t>
      </w:r>
      <w:r>
        <w:rPr>
          <w:rFonts w:hint="eastAsia" w:hAnsi="宋体"/>
          <w:color w:val="auto"/>
          <w:sz w:val="24"/>
          <w:szCs w:val="24"/>
          <w:highlight w:val="none"/>
        </w:rPr>
        <w:t>价详见开标</w:t>
      </w:r>
      <w:r>
        <w:rPr>
          <w:rFonts w:hAnsi="宋体"/>
          <w:color w:val="auto"/>
          <w:sz w:val="24"/>
          <w:szCs w:val="24"/>
          <w:highlight w:val="none"/>
        </w:rPr>
        <w:t>一览表</w:t>
      </w:r>
      <w:r>
        <w:rPr>
          <w:rFonts w:hint="eastAsia" w:hAnsi="宋体"/>
          <w:color w:val="auto"/>
          <w:sz w:val="24"/>
          <w:szCs w:val="24"/>
          <w:highlight w:val="none"/>
          <w:lang w:eastAsia="zh-CN"/>
        </w:rPr>
        <w:t>及</w:t>
      </w:r>
      <w:r>
        <w:rPr>
          <w:rFonts w:hint="eastAsia" w:hAnsi="宋体"/>
          <w:color w:val="auto"/>
          <w:sz w:val="24"/>
          <w:szCs w:val="24"/>
          <w:highlight w:val="none"/>
        </w:rPr>
        <w:t>分项报价表。</w:t>
      </w:r>
    </w:p>
    <w:p w14:paraId="35303513">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（2）本投标有效期为自投标截止之日起</w:t>
      </w:r>
      <w:r>
        <w:rPr>
          <w:rFonts w:hint="eastAsia" w:hAnsi="宋体"/>
          <w:color w:val="auto"/>
          <w:sz w:val="24"/>
          <w:szCs w:val="24"/>
          <w:u w:val="single"/>
        </w:rPr>
        <w:t xml:space="preserve">          </w:t>
      </w:r>
      <w:r>
        <w:rPr>
          <w:rFonts w:hint="eastAsia" w:hAnsi="宋体"/>
          <w:color w:val="auto"/>
          <w:sz w:val="24"/>
          <w:szCs w:val="24"/>
        </w:rPr>
        <w:t>个日历日。</w:t>
      </w:r>
    </w:p>
    <w:p w14:paraId="06A6B64F">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w:t>
      </w:r>
      <w:r>
        <w:rPr>
          <w:rFonts w:hint="eastAsia" w:hAnsi="宋体"/>
          <w:color w:val="auto"/>
          <w:sz w:val="24"/>
          <w:szCs w:val="24"/>
          <w:lang w:val="en-US" w:eastAsia="zh-CN"/>
        </w:rPr>
        <w:t>3</w:t>
      </w:r>
      <w:r>
        <w:rPr>
          <w:rFonts w:hint="eastAsia" w:hAnsi="宋体"/>
          <w:color w:val="auto"/>
          <w:sz w:val="24"/>
          <w:szCs w:val="24"/>
        </w:rPr>
        <w:t>）已详细审查全部招标文件，包括所有补充通知（如果有的话），完全理解并同意放弃对这方面有不明、误解的权利。</w:t>
      </w:r>
    </w:p>
    <w:p w14:paraId="6BE4230E">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w:t>
      </w:r>
      <w:r>
        <w:rPr>
          <w:rFonts w:hint="eastAsia" w:hAnsi="宋体"/>
          <w:color w:val="auto"/>
          <w:sz w:val="24"/>
          <w:szCs w:val="24"/>
          <w:lang w:val="en-US" w:eastAsia="zh-CN"/>
        </w:rPr>
        <w:t>4</w:t>
      </w:r>
      <w:r>
        <w:rPr>
          <w:rFonts w:hint="eastAsia" w:hAnsi="宋体"/>
          <w:color w:val="auto"/>
          <w:sz w:val="24"/>
          <w:szCs w:val="24"/>
        </w:rPr>
        <w:t>）我方不是</w:t>
      </w:r>
      <w:r>
        <w:rPr>
          <w:rFonts w:hAnsi="宋体"/>
          <w:color w:val="auto"/>
          <w:sz w:val="24"/>
          <w:szCs w:val="24"/>
        </w:rPr>
        <w:t>为</w:t>
      </w:r>
      <w:r>
        <w:rPr>
          <w:rFonts w:hint="eastAsia" w:hAnsi="宋体"/>
          <w:color w:val="auto"/>
          <w:sz w:val="24"/>
          <w:szCs w:val="24"/>
        </w:rPr>
        <w:t>本</w:t>
      </w:r>
      <w:r>
        <w:rPr>
          <w:rFonts w:hAnsi="宋体"/>
          <w:color w:val="auto"/>
          <w:sz w:val="24"/>
          <w:szCs w:val="24"/>
        </w:rPr>
        <w:t>项目提供整体</w:t>
      </w:r>
      <w:r>
        <w:rPr>
          <w:rFonts w:hint="eastAsia" w:hAnsi="宋体"/>
          <w:color w:val="auto"/>
          <w:sz w:val="24"/>
          <w:szCs w:val="24"/>
        </w:rPr>
        <w:t>设计</w:t>
      </w:r>
      <w:r>
        <w:rPr>
          <w:rFonts w:hAnsi="宋体"/>
          <w:color w:val="auto"/>
          <w:sz w:val="24"/>
          <w:szCs w:val="24"/>
        </w:rPr>
        <w:t>、规范编制或者项目管理、监理、检测等服务的供应商</w:t>
      </w:r>
      <w:r>
        <w:rPr>
          <w:rFonts w:hint="eastAsia" w:hAnsi="宋体"/>
          <w:color w:val="auto"/>
          <w:sz w:val="24"/>
          <w:szCs w:val="24"/>
        </w:rPr>
        <w:t>，我方不是采购代理</w:t>
      </w:r>
      <w:r>
        <w:rPr>
          <w:rFonts w:hAnsi="宋体"/>
          <w:color w:val="auto"/>
          <w:sz w:val="24"/>
          <w:szCs w:val="24"/>
        </w:rPr>
        <w:t>机构</w:t>
      </w:r>
      <w:r>
        <w:rPr>
          <w:rFonts w:hint="eastAsia" w:hAnsi="宋体"/>
          <w:color w:val="auto"/>
          <w:sz w:val="24"/>
          <w:szCs w:val="24"/>
        </w:rPr>
        <w:t>的附属机构。</w:t>
      </w:r>
    </w:p>
    <w:p w14:paraId="0B517355">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w:t>
      </w:r>
      <w:r>
        <w:rPr>
          <w:rFonts w:hint="eastAsia" w:hAnsi="宋体"/>
          <w:color w:val="auto"/>
          <w:sz w:val="24"/>
          <w:szCs w:val="24"/>
          <w:lang w:val="en-US" w:eastAsia="zh-CN"/>
        </w:rPr>
        <w:t>5</w:t>
      </w:r>
      <w:r>
        <w:rPr>
          <w:rFonts w:hint="eastAsia" w:hAnsi="宋体"/>
          <w:color w:val="auto"/>
          <w:sz w:val="24"/>
          <w:szCs w:val="24"/>
        </w:rPr>
        <w:t>）按照贵方可能的要求，提供与投标有关的一切数据或资料，完全理解贵方不一定接受最低价的投标或收到的任何投标。</w:t>
      </w:r>
    </w:p>
    <w:p w14:paraId="607F8CA3">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w:t>
      </w:r>
      <w:r>
        <w:rPr>
          <w:rFonts w:hint="eastAsia" w:hAnsi="宋体"/>
          <w:color w:val="auto"/>
          <w:sz w:val="24"/>
          <w:szCs w:val="24"/>
          <w:lang w:val="en-US" w:eastAsia="zh-CN"/>
        </w:rPr>
        <w:t>6</w:t>
      </w:r>
      <w:r>
        <w:rPr>
          <w:rFonts w:hint="eastAsia" w:hAnsi="宋体"/>
          <w:color w:val="auto"/>
          <w:sz w:val="24"/>
          <w:szCs w:val="24"/>
        </w:rPr>
        <w:t>）按照招标文件的规定履行合同责任和义务。</w:t>
      </w:r>
    </w:p>
    <w:p w14:paraId="1A51F368">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w:t>
      </w:r>
      <w:r>
        <w:rPr>
          <w:rFonts w:hint="eastAsia" w:hAnsi="宋体"/>
          <w:color w:val="auto"/>
          <w:sz w:val="24"/>
          <w:szCs w:val="24"/>
          <w:lang w:val="en-US" w:eastAsia="zh-CN"/>
        </w:rPr>
        <w:t>7</w:t>
      </w:r>
      <w:r>
        <w:rPr>
          <w:rFonts w:hint="eastAsia" w:hAnsi="宋体"/>
          <w:color w:val="auto"/>
          <w:sz w:val="24"/>
          <w:szCs w:val="24"/>
        </w:rPr>
        <w:t>）完全理解并</w:t>
      </w:r>
      <w:r>
        <w:rPr>
          <w:rFonts w:hAnsi="宋体"/>
          <w:color w:val="auto"/>
          <w:sz w:val="24"/>
          <w:szCs w:val="24"/>
        </w:rPr>
        <w:t>无条件承担</w:t>
      </w:r>
      <w:r>
        <w:rPr>
          <w:rFonts w:hint="eastAsia" w:hAnsi="宋体"/>
          <w:color w:val="auto"/>
          <w:sz w:val="24"/>
          <w:szCs w:val="24"/>
        </w:rPr>
        <w:t>中标后</w:t>
      </w:r>
      <w:r>
        <w:rPr>
          <w:rFonts w:hAnsi="宋体"/>
          <w:color w:val="auto"/>
          <w:sz w:val="24"/>
          <w:szCs w:val="24"/>
        </w:rPr>
        <w:t>不依法与采购人签订合同的法律后果</w:t>
      </w:r>
      <w:r>
        <w:rPr>
          <w:rFonts w:hint="eastAsia" w:hAnsi="宋体"/>
          <w:color w:val="auto"/>
          <w:sz w:val="24"/>
          <w:szCs w:val="24"/>
        </w:rPr>
        <w:t>。</w:t>
      </w:r>
    </w:p>
    <w:p w14:paraId="4F7ABB53">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与本投标有关的一切正式往来信函请寄：</w:t>
      </w:r>
    </w:p>
    <w:p w14:paraId="54B70B57">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color w:val="auto"/>
          <w:sz w:val="24"/>
          <w:szCs w:val="24"/>
        </w:rPr>
      </w:pPr>
      <w:r>
        <w:rPr>
          <w:rFonts w:hint="eastAsia" w:hAnsi="宋体"/>
          <w:color w:val="auto"/>
          <w:sz w:val="24"/>
          <w:szCs w:val="24"/>
        </w:rPr>
        <w:t>地址：</w:t>
      </w:r>
      <w:r>
        <w:rPr>
          <w:rFonts w:hint="eastAsia" w:hAnsi="宋体"/>
          <w:color w:val="auto"/>
          <w:sz w:val="24"/>
          <w:szCs w:val="24"/>
          <w:u w:val="single"/>
        </w:rPr>
        <w:t xml:space="preserve">                         </w:t>
      </w:r>
    </w:p>
    <w:p w14:paraId="016A2936">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传真：</w:t>
      </w:r>
      <w:r>
        <w:rPr>
          <w:rFonts w:hint="eastAsia" w:hAnsi="宋体"/>
          <w:color w:val="auto"/>
          <w:sz w:val="24"/>
          <w:szCs w:val="24"/>
          <w:u w:val="single"/>
        </w:rPr>
        <w:t xml:space="preserve">                             </w:t>
      </w:r>
    </w:p>
    <w:p w14:paraId="4ED60CC5">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color w:val="auto"/>
          <w:sz w:val="24"/>
          <w:szCs w:val="24"/>
        </w:rPr>
      </w:pPr>
      <w:r>
        <w:rPr>
          <w:rFonts w:hint="eastAsia" w:hAnsi="宋体"/>
          <w:color w:val="auto"/>
          <w:sz w:val="24"/>
          <w:szCs w:val="24"/>
        </w:rPr>
        <w:t>电话：</w:t>
      </w:r>
      <w:r>
        <w:rPr>
          <w:rFonts w:hint="eastAsia" w:hAnsi="宋体"/>
          <w:color w:val="auto"/>
          <w:sz w:val="24"/>
          <w:szCs w:val="24"/>
          <w:u w:val="single"/>
        </w:rPr>
        <w:t xml:space="preserve">                         </w:t>
      </w:r>
    </w:p>
    <w:p w14:paraId="78C6CE2A">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b/>
          <w:color w:val="auto"/>
          <w:sz w:val="24"/>
          <w:szCs w:val="24"/>
        </w:rPr>
      </w:pPr>
      <w:r>
        <w:rPr>
          <w:rFonts w:hint="eastAsia" w:hAnsi="宋体"/>
          <w:color w:val="auto"/>
          <w:sz w:val="24"/>
          <w:szCs w:val="24"/>
        </w:rPr>
        <w:t>电子函件：</w:t>
      </w:r>
      <w:r>
        <w:rPr>
          <w:rFonts w:hint="eastAsia" w:hAnsi="宋体"/>
          <w:color w:val="auto"/>
          <w:sz w:val="24"/>
          <w:szCs w:val="24"/>
          <w:u w:val="single"/>
        </w:rPr>
        <w:t xml:space="preserve">                         </w:t>
      </w:r>
    </w:p>
    <w:p w14:paraId="076BF01E">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0C3A983D">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法定代表人或委托代理人（签字或签章）：</w:t>
      </w:r>
      <w:r>
        <w:rPr>
          <w:rFonts w:hint="eastAsia" w:hAnsi="宋体"/>
          <w:color w:val="auto"/>
          <w:sz w:val="24"/>
          <w:szCs w:val="24"/>
          <w:u w:val="single"/>
        </w:rPr>
        <w:t xml:space="preserve">                 </w:t>
      </w:r>
      <w:r>
        <w:rPr>
          <w:rFonts w:hint="eastAsia" w:hAnsi="宋体"/>
          <w:color w:val="auto"/>
          <w:sz w:val="24"/>
          <w:szCs w:val="24"/>
        </w:rPr>
        <w:t xml:space="preserve"> </w:t>
      </w:r>
    </w:p>
    <w:p w14:paraId="4C8D32AD">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投标人（盖公章）：</w:t>
      </w:r>
      <w:r>
        <w:rPr>
          <w:rFonts w:hint="eastAsia" w:hAnsi="宋体"/>
          <w:color w:val="auto"/>
          <w:sz w:val="24"/>
          <w:szCs w:val="24"/>
          <w:u w:val="single"/>
        </w:rPr>
        <w:t xml:space="preserve">                 </w:t>
      </w:r>
      <w:r>
        <w:rPr>
          <w:rFonts w:hint="eastAsia" w:hAnsi="宋体"/>
          <w:color w:val="auto"/>
          <w:sz w:val="24"/>
          <w:szCs w:val="24"/>
        </w:rPr>
        <w:t xml:space="preserve"> </w:t>
      </w:r>
    </w:p>
    <w:p w14:paraId="132CB88E">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投标人开户银行（全称）：</w:t>
      </w:r>
      <w:r>
        <w:rPr>
          <w:rFonts w:hint="eastAsia" w:hAnsi="宋体"/>
          <w:color w:val="auto"/>
          <w:sz w:val="24"/>
          <w:szCs w:val="24"/>
          <w:u w:val="single"/>
        </w:rPr>
        <w:t xml:space="preserve">                 </w:t>
      </w:r>
    </w:p>
    <w:p w14:paraId="56FEB600">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投标人银行</w:t>
      </w:r>
      <w:r>
        <w:rPr>
          <w:rFonts w:hint="eastAsia" w:hAnsi="宋体"/>
          <w:color w:val="auto"/>
          <w:sz w:val="24"/>
          <w:szCs w:val="24"/>
          <w:lang w:eastAsia="zh-CN"/>
        </w:rPr>
        <w:t>账号</w:t>
      </w:r>
      <w:r>
        <w:rPr>
          <w:rFonts w:hint="eastAsia" w:hAnsi="宋体"/>
          <w:color w:val="auto"/>
          <w:sz w:val="24"/>
          <w:szCs w:val="24"/>
        </w:rPr>
        <w:t>：</w:t>
      </w:r>
      <w:r>
        <w:rPr>
          <w:rFonts w:hint="eastAsia" w:hAnsi="宋体"/>
          <w:color w:val="auto"/>
          <w:sz w:val="24"/>
          <w:szCs w:val="24"/>
          <w:u w:val="single"/>
        </w:rPr>
        <w:t xml:space="preserve">                 </w:t>
      </w:r>
    </w:p>
    <w:p w14:paraId="1C29B92D">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日期：</w:t>
      </w:r>
      <w:r>
        <w:rPr>
          <w:rFonts w:hint="eastAsia" w:hAnsi="宋体"/>
          <w:color w:val="auto"/>
          <w:sz w:val="24"/>
          <w:szCs w:val="24"/>
          <w:u w:val="single"/>
        </w:rPr>
        <w:t xml:space="preserve">                 </w:t>
      </w:r>
      <w:r>
        <w:rPr>
          <w:rFonts w:hint="eastAsia" w:hAnsi="宋体"/>
          <w:color w:val="auto"/>
          <w:sz w:val="24"/>
          <w:szCs w:val="24"/>
        </w:rPr>
        <w:t xml:space="preserve"> </w:t>
      </w:r>
      <w:bookmarkStart w:id="400" w:name="_Toc23473"/>
      <w:bookmarkStart w:id="401" w:name="_Toc532473506"/>
      <w:bookmarkStart w:id="402" w:name="_Toc1266"/>
      <w:r>
        <w:rPr>
          <w:rFonts w:hAnsi="宋体"/>
          <w:color w:val="auto"/>
          <w:sz w:val="24"/>
          <w:szCs w:val="24"/>
        </w:rPr>
        <w:t xml:space="preserve"> </w:t>
      </w:r>
      <w:bookmarkEnd w:id="400"/>
      <w:bookmarkEnd w:id="401"/>
      <w:bookmarkEnd w:id="402"/>
      <w:bookmarkStart w:id="403" w:name="_Hlt520356243"/>
      <w:bookmarkEnd w:id="403"/>
      <w:bookmarkStart w:id="404" w:name="_Hlt520355938"/>
      <w:bookmarkEnd w:id="404"/>
    </w:p>
    <w:p w14:paraId="67342A5E">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387B5B5F">
      <w:pPr>
        <w:pageBreakBefore w:val="0"/>
        <w:tabs>
          <w:tab w:val="left" w:pos="5580"/>
        </w:tabs>
        <w:kinsoku/>
        <w:overflowPunct/>
        <w:topLinePunct w:val="0"/>
        <w:bidi w:val="0"/>
        <w:spacing w:line="360" w:lineRule="auto"/>
        <w:ind w:left="0" w:leftChars="0" w:firstLine="0" w:firstLineChars="0"/>
        <w:jc w:val="left"/>
        <w:textAlignment w:val="auto"/>
        <w:outlineLvl w:val="2"/>
        <w:rPr>
          <w:rFonts w:hint="eastAsia" w:ascii="宋体" w:hAnsi="宋体"/>
          <w:b/>
          <w:bCs/>
          <w:color w:val="auto"/>
          <w:sz w:val="24"/>
        </w:rPr>
      </w:pPr>
      <w:bookmarkStart w:id="405" w:name="_Toc16568"/>
      <w:bookmarkStart w:id="406" w:name="_Toc515647804"/>
      <w:bookmarkStart w:id="407" w:name="_Toc532473495"/>
      <w:bookmarkStart w:id="408" w:name="_Toc2582309"/>
      <w:bookmarkStart w:id="409" w:name="_Toc30524"/>
      <w:r>
        <w:rPr>
          <w:rFonts w:ascii="宋体" w:hAnsi="宋体"/>
          <w:color w:val="auto"/>
          <w:sz w:val="24"/>
        </w:rPr>
        <w:br w:type="page"/>
      </w:r>
      <w:bookmarkStart w:id="410" w:name="_Toc1876"/>
      <w:r>
        <w:rPr>
          <w:rFonts w:ascii="宋体" w:hAnsi="宋体"/>
          <w:b/>
          <w:bCs/>
          <w:color w:val="auto"/>
          <w:sz w:val="24"/>
        </w:rPr>
        <w:t>2</w:t>
      </w:r>
      <w:r>
        <w:rPr>
          <w:rFonts w:hint="eastAsia" w:ascii="宋体" w:hAnsi="宋体"/>
          <w:b/>
          <w:bCs/>
          <w:color w:val="auto"/>
          <w:sz w:val="24"/>
        </w:rPr>
        <w:t xml:space="preserve"> 开标一览表</w:t>
      </w:r>
      <w:bookmarkEnd w:id="405"/>
      <w:bookmarkEnd w:id="406"/>
      <w:bookmarkEnd w:id="407"/>
      <w:bookmarkEnd w:id="408"/>
      <w:bookmarkEnd w:id="409"/>
      <w:bookmarkEnd w:id="410"/>
    </w:p>
    <w:p w14:paraId="2783E973">
      <w:pPr>
        <w:pStyle w:val="10"/>
        <w:pageBreakBefore w:val="0"/>
        <w:tabs>
          <w:tab w:val="left" w:pos="5580"/>
        </w:tabs>
        <w:kinsoku/>
        <w:overflowPunct/>
        <w:topLinePunct w:val="0"/>
        <w:bidi w:val="0"/>
        <w:spacing w:line="360" w:lineRule="auto"/>
        <w:ind w:left="0" w:leftChars="0" w:firstLine="0" w:firstLineChars="0"/>
        <w:textAlignment w:val="auto"/>
        <w:rPr>
          <w:rFonts w:hint="eastAsia" w:hAnsi="宋体"/>
          <w:color w:val="auto"/>
          <w:szCs w:val="24"/>
          <w:highlight w:val="yellow"/>
        </w:rPr>
      </w:pPr>
      <w:bookmarkStart w:id="411" w:name="_Hlt520356241"/>
      <w:bookmarkEnd w:id="411"/>
    </w:p>
    <w:p w14:paraId="37CD3E71">
      <w:pPr>
        <w:pageBreakBefore w:val="0"/>
        <w:tabs>
          <w:tab w:val="left" w:pos="1800"/>
          <w:tab w:val="left" w:pos="5580"/>
        </w:tabs>
        <w:kinsoku/>
        <w:overflowPunct/>
        <w:topLinePunct w:val="0"/>
        <w:bidi w:val="0"/>
        <w:spacing w:line="360" w:lineRule="auto"/>
        <w:ind w:left="0" w:leftChars="0" w:firstLine="0" w:firstLineChars="0"/>
        <w:jc w:val="center"/>
        <w:textAlignment w:val="auto"/>
        <w:outlineLvl w:val="3"/>
        <w:rPr>
          <w:rFonts w:hint="eastAsia" w:ascii="宋体" w:hAnsi="宋体"/>
          <w:b/>
          <w:color w:val="auto"/>
          <w:sz w:val="28"/>
        </w:rPr>
      </w:pPr>
      <w:r>
        <w:rPr>
          <w:rFonts w:hint="eastAsia" w:ascii="宋体" w:hAnsi="宋体"/>
          <w:b/>
          <w:color w:val="auto"/>
          <w:sz w:val="28"/>
        </w:rPr>
        <w:t>开标一览表</w:t>
      </w:r>
    </w:p>
    <w:p w14:paraId="1683B7ED">
      <w:pPr>
        <w:pageBreakBefore w:val="0"/>
        <w:tabs>
          <w:tab w:val="left" w:pos="1800"/>
          <w:tab w:val="left" w:pos="5580"/>
        </w:tabs>
        <w:kinsoku/>
        <w:overflowPunct/>
        <w:topLinePunct w:val="0"/>
        <w:bidi w:val="0"/>
        <w:spacing w:line="360" w:lineRule="auto"/>
        <w:ind w:left="0" w:leftChars="0" w:firstLine="480" w:firstLineChars="200"/>
        <w:jc w:val="left"/>
        <w:textAlignment w:val="auto"/>
        <w:rPr>
          <w:rFonts w:ascii="宋体" w:hAnsi="宋体"/>
          <w:color w:val="auto"/>
          <w:sz w:val="24"/>
          <w:highlight w:val="none"/>
        </w:rPr>
      </w:pPr>
      <w:r>
        <w:rPr>
          <w:rFonts w:hint="eastAsia" w:ascii="宋体" w:hAnsi="宋体"/>
          <w:color w:val="auto"/>
          <w:sz w:val="24"/>
          <w:highlight w:val="none"/>
        </w:rPr>
        <w:t xml:space="preserve">项目名称：                  </w:t>
      </w:r>
    </w:p>
    <w:p w14:paraId="6A968F35">
      <w:pPr>
        <w:pageBreakBefore w:val="0"/>
        <w:tabs>
          <w:tab w:val="left" w:pos="1800"/>
          <w:tab w:val="left" w:pos="5580"/>
        </w:tabs>
        <w:kinsoku/>
        <w:overflowPunct/>
        <w:topLinePunct w:val="0"/>
        <w:bidi w:val="0"/>
        <w:spacing w:line="360" w:lineRule="auto"/>
        <w:ind w:left="0" w:leftChars="0" w:firstLine="480" w:firstLineChars="200"/>
        <w:jc w:val="left"/>
        <w:textAlignment w:val="auto"/>
        <w:rPr>
          <w:rFonts w:ascii="宋体" w:hAnsi="宋体"/>
          <w:color w:val="auto"/>
          <w:sz w:val="24"/>
          <w:highlight w:val="none"/>
        </w:rPr>
      </w:pPr>
      <w:r>
        <w:rPr>
          <w:rFonts w:hint="eastAsia" w:ascii="宋体" w:hAnsi="宋体"/>
          <w:color w:val="auto"/>
          <w:sz w:val="24"/>
          <w:highlight w:val="none"/>
        </w:rPr>
        <w:t xml:space="preserve">项目编号：                </w:t>
      </w:r>
    </w:p>
    <w:tbl>
      <w:tblPr>
        <w:tblStyle w:val="33"/>
        <w:tblW w:w="9189"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860"/>
        <w:gridCol w:w="1815"/>
        <w:gridCol w:w="6514"/>
      </w:tblGrid>
      <w:tr w14:paraId="1A58173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34" w:hRule="atLeast"/>
          <w:jc w:val="center"/>
        </w:trPr>
        <w:tc>
          <w:tcPr>
            <w:tcW w:w="860" w:type="dxa"/>
            <w:tcBorders>
              <w:bottom w:val="single" w:color="auto" w:sz="8" w:space="0"/>
              <w:right w:val="single" w:color="auto" w:sz="4" w:space="0"/>
            </w:tcBorders>
            <w:noWrap w:val="0"/>
            <w:vAlign w:val="center"/>
          </w:tcPr>
          <w:p w14:paraId="3B86DEFE">
            <w:pPr>
              <w:autoSpaceDE w:val="0"/>
              <w:autoSpaceDN w:val="0"/>
              <w:jc w:val="center"/>
              <w:rPr>
                <w:rFonts w:hint="eastAsia" w:ascii="宋体" w:hAnsi="宋体" w:eastAsia="宋体" w:cs="宋体"/>
                <w:caps w:val="0"/>
                <w:color w:val="auto"/>
                <w:spacing w:val="0"/>
                <w:w w:val="100"/>
                <w:sz w:val="24"/>
                <w:szCs w:val="24"/>
                <w:highlight w:val="none"/>
                <w:lang w:val="zh-CN"/>
              </w:rPr>
            </w:pPr>
            <w:r>
              <w:rPr>
                <w:rFonts w:hint="eastAsia" w:ascii="宋体" w:hAnsi="宋体" w:eastAsia="宋体" w:cs="宋体"/>
                <w:caps w:val="0"/>
                <w:color w:val="auto"/>
                <w:spacing w:val="0"/>
                <w:w w:val="100"/>
                <w:sz w:val="24"/>
                <w:szCs w:val="24"/>
                <w:highlight w:val="none"/>
                <w:lang w:val="zh-CN"/>
              </w:rPr>
              <w:t>序号</w:t>
            </w:r>
          </w:p>
        </w:tc>
        <w:tc>
          <w:tcPr>
            <w:tcW w:w="1815" w:type="dxa"/>
            <w:tcBorders>
              <w:left w:val="single" w:color="auto" w:sz="4" w:space="0"/>
              <w:bottom w:val="single" w:color="auto" w:sz="8" w:space="0"/>
              <w:right w:val="single" w:color="auto" w:sz="4" w:space="0"/>
            </w:tcBorders>
            <w:noWrap w:val="0"/>
            <w:vAlign w:val="center"/>
          </w:tcPr>
          <w:p w14:paraId="10CEE8C7">
            <w:pPr>
              <w:autoSpaceDE w:val="0"/>
              <w:autoSpaceDN w:val="0"/>
              <w:jc w:val="center"/>
              <w:rPr>
                <w:rFonts w:hint="eastAsia" w:ascii="宋体" w:hAnsi="宋体" w:eastAsia="宋体" w:cs="宋体"/>
                <w:caps w:val="0"/>
                <w:color w:val="auto"/>
                <w:spacing w:val="0"/>
                <w:w w:val="100"/>
                <w:sz w:val="24"/>
                <w:szCs w:val="24"/>
                <w:highlight w:val="none"/>
                <w:lang w:eastAsia="zh-CN"/>
              </w:rPr>
            </w:pPr>
            <w:r>
              <w:rPr>
                <w:rFonts w:hint="eastAsia" w:ascii="宋体" w:hAnsi="宋体" w:eastAsia="宋体" w:cs="宋体"/>
                <w:caps w:val="0"/>
                <w:color w:val="auto"/>
                <w:spacing w:val="0"/>
                <w:w w:val="100"/>
                <w:sz w:val="24"/>
                <w:szCs w:val="24"/>
                <w:highlight w:val="none"/>
                <w:lang w:eastAsia="zh-CN"/>
              </w:rPr>
              <w:t>项目名称</w:t>
            </w:r>
          </w:p>
        </w:tc>
        <w:tc>
          <w:tcPr>
            <w:tcW w:w="6514" w:type="dxa"/>
            <w:tcBorders>
              <w:left w:val="single" w:color="auto" w:sz="4" w:space="0"/>
              <w:bottom w:val="single" w:color="auto" w:sz="8" w:space="0"/>
            </w:tcBorders>
            <w:noWrap w:val="0"/>
            <w:vAlign w:val="center"/>
          </w:tcPr>
          <w:p w14:paraId="273F24E6">
            <w:pPr>
              <w:autoSpaceDE w:val="0"/>
              <w:autoSpaceDN w:val="0"/>
              <w:jc w:val="center"/>
              <w:rPr>
                <w:rFonts w:hint="eastAsia" w:ascii="宋体" w:hAnsi="宋体" w:eastAsia="宋体" w:cs="宋体"/>
                <w:caps w:val="0"/>
                <w:color w:val="auto"/>
                <w:spacing w:val="0"/>
                <w:w w:val="100"/>
                <w:sz w:val="24"/>
                <w:szCs w:val="24"/>
                <w:highlight w:val="none"/>
                <w:lang w:eastAsia="zh-CN"/>
              </w:rPr>
            </w:pPr>
            <w:r>
              <w:rPr>
                <w:rFonts w:hint="eastAsia" w:ascii="宋体" w:hAnsi="宋体" w:eastAsia="宋体" w:cs="宋体"/>
                <w:caps w:val="0"/>
                <w:color w:val="auto"/>
                <w:spacing w:val="0"/>
                <w:w w:val="100"/>
                <w:sz w:val="24"/>
                <w:szCs w:val="24"/>
                <w:highlight w:val="none"/>
                <w:lang w:eastAsia="zh-CN"/>
              </w:rPr>
              <w:t>内</w:t>
            </w:r>
            <w:r>
              <w:rPr>
                <w:rFonts w:hint="eastAsia" w:ascii="宋体" w:hAnsi="宋体" w:eastAsia="宋体" w:cs="宋体"/>
                <w:caps w:val="0"/>
                <w:color w:val="auto"/>
                <w:spacing w:val="0"/>
                <w:w w:val="100"/>
                <w:sz w:val="24"/>
                <w:szCs w:val="24"/>
                <w:highlight w:val="none"/>
                <w:lang w:val="en-US" w:eastAsia="zh-CN"/>
              </w:rPr>
              <w:t xml:space="preserve">  </w:t>
            </w:r>
            <w:r>
              <w:rPr>
                <w:rFonts w:hint="eastAsia" w:ascii="宋体" w:hAnsi="宋体" w:eastAsia="宋体" w:cs="宋体"/>
                <w:caps w:val="0"/>
                <w:color w:val="auto"/>
                <w:spacing w:val="0"/>
                <w:w w:val="100"/>
                <w:sz w:val="24"/>
                <w:szCs w:val="24"/>
                <w:highlight w:val="none"/>
                <w:lang w:eastAsia="zh-CN"/>
              </w:rPr>
              <w:t>容</w:t>
            </w:r>
          </w:p>
        </w:tc>
      </w:tr>
      <w:tr w14:paraId="38A3A5E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35" w:hRule="atLeast"/>
          <w:jc w:val="center"/>
        </w:trPr>
        <w:tc>
          <w:tcPr>
            <w:tcW w:w="860" w:type="dxa"/>
            <w:tcBorders>
              <w:top w:val="single" w:color="auto" w:sz="8" w:space="0"/>
              <w:bottom w:val="single" w:color="auto" w:sz="8" w:space="0"/>
              <w:right w:val="single" w:color="auto" w:sz="4" w:space="0"/>
            </w:tcBorders>
            <w:noWrap w:val="0"/>
            <w:vAlign w:val="center"/>
          </w:tcPr>
          <w:p w14:paraId="5E96DD97">
            <w:pPr>
              <w:autoSpaceDE w:val="0"/>
              <w:autoSpaceDN w:val="0"/>
              <w:jc w:val="center"/>
              <w:rPr>
                <w:rFonts w:hint="eastAsia" w:ascii="宋体" w:hAnsi="宋体" w:eastAsia="宋体" w:cs="宋体"/>
                <w:caps w:val="0"/>
                <w:color w:val="auto"/>
                <w:spacing w:val="0"/>
                <w:w w:val="100"/>
                <w:sz w:val="24"/>
                <w:szCs w:val="24"/>
                <w:highlight w:val="none"/>
                <w:lang w:val="en-US" w:eastAsia="zh-CN"/>
              </w:rPr>
            </w:pPr>
            <w:r>
              <w:rPr>
                <w:rFonts w:hint="eastAsia" w:ascii="宋体" w:hAnsi="宋体" w:eastAsia="宋体" w:cs="宋体"/>
                <w:caps w:val="0"/>
                <w:color w:val="auto"/>
                <w:spacing w:val="0"/>
                <w:w w:val="100"/>
                <w:sz w:val="24"/>
                <w:szCs w:val="24"/>
                <w:highlight w:val="none"/>
                <w:lang w:val="en-US" w:eastAsia="zh-CN"/>
              </w:rPr>
              <w:t>1</w:t>
            </w:r>
          </w:p>
        </w:tc>
        <w:tc>
          <w:tcPr>
            <w:tcW w:w="1815" w:type="dxa"/>
            <w:tcBorders>
              <w:top w:val="single" w:color="auto" w:sz="8" w:space="0"/>
              <w:left w:val="single" w:color="auto" w:sz="4" w:space="0"/>
              <w:bottom w:val="single" w:color="auto" w:sz="8" w:space="0"/>
              <w:right w:val="single" w:color="auto" w:sz="4" w:space="0"/>
            </w:tcBorders>
            <w:noWrap w:val="0"/>
            <w:vAlign w:val="center"/>
          </w:tcPr>
          <w:p w14:paraId="2727A610">
            <w:pPr>
              <w:autoSpaceDE w:val="0"/>
              <w:autoSpaceDN w:val="0"/>
              <w:jc w:val="center"/>
              <w:rPr>
                <w:rFonts w:hint="eastAsia" w:ascii="宋体" w:hAnsi="宋体" w:eastAsia="宋体" w:cs="宋体"/>
                <w:caps w:val="0"/>
                <w:color w:val="auto"/>
                <w:spacing w:val="0"/>
                <w:w w:val="100"/>
                <w:kern w:val="2"/>
                <w:sz w:val="24"/>
                <w:szCs w:val="24"/>
                <w:highlight w:val="none"/>
                <w:lang w:val="zh-CN" w:eastAsia="zh-CN" w:bidi="ar-SA"/>
              </w:rPr>
            </w:pPr>
            <w:r>
              <w:rPr>
                <w:rFonts w:hint="eastAsia" w:ascii="宋体" w:hAnsi="宋体" w:eastAsia="宋体" w:cs="宋体"/>
                <w:caps w:val="0"/>
                <w:color w:val="auto"/>
                <w:spacing w:val="0"/>
                <w:w w:val="100"/>
                <w:sz w:val="24"/>
                <w:szCs w:val="24"/>
                <w:highlight w:val="none"/>
                <w:lang w:val="zh-CN"/>
              </w:rPr>
              <w:t>报价</w:t>
            </w:r>
          </w:p>
        </w:tc>
        <w:tc>
          <w:tcPr>
            <w:tcW w:w="6514" w:type="dxa"/>
            <w:tcBorders>
              <w:top w:val="single" w:color="auto" w:sz="8" w:space="0"/>
              <w:left w:val="single" w:color="auto" w:sz="4" w:space="0"/>
              <w:bottom w:val="single" w:color="auto" w:sz="8" w:space="0"/>
            </w:tcBorders>
            <w:noWrap w:val="0"/>
            <w:vAlign w:val="center"/>
          </w:tcPr>
          <w:p w14:paraId="4A5D459F">
            <w:pPr>
              <w:keepNext w:val="0"/>
              <w:keepLines w:val="0"/>
              <w:pageBreakBefore w:val="0"/>
              <w:widowControl w:val="0"/>
              <w:kinsoku/>
              <w:wordWrap/>
              <w:overflowPunct/>
              <w:topLinePunct w:val="0"/>
              <w:autoSpaceDE w:val="0"/>
              <w:autoSpaceDN w:val="0"/>
              <w:bidi w:val="0"/>
              <w:adjustRightInd/>
              <w:snapToGrid/>
              <w:spacing w:before="157" w:beforeLines="50" w:line="480" w:lineRule="auto"/>
              <w:textAlignment w:val="auto"/>
              <w:rPr>
                <w:rFonts w:hint="eastAsia" w:ascii="宋体" w:hAnsi="宋体" w:eastAsia="宋体" w:cs="宋体"/>
                <w:caps w:val="0"/>
                <w:color w:val="auto"/>
                <w:spacing w:val="0"/>
                <w:w w:val="100"/>
                <w:sz w:val="24"/>
                <w:szCs w:val="24"/>
                <w:highlight w:val="none"/>
              </w:rPr>
            </w:pPr>
            <w:r>
              <w:rPr>
                <w:rFonts w:hint="eastAsia" w:ascii="宋体" w:hAnsi="宋体" w:eastAsia="宋体" w:cs="宋体"/>
                <w:caps w:val="0"/>
                <w:color w:val="auto"/>
                <w:spacing w:val="0"/>
                <w:w w:val="100"/>
                <w:sz w:val="24"/>
                <w:szCs w:val="24"/>
                <w:highlight w:val="none"/>
              </w:rPr>
              <w:t>人民币：</w:t>
            </w:r>
            <w:r>
              <w:rPr>
                <w:rFonts w:hint="eastAsia" w:ascii="宋体" w:hAnsi="宋体" w:eastAsia="宋体" w:cs="宋体"/>
                <w:caps w:val="0"/>
                <w:color w:val="auto"/>
                <w:spacing w:val="0"/>
                <w:w w:val="100"/>
                <w:sz w:val="24"/>
                <w:szCs w:val="24"/>
                <w:highlight w:val="none"/>
                <w:u w:val="single"/>
              </w:rPr>
              <w:t xml:space="preserve">             </w:t>
            </w:r>
            <w:r>
              <w:rPr>
                <w:rFonts w:hint="eastAsia" w:ascii="宋体" w:hAnsi="宋体" w:eastAsia="宋体" w:cs="宋体"/>
                <w:caps w:val="0"/>
                <w:color w:val="auto"/>
                <w:spacing w:val="0"/>
                <w:w w:val="100"/>
                <w:sz w:val="24"/>
                <w:szCs w:val="24"/>
                <w:highlight w:val="none"/>
              </w:rPr>
              <w:t>（万元）</w:t>
            </w:r>
          </w:p>
          <w:p w14:paraId="13C4EC44">
            <w:pPr>
              <w:keepNext w:val="0"/>
              <w:keepLines w:val="0"/>
              <w:pageBreakBefore w:val="0"/>
              <w:widowControl w:val="0"/>
              <w:kinsoku/>
              <w:wordWrap/>
              <w:overflowPunct/>
              <w:topLinePunct w:val="0"/>
              <w:autoSpaceDE w:val="0"/>
              <w:autoSpaceDN w:val="0"/>
              <w:bidi w:val="0"/>
              <w:adjustRightInd/>
              <w:snapToGrid/>
              <w:spacing w:before="157" w:beforeLines="50" w:line="480" w:lineRule="auto"/>
              <w:textAlignment w:val="auto"/>
              <w:rPr>
                <w:rFonts w:hint="eastAsia" w:ascii="宋体" w:hAnsi="宋体" w:eastAsia="宋体" w:cs="宋体"/>
                <w:caps w:val="0"/>
                <w:color w:val="auto"/>
                <w:spacing w:val="0"/>
                <w:w w:val="100"/>
                <w:kern w:val="2"/>
                <w:sz w:val="24"/>
                <w:szCs w:val="24"/>
                <w:highlight w:val="none"/>
                <w:lang w:val="en-US" w:eastAsia="zh-CN" w:bidi="ar-SA"/>
              </w:rPr>
            </w:pPr>
            <w:r>
              <w:rPr>
                <w:rFonts w:hint="eastAsia" w:ascii="宋体" w:hAnsi="宋体" w:eastAsia="宋体" w:cs="宋体"/>
                <w:caps w:val="0"/>
                <w:color w:val="auto"/>
                <w:spacing w:val="0"/>
                <w:w w:val="100"/>
                <w:sz w:val="24"/>
                <w:szCs w:val="24"/>
                <w:highlight w:val="none"/>
              </w:rPr>
              <w:t>大写</w:t>
            </w:r>
            <w:r>
              <w:rPr>
                <w:rFonts w:hint="eastAsia" w:ascii="宋体" w:hAnsi="宋体" w:eastAsia="宋体" w:cs="宋体"/>
                <w:caps w:val="0"/>
                <w:color w:val="auto"/>
                <w:spacing w:val="0"/>
                <w:w w:val="100"/>
                <w:sz w:val="24"/>
                <w:szCs w:val="24"/>
                <w:highlight w:val="none"/>
                <w:lang w:eastAsia="zh-CN"/>
              </w:rPr>
              <w:t>：</w:t>
            </w:r>
            <w:r>
              <w:rPr>
                <w:rFonts w:hint="eastAsia" w:ascii="宋体" w:hAnsi="宋体" w:eastAsia="宋体" w:cs="宋体"/>
                <w:caps w:val="0"/>
                <w:color w:val="auto"/>
                <w:spacing w:val="0"/>
                <w:w w:val="100"/>
                <w:sz w:val="24"/>
                <w:szCs w:val="24"/>
                <w:highlight w:val="none"/>
                <w:u w:val="single"/>
              </w:rPr>
              <w:t xml:space="preserve">                </w:t>
            </w:r>
          </w:p>
        </w:tc>
      </w:tr>
      <w:tr w14:paraId="1F0E2E7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34" w:hRule="atLeast"/>
          <w:jc w:val="center"/>
        </w:trPr>
        <w:tc>
          <w:tcPr>
            <w:tcW w:w="860" w:type="dxa"/>
            <w:tcBorders>
              <w:top w:val="single" w:color="auto" w:sz="8" w:space="0"/>
              <w:bottom w:val="single" w:color="auto" w:sz="8" w:space="0"/>
              <w:right w:val="single" w:color="auto" w:sz="4" w:space="0"/>
            </w:tcBorders>
            <w:noWrap w:val="0"/>
            <w:vAlign w:val="center"/>
          </w:tcPr>
          <w:p w14:paraId="41627AE8">
            <w:pPr>
              <w:autoSpaceDE w:val="0"/>
              <w:autoSpaceDN w:val="0"/>
              <w:jc w:val="center"/>
              <w:rPr>
                <w:rFonts w:hint="eastAsia" w:ascii="宋体" w:hAnsi="宋体" w:eastAsia="宋体" w:cs="宋体"/>
                <w:caps w:val="0"/>
                <w:color w:val="auto"/>
                <w:spacing w:val="0"/>
                <w:w w:val="100"/>
                <w:sz w:val="24"/>
                <w:szCs w:val="24"/>
                <w:highlight w:val="none"/>
                <w:lang w:val="en-US" w:eastAsia="zh-CN"/>
              </w:rPr>
            </w:pPr>
            <w:r>
              <w:rPr>
                <w:rFonts w:hint="eastAsia" w:ascii="宋体" w:hAnsi="宋体" w:eastAsia="宋体" w:cs="宋体"/>
                <w:caps w:val="0"/>
                <w:color w:val="auto"/>
                <w:spacing w:val="0"/>
                <w:w w:val="100"/>
                <w:sz w:val="24"/>
                <w:szCs w:val="24"/>
                <w:highlight w:val="none"/>
                <w:lang w:val="en-US" w:eastAsia="zh-CN"/>
              </w:rPr>
              <w:t>2</w:t>
            </w:r>
          </w:p>
        </w:tc>
        <w:tc>
          <w:tcPr>
            <w:tcW w:w="1815" w:type="dxa"/>
            <w:tcBorders>
              <w:top w:val="single" w:color="auto" w:sz="8" w:space="0"/>
              <w:left w:val="single" w:color="auto" w:sz="4" w:space="0"/>
              <w:bottom w:val="single" w:color="auto" w:sz="8" w:space="0"/>
              <w:right w:val="single" w:color="auto" w:sz="4" w:space="0"/>
            </w:tcBorders>
            <w:noWrap w:val="0"/>
            <w:vAlign w:val="center"/>
          </w:tcPr>
          <w:p w14:paraId="1FA59365">
            <w:pPr>
              <w:autoSpaceDE w:val="0"/>
              <w:autoSpaceDN w:val="0"/>
              <w:jc w:val="center"/>
              <w:rPr>
                <w:rFonts w:hint="eastAsia" w:ascii="宋体" w:hAnsi="宋体" w:eastAsia="宋体" w:cs="宋体"/>
                <w:caps w:val="0"/>
                <w:color w:val="auto"/>
                <w:spacing w:val="0"/>
                <w:w w:val="100"/>
                <w:sz w:val="24"/>
                <w:szCs w:val="24"/>
                <w:highlight w:val="none"/>
                <w:lang w:val="zh-CN"/>
              </w:rPr>
            </w:pPr>
            <w:r>
              <w:rPr>
                <w:rFonts w:hint="eastAsia" w:ascii="宋体" w:hAnsi="宋体" w:eastAsia="宋体" w:cs="宋体"/>
                <w:caps w:val="0"/>
                <w:color w:val="auto"/>
                <w:spacing w:val="0"/>
                <w:w w:val="100"/>
                <w:sz w:val="24"/>
                <w:szCs w:val="24"/>
                <w:highlight w:val="none"/>
                <w:lang w:val="zh-CN"/>
              </w:rPr>
              <w:t>服务期</w:t>
            </w:r>
          </w:p>
        </w:tc>
        <w:tc>
          <w:tcPr>
            <w:tcW w:w="6514" w:type="dxa"/>
            <w:tcBorders>
              <w:top w:val="single" w:color="auto" w:sz="8" w:space="0"/>
              <w:left w:val="single" w:color="auto" w:sz="4" w:space="0"/>
              <w:bottom w:val="single" w:color="auto" w:sz="8" w:space="0"/>
            </w:tcBorders>
            <w:noWrap w:val="0"/>
            <w:vAlign w:val="center"/>
          </w:tcPr>
          <w:p w14:paraId="27DBD974">
            <w:pPr>
              <w:autoSpaceDE w:val="0"/>
              <w:autoSpaceDN w:val="0"/>
              <w:jc w:val="center"/>
              <w:rPr>
                <w:rFonts w:hint="eastAsia" w:ascii="宋体" w:hAnsi="宋体" w:eastAsia="宋体" w:cs="宋体"/>
                <w:caps w:val="0"/>
                <w:color w:val="auto"/>
                <w:spacing w:val="0"/>
                <w:w w:val="100"/>
                <w:sz w:val="24"/>
                <w:szCs w:val="24"/>
                <w:highlight w:val="none"/>
              </w:rPr>
            </w:pPr>
          </w:p>
        </w:tc>
      </w:tr>
      <w:tr w14:paraId="07E8E2C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34" w:hRule="atLeast"/>
          <w:jc w:val="center"/>
        </w:trPr>
        <w:tc>
          <w:tcPr>
            <w:tcW w:w="860" w:type="dxa"/>
            <w:tcBorders>
              <w:top w:val="single" w:color="auto" w:sz="8" w:space="0"/>
              <w:bottom w:val="single" w:color="auto" w:sz="8" w:space="0"/>
              <w:right w:val="single" w:color="auto" w:sz="4" w:space="0"/>
            </w:tcBorders>
            <w:noWrap w:val="0"/>
            <w:vAlign w:val="center"/>
          </w:tcPr>
          <w:p w14:paraId="7EEF91F6">
            <w:pPr>
              <w:autoSpaceDE w:val="0"/>
              <w:autoSpaceDN w:val="0"/>
              <w:jc w:val="center"/>
              <w:rPr>
                <w:rFonts w:hint="eastAsia" w:ascii="宋体" w:hAnsi="宋体" w:eastAsia="宋体" w:cs="宋体"/>
                <w:caps w:val="0"/>
                <w:color w:val="auto"/>
                <w:spacing w:val="0"/>
                <w:w w:val="100"/>
                <w:sz w:val="24"/>
                <w:szCs w:val="24"/>
                <w:highlight w:val="none"/>
                <w:lang w:val="en-US" w:eastAsia="zh-CN"/>
              </w:rPr>
            </w:pPr>
            <w:r>
              <w:rPr>
                <w:rFonts w:hint="eastAsia" w:ascii="宋体" w:hAnsi="宋体" w:eastAsia="宋体" w:cs="宋体"/>
                <w:caps w:val="0"/>
                <w:color w:val="auto"/>
                <w:spacing w:val="0"/>
                <w:w w:val="100"/>
                <w:sz w:val="24"/>
                <w:szCs w:val="24"/>
                <w:highlight w:val="none"/>
                <w:lang w:val="en-US" w:eastAsia="zh-CN"/>
              </w:rPr>
              <w:t>3</w:t>
            </w:r>
          </w:p>
        </w:tc>
        <w:tc>
          <w:tcPr>
            <w:tcW w:w="1815" w:type="dxa"/>
            <w:tcBorders>
              <w:top w:val="single" w:color="auto" w:sz="8" w:space="0"/>
              <w:left w:val="single" w:color="auto" w:sz="4" w:space="0"/>
              <w:bottom w:val="single" w:color="auto" w:sz="8" w:space="0"/>
              <w:right w:val="single" w:color="auto" w:sz="4" w:space="0"/>
            </w:tcBorders>
            <w:noWrap w:val="0"/>
            <w:vAlign w:val="center"/>
          </w:tcPr>
          <w:p w14:paraId="7C7CB5AF">
            <w:pPr>
              <w:autoSpaceDE w:val="0"/>
              <w:autoSpaceDN w:val="0"/>
              <w:jc w:val="center"/>
              <w:rPr>
                <w:rFonts w:hint="eastAsia" w:ascii="宋体" w:hAnsi="宋体" w:eastAsia="宋体" w:cs="宋体"/>
                <w:caps w:val="0"/>
                <w:color w:val="auto"/>
                <w:spacing w:val="0"/>
                <w:w w:val="100"/>
                <w:sz w:val="24"/>
                <w:szCs w:val="24"/>
                <w:highlight w:val="none"/>
                <w:lang w:val="zh-CN"/>
              </w:rPr>
            </w:pPr>
            <w:r>
              <w:rPr>
                <w:rFonts w:hint="eastAsia" w:ascii="宋体" w:hAnsi="宋体" w:eastAsia="宋体" w:cs="宋体"/>
                <w:caps w:val="0"/>
                <w:color w:val="auto"/>
                <w:spacing w:val="0"/>
                <w:w w:val="100"/>
                <w:sz w:val="24"/>
                <w:szCs w:val="24"/>
                <w:highlight w:val="none"/>
                <w:lang w:val="zh-CN"/>
              </w:rPr>
              <w:t>保证金</w:t>
            </w:r>
          </w:p>
          <w:p w14:paraId="48AEB3F6">
            <w:pPr>
              <w:autoSpaceDE w:val="0"/>
              <w:autoSpaceDN w:val="0"/>
              <w:jc w:val="center"/>
              <w:rPr>
                <w:rFonts w:hint="eastAsia" w:ascii="宋体" w:hAnsi="宋体" w:eastAsia="宋体" w:cs="宋体"/>
                <w:caps w:val="0"/>
                <w:color w:val="auto"/>
                <w:spacing w:val="0"/>
                <w:w w:val="100"/>
                <w:sz w:val="24"/>
                <w:szCs w:val="24"/>
                <w:highlight w:val="none"/>
                <w:lang w:val="zh-CN"/>
              </w:rPr>
            </w:pPr>
            <w:r>
              <w:rPr>
                <w:rFonts w:hint="eastAsia" w:ascii="宋体" w:hAnsi="宋体" w:eastAsia="宋体" w:cs="宋体"/>
                <w:caps w:val="0"/>
                <w:color w:val="auto"/>
                <w:spacing w:val="0"/>
                <w:w w:val="100"/>
                <w:sz w:val="24"/>
                <w:szCs w:val="24"/>
                <w:highlight w:val="none"/>
                <w:lang w:val="zh-CN"/>
              </w:rPr>
              <w:t>缴纳方式</w:t>
            </w:r>
          </w:p>
        </w:tc>
        <w:tc>
          <w:tcPr>
            <w:tcW w:w="6514" w:type="dxa"/>
            <w:tcBorders>
              <w:top w:val="single" w:color="auto" w:sz="8" w:space="0"/>
              <w:left w:val="single" w:color="auto" w:sz="4" w:space="0"/>
              <w:bottom w:val="single" w:color="auto" w:sz="8" w:space="0"/>
            </w:tcBorders>
            <w:noWrap w:val="0"/>
            <w:vAlign w:val="center"/>
          </w:tcPr>
          <w:p w14:paraId="148BE7B6">
            <w:pPr>
              <w:autoSpaceDE w:val="0"/>
              <w:autoSpaceDN w:val="0"/>
              <w:jc w:val="center"/>
              <w:rPr>
                <w:rFonts w:hint="eastAsia" w:ascii="宋体" w:hAnsi="宋体" w:eastAsia="宋体" w:cs="宋体"/>
                <w:caps w:val="0"/>
                <w:color w:val="auto"/>
                <w:spacing w:val="0"/>
                <w:w w:val="100"/>
                <w:sz w:val="24"/>
                <w:szCs w:val="24"/>
                <w:highlight w:val="none"/>
              </w:rPr>
            </w:pPr>
          </w:p>
        </w:tc>
      </w:tr>
      <w:tr w14:paraId="536525F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34" w:hRule="atLeast"/>
          <w:jc w:val="center"/>
        </w:trPr>
        <w:tc>
          <w:tcPr>
            <w:tcW w:w="860" w:type="dxa"/>
            <w:tcBorders>
              <w:top w:val="single" w:color="auto" w:sz="8" w:space="0"/>
              <w:bottom w:val="single" w:color="auto" w:sz="8" w:space="0"/>
              <w:right w:val="single" w:color="auto" w:sz="4" w:space="0"/>
            </w:tcBorders>
            <w:noWrap w:val="0"/>
            <w:vAlign w:val="center"/>
          </w:tcPr>
          <w:p w14:paraId="48A5943B">
            <w:pPr>
              <w:autoSpaceDE w:val="0"/>
              <w:autoSpaceDN w:val="0"/>
              <w:jc w:val="center"/>
              <w:rPr>
                <w:rFonts w:hint="eastAsia" w:ascii="宋体" w:hAnsi="宋体" w:eastAsia="宋体" w:cs="宋体"/>
                <w:caps w:val="0"/>
                <w:color w:val="auto"/>
                <w:spacing w:val="0"/>
                <w:w w:val="100"/>
                <w:sz w:val="24"/>
                <w:szCs w:val="24"/>
                <w:highlight w:val="none"/>
                <w:lang w:val="en-US" w:eastAsia="zh-CN"/>
              </w:rPr>
            </w:pPr>
            <w:r>
              <w:rPr>
                <w:rFonts w:hint="eastAsia" w:ascii="宋体" w:hAnsi="宋体" w:eastAsia="宋体" w:cs="宋体"/>
                <w:caps w:val="0"/>
                <w:color w:val="auto"/>
                <w:spacing w:val="0"/>
                <w:w w:val="100"/>
                <w:sz w:val="24"/>
                <w:szCs w:val="24"/>
                <w:highlight w:val="none"/>
                <w:lang w:val="en-US" w:eastAsia="zh-CN"/>
              </w:rPr>
              <w:t>4</w:t>
            </w:r>
          </w:p>
        </w:tc>
        <w:tc>
          <w:tcPr>
            <w:tcW w:w="1815" w:type="dxa"/>
            <w:tcBorders>
              <w:top w:val="single" w:color="auto" w:sz="8" w:space="0"/>
              <w:left w:val="single" w:color="auto" w:sz="4" w:space="0"/>
              <w:bottom w:val="single" w:color="auto" w:sz="8" w:space="0"/>
              <w:right w:val="single" w:color="auto" w:sz="4" w:space="0"/>
            </w:tcBorders>
            <w:noWrap w:val="0"/>
            <w:vAlign w:val="center"/>
          </w:tcPr>
          <w:p w14:paraId="1E91EE0E">
            <w:pPr>
              <w:autoSpaceDE w:val="0"/>
              <w:autoSpaceDN w:val="0"/>
              <w:jc w:val="center"/>
              <w:rPr>
                <w:rFonts w:hint="eastAsia" w:ascii="宋体" w:hAnsi="宋体" w:eastAsia="宋体" w:cs="宋体"/>
                <w:caps w:val="0"/>
                <w:color w:val="auto"/>
                <w:spacing w:val="0"/>
                <w:w w:val="100"/>
                <w:sz w:val="24"/>
                <w:szCs w:val="24"/>
                <w:highlight w:val="none"/>
                <w:lang w:val="zh-CN"/>
              </w:rPr>
            </w:pPr>
            <w:r>
              <w:rPr>
                <w:rFonts w:hint="eastAsia" w:ascii="宋体" w:hAnsi="宋体" w:eastAsia="宋体" w:cs="宋体"/>
                <w:caps w:val="0"/>
                <w:color w:val="auto"/>
                <w:spacing w:val="0"/>
                <w:w w:val="100"/>
                <w:sz w:val="24"/>
                <w:szCs w:val="24"/>
                <w:highlight w:val="none"/>
                <w:lang w:val="zh-CN"/>
              </w:rPr>
              <w:t>备注</w:t>
            </w:r>
          </w:p>
        </w:tc>
        <w:tc>
          <w:tcPr>
            <w:tcW w:w="6514" w:type="dxa"/>
            <w:tcBorders>
              <w:top w:val="single" w:color="auto" w:sz="8" w:space="0"/>
              <w:left w:val="single" w:color="auto" w:sz="4" w:space="0"/>
              <w:bottom w:val="single" w:color="auto" w:sz="8" w:space="0"/>
            </w:tcBorders>
            <w:noWrap w:val="0"/>
            <w:vAlign w:val="center"/>
          </w:tcPr>
          <w:p w14:paraId="3C0280E2">
            <w:pPr>
              <w:jc w:val="center"/>
              <w:rPr>
                <w:rFonts w:hint="eastAsia" w:ascii="宋体" w:hAnsi="宋体" w:eastAsia="宋体" w:cs="宋体"/>
                <w:caps w:val="0"/>
                <w:color w:val="auto"/>
                <w:spacing w:val="0"/>
                <w:w w:val="100"/>
                <w:sz w:val="24"/>
                <w:szCs w:val="24"/>
                <w:highlight w:val="none"/>
                <w:lang w:val="zh-CN"/>
              </w:rPr>
            </w:pPr>
          </w:p>
        </w:tc>
      </w:tr>
    </w:tbl>
    <w:p w14:paraId="6702C78B">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highlight w:val="yellow"/>
          <w:u w:val="single"/>
        </w:rPr>
      </w:pPr>
    </w:p>
    <w:p w14:paraId="0BCE83E0">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投标人（盖公章）：</w:t>
      </w:r>
      <w:r>
        <w:rPr>
          <w:rFonts w:hint="eastAsia" w:hAnsi="宋体"/>
          <w:color w:val="auto"/>
          <w:sz w:val="24"/>
          <w:szCs w:val="24"/>
          <w:u w:val="single"/>
        </w:rPr>
        <w:t xml:space="preserve">               </w:t>
      </w:r>
      <w:r>
        <w:rPr>
          <w:rFonts w:hAnsi="宋体"/>
          <w:color w:val="auto"/>
          <w:sz w:val="24"/>
          <w:szCs w:val="24"/>
          <w:u w:val="single"/>
        </w:rPr>
        <w:t xml:space="preserve">   </w:t>
      </w:r>
      <w:r>
        <w:rPr>
          <w:rFonts w:hint="eastAsia" w:hAnsi="宋体"/>
          <w:color w:val="auto"/>
          <w:sz w:val="24"/>
          <w:szCs w:val="24"/>
          <w:u w:val="single"/>
        </w:rPr>
        <w:t xml:space="preserve">        </w:t>
      </w:r>
    </w:p>
    <w:p w14:paraId="287B6242">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u w:val="single"/>
        </w:rPr>
      </w:pPr>
      <w:r>
        <w:rPr>
          <w:rFonts w:hint="eastAsia" w:hAnsi="宋体"/>
          <w:color w:val="auto"/>
          <w:sz w:val="24"/>
          <w:szCs w:val="24"/>
        </w:rPr>
        <w:t>法定代表人或</w:t>
      </w:r>
      <w:r>
        <w:rPr>
          <w:rFonts w:hAnsi="宋体"/>
          <w:color w:val="auto"/>
          <w:sz w:val="24"/>
          <w:szCs w:val="24"/>
        </w:rPr>
        <w:t>委托代理人</w:t>
      </w:r>
      <w:r>
        <w:rPr>
          <w:rFonts w:hint="eastAsia" w:hAnsi="宋体"/>
          <w:color w:val="auto"/>
          <w:sz w:val="24"/>
          <w:szCs w:val="24"/>
        </w:rPr>
        <w:t>(签字或签章):</w:t>
      </w:r>
      <w:r>
        <w:rPr>
          <w:rFonts w:hAnsi="宋体"/>
          <w:color w:val="auto"/>
          <w:sz w:val="24"/>
          <w:szCs w:val="24"/>
          <w:u w:val="single"/>
        </w:rPr>
        <w:t xml:space="preserve">                </w:t>
      </w:r>
    </w:p>
    <w:p w14:paraId="05EE04F9">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color w:val="auto"/>
          <w:sz w:val="24"/>
          <w:szCs w:val="24"/>
        </w:rPr>
      </w:pPr>
    </w:p>
    <w:p w14:paraId="0779E30A">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78C5219C">
      <w:pPr>
        <w:pStyle w:val="17"/>
        <w:pageBreakBefore w:val="0"/>
        <w:kinsoku/>
        <w:overflowPunct/>
        <w:topLinePunct w:val="0"/>
        <w:bidi w:val="0"/>
        <w:spacing w:line="360" w:lineRule="auto"/>
        <w:ind w:left="0" w:leftChars="0" w:firstLine="0" w:firstLineChars="0"/>
        <w:jc w:val="left"/>
        <w:textAlignment w:val="auto"/>
        <w:outlineLvl w:val="2"/>
        <w:rPr>
          <w:rFonts w:hAnsi="宋体"/>
          <w:b/>
          <w:bCs/>
          <w:color w:val="auto"/>
          <w:sz w:val="24"/>
          <w:szCs w:val="24"/>
        </w:rPr>
      </w:pPr>
      <w:r>
        <w:rPr>
          <w:rFonts w:hAnsi="宋体"/>
          <w:color w:val="auto"/>
          <w:sz w:val="24"/>
        </w:rPr>
        <w:br w:type="page"/>
      </w:r>
      <w:bookmarkStart w:id="412" w:name="_Toc2582321"/>
      <w:bookmarkStart w:id="413" w:name="_Toc4165"/>
      <w:bookmarkStart w:id="414" w:name="_Toc216582815"/>
      <w:bookmarkStart w:id="415" w:name="_Toc515647818"/>
      <w:bookmarkStart w:id="416" w:name="_Toc532473507"/>
      <w:bookmarkStart w:id="417" w:name="_Toc20897"/>
      <w:bookmarkStart w:id="418" w:name="_Toc1881"/>
      <w:r>
        <w:rPr>
          <w:rFonts w:hAnsi="宋体"/>
          <w:b/>
          <w:bCs/>
          <w:color w:val="auto"/>
          <w:sz w:val="24"/>
        </w:rPr>
        <w:t xml:space="preserve">3 </w:t>
      </w:r>
      <w:r>
        <w:rPr>
          <w:rFonts w:hint="eastAsia" w:hAnsi="宋体"/>
          <w:b/>
          <w:bCs/>
          <w:color w:val="auto"/>
          <w:sz w:val="24"/>
        </w:rPr>
        <w:t>投</w:t>
      </w:r>
      <w:r>
        <w:rPr>
          <w:rFonts w:hint="eastAsia" w:hAnsi="宋体"/>
          <w:b/>
          <w:bCs/>
          <w:color w:val="auto"/>
          <w:sz w:val="24"/>
          <w:szCs w:val="24"/>
        </w:rPr>
        <w:t>标分项报价表</w:t>
      </w:r>
      <w:bookmarkEnd w:id="412"/>
      <w:bookmarkEnd w:id="413"/>
      <w:bookmarkEnd w:id="414"/>
    </w:p>
    <w:bookmarkEnd w:id="415"/>
    <w:bookmarkEnd w:id="416"/>
    <w:bookmarkEnd w:id="417"/>
    <w:bookmarkEnd w:id="418"/>
    <w:p w14:paraId="3E7F3E1F">
      <w:pPr>
        <w:pageBreakBefore w:val="0"/>
        <w:tabs>
          <w:tab w:val="left" w:pos="1800"/>
          <w:tab w:val="left" w:pos="5580"/>
        </w:tabs>
        <w:kinsoku/>
        <w:overflowPunct/>
        <w:topLinePunct w:val="0"/>
        <w:bidi w:val="0"/>
        <w:spacing w:line="360" w:lineRule="auto"/>
        <w:ind w:left="0" w:leftChars="0" w:firstLine="0" w:firstLineChars="0"/>
        <w:jc w:val="center"/>
        <w:textAlignment w:val="auto"/>
        <w:rPr>
          <w:rFonts w:ascii="宋体" w:hAnsi="宋体"/>
          <w:b/>
          <w:color w:val="auto"/>
          <w:sz w:val="28"/>
        </w:rPr>
      </w:pPr>
    </w:p>
    <w:p w14:paraId="26887DF8">
      <w:pPr>
        <w:pageBreakBefore w:val="0"/>
        <w:tabs>
          <w:tab w:val="left" w:pos="1800"/>
          <w:tab w:val="left" w:pos="5580"/>
        </w:tabs>
        <w:kinsoku/>
        <w:overflowPunct/>
        <w:topLinePunct w:val="0"/>
        <w:bidi w:val="0"/>
        <w:spacing w:line="360" w:lineRule="auto"/>
        <w:ind w:left="0" w:leftChars="0" w:firstLine="0" w:firstLineChars="0"/>
        <w:jc w:val="center"/>
        <w:textAlignment w:val="auto"/>
        <w:outlineLvl w:val="3"/>
        <w:rPr>
          <w:rFonts w:hint="eastAsia" w:ascii="宋体" w:hAnsi="宋体"/>
          <w:b/>
          <w:color w:val="auto"/>
          <w:sz w:val="28"/>
        </w:rPr>
      </w:pPr>
      <w:r>
        <w:rPr>
          <w:rFonts w:hint="eastAsia" w:ascii="宋体" w:hAnsi="宋体"/>
          <w:b/>
          <w:color w:val="auto"/>
          <w:sz w:val="28"/>
        </w:rPr>
        <w:t>分项报价汇总表</w:t>
      </w:r>
    </w:p>
    <w:p w14:paraId="72678B1C">
      <w:pPr>
        <w:pageBreakBefore w:val="0"/>
        <w:tabs>
          <w:tab w:val="left" w:pos="1800"/>
          <w:tab w:val="left" w:pos="5580"/>
        </w:tabs>
        <w:kinsoku/>
        <w:overflowPunct/>
        <w:topLinePunct w:val="0"/>
        <w:bidi w:val="0"/>
        <w:spacing w:line="360" w:lineRule="auto"/>
        <w:ind w:left="0" w:leftChars="0" w:firstLine="0" w:firstLineChars="0"/>
        <w:jc w:val="right"/>
        <w:textAlignment w:val="auto"/>
        <w:rPr>
          <w:rFonts w:ascii="宋体" w:hAnsi="宋体"/>
          <w:color w:val="auto"/>
          <w:sz w:val="24"/>
        </w:rPr>
      </w:pPr>
      <w:r>
        <w:rPr>
          <w:rFonts w:hint="eastAsia" w:ascii="宋体" w:hAnsi="宋体"/>
          <w:color w:val="auto"/>
          <w:sz w:val="24"/>
        </w:rPr>
        <w:t>报价单位：人民币</w:t>
      </w:r>
      <w:r>
        <w:rPr>
          <w:rFonts w:hint="eastAsia" w:ascii="宋体" w:hAnsi="宋体"/>
          <w:b/>
          <w:color w:val="auto"/>
          <w:sz w:val="24"/>
        </w:rPr>
        <w:t>元</w:t>
      </w:r>
    </w:p>
    <w:tbl>
      <w:tblPr>
        <w:tblStyle w:val="33"/>
        <w:tblW w:w="501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71"/>
        <w:gridCol w:w="3965"/>
        <w:gridCol w:w="2694"/>
        <w:gridCol w:w="1747"/>
      </w:tblGrid>
      <w:tr w14:paraId="53FF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01" w:type="pct"/>
            <w:noWrap w:val="0"/>
            <w:vAlign w:val="center"/>
          </w:tcPr>
          <w:p w14:paraId="19C26DBE">
            <w:pPr>
              <w:pageBreakBefore w:val="0"/>
              <w:tabs>
                <w:tab w:val="left" w:pos="5580"/>
              </w:tabs>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序号</w:t>
            </w:r>
          </w:p>
        </w:tc>
        <w:tc>
          <w:tcPr>
            <w:tcW w:w="2027" w:type="pct"/>
            <w:noWrap w:val="0"/>
            <w:vAlign w:val="center"/>
          </w:tcPr>
          <w:p w14:paraId="2C588453">
            <w:pPr>
              <w:pageBreakBefore w:val="0"/>
              <w:tabs>
                <w:tab w:val="left" w:pos="5580"/>
              </w:tabs>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名称</w:t>
            </w:r>
          </w:p>
        </w:tc>
        <w:tc>
          <w:tcPr>
            <w:tcW w:w="1377" w:type="pct"/>
            <w:noWrap w:val="0"/>
            <w:vAlign w:val="center"/>
          </w:tcPr>
          <w:p w14:paraId="77AB58E9">
            <w:pPr>
              <w:pageBreakBefore w:val="0"/>
              <w:tabs>
                <w:tab w:val="left" w:pos="5580"/>
              </w:tabs>
              <w:kinsoku/>
              <w:overflowPunct/>
              <w:topLinePunct w:val="0"/>
              <w:bidi w:val="0"/>
              <w:spacing w:line="360" w:lineRule="auto"/>
              <w:ind w:left="0" w:leftChars="0" w:firstLine="0" w:firstLineChars="0"/>
              <w:jc w:val="center"/>
              <w:textAlignment w:val="auto"/>
              <w:rPr>
                <w:rFonts w:ascii="宋体" w:hAnsi="宋体"/>
                <w:color w:val="auto"/>
                <w:sz w:val="24"/>
              </w:rPr>
            </w:pPr>
            <w:r>
              <w:rPr>
                <w:rFonts w:hint="eastAsia" w:ascii="宋体" w:hAnsi="宋体"/>
                <w:color w:val="auto"/>
                <w:sz w:val="24"/>
              </w:rPr>
              <w:t>报价</w:t>
            </w:r>
          </w:p>
        </w:tc>
        <w:tc>
          <w:tcPr>
            <w:tcW w:w="893" w:type="pct"/>
            <w:noWrap w:val="0"/>
            <w:vAlign w:val="center"/>
          </w:tcPr>
          <w:p w14:paraId="567B9088">
            <w:pPr>
              <w:pageBreakBefore w:val="0"/>
              <w:tabs>
                <w:tab w:val="left" w:pos="5580"/>
              </w:tabs>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备注</w:t>
            </w:r>
          </w:p>
        </w:tc>
      </w:tr>
      <w:tr w14:paraId="7610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701" w:type="pct"/>
            <w:noWrap w:val="0"/>
            <w:vAlign w:val="center"/>
          </w:tcPr>
          <w:p w14:paraId="4198436D">
            <w:pPr>
              <w:pageBreakBefore w:val="0"/>
              <w:tabs>
                <w:tab w:val="left" w:pos="5580"/>
              </w:tabs>
              <w:kinsoku/>
              <w:overflowPunct/>
              <w:topLinePunct w:val="0"/>
              <w:bidi w:val="0"/>
              <w:spacing w:line="360" w:lineRule="auto"/>
              <w:ind w:left="0" w:leftChars="0" w:firstLine="0" w:firstLineChars="0"/>
              <w:jc w:val="center"/>
              <w:textAlignment w:val="auto"/>
              <w:rPr>
                <w:rFonts w:hint="eastAsia" w:ascii="宋体" w:hAnsi="宋体"/>
                <w:color w:val="auto"/>
                <w:sz w:val="24"/>
              </w:rPr>
            </w:pPr>
          </w:p>
        </w:tc>
        <w:tc>
          <w:tcPr>
            <w:tcW w:w="2027" w:type="pct"/>
            <w:noWrap w:val="0"/>
            <w:vAlign w:val="center"/>
          </w:tcPr>
          <w:p w14:paraId="6FB40C17">
            <w:pPr>
              <w:pageBreakBefore w:val="0"/>
              <w:tabs>
                <w:tab w:val="left" w:pos="5580"/>
              </w:tabs>
              <w:kinsoku/>
              <w:overflowPunct/>
              <w:topLinePunct w:val="0"/>
              <w:bidi w:val="0"/>
              <w:spacing w:line="360" w:lineRule="auto"/>
              <w:ind w:left="0" w:leftChars="0" w:firstLine="0" w:firstLineChars="0"/>
              <w:jc w:val="center"/>
              <w:textAlignment w:val="auto"/>
              <w:rPr>
                <w:rFonts w:hint="eastAsia" w:ascii="宋体" w:hAnsi="宋体"/>
                <w:color w:val="auto"/>
                <w:sz w:val="24"/>
              </w:rPr>
            </w:pPr>
          </w:p>
        </w:tc>
        <w:tc>
          <w:tcPr>
            <w:tcW w:w="1377" w:type="pct"/>
            <w:noWrap w:val="0"/>
            <w:vAlign w:val="center"/>
          </w:tcPr>
          <w:p w14:paraId="236CB7B0">
            <w:pPr>
              <w:pageBreakBefore w:val="0"/>
              <w:tabs>
                <w:tab w:val="left" w:pos="5580"/>
              </w:tabs>
              <w:kinsoku/>
              <w:overflowPunct/>
              <w:topLinePunct w:val="0"/>
              <w:bidi w:val="0"/>
              <w:spacing w:line="360" w:lineRule="auto"/>
              <w:ind w:left="0" w:leftChars="0" w:firstLine="0" w:firstLineChars="0"/>
              <w:jc w:val="center"/>
              <w:textAlignment w:val="auto"/>
              <w:rPr>
                <w:rFonts w:hint="eastAsia" w:ascii="宋体" w:hAnsi="宋体"/>
                <w:color w:val="auto"/>
                <w:sz w:val="24"/>
              </w:rPr>
            </w:pPr>
          </w:p>
        </w:tc>
        <w:tc>
          <w:tcPr>
            <w:tcW w:w="893" w:type="pct"/>
            <w:noWrap w:val="0"/>
            <w:vAlign w:val="center"/>
          </w:tcPr>
          <w:p w14:paraId="35A9D4C7">
            <w:pPr>
              <w:pageBreakBefore w:val="0"/>
              <w:tabs>
                <w:tab w:val="left" w:pos="5580"/>
              </w:tabs>
              <w:kinsoku/>
              <w:overflowPunct/>
              <w:topLinePunct w:val="0"/>
              <w:bidi w:val="0"/>
              <w:spacing w:line="360" w:lineRule="auto"/>
              <w:ind w:left="0" w:leftChars="0" w:firstLine="0" w:firstLineChars="0"/>
              <w:jc w:val="center"/>
              <w:textAlignment w:val="auto"/>
              <w:rPr>
                <w:rFonts w:hint="eastAsia" w:ascii="宋体" w:hAnsi="宋体"/>
                <w:color w:val="auto"/>
                <w:sz w:val="24"/>
              </w:rPr>
            </w:pPr>
          </w:p>
        </w:tc>
      </w:tr>
      <w:tr w14:paraId="0C4B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701" w:type="pct"/>
            <w:noWrap w:val="0"/>
            <w:vAlign w:val="center"/>
          </w:tcPr>
          <w:p w14:paraId="62CF98E1">
            <w:pPr>
              <w:pageBreakBefore w:val="0"/>
              <w:tabs>
                <w:tab w:val="left" w:pos="5580"/>
              </w:tabs>
              <w:kinsoku/>
              <w:overflowPunct/>
              <w:topLinePunct w:val="0"/>
              <w:bidi w:val="0"/>
              <w:spacing w:line="360" w:lineRule="auto"/>
              <w:ind w:left="0" w:leftChars="0" w:firstLine="0" w:firstLineChars="0"/>
              <w:jc w:val="center"/>
              <w:textAlignment w:val="auto"/>
              <w:rPr>
                <w:rFonts w:hint="eastAsia" w:ascii="宋体" w:hAnsi="宋体"/>
                <w:color w:val="auto"/>
                <w:sz w:val="24"/>
              </w:rPr>
            </w:pPr>
          </w:p>
        </w:tc>
        <w:tc>
          <w:tcPr>
            <w:tcW w:w="2027" w:type="pct"/>
            <w:noWrap w:val="0"/>
            <w:vAlign w:val="center"/>
          </w:tcPr>
          <w:p w14:paraId="076F60B2">
            <w:pPr>
              <w:pageBreakBefore w:val="0"/>
              <w:tabs>
                <w:tab w:val="left" w:pos="5580"/>
              </w:tabs>
              <w:kinsoku/>
              <w:overflowPunct/>
              <w:topLinePunct w:val="0"/>
              <w:bidi w:val="0"/>
              <w:spacing w:line="360" w:lineRule="auto"/>
              <w:ind w:left="0" w:leftChars="0" w:firstLine="0" w:firstLineChars="0"/>
              <w:jc w:val="center"/>
              <w:textAlignment w:val="auto"/>
              <w:rPr>
                <w:rFonts w:hint="eastAsia" w:ascii="宋体" w:hAnsi="宋体"/>
                <w:color w:val="auto"/>
                <w:sz w:val="24"/>
              </w:rPr>
            </w:pPr>
          </w:p>
        </w:tc>
        <w:tc>
          <w:tcPr>
            <w:tcW w:w="1377" w:type="pct"/>
            <w:noWrap w:val="0"/>
            <w:vAlign w:val="center"/>
          </w:tcPr>
          <w:p w14:paraId="5BF51CF8">
            <w:pPr>
              <w:pageBreakBefore w:val="0"/>
              <w:tabs>
                <w:tab w:val="left" w:pos="5580"/>
              </w:tabs>
              <w:kinsoku/>
              <w:overflowPunct/>
              <w:topLinePunct w:val="0"/>
              <w:bidi w:val="0"/>
              <w:spacing w:line="360" w:lineRule="auto"/>
              <w:ind w:left="0" w:leftChars="0" w:firstLine="0" w:firstLineChars="0"/>
              <w:jc w:val="center"/>
              <w:textAlignment w:val="auto"/>
              <w:rPr>
                <w:rFonts w:hint="eastAsia" w:ascii="宋体" w:hAnsi="宋体"/>
                <w:color w:val="auto"/>
                <w:sz w:val="24"/>
              </w:rPr>
            </w:pPr>
          </w:p>
        </w:tc>
        <w:tc>
          <w:tcPr>
            <w:tcW w:w="893" w:type="pct"/>
            <w:noWrap w:val="0"/>
            <w:vAlign w:val="center"/>
          </w:tcPr>
          <w:p w14:paraId="510A7536">
            <w:pPr>
              <w:pageBreakBefore w:val="0"/>
              <w:tabs>
                <w:tab w:val="left" w:pos="5580"/>
              </w:tabs>
              <w:kinsoku/>
              <w:overflowPunct/>
              <w:topLinePunct w:val="0"/>
              <w:bidi w:val="0"/>
              <w:spacing w:line="360" w:lineRule="auto"/>
              <w:ind w:left="0" w:leftChars="0" w:firstLine="0" w:firstLineChars="0"/>
              <w:jc w:val="center"/>
              <w:textAlignment w:val="auto"/>
              <w:rPr>
                <w:rFonts w:hint="eastAsia" w:ascii="宋体" w:hAnsi="宋体"/>
                <w:color w:val="auto"/>
                <w:sz w:val="24"/>
              </w:rPr>
            </w:pPr>
          </w:p>
        </w:tc>
      </w:tr>
      <w:tr w14:paraId="5BF3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701" w:type="pct"/>
            <w:noWrap w:val="0"/>
            <w:vAlign w:val="center"/>
          </w:tcPr>
          <w:p w14:paraId="3ADBD667">
            <w:pPr>
              <w:pageBreakBefore w:val="0"/>
              <w:tabs>
                <w:tab w:val="left" w:pos="5580"/>
              </w:tabs>
              <w:kinsoku/>
              <w:overflowPunct/>
              <w:topLinePunct w:val="0"/>
              <w:bidi w:val="0"/>
              <w:spacing w:line="360" w:lineRule="auto"/>
              <w:ind w:left="0" w:leftChars="0" w:firstLine="0" w:firstLineChars="0"/>
              <w:jc w:val="center"/>
              <w:textAlignment w:val="auto"/>
              <w:rPr>
                <w:rFonts w:hint="eastAsia" w:ascii="宋体" w:hAnsi="宋体"/>
                <w:color w:val="auto"/>
                <w:sz w:val="24"/>
              </w:rPr>
            </w:pPr>
          </w:p>
        </w:tc>
        <w:tc>
          <w:tcPr>
            <w:tcW w:w="2027" w:type="pct"/>
            <w:noWrap w:val="0"/>
            <w:vAlign w:val="center"/>
          </w:tcPr>
          <w:p w14:paraId="61E6230C">
            <w:pPr>
              <w:pageBreakBefore w:val="0"/>
              <w:tabs>
                <w:tab w:val="left" w:pos="5580"/>
              </w:tabs>
              <w:kinsoku/>
              <w:overflowPunct/>
              <w:topLinePunct w:val="0"/>
              <w:bidi w:val="0"/>
              <w:spacing w:line="360" w:lineRule="auto"/>
              <w:ind w:left="0" w:leftChars="0" w:firstLine="0" w:firstLineChars="0"/>
              <w:jc w:val="center"/>
              <w:textAlignment w:val="auto"/>
              <w:rPr>
                <w:rFonts w:hint="eastAsia" w:ascii="宋体" w:hAnsi="宋体"/>
                <w:color w:val="auto"/>
                <w:sz w:val="24"/>
              </w:rPr>
            </w:pPr>
          </w:p>
        </w:tc>
        <w:tc>
          <w:tcPr>
            <w:tcW w:w="1377" w:type="pct"/>
            <w:noWrap w:val="0"/>
            <w:vAlign w:val="center"/>
          </w:tcPr>
          <w:p w14:paraId="41A4FE04">
            <w:pPr>
              <w:pageBreakBefore w:val="0"/>
              <w:tabs>
                <w:tab w:val="left" w:pos="5580"/>
              </w:tabs>
              <w:kinsoku/>
              <w:overflowPunct/>
              <w:topLinePunct w:val="0"/>
              <w:bidi w:val="0"/>
              <w:spacing w:line="360" w:lineRule="auto"/>
              <w:ind w:left="0" w:leftChars="0" w:firstLine="0" w:firstLineChars="0"/>
              <w:jc w:val="center"/>
              <w:textAlignment w:val="auto"/>
              <w:rPr>
                <w:rFonts w:hint="eastAsia" w:ascii="宋体" w:hAnsi="宋体"/>
                <w:color w:val="auto"/>
                <w:sz w:val="24"/>
              </w:rPr>
            </w:pPr>
          </w:p>
        </w:tc>
        <w:tc>
          <w:tcPr>
            <w:tcW w:w="893" w:type="pct"/>
            <w:noWrap w:val="0"/>
            <w:vAlign w:val="center"/>
          </w:tcPr>
          <w:p w14:paraId="0992823E">
            <w:pPr>
              <w:pageBreakBefore w:val="0"/>
              <w:tabs>
                <w:tab w:val="left" w:pos="5580"/>
              </w:tabs>
              <w:kinsoku/>
              <w:overflowPunct/>
              <w:topLinePunct w:val="0"/>
              <w:bidi w:val="0"/>
              <w:spacing w:line="360" w:lineRule="auto"/>
              <w:ind w:left="0" w:leftChars="0" w:firstLine="0" w:firstLineChars="0"/>
              <w:jc w:val="center"/>
              <w:textAlignment w:val="auto"/>
              <w:rPr>
                <w:rFonts w:hint="eastAsia" w:ascii="宋体" w:hAnsi="宋体"/>
                <w:color w:val="auto"/>
                <w:sz w:val="24"/>
              </w:rPr>
            </w:pPr>
          </w:p>
        </w:tc>
      </w:tr>
      <w:tr w14:paraId="0139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10" w:hRule="atLeast"/>
        </w:trPr>
        <w:tc>
          <w:tcPr>
            <w:tcW w:w="701" w:type="pct"/>
            <w:noWrap w:val="0"/>
            <w:vAlign w:val="center"/>
          </w:tcPr>
          <w:p w14:paraId="0C9FE4FF">
            <w:pPr>
              <w:pageBreakBefore w:val="0"/>
              <w:tabs>
                <w:tab w:val="left" w:pos="5580"/>
              </w:tabs>
              <w:kinsoku/>
              <w:overflowPunct/>
              <w:topLinePunct w:val="0"/>
              <w:bidi w:val="0"/>
              <w:spacing w:line="360" w:lineRule="auto"/>
              <w:ind w:left="0" w:leftChars="0" w:firstLine="0" w:firstLineChars="0"/>
              <w:jc w:val="center"/>
              <w:textAlignment w:val="auto"/>
              <w:rPr>
                <w:rFonts w:hint="eastAsia" w:ascii="宋体" w:hAnsi="宋体"/>
                <w:color w:val="auto"/>
                <w:sz w:val="24"/>
              </w:rPr>
            </w:pPr>
            <w:r>
              <w:rPr>
                <w:rFonts w:hint="eastAsia" w:ascii="宋体" w:hAnsi="宋体"/>
                <w:color w:val="auto"/>
                <w:sz w:val="24"/>
              </w:rPr>
              <w:t>合价</w:t>
            </w:r>
          </w:p>
        </w:tc>
        <w:tc>
          <w:tcPr>
            <w:tcW w:w="3404" w:type="pct"/>
            <w:gridSpan w:val="2"/>
            <w:noWrap w:val="0"/>
            <w:vAlign w:val="center"/>
          </w:tcPr>
          <w:p w14:paraId="715AFEDC">
            <w:pPr>
              <w:pageBreakBefore w:val="0"/>
              <w:tabs>
                <w:tab w:val="left" w:pos="5580"/>
              </w:tabs>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大写：</w:t>
            </w:r>
          </w:p>
          <w:p w14:paraId="3AE9530B">
            <w:pPr>
              <w:pageBreakBefore w:val="0"/>
              <w:tabs>
                <w:tab w:val="left" w:pos="5580"/>
              </w:tabs>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小写：</w:t>
            </w:r>
          </w:p>
        </w:tc>
        <w:tc>
          <w:tcPr>
            <w:tcW w:w="893" w:type="pct"/>
            <w:noWrap w:val="0"/>
            <w:vAlign w:val="center"/>
          </w:tcPr>
          <w:p w14:paraId="10BB6B64">
            <w:pPr>
              <w:pageBreakBefore w:val="0"/>
              <w:tabs>
                <w:tab w:val="left" w:pos="5580"/>
              </w:tabs>
              <w:kinsoku/>
              <w:overflowPunct/>
              <w:topLinePunct w:val="0"/>
              <w:bidi w:val="0"/>
              <w:spacing w:line="360" w:lineRule="auto"/>
              <w:ind w:left="0" w:leftChars="0" w:firstLine="0" w:firstLineChars="0"/>
              <w:jc w:val="left"/>
              <w:textAlignment w:val="auto"/>
              <w:rPr>
                <w:rFonts w:hint="eastAsia" w:ascii="宋体" w:hAnsi="宋体"/>
                <w:color w:val="auto"/>
                <w:sz w:val="24"/>
              </w:rPr>
            </w:pPr>
          </w:p>
        </w:tc>
      </w:tr>
    </w:tbl>
    <w:p w14:paraId="5A6FA385">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color w:val="auto"/>
          <w:sz w:val="24"/>
          <w:szCs w:val="24"/>
        </w:rPr>
      </w:pPr>
    </w:p>
    <w:p w14:paraId="7CE7C328">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注:此表中，</w:t>
      </w:r>
      <w:r>
        <w:rPr>
          <w:rFonts w:hint="eastAsia" w:hAnsi="宋体"/>
          <w:color w:val="auto"/>
          <w:sz w:val="24"/>
          <w:szCs w:val="24"/>
          <w:lang w:eastAsia="zh-CN"/>
        </w:rPr>
        <w:t>合</w:t>
      </w:r>
      <w:r>
        <w:rPr>
          <w:rFonts w:hint="eastAsia" w:hAnsi="宋体"/>
          <w:color w:val="auto"/>
          <w:sz w:val="24"/>
          <w:szCs w:val="24"/>
        </w:rPr>
        <w:t>价应和</w:t>
      </w:r>
      <w:r>
        <w:rPr>
          <w:rFonts w:hint="eastAsia" w:hAnsi="宋体"/>
          <w:color w:val="auto"/>
          <w:sz w:val="24"/>
          <w:szCs w:val="24"/>
          <w:lang w:eastAsia="zh-CN"/>
        </w:rPr>
        <w:t>开标一览</w:t>
      </w:r>
      <w:r>
        <w:rPr>
          <w:rFonts w:hint="eastAsia" w:hAnsi="宋体"/>
          <w:color w:val="auto"/>
          <w:sz w:val="24"/>
          <w:szCs w:val="24"/>
        </w:rPr>
        <w:t>表的</w:t>
      </w:r>
      <w:r>
        <w:rPr>
          <w:rFonts w:hint="eastAsia" w:hAnsi="宋体"/>
          <w:color w:val="auto"/>
          <w:sz w:val="24"/>
          <w:szCs w:val="24"/>
          <w:lang w:eastAsia="zh-CN"/>
        </w:rPr>
        <w:t>报价</w:t>
      </w:r>
      <w:r>
        <w:rPr>
          <w:rFonts w:hint="eastAsia" w:hAnsi="宋体"/>
          <w:color w:val="auto"/>
          <w:sz w:val="24"/>
          <w:szCs w:val="24"/>
        </w:rPr>
        <w:t>相一致。</w:t>
      </w:r>
    </w:p>
    <w:p w14:paraId="392D1A99">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u w:val="single"/>
        </w:rPr>
      </w:pPr>
    </w:p>
    <w:p w14:paraId="0BBCA025">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投标人（盖公章）：</w:t>
      </w:r>
      <w:r>
        <w:rPr>
          <w:rFonts w:hint="eastAsia" w:hAnsi="宋体"/>
          <w:color w:val="auto"/>
          <w:sz w:val="24"/>
          <w:szCs w:val="24"/>
          <w:u w:val="single"/>
        </w:rPr>
        <w:t xml:space="preserve">               </w:t>
      </w:r>
      <w:r>
        <w:rPr>
          <w:rFonts w:hAnsi="宋体"/>
          <w:color w:val="auto"/>
          <w:sz w:val="24"/>
          <w:szCs w:val="24"/>
          <w:u w:val="single"/>
        </w:rPr>
        <w:t xml:space="preserve">   </w:t>
      </w:r>
      <w:r>
        <w:rPr>
          <w:rFonts w:hint="eastAsia" w:hAnsi="宋体"/>
          <w:color w:val="auto"/>
          <w:sz w:val="24"/>
          <w:szCs w:val="24"/>
          <w:u w:val="single"/>
        </w:rPr>
        <w:t xml:space="preserve">        </w:t>
      </w:r>
    </w:p>
    <w:p w14:paraId="00BC8AD6">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u w:val="single"/>
        </w:rPr>
      </w:pPr>
      <w:r>
        <w:rPr>
          <w:rFonts w:hint="eastAsia" w:hAnsi="宋体"/>
          <w:color w:val="auto"/>
          <w:sz w:val="24"/>
          <w:szCs w:val="24"/>
        </w:rPr>
        <w:t>法定代表人或</w:t>
      </w:r>
      <w:r>
        <w:rPr>
          <w:rFonts w:hAnsi="宋体"/>
          <w:color w:val="auto"/>
          <w:sz w:val="24"/>
          <w:szCs w:val="24"/>
        </w:rPr>
        <w:t>委托代理人</w:t>
      </w:r>
      <w:r>
        <w:rPr>
          <w:rFonts w:hint="eastAsia" w:hAnsi="宋体"/>
          <w:color w:val="auto"/>
          <w:sz w:val="24"/>
          <w:szCs w:val="24"/>
        </w:rPr>
        <w:t>(签字或签章):</w:t>
      </w:r>
      <w:r>
        <w:rPr>
          <w:rFonts w:hAnsi="宋体"/>
          <w:color w:val="auto"/>
          <w:sz w:val="24"/>
          <w:szCs w:val="24"/>
          <w:u w:val="single"/>
        </w:rPr>
        <w:t xml:space="preserve">                </w:t>
      </w:r>
    </w:p>
    <w:p w14:paraId="7499C7A6">
      <w:pPr>
        <w:pStyle w:val="17"/>
        <w:pageBreakBefore w:val="0"/>
        <w:tabs>
          <w:tab w:val="left" w:pos="5580"/>
        </w:tabs>
        <w:kinsoku/>
        <w:overflowPunct/>
        <w:topLinePunct w:val="0"/>
        <w:bidi w:val="0"/>
        <w:spacing w:line="360" w:lineRule="auto"/>
        <w:ind w:left="0" w:leftChars="0" w:firstLine="0" w:firstLineChars="0"/>
        <w:jc w:val="left"/>
        <w:textAlignment w:val="auto"/>
        <w:rPr>
          <w:rFonts w:hAnsi="宋体"/>
          <w:color w:val="auto"/>
          <w:sz w:val="24"/>
          <w:szCs w:val="24"/>
        </w:rPr>
      </w:pPr>
    </w:p>
    <w:p w14:paraId="75E2D73E">
      <w:pPr>
        <w:pageBreakBefore w:val="0"/>
        <w:tabs>
          <w:tab w:val="left" w:pos="1800"/>
          <w:tab w:val="left" w:pos="5580"/>
        </w:tabs>
        <w:kinsoku/>
        <w:overflowPunct/>
        <w:topLinePunct w:val="0"/>
        <w:bidi w:val="0"/>
        <w:spacing w:line="360" w:lineRule="auto"/>
        <w:ind w:left="0" w:leftChars="0" w:firstLine="0" w:firstLineChars="0"/>
        <w:jc w:val="center"/>
        <w:textAlignment w:val="auto"/>
        <w:rPr>
          <w:rFonts w:hint="eastAsia" w:ascii="宋体" w:hAnsi="宋体"/>
          <w:b/>
          <w:color w:val="auto"/>
          <w:sz w:val="28"/>
        </w:rPr>
      </w:pPr>
      <w:r>
        <w:rPr>
          <w:rFonts w:hint="eastAsia" w:ascii="宋体" w:hAnsi="宋体"/>
          <w:b/>
          <w:color w:val="auto"/>
          <w:sz w:val="28"/>
        </w:rPr>
        <w:br w:type="page"/>
      </w:r>
      <w:r>
        <w:rPr>
          <w:rFonts w:hint="eastAsia" w:ascii="宋体" w:hAnsi="宋体"/>
          <w:b/>
          <w:color w:val="auto"/>
          <w:sz w:val="28"/>
        </w:rPr>
        <w:t>软件分项报价表</w:t>
      </w:r>
    </w:p>
    <w:p w14:paraId="73AA6EBC">
      <w:pPr>
        <w:pStyle w:val="17"/>
        <w:pageBreakBefore w:val="0"/>
        <w:kinsoku/>
        <w:overflowPunct/>
        <w:topLinePunct w:val="0"/>
        <w:bidi w:val="0"/>
        <w:spacing w:line="360" w:lineRule="auto"/>
        <w:ind w:left="0" w:leftChars="0" w:firstLine="0" w:firstLineChars="0"/>
        <w:jc w:val="right"/>
        <w:textAlignment w:val="auto"/>
        <w:rPr>
          <w:rFonts w:hint="eastAsia" w:hAnsi="宋体"/>
          <w:color w:val="auto"/>
          <w:sz w:val="24"/>
          <w:szCs w:val="24"/>
        </w:rPr>
      </w:pPr>
      <w:r>
        <w:rPr>
          <w:rFonts w:hint="eastAsia" w:hAnsi="宋体"/>
          <w:color w:val="auto"/>
          <w:sz w:val="24"/>
          <w:szCs w:val="24"/>
        </w:rPr>
        <w:t>报价单位：人民币元</w:t>
      </w:r>
    </w:p>
    <w:tbl>
      <w:tblPr>
        <w:tblStyle w:val="33"/>
        <w:tblW w:w="5049" w:type="pct"/>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2221"/>
        <w:gridCol w:w="2507"/>
        <w:gridCol w:w="1089"/>
        <w:gridCol w:w="953"/>
        <w:gridCol w:w="865"/>
        <w:gridCol w:w="754"/>
      </w:tblGrid>
      <w:tr w14:paraId="2213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pct"/>
            <w:noWrap w:val="0"/>
            <w:vAlign w:val="center"/>
          </w:tcPr>
          <w:p w14:paraId="56AB0A2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序号</w:t>
            </w:r>
          </w:p>
        </w:tc>
        <w:tc>
          <w:tcPr>
            <w:tcW w:w="1103" w:type="pct"/>
            <w:noWrap w:val="0"/>
            <w:vAlign w:val="center"/>
          </w:tcPr>
          <w:p w14:paraId="2B4EE5B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名称</w:t>
            </w:r>
          </w:p>
        </w:tc>
        <w:tc>
          <w:tcPr>
            <w:tcW w:w="1246" w:type="pct"/>
            <w:noWrap w:val="0"/>
            <w:vAlign w:val="center"/>
          </w:tcPr>
          <w:p w14:paraId="70CCBFE8">
            <w:pPr>
              <w:pStyle w:val="17"/>
              <w:pageBreakBefore w:val="0"/>
              <w:kinsoku/>
              <w:overflowPunct/>
              <w:topLinePunct w:val="0"/>
              <w:bidi w:val="0"/>
              <w:spacing w:line="360" w:lineRule="auto"/>
              <w:ind w:left="0" w:leftChars="0" w:firstLine="0" w:firstLineChars="0"/>
              <w:jc w:val="center"/>
              <w:textAlignment w:val="auto"/>
              <w:rPr>
                <w:rFonts w:hint="eastAsia" w:hAnsi="宋体" w:eastAsia="宋体"/>
                <w:color w:val="auto"/>
                <w:sz w:val="24"/>
                <w:szCs w:val="24"/>
                <w:lang w:val="en-US" w:eastAsia="zh-CN"/>
              </w:rPr>
            </w:pPr>
            <w:r>
              <w:rPr>
                <w:rFonts w:hint="eastAsia" w:hAnsi="宋体"/>
                <w:color w:val="auto"/>
                <w:sz w:val="24"/>
                <w:szCs w:val="24"/>
                <w:lang w:val="en-US" w:eastAsia="zh-CN"/>
              </w:rPr>
              <w:t>单位</w:t>
            </w:r>
          </w:p>
        </w:tc>
        <w:tc>
          <w:tcPr>
            <w:tcW w:w="541" w:type="pct"/>
            <w:noWrap w:val="0"/>
            <w:vAlign w:val="center"/>
          </w:tcPr>
          <w:p w14:paraId="5C6DD70A">
            <w:pPr>
              <w:pStyle w:val="17"/>
              <w:pageBreakBefore w:val="0"/>
              <w:kinsoku/>
              <w:overflowPunct/>
              <w:topLinePunct w:val="0"/>
              <w:bidi w:val="0"/>
              <w:spacing w:line="360" w:lineRule="auto"/>
              <w:ind w:left="0" w:leftChars="0" w:firstLine="0" w:firstLineChars="0"/>
              <w:jc w:val="center"/>
              <w:textAlignment w:val="auto"/>
              <w:rPr>
                <w:rFonts w:hint="default" w:hAnsi="宋体"/>
                <w:color w:val="auto"/>
                <w:sz w:val="24"/>
                <w:szCs w:val="24"/>
                <w:lang w:val="en-US" w:eastAsia="zh-CN"/>
              </w:rPr>
            </w:pPr>
            <w:r>
              <w:rPr>
                <w:rFonts w:hint="eastAsia" w:hAnsi="宋体"/>
                <w:color w:val="auto"/>
                <w:sz w:val="24"/>
                <w:szCs w:val="24"/>
                <w:lang w:val="en-US" w:eastAsia="zh-CN"/>
              </w:rPr>
              <w:t>数量</w:t>
            </w:r>
          </w:p>
        </w:tc>
        <w:tc>
          <w:tcPr>
            <w:tcW w:w="473" w:type="pct"/>
            <w:noWrap w:val="0"/>
            <w:vAlign w:val="center"/>
          </w:tcPr>
          <w:p w14:paraId="7305B76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单价</w:t>
            </w:r>
          </w:p>
        </w:tc>
        <w:tc>
          <w:tcPr>
            <w:tcW w:w="429" w:type="pct"/>
            <w:noWrap w:val="0"/>
            <w:vAlign w:val="center"/>
          </w:tcPr>
          <w:p w14:paraId="160D5D8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总价</w:t>
            </w:r>
          </w:p>
        </w:tc>
        <w:tc>
          <w:tcPr>
            <w:tcW w:w="374" w:type="pct"/>
            <w:noWrap w:val="0"/>
            <w:vAlign w:val="center"/>
          </w:tcPr>
          <w:p w14:paraId="6531FB0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备注</w:t>
            </w:r>
          </w:p>
        </w:tc>
      </w:tr>
      <w:tr w14:paraId="6E45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pct"/>
            <w:noWrap w:val="0"/>
            <w:vAlign w:val="top"/>
          </w:tcPr>
          <w:p w14:paraId="43D580F4">
            <w:pPr>
              <w:pStyle w:val="94"/>
              <w:pageBreakBefore w:val="0"/>
              <w:kinsoku/>
              <w:overflowPunct/>
              <w:topLinePunct w:val="0"/>
              <w:bidi w:val="0"/>
              <w:spacing w:before="188"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r>
              <w:rPr>
                <w:color w:val="auto"/>
                <w:spacing w:val="-12"/>
                <w:sz w:val="20"/>
                <w:szCs w:val="20"/>
              </w:rPr>
              <w:t>1</w:t>
            </w:r>
          </w:p>
        </w:tc>
        <w:tc>
          <w:tcPr>
            <w:tcW w:w="1103" w:type="pct"/>
            <w:noWrap w:val="0"/>
            <w:vAlign w:val="top"/>
          </w:tcPr>
          <w:p w14:paraId="6B408895">
            <w:pPr>
              <w:pStyle w:val="94"/>
              <w:pageBreakBefore w:val="0"/>
              <w:kinsoku/>
              <w:overflowPunct/>
              <w:topLinePunct w:val="0"/>
              <w:bidi w:val="0"/>
              <w:spacing w:before="154"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p>
        </w:tc>
        <w:tc>
          <w:tcPr>
            <w:tcW w:w="1246" w:type="pct"/>
            <w:noWrap w:val="0"/>
            <w:vAlign w:val="center"/>
          </w:tcPr>
          <w:p w14:paraId="2E51AC26">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41" w:type="pct"/>
            <w:noWrap w:val="0"/>
            <w:vAlign w:val="center"/>
          </w:tcPr>
          <w:p w14:paraId="6A959A74">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3" w:type="pct"/>
            <w:noWrap w:val="0"/>
            <w:vAlign w:val="center"/>
          </w:tcPr>
          <w:p w14:paraId="53730C1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29" w:type="pct"/>
            <w:noWrap w:val="0"/>
            <w:vAlign w:val="center"/>
          </w:tcPr>
          <w:p w14:paraId="433138B6">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74" w:type="pct"/>
            <w:noWrap w:val="0"/>
            <w:vAlign w:val="center"/>
          </w:tcPr>
          <w:p w14:paraId="49D81B9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7EFC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30" w:type="pct"/>
            <w:noWrap w:val="0"/>
            <w:vAlign w:val="top"/>
          </w:tcPr>
          <w:p w14:paraId="7477DCAF">
            <w:pPr>
              <w:pStyle w:val="94"/>
              <w:pageBreakBefore w:val="0"/>
              <w:kinsoku/>
              <w:overflowPunct/>
              <w:topLinePunct w:val="0"/>
              <w:bidi w:val="0"/>
              <w:spacing w:before="189"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r>
              <w:rPr>
                <w:color w:val="auto"/>
                <w:spacing w:val="-6"/>
                <w:sz w:val="20"/>
                <w:szCs w:val="20"/>
              </w:rPr>
              <w:t>2</w:t>
            </w:r>
          </w:p>
        </w:tc>
        <w:tc>
          <w:tcPr>
            <w:tcW w:w="1103" w:type="pct"/>
            <w:noWrap w:val="0"/>
            <w:vAlign w:val="top"/>
          </w:tcPr>
          <w:p w14:paraId="7054549D">
            <w:pPr>
              <w:pStyle w:val="94"/>
              <w:pageBreakBefore w:val="0"/>
              <w:kinsoku/>
              <w:overflowPunct/>
              <w:topLinePunct w:val="0"/>
              <w:bidi w:val="0"/>
              <w:spacing w:before="154"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p>
        </w:tc>
        <w:tc>
          <w:tcPr>
            <w:tcW w:w="1246" w:type="pct"/>
            <w:noWrap w:val="0"/>
            <w:vAlign w:val="center"/>
          </w:tcPr>
          <w:p w14:paraId="791A536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41" w:type="pct"/>
            <w:noWrap w:val="0"/>
            <w:vAlign w:val="center"/>
          </w:tcPr>
          <w:p w14:paraId="34082D8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3" w:type="pct"/>
            <w:noWrap w:val="0"/>
            <w:vAlign w:val="center"/>
          </w:tcPr>
          <w:p w14:paraId="5D466BE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29" w:type="pct"/>
            <w:noWrap w:val="0"/>
            <w:vAlign w:val="center"/>
          </w:tcPr>
          <w:p w14:paraId="5252847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74" w:type="pct"/>
            <w:noWrap w:val="0"/>
            <w:vAlign w:val="center"/>
          </w:tcPr>
          <w:p w14:paraId="558FE07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4EF3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pct"/>
            <w:noWrap w:val="0"/>
            <w:vAlign w:val="top"/>
          </w:tcPr>
          <w:p w14:paraId="06B5A28B">
            <w:pPr>
              <w:pStyle w:val="94"/>
              <w:pageBreakBefore w:val="0"/>
              <w:kinsoku/>
              <w:overflowPunct/>
              <w:topLinePunct w:val="0"/>
              <w:bidi w:val="0"/>
              <w:spacing w:before="189"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r>
              <w:rPr>
                <w:color w:val="auto"/>
                <w:spacing w:val="-6"/>
                <w:sz w:val="20"/>
                <w:szCs w:val="20"/>
              </w:rPr>
              <w:t>3</w:t>
            </w:r>
          </w:p>
        </w:tc>
        <w:tc>
          <w:tcPr>
            <w:tcW w:w="1103" w:type="pct"/>
            <w:noWrap w:val="0"/>
            <w:vAlign w:val="top"/>
          </w:tcPr>
          <w:p w14:paraId="4A8E5B8B">
            <w:pPr>
              <w:pStyle w:val="94"/>
              <w:pageBreakBefore w:val="0"/>
              <w:kinsoku/>
              <w:overflowPunct/>
              <w:topLinePunct w:val="0"/>
              <w:bidi w:val="0"/>
              <w:spacing w:before="155"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p>
        </w:tc>
        <w:tc>
          <w:tcPr>
            <w:tcW w:w="1246" w:type="pct"/>
            <w:noWrap w:val="0"/>
            <w:vAlign w:val="center"/>
          </w:tcPr>
          <w:p w14:paraId="2BB9348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41" w:type="pct"/>
            <w:noWrap w:val="0"/>
            <w:vAlign w:val="center"/>
          </w:tcPr>
          <w:p w14:paraId="05742E2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3" w:type="pct"/>
            <w:noWrap w:val="0"/>
            <w:vAlign w:val="center"/>
          </w:tcPr>
          <w:p w14:paraId="42801F1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29" w:type="pct"/>
            <w:noWrap w:val="0"/>
            <w:vAlign w:val="center"/>
          </w:tcPr>
          <w:p w14:paraId="7326DFA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74" w:type="pct"/>
            <w:noWrap w:val="0"/>
            <w:vAlign w:val="center"/>
          </w:tcPr>
          <w:p w14:paraId="5A78AC1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518C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pct"/>
            <w:noWrap w:val="0"/>
            <w:vAlign w:val="top"/>
          </w:tcPr>
          <w:p w14:paraId="3BDD8078">
            <w:pPr>
              <w:pStyle w:val="94"/>
              <w:pageBreakBefore w:val="0"/>
              <w:kinsoku/>
              <w:overflowPunct/>
              <w:topLinePunct w:val="0"/>
              <w:bidi w:val="0"/>
              <w:spacing w:before="189"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r>
              <w:rPr>
                <w:color w:val="auto"/>
                <w:spacing w:val="-4"/>
                <w:sz w:val="20"/>
                <w:szCs w:val="20"/>
              </w:rPr>
              <w:t>4</w:t>
            </w:r>
          </w:p>
        </w:tc>
        <w:tc>
          <w:tcPr>
            <w:tcW w:w="1103" w:type="pct"/>
            <w:noWrap w:val="0"/>
            <w:vAlign w:val="top"/>
          </w:tcPr>
          <w:p w14:paraId="7D449922">
            <w:pPr>
              <w:pStyle w:val="94"/>
              <w:pageBreakBefore w:val="0"/>
              <w:kinsoku/>
              <w:overflowPunct/>
              <w:topLinePunct w:val="0"/>
              <w:bidi w:val="0"/>
              <w:spacing w:before="154"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p>
        </w:tc>
        <w:tc>
          <w:tcPr>
            <w:tcW w:w="1246" w:type="pct"/>
            <w:noWrap w:val="0"/>
            <w:vAlign w:val="center"/>
          </w:tcPr>
          <w:p w14:paraId="339905B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41" w:type="pct"/>
            <w:noWrap w:val="0"/>
            <w:vAlign w:val="center"/>
          </w:tcPr>
          <w:p w14:paraId="2412F6C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3" w:type="pct"/>
            <w:noWrap w:val="0"/>
            <w:vAlign w:val="center"/>
          </w:tcPr>
          <w:p w14:paraId="273475D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29" w:type="pct"/>
            <w:noWrap w:val="0"/>
            <w:vAlign w:val="center"/>
          </w:tcPr>
          <w:p w14:paraId="75657CE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74" w:type="pct"/>
            <w:noWrap w:val="0"/>
            <w:vAlign w:val="center"/>
          </w:tcPr>
          <w:p w14:paraId="572CB90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374C5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pct"/>
            <w:noWrap w:val="0"/>
            <w:vAlign w:val="top"/>
          </w:tcPr>
          <w:p w14:paraId="792BD01D">
            <w:pPr>
              <w:pStyle w:val="94"/>
              <w:pageBreakBefore w:val="0"/>
              <w:kinsoku/>
              <w:overflowPunct/>
              <w:topLinePunct w:val="0"/>
              <w:bidi w:val="0"/>
              <w:spacing w:before="190"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r>
              <w:rPr>
                <w:color w:val="auto"/>
                <w:spacing w:val="-6"/>
                <w:sz w:val="20"/>
                <w:szCs w:val="20"/>
              </w:rPr>
              <w:t>5</w:t>
            </w:r>
          </w:p>
        </w:tc>
        <w:tc>
          <w:tcPr>
            <w:tcW w:w="1103" w:type="pct"/>
            <w:noWrap w:val="0"/>
            <w:vAlign w:val="top"/>
          </w:tcPr>
          <w:p w14:paraId="7B7ED36A">
            <w:pPr>
              <w:pStyle w:val="94"/>
              <w:pageBreakBefore w:val="0"/>
              <w:kinsoku/>
              <w:overflowPunct/>
              <w:topLinePunct w:val="0"/>
              <w:bidi w:val="0"/>
              <w:spacing w:before="154"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p>
        </w:tc>
        <w:tc>
          <w:tcPr>
            <w:tcW w:w="1246" w:type="pct"/>
            <w:noWrap w:val="0"/>
            <w:vAlign w:val="center"/>
          </w:tcPr>
          <w:p w14:paraId="4C7F149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41" w:type="pct"/>
            <w:noWrap w:val="0"/>
            <w:vAlign w:val="center"/>
          </w:tcPr>
          <w:p w14:paraId="3E60DBB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3" w:type="pct"/>
            <w:noWrap w:val="0"/>
            <w:vAlign w:val="center"/>
          </w:tcPr>
          <w:p w14:paraId="6D08FE3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29" w:type="pct"/>
            <w:noWrap w:val="0"/>
            <w:vAlign w:val="center"/>
          </w:tcPr>
          <w:p w14:paraId="70094B0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74" w:type="pct"/>
            <w:noWrap w:val="0"/>
            <w:vAlign w:val="center"/>
          </w:tcPr>
          <w:p w14:paraId="707F510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5376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pct"/>
            <w:noWrap w:val="0"/>
            <w:vAlign w:val="top"/>
          </w:tcPr>
          <w:p w14:paraId="35A7DAD0">
            <w:pPr>
              <w:pStyle w:val="94"/>
              <w:pageBreakBefore w:val="0"/>
              <w:kinsoku/>
              <w:overflowPunct/>
              <w:topLinePunct w:val="0"/>
              <w:bidi w:val="0"/>
              <w:spacing w:before="189"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r>
              <w:rPr>
                <w:color w:val="auto"/>
                <w:spacing w:val="-5"/>
                <w:sz w:val="20"/>
                <w:szCs w:val="20"/>
              </w:rPr>
              <w:t>6</w:t>
            </w:r>
          </w:p>
        </w:tc>
        <w:tc>
          <w:tcPr>
            <w:tcW w:w="1103" w:type="pct"/>
            <w:noWrap w:val="0"/>
            <w:vAlign w:val="top"/>
          </w:tcPr>
          <w:p w14:paraId="1BC74789">
            <w:pPr>
              <w:pStyle w:val="94"/>
              <w:pageBreakBefore w:val="0"/>
              <w:kinsoku/>
              <w:overflowPunct/>
              <w:topLinePunct w:val="0"/>
              <w:bidi w:val="0"/>
              <w:spacing w:before="154"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p>
        </w:tc>
        <w:tc>
          <w:tcPr>
            <w:tcW w:w="1246" w:type="pct"/>
            <w:noWrap w:val="0"/>
            <w:vAlign w:val="center"/>
          </w:tcPr>
          <w:p w14:paraId="63717E5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41" w:type="pct"/>
            <w:noWrap w:val="0"/>
            <w:vAlign w:val="center"/>
          </w:tcPr>
          <w:p w14:paraId="0FEF7C3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3" w:type="pct"/>
            <w:noWrap w:val="0"/>
            <w:vAlign w:val="center"/>
          </w:tcPr>
          <w:p w14:paraId="4900BB9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29" w:type="pct"/>
            <w:noWrap w:val="0"/>
            <w:vAlign w:val="center"/>
          </w:tcPr>
          <w:p w14:paraId="111C06C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74" w:type="pct"/>
            <w:noWrap w:val="0"/>
            <w:vAlign w:val="center"/>
          </w:tcPr>
          <w:p w14:paraId="201353A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08BA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pct"/>
            <w:noWrap w:val="0"/>
            <w:vAlign w:val="top"/>
          </w:tcPr>
          <w:p w14:paraId="038EB0B1">
            <w:pPr>
              <w:pStyle w:val="94"/>
              <w:pageBreakBefore w:val="0"/>
              <w:kinsoku/>
              <w:overflowPunct/>
              <w:topLinePunct w:val="0"/>
              <w:bidi w:val="0"/>
              <w:spacing w:before="190"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r>
              <w:rPr>
                <w:color w:val="auto"/>
                <w:spacing w:val="-7"/>
                <w:sz w:val="20"/>
                <w:szCs w:val="20"/>
              </w:rPr>
              <w:t>7</w:t>
            </w:r>
          </w:p>
        </w:tc>
        <w:tc>
          <w:tcPr>
            <w:tcW w:w="1103" w:type="pct"/>
            <w:noWrap w:val="0"/>
            <w:vAlign w:val="top"/>
          </w:tcPr>
          <w:p w14:paraId="697B58D8">
            <w:pPr>
              <w:pStyle w:val="94"/>
              <w:pageBreakBefore w:val="0"/>
              <w:kinsoku/>
              <w:overflowPunct/>
              <w:topLinePunct w:val="0"/>
              <w:bidi w:val="0"/>
              <w:spacing w:before="217"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p>
        </w:tc>
        <w:tc>
          <w:tcPr>
            <w:tcW w:w="1246" w:type="pct"/>
            <w:noWrap w:val="0"/>
            <w:vAlign w:val="center"/>
          </w:tcPr>
          <w:p w14:paraId="4DAB474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41" w:type="pct"/>
            <w:noWrap w:val="0"/>
            <w:vAlign w:val="center"/>
          </w:tcPr>
          <w:p w14:paraId="3FAB5DA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3" w:type="pct"/>
            <w:noWrap w:val="0"/>
            <w:vAlign w:val="center"/>
          </w:tcPr>
          <w:p w14:paraId="3329E4E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29" w:type="pct"/>
            <w:noWrap w:val="0"/>
            <w:vAlign w:val="center"/>
          </w:tcPr>
          <w:p w14:paraId="7FFD36A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74" w:type="pct"/>
            <w:noWrap w:val="0"/>
            <w:vAlign w:val="center"/>
          </w:tcPr>
          <w:p w14:paraId="037DCAB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35AF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pct"/>
            <w:noWrap w:val="0"/>
            <w:vAlign w:val="top"/>
          </w:tcPr>
          <w:p w14:paraId="3625C5D3">
            <w:pPr>
              <w:pStyle w:val="94"/>
              <w:pageBreakBefore w:val="0"/>
              <w:kinsoku/>
              <w:overflowPunct/>
              <w:topLinePunct w:val="0"/>
              <w:bidi w:val="0"/>
              <w:spacing w:before="189"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r>
              <w:rPr>
                <w:color w:val="auto"/>
                <w:spacing w:val="-5"/>
                <w:sz w:val="20"/>
                <w:szCs w:val="20"/>
              </w:rPr>
              <w:t>8</w:t>
            </w:r>
          </w:p>
        </w:tc>
        <w:tc>
          <w:tcPr>
            <w:tcW w:w="1103" w:type="pct"/>
            <w:noWrap w:val="0"/>
            <w:vAlign w:val="top"/>
          </w:tcPr>
          <w:p w14:paraId="4E38FED2">
            <w:pPr>
              <w:pStyle w:val="94"/>
              <w:pageBreakBefore w:val="0"/>
              <w:kinsoku/>
              <w:overflowPunct/>
              <w:topLinePunct w:val="0"/>
              <w:bidi w:val="0"/>
              <w:spacing w:before="154"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p>
        </w:tc>
        <w:tc>
          <w:tcPr>
            <w:tcW w:w="1246" w:type="pct"/>
            <w:noWrap w:val="0"/>
            <w:vAlign w:val="center"/>
          </w:tcPr>
          <w:p w14:paraId="3090106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41" w:type="pct"/>
            <w:noWrap w:val="0"/>
            <w:vAlign w:val="center"/>
          </w:tcPr>
          <w:p w14:paraId="070BBE96">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3" w:type="pct"/>
            <w:noWrap w:val="0"/>
            <w:vAlign w:val="center"/>
          </w:tcPr>
          <w:p w14:paraId="11ED2BF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29" w:type="pct"/>
            <w:noWrap w:val="0"/>
            <w:vAlign w:val="center"/>
          </w:tcPr>
          <w:p w14:paraId="76C17FC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74" w:type="pct"/>
            <w:noWrap w:val="0"/>
            <w:vAlign w:val="center"/>
          </w:tcPr>
          <w:p w14:paraId="37918E2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3DDE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pct"/>
            <w:noWrap w:val="0"/>
            <w:vAlign w:val="top"/>
          </w:tcPr>
          <w:p w14:paraId="23C55B8C">
            <w:pPr>
              <w:pStyle w:val="94"/>
              <w:pageBreakBefore w:val="0"/>
              <w:kinsoku/>
              <w:overflowPunct/>
              <w:topLinePunct w:val="0"/>
              <w:bidi w:val="0"/>
              <w:spacing w:before="190"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r>
              <w:rPr>
                <w:color w:val="auto"/>
                <w:spacing w:val="-5"/>
                <w:sz w:val="20"/>
                <w:szCs w:val="20"/>
              </w:rPr>
              <w:t>9</w:t>
            </w:r>
          </w:p>
        </w:tc>
        <w:tc>
          <w:tcPr>
            <w:tcW w:w="1103" w:type="pct"/>
            <w:noWrap w:val="0"/>
            <w:vAlign w:val="top"/>
          </w:tcPr>
          <w:p w14:paraId="4A78C830">
            <w:pPr>
              <w:pStyle w:val="94"/>
              <w:pageBreakBefore w:val="0"/>
              <w:kinsoku/>
              <w:overflowPunct/>
              <w:topLinePunct w:val="0"/>
              <w:bidi w:val="0"/>
              <w:spacing w:before="155"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p>
        </w:tc>
        <w:tc>
          <w:tcPr>
            <w:tcW w:w="1246" w:type="pct"/>
            <w:noWrap w:val="0"/>
            <w:vAlign w:val="center"/>
          </w:tcPr>
          <w:p w14:paraId="390591F5">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41" w:type="pct"/>
            <w:noWrap w:val="0"/>
            <w:vAlign w:val="center"/>
          </w:tcPr>
          <w:p w14:paraId="11FE8CC4">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3" w:type="pct"/>
            <w:noWrap w:val="0"/>
            <w:vAlign w:val="center"/>
          </w:tcPr>
          <w:p w14:paraId="3C482BC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29" w:type="pct"/>
            <w:noWrap w:val="0"/>
            <w:vAlign w:val="center"/>
          </w:tcPr>
          <w:p w14:paraId="0E00756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74" w:type="pct"/>
            <w:noWrap w:val="0"/>
            <w:vAlign w:val="center"/>
          </w:tcPr>
          <w:p w14:paraId="6C53AE8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6418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pct"/>
            <w:noWrap w:val="0"/>
            <w:vAlign w:val="top"/>
          </w:tcPr>
          <w:p w14:paraId="2E699F7F">
            <w:pPr>
              <w:pStyle w:val="94"/>
              <w:pageBreakBefore w:val="0"/>
              <w:kinsoku/>
              <w:overflowPunct/>
              <w:topLinePunct w:val="0"/>
              <w:bidi w:val="0"/>
              <w:spacing w:before="189"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r>
              <w:rPr>
                <w:color w:val="auto"/>
                <w:spacing w:val="-8"/>
                <w:sz w:val="20"/>
                <w:szCs w:val="20"/>
              </w:rPr>
              <w:t>10</w:t>
            </w:r>
          </w:p>
        </w:tc>
        <w:tc>
          <w:tcPr>
            <w:tcW w:w="1103" w:type="pct"/>
            <w:noWrap w:val="0"/>
            <w:vAlign w:val="top"/>
          </w:tcPr>
          <w:p w14:paraId="0E4A7CD5">
            <w:pPr>
              <w:pStyle w:val="94"/>
              <w:pageBreakBefore w:val="0"/>
              <w:kinsoku/>
              <w:overflowPunct/>
              <w:topLinePunct w:val="0"/>
              <w:bidi w:val="0"/>
              <w:spacing w:before="156"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p>
        </w:tc>
        <w:tc>
          <w:tcPr>
            <w:tcW w:w="1246" w:type="pct"/>
            <w:noWrap w:val="0"/>
            <w:vAlign w:val="center"/>
          </w:tcPr>
          <w:p w14:paraId="5DCCDF45">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41" w:type="pct"/>
            <w:noWrap w:val="0"/>
            <w:vAlign w:val="center"/>
          </w:tcPr>
          <w:p w14:paraId="1CDFD6B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3" w:type="pct"/>
            <w:noWrap w:val="0"/>
            <w:vAlign w:val="center"/>
          </w:tcPr>
          <w:p w14:paraId="15A36D7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29" w:type="pct"/>
            <w:noWrap w:val="0"/>
            <w:vAlign w:val="center"/>
          </w:tcPr>
          <w:p w14:paraId="7993AE6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74" w:type="pct"/>
            <w:noWrap w:val="0"/>
            <w:vAlign w:val="center"/>
          </w:tcPr>
          <w:p w14:paraId="4EABA675">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245B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pct"/>
            <w:noWrap w:val="0"/>
            <w:vAlign w:val="top"/>
          </w:tcPr>
          <w:p w14:paraId="0EFFAAAD">
            <w:pPr>
              <w:pStyle w:val="94"/>
              <w:pageBreakBefore w:val="0"/>
              <w:kinsoku/>
              <w:overflowPunct/>
              <w:topLinePunct w:val="0"/>
              <w:bidi w:val="0"/>
              <w:spacing w:before="184"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r>
              <w:rPr>
                <w:color w:val="auto"/>
                <w:spacing w:val="-8"/>
                <w:sz w:val="20"/>
                <w:szCs w:val="20"/>
              </w:rPr>
              <w:t>11</w:t>
            </w:r>
          </w:p>
        </w:tc>
        <w:tc>
          <w:tcPr>
            <w:tcW w:w="1103" w:type="pct"/>
            <w:noWrap w:val="0"/>
            <w:vAlign w:val="top"/>
          </w:tcPr>
          <w:p w14:paraId="664CE572">
            <w:pPr>
              <w:pStyle w:val="94"/>
              <w:pageBreakBefore w:val="0"/>
              <w:kinsoku/>
              <w:overflowPunct/>
              <w:topLinePunct w:val="0"/>
              <w:bidi w:val="0"/>
              <w:spacing w:before="151"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p>
        </w:tc>
        <w:tc>
          <w:tcPr>
            <w:tcW w:w="1246" w:type="pct"/>
            <w:noWrap w:val="0"/>
            <w:vAlign w:val="center"/>
          </w:tcPr>
          <w:p w14:paraId="3CF6B5E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41" w:type="pct"/>
            <w:noWrap w:val="0"/>
            <w:vAlign w:val="center"/>
          </w:tcPr>
          <w:p w14:paraId="5999ECD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3" w:type="pct"/>
            <w:noWrap w:val="0"/>
            <w:vAlign w:val="center"/>
          </w:tcPr>
          <w:p w14:paraId="10411B7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29" w:type="pct"/>
            <w:noWrap w:val="0"/>
            <w:vAlign w:val="center"/>
          </w:tcPr>
          <w:p w14:paraId="13AB24D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74" w:type="pct"/>
            <w:noWrap w:val="0"/>
            <w:vAlign w:val="center"/>
          </w:tcPr>
          <w:p w14:paraId="53EF039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79D8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pct"/>
            <w:noWrap w:val="0"/>
            <w:vAlign w:val="top"/>
          </w:tcPr>
          <w:p w14:paraId="4594744D">
            <w:pPr>
              <w:pStyle w:val="94"/>
              <w:pageBreakBefore w:val="0"/>
              <w:kinsoku/>
              <w:overflowPunct/>
              <w:topLinePunct w:val="0"/>
              <w:bidi w:val="0"/>
              <w:spacing w:before="181"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r>
              <w:rPr>
                <w:color w:val="auto"/>
                <w:spacing w:val="-8"/>
                <w:sz w:val="20"/>
                <w:szCs w:val="20"/>
              </w:rPr>
              <w:t>12</w:t>
            </w:r>
          </w:p>
        </w:tc>
        <w:tc>
          <w:tcPr>
            <w:tcW w:w="1103" w:type="pct"/>
            <w:noWrap w:val="0"/>
            <w:vAlign w:val="top"/>
          </w:tcPr>
          <w:p w14:paraId="58C2755B">
            <w:pPr>
              <w:pStyle w:val="94"/>
              <w:pageBreakBefore w:val="0"/>
              <w:kinsoku/>
              <w:overflowPunct/>
              <w:topLinePunct w:val="0"/>
              <w:bidi w:val="0"/>
              <w:spacing w:before="148"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p>
        </w:tc>
        <w:tc>
          <w:tcPr>
            <w:tcW w:w="1246" w:type="pct"/>
            <w:noWrap w:val="0"/>
            <w:vAlign w:val="center"/>
          </w:tcPr>
          <w:p w14:paraId="4039028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41" w:type="pct"/>
            <w:noWrap w:val="0"/>
            <w:vAlign w:val="center"/>
          </w:tcPr>
          <w:p w14:paraId="4BBDD15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3" w:type="pct"/>
            <w:noWrap w:val="0"/>
            <w:vAlign w:val="center"/>
          </w:tcPr>
          <w:p w14:paraId="4BAEDA7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29" w:type="pct"/>
            <w:noWrap w:val="0"/>
            <w:vAlign w:val="center"/>
          </w:tcPr>
          <w:p w14:paraId="40D668A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74" w:type="pct"/>
            <w:noWrap w:val="0"/>
            <w:vAlign w:val="center"/>
          </w:tcPr>
          <w:p w14:paraId="2325388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7E64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pct"/>
            <w:noWrap w:val="0"/>
            <w:vAlign w:val="top"/>
          </w:tcPr>
          <w:p w14:paraId="18E2DAD9">
            <w:pPr>
              <w:pStyle w:val="94"/>
              <w:pageBreakBefore w:val="0"/>
              <w:kinsoku/>
              <w:overflowPunct/>
              <w:topLinePunct w:val="0"/>
              <w:bidi w:val="0"/>
              <w:spacing w:before="183"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r>
              <w:rPr>
                <w:color w:val="auto"/>
                <w:spacing w:val="-8"/>
                <w:sz w:val="20"/>
                <w:szCs w:val="20"/>
              </w:rPr>
              <w:t>13</w:t>
            </w:r>
          </w:p>
        </w:tc>
        <w:tc>
          <w:tcPr>
            <w:tcW w:w="1103" w:type="pct"/>
            <w:noWrap w:val="0"/>
            <w:vAlign w:val="top"/>
          </w:tcPr>
          <w:p w14:paraId="13483C70">
            <w:pPr>
              <w:pStyle w:val="94"/>
              <w:pageBreakBefore w:val="0"/>
              <w:kinsoku/>
              <w:overflowPunct/>
              <w:topLinePunct w:val="0"/>
              <w:bidi w:val="0"/>
              <w:spacing w:before="149"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p>
        </w:tc>
        <w:tc>
          <w:tcPr>
            <w:tcW w:w="1246" w:type="pct"/>
            <w:noWrap w:val="0"/>
            <w:vAlign w:val="center"/>
          </w:tcPr>
          <w:p w14:paraId="2AD664E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41" w:type="pct"/>
            <w:noWrap w:val="0"/>
            <w:vAlign w:val="center"/>
          </w:tcPr>
          <w:p w14:paraId="7AF33E45">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3" w:type="pct"/>
            <w:noWrap w:val="0"/>
            <w:vAlign w:val="center"/>
          </w:tcPr>
          <w:p w14:paraId="213D6ED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29" w:type="pct"/>
            <w:noWrap w:val="0"/>
            <w:vAlign w:val="center"/>
          </w:tcPr>
          <w:p w14:paraId="3CD8DC7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74" w:type="pct"/>
            <w:noWrap w:val="0"/>
            <w:vAlign w:val="center"/>
          </w:tcPr>
          <w:p w14:paraId="4072D8E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6775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pct"/>
            <w:noWrap w:val="0"/>
            <w:vAlign w:val="top"/>
          </w:tcPr>
          <w:p w14:paraId="06849781">
            <w:pPr>
              <w:pStyle w:val="94"/>
              <w:pageBreakBefore w:val="0"/>
              <w:kinsoku/>
              <w:overflowPunct/>
              <w:topLinePunct w:val="0"/>
              <w:bidi w:val="0"/>
              <w:spacing w:before="184"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r>
              <w:rPr>
                <w:color w:val="auto"/>
                <w:spacing w:val="-8"/>
                <w:sz w:val="20"/>
                <w:szCs w:val="20"/>
              </w:rPr>
              <w:t>14</w:t>
            </w:r>
          </w:p>
        </w:tc>
        <w:tc>
          <w:tcPr>
            <w:tcW w:w="1103" w:type="pct"/>
            <w:noWrap w:val="0"/>
            <w:vAlign w:val="top"/>
          </w:tcPr>
          <w:p w14:paraId="0A9D8738">
            <w:pPr>
              <w:pStyle w:val="94"/>
              <w:pageBreakBefore w:val="0"/>
              <w:kinsoku/>
              <w:overflowPunct/>
              <w:topLinePunct w:val="0"/>
              <w:bidi w:val="0"/>
              <w:spacing w:before="150"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p>
        </w:tc>
        <w:tc>
          <w:tcPr>
            <w:tcW w:w="1246" w:type="pct"/>
            <w:noWrap w:val="0"/>
            <w:vAlign w:val="center"/>
          </w:tcPr>
          <w:p w14:paraId="26BDEED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41" w:type="pct"/>
            <w:noWrap w:val="0"/>
            <w:vAlign w:val="center"/>
          </w:tcPr>
          <w:p w14:paraId="299D6964">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3" w:type="pct"/>
            <w:noWrap w:val="0"/>
            <w:vAlign w:val="center"/>
          </w:tcPr>
          <w:p w14:paraId="6032C02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29" w:type="pct"/>
            <w:noWrap w:val="0"/>
            <w:vAlign w:val="center"/>
          </w:tcPr>
          <w:p w14:paraId="2EBB6834">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74" w:type="pct"/>
            <w:noWrap w:val="0"/>
            <w:vAlign w:val="center"/>
          </w:tcPr>
          <w:p w14:paraId="3CAFE3A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366B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 w:type="pct"/>
            <w:noWrap w:val="0"/>
            <w:vAlign w:val="top"/>
          </w:tcPr>
          <w:p w14:paraId="59B45DF0">
            <w:pPr>
              <w:pStyle w:val="94"/>
              <w:pageBreakBefore w:val="0"/>
              <w:kinsoku/>
              <w:overflowPunct/>
              <w:topLinePunct w:val="0"/>
              <w:bidi w:val="0"/>
              <w:spacing w:before="185"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r>
              <w:rPr>
                <w:color w:val="auto"/>
                <w:spacing w:val="-8"/>
                <w:sz w:val="20"/>
                <w:szCs w:val="20"/>
              </w:rPr>
              <w:t>15</w:t>
            </w:r>
          </w:p>
        </w:tc>
        <w:tc>
          <w:tcPr>
            <w:tcW w:w="1103" w:type="pct"/>
            <w:noWrap w:val="0"/>
            <w:vAlign w:val="top"/>
          </w:tcPr>
          <w:p w14:paraId="7EAF7012">
            <w:pPr>
              <w:pStyle w:val="94"/>
              <w:pageBreakBefore w:val="0"/>
              <w:kinsoku/>
              <w:overflowPunct/>
              <w:topLinePunct w:val="0"/>
              <w:bidi w:val="0"/>
              <w:spacing w:before="151" w:line="360" w:lineRule="auto"/>
              <w:ind w:left="0" w:leftChars="0" w:firstLine="0" w:firstLineChars="0"/>
              <w:jc w:val="center"/>
              <w:textAlignment w:val="auto"/>
              <w:rPr>
                <w:rFonts w:hint="eastAsia" w:ascii="宋体" w:hAnsi="宋体" w:eastAsia="宋体" w:cs="宋体"/>
                <w:color w:val="auto"/>
                <w:kern w:val="2"/>
                <w:sz w:val="20"/>
                <w:szCs w:val="20"/>
                <w:lang w:val="en-US" w:eastAsia="en-US" w:bidi="ar-SA"/>
              </w:rPr>
            </w:pPr>
          </w:p>
        </w:tc>
        <w:tc>
          <w:tcPr>
            <w:tcW w:w="1246" w:type="pct"/>
            <w:noWrap w:val="0"/>
            <w:vAlign w:val="center"/>
          </w:tcPr>
          <w:p w14:paraId="1924277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41" w:type="pct"/>
            <w:noWrap w:val="0"/>
            <w:vAlign w:val="center"/>
          </w:tcPr>
          <w:p w14:paraId="1B55C74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3" w:type="pct"/>
            <w:noWrap w:val="0"/>
            <w:vAlign w:val="center"/>
          </w:tcPr>
          <w:p w14:paraId="3AF6327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29" w:type="pct"/>
            <w:noWrap w:val="0"/>
            <w:vAlign w:val="center"/>
          </w:tcPr>
          <w:p w14:paraId="751DEF9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74" w:type="pct"/>
            <w:noWrap w:val="0"/>
            <w:vAlign w:val="center"/>
          </w:tcPr>
          <w:p w14:paraId="00ED207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7BB0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34" w:type="pct"/>
            <w:gridSpan w:val="2"/>
            <w:noWrap w:val="0"/>
            <w:vAlign w:val="center"/>
          </w:tcPr>
          <w:p w14:paraId="47F2E76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合价</w:t>
            </w:r>
          </w:p>
        </w:tc>
        <w:tc>
          <w:tcPr>
            <w:tcW w:w="2690" w:type="pct"/>
            <w:gridSpan w:val="4"/>
            <w:noWrap w:val="0"/>
            <w:vAlign w:val="center"/>
          </w:tcPr>
          <w:p w14:paraId="4DEB8070">
            <w:pPr>
              <w:pageBreakBefore w:val="0"/>
              <w:tabs>
                <w:tab w:val="left" w:pos="5580"/>
              </w:tabs>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大写：</w:t>
            </w:r>
          </w:p>
          <w:p w14:paraId="44E3C050">
            <w:pPr>
              <w:pStyle w:val="17"/>
              <w:pageBreakBefore w:val="0"/>
              <w:kinsoku/>
              <w:overflowPunct/>
              <w:topLinePunct w:val="0"/>
              <w:bidi w:val="0"/>
              <w:spacing w:line="360" w:lineRule="auto"/>
              <w:ind w:left="0" w:leftChars="0" w:firstLine="0" w:firstLineChars="0"/>
              <w:textAlignment w:val="auto"/>
              <w:rPr>
                <w:rFonts w:hint="eastAsia" w:hAnsi="宋体"/>
                <w:color w:val="auto"/>
                <w:sz w:val="24"/>
                <w:szCs w:val="24"/>
              </w:rPr>
            </w:pPr>
            <w:r>
              <w:rPr>
                <w:rFonts w:hint="eastAsia" w:hAnsi="宋体"/>
                <w:color w:val="auto"/>
                <w:sz w:val="24"/>
              </w:rPr>
              <w:t>小写：</w:t>
            </w:r>
          </w:p>
        </w:tc>
        <w:tc>
          <w:tcPr>
            <w:tcW w:w="374" w:type="pct"/>
            <w:noWrap w:val="0"/>
            <w:vAlign w:val="center"/>
          </w:tcPr>
          <w:p w14:paraId="79012F16">
            <w:pPr>
              <w:pStyle w:val="17"/>
              <w:pageBreakBefore w:val="0"/>
              <w:kinsoku/>
              <w:overflowPunct/>
              <w:topLinePunct w:val="0"/>
              <w:bidi w:val="0"/>
              <w:spacing w:line="360" w:lineRule="auto"/>
              <w:ind w:left="0" w:leftChars="0" w:firstLine="0" w:firstLineChars="0"/>
              <w:textAlignment w:val="auto"/>
              <w:rPr>
                <w:rFonts w:hint="eastAsia" w:hAnsi="宋体"/>
                <w:color w:val="auto"/>
                <w:sz w:val="24"/>
              </w:rPr>
            </w:pPr>
          </w:p>
        </w:tc>
      </w:tr>
    </w:tbl>
    <w:p w14:paraId="29702BC5">
      <w:pPr>
        <w:pStyle w:val="17"/>
        <w:pageBreakBefore w:val="0"/>
        <w:tabs>
          <w:tab w:val="left" w:pos="5370"/>
        </w:tabs>
        <w:kinsoku/>
        <w:overflowPunct/>
        <w:topLinePunct w:val="0"/>
        <w:bidi w:val="0"/>
        <w:spacing w:line="360" w:lineRule="auto"/>
        <w:ind w:left="0" w:leftChars="0" w:firstLine="0" w:firstLineChars="0"/>
        <w:jc w:val="left"/>
        <w:textAlignment w:val="auto"/>
        <w:rPr>
          <w:rFonts w:hAnsi="宋体"/>
          <w:color w:val="auto"/>
          <w:sz w:val="24"/>
          <w:szCs w:val="24"/>
        </w:rPr>
      </w:pPr>
    </w:p>
    <w:p w14:paraId="276F50D9">
      <w:pPr>
        <w:pStyle w:val="17"/>
        <w:pageBreakBefore w:val="0"/>
        <w:tabs>
          <w:tab w:val="left" w:pos="5370"/>
        </w:tabs>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6CB45C4D">
      <w:pPr>
        <w:pStyle w:val="17"/>
        <w:pageBreakBefore w:val="0"/>
        <w:tabs>
          <w:tab w:val="left" w:pos="5370"/>
        </w:tabs>
        <w:kinsoku/>
        <w:overflowPunct/>
        <w:topLinePunct w:val="0"/>
        <w:bidi w:val="0"/>
        <w:spacing w:line="360" w:lineRule="auto"/>
        <w:ind w:left="0" w:leftChars="0" w:firstLine="0" w:firstLineChars="0"/>
        <w:jc w:val="left"/>
        <w:textAlignment w:val="auto"/>
        <w:rPr>
          <w:rFonts w:hint="eastAsia" w:hAnsi="宋体"/>
          <w:color w:val="auto"/>
          <w:sz w:val="24"/>
          <w:szCs w:val="24"/>
          <w:u w:val="single"/>
        </w:rPr>
      </w:pPr>
      <w:r>
        <w:rPr>
          <w:rFonts w:hint="eastAsia" w:hAnsi="宋体"/>
          <w:color w:val="auto"/>
          <w:sz w:val="24"/>
          <w:szCs w:val="24"/>
        </w:rPr>
        <w:t>投标人(盖公章):</w:t>
      </w:r>
      <w:r>
        <w:rPr>
          <w:rFonts w:hAnsi="宋体"/>
          <w:color w:val="auto"/>
          <w:sz w:val="24"/>
          <w:szCs w:val="24"/>
          <w:u w:val="single"/>
        </w:rPr>
        <w:tab/>
      </w:r>
    </w:p>
    <w:p w14:paraId="720FF8E3">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法定代表人或委托代理人（签字或签章）:</w:t>
      </w:r>
      <w:r>
        <w:rPr>
          <w:rFonts w:hint="eastAsia" w:hAnsi="宋体"/>
          <w:color w:val="auto"/>
          <w:sz w:val="24"/>
          <w:szCs w:val="24"/>
          <w:u w:val="single"/>
        </w:rPr>
        <w:t xml:space="preserve"> </w:t>
      </w:r>
      <w:r>
        <w:rPr>
          <w:rFonts w:hAnsi="宋体"/>
          <w:color w:val="auto"/>
          <w:sz w:val="24"/>
          <w:szCs w:val="24"/>
          <w:u w:val="single"/>
        </w:rPr>
        <w:tab/>
      </w:r>
      <w:r>
        <w:rPr>
          <w:rFonts w:hint="eastAsia" w:hAnsi="宋体"/>
          <w:color w:val="auto"/>
          <w:sz w:val="24"/>
          <w:szCs w:val="24"/>
          <w:u w:val="single"/>
        </w:rPr>
        <w:t xml:space="preserve">                 </w:t>
      </w:r>
    </w:p>
    <w:p w14:paraId="62FE77F7">
      <w:pPr>
        <w:pageBreakBefore w:val="0"/>
        <w:tabs>
          <w:tab w:val="left" w:pos="1800"/>
          <w:tab w:val="left" w:pos="5580"/>
        </w:tabs>
        <w:kinsoku/>
        <w:overflowPunct/>
        <w:topLinePunct w:val="0"/>
        <w:bidi w:val="0"/>
        <w:spacing w:line="360" w:lineRule="auto"/>
        <w:ind w:left="0" w:leftChars="0" w:firstLine="0" w:firstLineChars="0"/>
        <w:jc w:val="both"/>
        <w:textAlignment w:val="auto"/>
        <w:rPr>
          <w:rFonts w:hAnsi="宋体"/>
          <w:color w:val="auto"/>
          <w:sz w:val="24"/>
          <w:szCs w:val="24"/>
        </w:rPr>
      </w:pPr>
    </w:p>
    <w:p w14:paraId="73659A9F">
      <w:pPr>
        <w:pageBreakBefore w:val="0"/>
        <w:tabs>
          <w:tab w:val="left" w:pos="1800"/>
          <w:tab w:val="left" w:pos="5580"/>
        </w:tabs>
        <w:kinsoku/>
        <w:overflowPunct/>
        <w:topLinePunct w:val="0"/>
        <w:bidi w:val="0"/>
        <w:spacing w:line="360" w:lineRule="auto"/>
        <w:ind w:left="0" w:leftChars="0" w:firstLine="0" w:firstLineChars="0"/>
        <w:jc w:val="center"/>
        <w:textAlignment w:val="auto"/>
        <w:rPr>
          <w:rFonts w:hint="eastAsia" w:ascii="宋体" w:hAnsi="宋体"/>
          <w:b/>
          <w:color w:val="auto"/>
          <w:sz w:val="28"/>
        </w:rPr>
      </w:pPr>
      <w:r>
        <w:rPr>
          <w:rFonts w:ascii="宋体" w:hAnsi="宋体"/>
          <w:b/>
          <w:color w:val="auto"/>
          <w:sz w:val="28"/>
        </w:rPr>
        <w:br w:type="page"/>
      </w:r>
    </w:p>
    <w:p w14:paraId="62609111">
      <w:pPr>
        <w:pageBreakBefore w:val="0"/>
        <w:tabs>
          <w:tab w:val="left" w:pos="1800"/>
          <w:tab w:val="left" w:pos="5580"/>
        </w:tabs>
        <w:kinsoku/>
        <w:overflowPunct/>
        <w:topLinePunct w:val="0"/>
        <w:bidi w:val="0"/>
        <w:spacing w:line="360" w:lineRule="auto"/>
        <w:ind w:left="0" w:leftChars="0" w:firstLine="0" w:firstLineChars="0"/>
        <w:jc w:val="center"/>
        <w:textAlignment w:val="auto"/>
        <w:rPr>
          <w:rFonts w:hint="eastAsia" w:ascii="宋体" w:hAnsi="宋体"/>
          <w:b/>
          <w:color w:val="auto"/>
          <w:sz w:val="28"/>
        </w:rPr>
      </w:pPr>
      <w:r>
        <w:rPr>
          <w:rFonts w:hint="eastAsia" w:ascii="宋体" w:hAnsi="宋体"/>
          <w:b/>
          <w:color w:val="auto"/>
          <w:sz w:val="28"/>
        </w:rPr>
        <w:t>伴随货物分项报价表</w:t>
      </w:r>
    </w:p>
    <w:p w14:paraId="34963119">
      <w:pPr>
        <w:pStyle w:val="17"/>
        <w:pageBreakBefore w:val="0"/>
        <w:kinsoku/>
        <w:overflowPunct/>
        <w:topLinePunct w:val="0"/>
        <w:bidi w:val="0"/>
        <w:spacing w:line="360" w:lineRule="auto"/>
        <w:ind w:left="0" w:leftChars="0" w:firstLine="0" w:firstLineChars="0"/>
        <w:jc w:val="right"/>
        <w:textAlignment w:val="auto"/>
        <w:rPr>
          <w:rFonts w:hint="eastAsia" w:hAnsi="宋体"/>
          <w:color w:val="auto"/>
          <w:sz w:val="24"/>
          <w:szCs w:val="24"/>
        </w:rPr>
      </w:pPr>
      <w:r>
        <w:rPr>
          <w:rFonts w:hint="eastAsia" w:hAnsi="宋体"/>
          <w:color w:val="auto"/>
          <w:sz w:val="24"/>
          <w:szCs w:val="24"/>
        </w:rPr>
        <w:t>报价单位：人民币元</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538"/>
        <w:gridCol w:w="1189"/>
        <w:gridCol w:w="1037"/>
        <w:gridCol w:w="940"/>
        <w:gridCol w:w="1057"/>
        <w:gridCol w:w="1057"/>
        <w:gridCol w:w="750"/>
        <w:gridCol w:w="780"/>
        <w:gridCol w:w="798"/>
      </w:tblGrid>
      <w:tr w14:paraId="12BB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noWrap w:val="0"/>
            <w:vAlign w:val="center"/>
          </w:tcPr>
          <w:p w14:paraId="665245C0">
            <w:pPr>
              <w:pStyle w:val="17"/>
              <w:pageBreakBefore w:val="0"/>
              <w:kinsoku/>
              <w:overflowPunct/>
              <w:topLinePunct w:val="0"/>
              <w:bidi w:val="0"/>
              <w:spacing w:line="360" w:lineRule="auto"/>
              <w:ind w:left="0" w:leftChars="0" w:firstLine="0" w:firstLineChars="0"/>
              <w:jc w:val="both"/>
              <w:textAlignment w:val="auto"/>
              <w:rPr>
                <w:rFonts w:hint="eastAsia" w:hAnsi="宋体"/>
                <w:color w:val="auto"/>
                <w:sz w:val="24"/>
                <w:szCs w:val="24"/>
              </w:rPr>
            </w:pPr>
            <w:r>
              <w:rPr>
                <w:rFonts w:hint="eastAsia" w:hAnsi="宋体"/>
                <w:color w:val="auto"/>
                <w:sz w:val="24"/>
                <w:szCs w:val="24"/>
              </w:rPr>
              <w:t>序号</w:t>
            </w:r>
          </w:p>
        </w:tc>
        <w:tc>
          <w:tcPr>
            <w:tcW w:w="776" w:type="pct"/>
            <w:noWrap w:val="0"/>
            <w:vAlign w:val="center"/>
          </w:tcPr>
          <w:p w14:paraId="0B1270A6">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名称</w:t>
            </w:r>
          </w:p>
        </w:tc>
        <w:tc>
          <w:tcPr>
            <w:tcW w:w="601" w:type="pct"/>
            <w:noWrap w:val="0"/>
            <w:vAlign w:val="center"/>
          </w:tcPr>
          <w:p w14:paraId="4A1DEB8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品牌</w:t>
            </w:r>
          </w:p>
        </w:tc>
        <w:tc>
          <w:tcPr>
            <w:tcW w:w="525" w:type="pct"/>
            <w:noWrap w:val="0"/>
            <w:vAlign w:val="center"/>
          </w:tcPr>
          <w:p w14:paraId="1EE9260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型号和规格</w:t>
            </w:r>
          </w:p>
        </w:tc>
        <w:tc>
          <w:tcPr>
            <w:tcW w:w="476" w:type="pct"/>
            <w:noWrap w:val="0"/>
            <w:vAlign w:val="center"/>
          </w:tcPr>
          <w:p w14:paraId="104CD656">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数量</w:t>
            </w:r>
          </w:p>
        </w:tc>
        <w:tc>
          <w:tcPr>
            <w:tcW w:w="535" w:type="pct"/>
            <w:noWrap w:val="0"/>
            <w:vAlign w:val="center"/>
          </w:tcPr>
          <w:p w14:paraId="22D2440E">
            <w:pPr>
              <w:pStyle w:val="17"/>
              <w:pageBreakBefore w:val="0"/>
              <w:kinsoku/>
              <w:overflowPunct/>
              <w:topLinePunct w:val="0"/>
              <w:bidi w:val="0"/>
              <w:spacing w:line="360" w:lineRule="auto"/>
              <w:ind w:left="0" w:leftChars="0" w:firstLine="0" w:firstLineChars="0"/>
              <w:jc w:val="both"/>
              <w:textAlignment w:val="auto"/>
              <w:rPr>
                <w:rFonts w:hint="eastAsia" w:hAnsi="宋体"/>
                <w:color w:val="auto"/>
                <w:sz w:val="24"/>
                <w:szCs w:val="24"/>
              </w:rPr>
            </w:pPr>
            <w:r>
              <w:rPr>
                <w:rFonts w:hint="eastAsia" w:hAnsi="宋体"/>
                <w:color w:val="auto"/>
                <w:sz w:val="24"/>
                <w:szCs w:val="24"/>
              </w:rPr>
              <w:t>原产地</w:t>
            </w:r>
          </w:p>
        </w:tc>
        <w:tc>
          <w:tcPr>
            <w:tcW w:w="535" w:type="pct"/>
            <w:noWrap w:val="0"/>
            <w:vAlign w:val="center"/>
          </w:tcPr>
          <w:p w14:paraId="4C12243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制造商名称</w:t>
            </w:r>
          </w:p>
        </w:tc>
        <w:tc>
          <w:tcPr>
            <w:tcW w:w="381" w:type="pct"/>
            <w:noWrap w:val="0"/>
            <w:vAlign w:val="center"/>
          </w:tcPr>
          <w:p w14:paraId="364482C4">
            <w:pPr>
              <w:pStyle w:val="17"/>
              <w:pageBreakBefore w:val="0"/>
              <w:kinsoku/>
              <w:overflowPunct/>
              <w:topLinePunct w:val="0"/>
              <w:bidi w:val="0"/>
              <w:spacing w:line="360" w:lineRule="auto"/>
              <w:ind w:left="0" w:leftChars="0" w:firstLine="0" w:firstLineChars="0"/>
              <w:jc w:val="both"/>
              <w:textAlignment w:val="auto"/>
              <w:rPr>
                <w:rFonts w:hint="eastAsia" w:hAnsi="宋体"/>
                <w:color w:val="auto"/>
                <w:sz w:val="24"/>
                <w:szCs w:val="24"/>
              </w:rPr>
            </w:pPr>
            <w:r>
              <w:rPr>
                <w:rFonts w:hint="eastAsia" w:hAnsi="宋体"/>
                <w:color w:val="auto"/>
                <w:sz w:val="24"/>
                <w:szCs w:val="24"/>
              </w:rPr>
              <w:t>单价</w:t>
            </w:r>
          </w:p>
        </w:tc>
        <w:tc>
          <w:tcPr>
            <w:tcW w:w="396" w:type="pct"/>
            <w:noWrap w:val="0"/>
            <w:vAlign w:val="center"/>
          </w:tcPr>
          <w:p w14:paraId="0A0DA88B">
            <w:pPr>
              <w:pStyle w:val="17"/>
              <w:pageBreakBefore w:val="0"/>
              <w:kinsoku/>
              <w:overflowPunct/>
              <w:topLinePunct w:val="0"/>
              <w:bidi w:val="0"/>
              <w:spacing w:line="360" w:lineRule="auto"/>
              <w:ind w:left="0" w:leftChars="0" w:firstLine="0" w:firstLineChars="0"/>
              <w:jc w:val="both"/>
              <w:textAlignment w:val="auto"/>
              <w:rPr>
                <w:rFonts w:hint="eastAsia" w:hAnsi="宋体"/>
                <w:color w:val="auto"/>
                <w:sz w:val="24"/>
                <w:szCs w:val="24"/>
              </w:rPr>
            </w:pPr>
            <w:r>
              <w:rPr>
                <w:rFonts w:hint="eastAsia" w:hAnsi="宋体"/>
                <w:color w:val="auto"/>
                <w:sz w:val="24"/>
                <w:szCs w:val="24"/>
              </w:rPr>
              <w:t>总价</w:t>
            </w:r>
          </w:p>
        </w:tc>
        <w:tc>
          <w:tcPr>
            <w:tcW w:w="402" w:type="pct"/>
            <w:noWrap w:val="0"/>
            <w:vAlign w:val="center"/>
          </w:tcPr>
          <w:p w14:paraId="3B55FACC">
            <w:pPr>
              <w:pStyle w:val="17"/>
              <w:pageBreakBefore w:val="0"/>
              <w:kinsoku/>
              <w:overflowPunct/>
              <w:topLinePunct w:val="0"/>
              <w:bidi w:val="0"/>
              <w:spacing w:line="360" w:lineRule="auto"/>
              <w:ind w:left="0" w:leftChars="0" w:firstLine="0" w:firstLineChars="0"/>
              <w:jc w:val="both"/>
              <w:textAlignment w:val="auto"/>
              <w:rPr>
                <w:rFonts w:hint="eastAsia" w:hAnsi="宋体"/>
                <w:color w:val="auto"/>
                <w:sz w:val="24"/>
                <w:szCs w:val="24"/>
              </w:rPr>
            </w:pPr>
            <w:r>
              <w:rPr>
                <w:rFonts w:hint="eastAsia" w:hAnsi="宋体"/>
                <w:color w:val="auto"/>
                <w:sz w:val="24"/>
                <w:szCs w:val="24"/>
              </w:rPr>
              <w:t>备注</w:t>
            </w:r>
          </w:p>
        </w:tc>
      </w:tr>
      <w:tr w14:paraId="4909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noWrap w:val="0"/>
            <w:vAlign w:val="center"/>
          </w:tcPr>
          <w:p w14:paraId="1F5835F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1</w:t>
            </w:r>
          </w:p>
        </w:tc>
        <w:tc>
          <w:tcPr>
            <w:tcW w:w="776" w:type="pct"/>
            <w:noWrap w:val="0"/>
            <w:vAlign w:val="center"/>
          </w:tcPr>
          <w:p w14:paraId="6C5EA1FD">
            <w:pPr>
              <w:pStyle w:val="17"/>
              <w:pageBreakBefore w:val="0"/>
              <w:kinsoku/>
              <w:overflowPunct/>
              <w:topLinePunct w:val="0"/>
              <w:bidi w:val="0"/>
              <w:spacing w:line="360" w:lineRule="auto"/>
              <w:ind w:left="0" w:leftChars="0" w:firstLine="0" w:firstLineChars="0"/>
              <w:jc w:val="center"/>
              <w:textAlignment w:val="auto"/>
              <w:rPr>
                <w:rFonts w:hint="eastAsia" w:hAnsi="宋体"/>
                <w:i/>
                <w:color w:val="auto"/>
                <w:sz w:val="24"/>
                <w:szCs w:val="24"/>
              </w:rPr>
            </w:pPr>
          </w:p>
        </w:tc>
        <w:tc>
          <w:tcPr>
            <w:tcW w:w="601" w:type="pct"/>
            <w:noWrap w:val="0"/>
            <w:vAlign w:val="center"/>
          </w:tcPr>
          <w:p w14:paraId="16A5806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25" w:type="pct"/>
            <w:noWrap w:val="0"/>
            <w:vAlign w:val="center"/>
          </w:tcPr>
          <w:p w14:paraId="274AEF2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6" w:type="pct"/>
            <w:noWrap w:val="0"/>
            <w:vAlign w:val="center"/>
          </w:tcPr>
          <w:p w14:paraId="71849C6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35" w:type="pct"/>
            <w:noWrap w:val="0"/>
            <w:vAlign w:val="center"/>
          </w:tcPr>
          <w:p w14:paraId="02C4D73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35" w:type="pct"/>
            <w:noWrap w:val="0"/>
            <w:vAlign w:val="center"/>
          </w:tcPr>
          <w:p w14:paraId="19581EE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81" w:type="pct"/>
            <w:noWrap w:val="0"/>
            <w:vAlign w:val="center"/>
          </w:tcPr>
          <w:p w14:paraId="37AF229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96" w:type="pct"/>
            <w:noWrap w:val="0"/>
            <w:vAlign w:val="center"/>
          </w:tcPr>
          <w:p w14:paraId="31296EE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02" w:type="pct"/>
            <w:noWrap w:val="0"/>
            <w:vAlign w:val="center"/>
          </w:tcPr>
          <w:p w14:paraId="14850FD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7164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noWrap w:val="0"/>
            <w:vAlign w:val="center"/>
          </w:tcPr>
          <w:p w14:paraId="6515561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2</w:t>
            </w:r>
          </w:p>
        </w:tc>
        <w:tc>
          <w:tcPr>
            <w:tcW w:w="776" w:type="pct"/>
            <w:noWrap w:val="0"/>
            <w:vAlign w:val="center"/>
          </w:tcPr>
          <w:p w14:paraId="39443274">
            <w:pPr>
              <w:pStyle w:val="17"/>
              <w:pageBreakBefore w:val="0"/>
              <w:kinsoku/>
              <w:overflowPunct/>
              <w:topLinePunct w:val="0"/>
              <w:bidi w:val="0"/>
              <w:spacing w:line="360" w:lineRule="auto"/>
              <w:ind w:left="0" w:leftChars="0" w:firstLine="0" w:firstLineChars="0"/>
              <w:jc w:val="center"/>
              <w:textAlignment w:val="auto"/>
              <w:rPr>
                <w:rFonts w:hint="eastAsia" w:hAnsi="宋体"/>
                <w:i/>
                <w:color w:val="auto"/>
                <w:sz w:val="24"/>
                <w:szCs w:val="24"/>
              </w:rPr>
            </w:pPr>
          </w:p>
        </w:tc>
        <w:tc>
          <w:tcPr>
            <w:tcW w:w="601" w:type="pct"/>
            <w:noWrap w:val="0"/>
            <w:vAlign w:val="center"/>
          </w:tcPr>
          <w:p w14:paraId="18D72A0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25" w:type="pct"/>
            <w:noWrap w:val="0"/>
            <w:vAlign w:val="center"/>
          </w:tcPr>
          <w:p w14:paraId="38920D4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6" w:type="pct"/>
            <w:noWrap w:val="0"/>
            <w:vAlign w:val="center"/>
          </w:tcPr>
          <w:p w14:paraId="74DDBE2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35" w:type="pct"/>
            <w:noWrap w:val="0"/>
            <w:vAlign w:val="center"/>
          </w:tcPr>
          <w:p w14:paraId="5E5BE02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35" w:type="pct"/>
            <w:noWrap w:val="0"/>
            <w:vAlign w:val="center"/>
          </w:tcPr>
          <w:p w14:paraId="0BF78E8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81" w:type="pct"/>
            <w:noWrap w:val="0"/>
            <w:vAlign w:val="center"/>
          </w:tcPr>
          <w:p w14:paraId="1BFA8096">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96" w:type="pct"/>
            <w:noWrap w:val="0"/>
            <w:vAlign w:val="center"/>
          </w:tcPr>
          <w:p w14:paraId="5357E4C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02" w:type="pct"/>
            <w:noWrap w:val="0"/>
            <w:vAlign w:val="center"/>
          </w:tcPr>
          <w:p w14:paraId="5804EEB5">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2CD0E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noWrap w:val="0"/>
            <w:vAlign w:val="center"/>
          </w:tcPr>
          <w:p w14:paraId="692FD6A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3</w:t>
            </w:r>
          </w:p>
        </w:tc>
        <w:tc>
          <w:tcPr>
            <w:tcW w:w="776" w:type="pct"/>
            <w:noWrap w:val="0"/>
            <w:vAlign w:val="center"/>
          </w:tcPr>
          <w:p w14:paraId="4221CC1F">
            <w:pPr>
              <w:pStyle w:val="17"/>
              <w:pageBreakBefore w:val="0"/>
              <w:kinsoku/>
              <w:overflowPunct/>
              <w:topLinePunct w:val="0"/>
              <w:bidi w:val="0"/>
              <w:spacing w:line="360" w:lineRule="auto"/>
              <w:ind w:left="0" w:leftChars="0" w:firstLine="0" w:firstLineChars="0"/>
              <w:jc w:val="center"/>
              <w:textAlignment w:val="auto"/>
              <w:rPr>
                <w:rFonts w:hint="eastAsia" w:hAnsi="宋体"/>
                <w:i/>
                <w:color w:val="auto"/>
                <w:sz w:val="24"/>
                <w:szCs w:val="24"/>
              </w:rPr>
            </w:pPr>
          </w:p>
        </w:tc>
        <w:tc>
          <w:tcPr>
            <w:tcW w:w="601" w:type="pct"/>
            <w:noWrap w:val="0"/>
            <w:vAlign w:val="center"/>
          </w:tcPr>
          <w:p w14:paraId="5DBCCC3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25" w:type="pct"/>
            <w:noWrap w:val="0"/>
            <w:vAlign w:val="center"/>
          </w:tcPr>
          <w:p w14:paraId="6D80DF2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6" w:type="pct"/>
            <w:noWrap w:val="0"/>
            <w:vAlign w:val="center"/>
          </w:tcPr>
          <w:p w14:paraId="250656F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35" w:type="pct"/>
            <w:noWrap w:val="0"/>
            <w:vAlign w:val="center"/>
          </w:tcPr>
          <w:p w14:paraId="76A3934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35" w:type="pct"/>
            <w:noWrap w:val="0"/>
            <w:vAlign w:val="center"/>
          </w:tcPr>
          <w:p w14:paraId="19302D0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81" w:type="pct"/>
            <w:noWrap w:val="0"/>
            <w:vAlign w:val="center"/>
          </w:tcPr>
          <w:p w14:paraId="2BBE593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96" w:type="pct"/>
            <w:noWrap w:val="0"/>
            <w:vAlign w:val="center"/>
          </w:tcPr>
          <w:p w14:paraId="08C9E3C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02" w:type="pct"/>
            <w:noWrap w:val="0"/>
            <w:vAlign w:val="center"/>
          </w:tcPr>
          <w:p w14:paraId="2CBADE3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2E21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noWrap w:val="0"/>
            <w:vAlign w:val="center"/>
          </w:tcPr>
          <w:p w14:paraId="6CC13FE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4</w:t>
            </w:r>
          </w:p>
        </w:tc>
        <w:tc>
          <w:tcPr>
            <w:tcW w:w="776" w:type="pct"/>
            <w:noWrap w:val="0"/>
            <w:vAlign w:val="center"/>
          </w:tcPr>
          <w:p w14:paraId="4246D67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01" w:type="pct"/>
            <w:noWrap w:val="0"/>
            <w:vAlign w:val="center"/>
          </w:tcPr>
          <w:p w14:paraId="60FDE486">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25" w:type="pct"/>
            <w:noWrap w:val="0"/>
            <w:vAlign w:val="center"/>
          </w:tcPr>
          <w:p w14:paraId="5468137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6" w:type="pct"/>
            <w:noWrap w:val="0"/>
            <w:vAlign w:val="center"/>
          </w:tcPr>
          <w:p w14:paraId="10B32CE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35" w:type="pct"/>
            <w:noWrap w:val="0"/>
            <w:vAlign w:val="center"/>
          </w:tcPr>
          <w:p w14:paraId="78DFA34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35" w:type="pct"/>
            <w:noWrap w:val="0"/>
            <w:vAlign w:val="center"/>
          </w:tcPr>
          <w:p w14:paraId="2C73A22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81" w:type="pct"/>
            <w:noWrap w:val="0"/>
            <w:vAlign w:val="center"/>
          </w:tcPr>
          <w:p w14:paraId="405B3D3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96" w:type="pct"/>
            <w:noWrap w:val="0"/>
            <w:vAlign w:val="center"/>
          </w:tcPr>
          <w:p w14:paraId="45736AE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02" w:type="pct"/>
            <w:noWrap w:val="0"/>
            <w:vAlign w:val="center"/>
          </w:tcPr>
          <w:p w14:paraId="5D5274A4">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4E2A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noWrap w:val="0"/>
            <w:vAlign w:val="center"/>
          </w:tcPr>
          <w:p w14:paraId="3487F5F5">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5</w:t>
            </w:r>
          </w:p>
        </w:tc>
        <w:tc>
          <w:tcPr>
            <w:tcW w:w="776" w:type="pct"/>
            <w:noWrap w:val="0"/>
            <w:vAlign w:val="center"/>
          </w:tcPr>
          <w:p w14:paraId="0175A88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01" w:type="pct"/>
            <w:noWrap w:val="0"/>
            <w:vAlign w:val="center"/>
          </w:tcPr>
          <w:p w14:paraId="0883CF6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25" w:type="pct"/>
            <w:noWrap w:val="0"/>
            <w:vAlign w:val="center"/>
          </w:tcPr>
          <w:p w14:paraId="7F29B93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6" w:type="pct"/>
            <w:noWrap w:val="0"/>
            <w:vAlign w:val="center"/>
          </w:tcPr>
          <w:p w14:paraId="2BAD361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35" w:type="pct"/>
            <w:noWrap w:val="0"/>
            <w:vAlign w:val="center"/>
          </w:tcPr>
          <w:p w14:paraId="41F3F7B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35" w:type="pct"/>
            <w:noWrap w:val="0"/>
            <w:vAlign w:val="center"/>
          </w:tcPr>
          <w:p w14:paraId="4C52EB0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81" w:type="pct"/>
            <w:noWrap w:val="0"/>
            <w:vAlign w:val="center"/>
          </w:tcPr>
          <w:p w14:paraId="30A50D2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96" w:type="pct"/>
            <w:noWrap w:val="0"/>
            <w:vAlign w:val="center"/>
          </w:tcPr>
          <w:p w14:paraId="2FAF687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02" w:type="pct"/>
            <w:noWrap w:val="0"/>
            <w:vAlign w:val="center"/>
          </w:tcPr>
          <w:p w14:paraId="4F39DC9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44E8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noWrap w:val="0"/>
            <w:vAlign w:val="center"/>
          </w:tcPr>
          <w:p w14:paraId="72F5E7D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6</w:t>
            </w:r>
          </w:p>
        </w:tc>
        <w:tc>
          <w:tcPr>
            <w:tcW w:w="776" w:type="pct"/>
            <w:noWrap w:val="0"/>
            <w:vAlign w:val="center"/>
          </w:tcPr>
          <w:p w14:paraId="228AB99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01" w:type="pct"/>
            <w:noWrap w:val="0"/>
            <w:vAlign w:val="center"/>
          </w:tcPr>
          <w:p w14:paraId="5780143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25" w:type="pct"/>
            <w:noWrap w:val="0"/>
            <w:vAlign w:val="center"/>
          </w:tcPr>
          <w:p w14:paraId="4C55BC0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6" w:type="pct"/>
            <w:noWrap w:val="0"/>
            <w:vAlign w:val="center"/>
          </w:tcPr>
          <w:p w14:paraId="233DEB5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35" w:type="pct"/>
            <w:noWrap w:val="0"/>
            <w:vAlign w:val="center"/>
          </w:tcPr>
          <w:p w14:paraId="49FAAEF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35" w:type="pct"/>
            <w:noWrap w:val="0"/>
            <w:vAlign w:val="center"/>
          </w:tcPr>
          <w:p w14:paraId="68E66B8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81" w:type="pct"/>
            <w:noWrap w:val="0"/>
            <w:vAlign w:val="center"/>
          </w:tcPr>
          <w:p w14:paraId="66AB8AD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96" w:type="pct"/>
            <w:noWrap w:val="0"/>
            <w:vAlign w:val="center"/>
          </w:tcPr>
          <w:p w14:paraId="3312405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02" w:type="pct"/>
            <w:noWrap w:val="0"/>
            <w:vAlign w:val="center"/>
          </w:tcPr>
          <w:p w14:paraId="50A8B38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3D56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noWrap w:val="0"/>
            <w:vAlign w:val="center"/>
          </w:tcPr>
          <w:p w14:paraId="0546BB3F">
            <w:pPr>
              <w:pStyle w:val="17"/>
              <w:pageBreakBefore w:val="0"/>
              <w:kinsoku/>
              <w:overflowPunct/>
              <w:topLinePunct w:val="0"/>
              <w:bidi w:val="0"/>
              <w:spacing w:line="360" w:lineRule="auto"/>
              <w:ind w:left="0" w:leftChars="0" w:firstLine="0" w:firstLineChars="0"/>
              <w:jc w:val="center"/>
              <w:textAlignment w:val="auto"/>
              <w:rPr>
                <w:rFonts w:hint="default" w:hAnsi="宋体" w:eastAsia="宋体"/>
                <w:color w:val="auto"/>
                <w:sz w:val="24"/>
                <w:szCs w:val="24"/>
                <w:lang w:val="en-US" w:eastAsia="zh-CN"/>
              </w:rPr>
            </w:pPr>
            <w:r>
              <w:rPr>
                <w:rFonts w:hint="eastAsia" w:hAnsi="宋体"/>
                <w:color w:val="auto"/>
                <w:sz w:val="24"/>
                <w:szCs w:val="24"/>
                <w:lang w:val="en-US" w:eastAsia="zh-CN"/>
              </w:rPr>
              <w:t>.....</w:t>
            </w:r>
          </w:p>
        </w:tc>
        <w:tc>
          <w:tcPr>
            <w:tcW w:w="776" w:type="pct"/>
            <w:noWrap w:val="0"/>
            <w:vAlign w:val="center"/>
          </w:tcPr>
          <w:p w14:paraId="0BDA299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01" w:type="pct"/>
            <w:noWrap w:val="0"/>
            <w:vAlign w:val="center"/>
          </w:tcPr>
          <w:p w14:paraId="2DB04CC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25" w:type="pct"/>
            <w:noWrap w:val="0"/>
            <w:vAlign w:val="center"/>
          </w:tcPr>
          <w:p w14:paraId="6D933C4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76" w:type="pct"/>
            <w:noWrap w:val="0"/>
            <w:vAlign w:val="center"/>
          </w:tcPr>
          <w:p w14:paraId="75977346">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35" w:type="pct"/>
            <w:noWrap w:val="0"/>
            <w:vAlign w:val="center"/>
          </w:tcPr>
          <w:p w14:paraId="710137C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35" w:type="pct"/>
            <w:noWrap w:val="0"/>
            <w:vAlign w:val="center"/>
          </w:tcPr>
          <w:p w14:paraId="03F0EC3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81" w:type="pct"/>
            <w:noWrap w:val="0"/>
            <w:vAlign w:val="center"/>
          </w:tcPr>
          <w:p w14:paraId="55C81B4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396" w:type="pct"/>
            <w:noWrap w:val="0"/>
            <w:vAlign w:val="center"/>
          </w:tcPr>
          <w:p w14:paraId="645D7FC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402" w:type="pct"/>
            <w:noWrap w:val="0"/>
            <w:vAlign w:val="center"/>
          </w:tcPr>
          <w:p w14:paraId="5AABC13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38C7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5" w:type="pct"/>
            <w:gridSpan w:val="2"/>
            <w:noWrap w:val="0"/>
            <w:vAlign w:val="center"/>
          </w:tcPr>
          <w:p w14:paraId="0580576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合价</w:t>
            </w:r>
          </w:p>
        </w:tc>
        <w:tc>
          <w:tcPr>
            <w:tcW w:w="3854" w:type="pct"/>
            <w:gridSpan w:val="8"/>
            <w:noWrap w:val="0"/>
            <w:vAlign w:val="center"/>
          </w:tcPr>
          <w:p w14:paraId="05449FA8">
            <w:pPr>
              <w:pageBreakBefore w:val="0"/>
              <w:tabs>
                <w:tab w:val="left" w:pos="5580"/>
              </w:tabs>
              <w:kinsoku/>
              <w:overflowPunct/>
              <w:topLinePunct w:val="0"/>
              <w:bidi w:val="0"/>
              <w:spacing w:line="360" w:lineRule="auto"/>
              <w:ind w:left="0" w:leftChars="0" w:firstLine="0" w:firstLineChars="0"/>
              <w:jc w:val="left"/>
              <w:textAlignment w:val="auto"/>
              <w:rPr>
                <w:rFonts w:hint="eastAsia" w:ascii="宋体" w:hAnsi="宋体"/>
                <w:color w:val="auto"/>
                <w:sz w:val="24"/>
              </w:rPr>
            </w:pPr>
            <w:r>
              <w:rPr>
                <w:rFonts w:hint="eastAsia" w:ascii="宋体" w:hAnsi="宋体"/>
                <w:color w:val="auto"/>
                <w:sz w:val="24"/>
              </w:rPr>
              <w:t>大写：</w:t>
            </w:r>
          </w:p>
          <w:p w14:paraId="56D7D485">
            <w:pPr>
              <w:pStyle w:val="17"/>
              <w:pageBreakBefore w:val="0"/>
              <w:kinsoku/>
              <w:overflowPunct/>
              <w:topLinePunct w:val="0"/>
              <w:bidi w:val="0"/>
              <w:spacing w:line="360" w:lineRule="auto"/>
              <w:ind w:left="0" w:leftChars="0" w:firstLine="0" w:firstLineChars="0"/>
              <w:textAlignment w:val="auto"/>
              <w:rPr>
                <w:rFonts w:hint="eastAsia" w:hAnsi="宋体"/>
                <w:color w:val="auto"/>
                <w:sz w:val="24"/>
                <w:szCs w:val="24"/>
              </w:rPr>
            </w:pPr>
            <w:r>
              <w:rPr>
                <w:rFonts w:hint="eastAsia" w:hAnsi="宋体"/>
                <w:color w:val="auto"/>
                <w:sz w:val="24"/>
              </w:rPr>
              <w:t>小写：</w:t>
            </w:r>
          </w:p>
        </w:tc>
      </w:tr>
    </w:tbl>
    <w:p w14:paraId="784C3DD9">
      <w:pPr>
        <w:pStyle w:val="17"/>
        <w:pageBreakBefore w:val="0"/>
        <w:tabs>
          <w:tab w:val="left" w:pos="5370"/>
        </w:tabs>
        <w:kinsoku/>
        <w:overflowPunct/>
        <w:topLinePunct w:val="0"/>
        <w:bidi w:val="0"/>
        <w:spacing w:line="360" w:lineRule="auto"/>
        <w:ind w:left="0" w:leftChars="0" w:firstLine="0" w:firstLineChars="0"/>
        <w:jc w:val="left"/>
        <w:textAlignment w:val="auto"/>
        <w:rPr>
          <w:rFonts w:hAnsi="宋体"/>
          <w:color w:val="auto"/>
          <w:sz w:val="24"/>
          <w:szCs w:val="24"/>
        </w:rPr>
      </w:pPr>
    </w:p>
    <w:p w14:paraId="2C65E1AB">
      <w:pPr>
        <w:pStyle w:val="17"/>
        <w:pageBreakBefore w:val="0"/>
        <w:tabs>
          <w:tab w:val="left" w:pos="5370"/>
        </w:tabs>
        <w:kinsoku/>
        <w:overflowPunct/>
        <w:topLinePunct w:val="0"/>
        <w:bidi w:val="0"/>
        <w:spacing w:line="360" w:lineRule="auto"/>
        <w:ind w:left="0" w:leftChars="0" w:firstLine="0" w:firstLineChars="0"/>
        <w:jc w:val="left"/>
        <w:textAlignment w:val="auto"/>
        <w:rPr>
          <w:rFonts w:hint="eastAsia" w:hAnsi="宋体"/>
          <w:color w:val="auto"/>
          <w:sz w:val="24"/>
          <w:szCs w:val="24"/>
          <w:u w:val="single"/>
        </w:rPr>
      </w:pPr>
      <w:r>
        <w:rPr>
          <w:rFonts w:hint="eastAsia" w:hAnsi="宋体"/>
          <w:color w:val="auto"/>
          <w:sz w:val="24"/>
          <w:szCs w:val="24"/>
        </w:rPr>
        <w:t>投标人(盖公章):</w:t>
      </w:r>
      <w:r>
        <w:rPr>
          <w:rFonts w:hAnsi="宋体"/>
          <w:color w:val="auto"/>
          <w:sz w:val="24"/>
          <w:szCs w:val="24"/>
          <w:u w:val="single"/>
        </w:rPr>
        <w:tab/>
      </w:r>
    </w:p>
    <w:p w14:paraId="3491CC83">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法定代表人或委托代理人（签字或签章）:</w:t>
      </w:r>
      <w:r>
        <w:rPr>
          <w:rFonts w:hint="eastAsia" w:hAnsi="宋体"/>
          <w:color w:val="auto"/>
          <w:sz w:val="24"/>
          <w:szCs w:val="24"/>
          <w:u w:val="single"/>
        </w:rPr>
        <w:t xml:space="preserve"> </w:t>
      </w:r>
      <w:r>
        <w:rPr>
          <w:rFonts w:hAnsi="宋体"/>
          <w:color w:val="auto"/>
          <w:sz w:val="24"/>
          <w:szCs w:val="24"/>
          <w:u w:val="single"/>
        </w:rPr>
        <w:tab/>
      </w:r>
      <w:r>
        <w:rPr>
          <w:rFonts w:hint="eastAsia" w:hAnsi="宋体"/>
          <w:color w:val="auto"/>
          <w:sz w:val="24"/>
          <w:szCs w:val="24"/>
          <w:u w:val="single"/>
        </w:rPr>
        <w:t xml:space="preserve">                 </w:t>
      </w:r>
    </w:p>
    <w:p w14:paraId="5C9E9A0C">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1F93F4C0">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注:</w:t>
      </w:r>
      <w:r>
        <w:rPr>
          <w:rFonts w:hAnsi="宋体"/>
          <w:color w:val="auto"/>
          <w:sz w:val="24"/>
          <w:szCs w:val="24"/>
        </w:rPr>
        <w:t>1</w:t>
      </w:r>
      <w:r>
        <w:rPr>
          <w:rFonts w:hint="eastAsia" w:hAnsi="宋体"/>
          <w:color w:val="auto"/>
          <w:sz w:val="24"/>
          <w:szCs w:val="24"/>
        </w:rPr>
        <w:t>.如果按单价计算的结果与总价不一致,以单价为准修正总价。</w:t>
      </w:r>
    </w:p>
    <w:p w14:paraId="20FEAEB5">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 xml:space="preserve">   </w:t>
      </w:r>
      <w:r>
        <w:rPr>
          <w:rFonts w:hAnsi="宋体"/>
          <w:color w:val="auto"/>
          <w:sz w:val="24"/>
          <w:szCs w:val="24"/>
        </w:rPr>
        <w:t>2</w:t>
      </w:r>
      <w:r>
        <w:rPr>
          <w:rFonts w:hint="eastAsia" w:hAnsi="宋体"/>
          <w:color w:val="auto"/>
          <w:sz w:val="24"/>
          <w:szCs w:val="24"/>
        </w:rPr>
        <w:t>.如果不提供详细分项报价将视为没有实质性响应招标文件。</w:t>
      </w:r>
    </w:p>
    <w:p w14:paraId="32F49F9C">
      <w:pPr>
        <w:pStyle w:val="17"/>
        <w:pageBreakBefore w:val="0"/>
        <w:kinsoku/>
        <w:overflowPunct/>
        <w:topLinePunct w:val="0"/>
        <w:bidi w:val="0"/>
        <w:spacing w:line="360" w:lineRule="auto"/>
        <w:ind w:left="0" w:leftChars="0" w:firstLine="0" w:firstLineChars="0"/>
        <w:jc w:val="left"/>
        <w:textAlignment w:val="auto"/>
        <w:outlineLvl w:val="2"/>
        <w:rPr>
          <w:rFonts w:hint="eastAsia" w:hAnsi="宋体"/>
          <w:color w:val="auto"/>
          <w:sz w:val="24"/>
          <w:szCs w:val="24"/>
        </w:rPr>
      </w:pPr>
      <w:r>
        <w:rPr>
          <w:rFonts w:hint="eastAsia" w:hAnsi="宋体"/>
          <w:color w:val="auto"/>
          <w:sz w:val="24"/>
          <w:szCs w:val="24"/>
        </w:rPr>
        <w:t xml:space="preserve">   </w:t>
      </w:r>
      <w:r>
        <w:rPr>
          <w:rFonts w:hAnsi="宋体"/>
          <w:color w:val="auto"/>
          <w:sz w:val="24"/>
          <w:szCs w:val="24"/>
        </w:rPr>
        <w:t>3</w:t>
      </w:r>
      <w:r>
        <w:rPr>
          <w:rFonts w:hint="eastAsia" w:hAnsi="宋体"/>
          <w:color w:val="auto"/>
          <w:sz w:val="24"/>
          <w:szCs w:val="24"/>
        </w:rPr>
        <w:t>.上述各项的详细分项报价，可另页描述。</w:t>
      </w:r>
    </w:p>
    <w:p w14:paraId="3448C877">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 xml:space="preserve">   </w:t>
      </w:r>
      <w:r>
        <w:rPr>
          <w:rFonts w:hAnsi="宋体"/>
          <w:color w:val="auto"/>
          <w:sz w:val="24"/>
          <w:szCs w:val="24"/>
        </w:rPr>
        <w:t>4</w:t>
      </w:r>
      <w:r>
        <w:rPr>
          <w:rFonts w:hint="eastAsia" w:hAnsi="宋体"/>
          <w:color w:val="auto"/>
          <w:sz w:val="24"/>
          <w:szCs w:val="24"/>
        </w:rPr>
        <w:t>.如果开标一览表（报价表）内容与本表内容和合计金额不一致的，以开标一览表（报价表）内容为准。</w:t>
      </w:r>
    </w:p>
    <w:p w14:paraId="2B057BCB">
      <w:pPr>
        <w:pageBreakBefore w:val="0"/>
        <w:tabs>
          <w:tab w:val="left" w:pos="1800"/>
          <w:tab w:val="left" w:pos="5580"/>
        </w:tabs>
        <w:kinsoku/>
        <w:overflowPunct/>
        <w:topLinePunct w:val="0"/>
        <w:bidi w:val="0"/>
        <w:spacing w:line="360" w:lineRule="auto"/>
        <w:ind w:left="0" w:leftChars="0" w:firstLine="0" w:firstLineChars="0"/>
        <w:jc w:val="both"/>
        <w:textAlignment w:val="auto"/>
        <w:rPr>
          <w:rFonts w:hAnsi="宋体"/>
          <w:color w:val="auto"/>
          <w:sz w:val="24"/>
        </w:rPr>
      </w:pPr>
    </w:p>
    <w:p w14:paraId="7F51C28C">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358A397F">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033392EE">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149C629C">
      <w:pPr>
        <w:pStyle w:val="17"/>
        <w:pageBreakBefore w:val="0"/>
        <w:kinsoku/>
        <w:overflowPunct/>
        <w:topLinePunct w:val="0"/>
        <w:bidi w:val="0"/>
        <w:spacing w:line="360" w:lineRule="auto"/>
        <w:ind w:left="0" w:leftChars="0" w:firstLine="0" w:firstLineChars="0"/>
        <w:jc w:val="left"/>
        <w:textAlignment w:val="auto"/>
        <w:outlineLvl w:val="2"/>
        <w:rPr>
          <w:rFonts w:hAnsi="宋体"/>
          <w:b/>
          <w:bCs/>
          <w:color w:val="auto"/>
          <w:sz w:val="24"/>
        </w:rPr>
      </w:pPr>
      <w:r>
        <w:rPr>
          <w:rFonts w:hAnsi="宋体"/>
          <w:color w:val="auto"/>
          <w:sz w:val="24"/>
          <w:szCs w:val="24"/>
        </w:rPr>
        <w:br w:type="page"/>
      </w:r>
      <w:bookmarkStart w:id="419" w:name="_Toc2582323"/>
      <w:bookmarkStart w:id="420" w:name="_Toc216582817"/>
      <w:bookmarkStart w:id="421" w:name="_Toc9487"/>
      <w:bookmarkStart w:id="422" w:name="_Toc28959"/>
      <w:bookmarkStart w:id="423" w:name="_Toc532473509"/>
      <w:bookmarkStart w:id="424" w:name="_Toc22563"/>
      <w:bookmarkStart w:id="425" w:name="_Toc515647820"/>
      <w:r>
        <w:rPr>
          <w:rFonts w:hAnsi="宋体"/>
          <w:b/>
          <w:bCs/>
          <w:color w:val="auto"/>
          <w:sz w:val="24"/>
          <w:szCs w:val="24"/>
        </w:rPr>
        <w:t xml:space="preserve">4 </w:t>
      </w:r>
      <w:r>
        <w:rPr>
          <w:rFonts w:hint="eastAsia" w:hAnsi="宋体"/>
          <w:b/>
          <w:bCs/>
          <w:color w:val="auto"/>
          <w:sz w:val="24"/>
        </w:rPr>
        <w:t>技术规格偏离表</w:t>
      </w:r>
      <w:bookmarkEnd w:id="419"/>
      <w:bookmarkEnd w:id="420"/>
      <w:bookmarkEnd w:id="421"/>
    </w:p>
    <w:bookmarkEnd w:id="422"/>
    <w:bookmarkEnd w:id="423"/>
    <w:bookmarkEnd w:id="424"/>
    <w:bookmarkEnd w:id="425"/>
    <w:p w14:paraId="44CAE464">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221B1204">
      <w:pPr>
        <w:pStyle w:val="17"/>
        <w:pageBreakBefore w:val="0"/>
        <w:kinsoku/>
        <w:overflowPunct/>
        <w:topLinePunct w:val="0"/>
        <w:bidi w:val="0"/>
        <w:spacing w:line="360" w:lineRule="auto"/>
        <w:ind w:left="0" w:leftChars="0" w:firstLine="0" w:firstLineChars="0"/>
        <w:jc w:val="left"/>
        <w:textAlignment w:val="auto"/>
        <w:rPr>
          <w:rFonts w:hAnsi="宋体"/>
          <w:color w:val="auto"/>
          <w:sz w:val="24"/>
          <w:szCs w:val="24"/>
        </w:rPr>
      </w:pPr>
      <w:r>
        <w:rPr>
          <w:rFonts w:hint="eastAsia" w:hAnsi="宋体"/>
          <w:color w:val="auto"/>
          <w:sz w:val="24"/>
          <w:szCs w:val="24"/>
        </w:rPr>
        <w:t xml:space="preserve">项目名称:                       </w:t>
      </w:r>
    </w:p>
    <w:p w14:paraId="7F8E3677">
      <w:pPr>
        <w:pStyle w:val="17"/>
        <w:pageBreakBefore w:val="0"/>
        <w:kinsoku/>
        <w:overflowPunct/>
        <w:topLinePunct w:val="0"/>
        <w:bidi w:val="0"/>
        <w:spacing w:line="360" w:lineRule="auto"/>
        <w:ind w:left="0" w:leftChars="0" w:firstLine="0" w:firstLineChars="0"/>
        <w:jc w:val="left"/>
        <w:textAlignment w:val="auto"/>
        <w:rPr>
          <w:rFonts w:hAnsi="宋体"/>
          <w:color w:val="auto"/>
          <w:sz w:val="24"/>
          <w:szCs w:val="24"/>
        </w:rPr>
      </w:pPr>
      <w:r>
        <w:rPr>
          <w:rFonts w:hint="eastAsia" w:hAnsi="宋体"/>
          <w:color w:val="auto"/>
          <w:sz w:val="24"/>
          <w:szCs w:val="24"/>
        </w:rPr>
        <w:t xml:space="preserve">项目编号:                 </w:t>
      </w:r>
    </w:p>
    <w:p w14:paraId="3C9C6666">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1890"/>
        <w:gridCol w:w="2361"/>
        <w:gridCol w:w="1286"/>
        <w:gridCol w:w="1434"/>
        <w:gridCol w:w="1025"/>
        <w:gridCol w:w="1025"/>
      </w:tblGrid>
      <w:tr w14:paraId="11C0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72" w:type="pct"/>
            <w:noWrap w:val="0"/>
            <w:vAlign w:val="center"/>
          </w:tcPr>
          <w:p w14:paraId="038EDEB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序号</w:t>
            </w:r>
          </w:p>
        </w:tc>
        <w:tc>
          <w:tcPr>
            <w:tcW w:w="948" w:type="pct"/>
            <w:noWrap w:val="0"/>
            <w:vAlign w:val="center"/>
          </w:tcPr>
          <w:p w14:paraId="4DE0423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Ansi="宋体"/>
                <w:color w:val="auto"/>
                <w:sz w:val="24"/>
                <w:szCs w:val="24"/>
              </w:rPr>
              <w:t>服务</w:t>
            </w:r>
            <w:r>
              <w:rPr>
                <w:rFonts w:hint="eastAsia" w:hAnsi="宋体"/>
                <w:color w:val="auto"/>
                <w:sz w:val="24"/>
                <w:szCs w:val="24"/>
              </w:rPr>
              <w:t>名称</w:t>
            </w:r>
          </w:p>
          <w:p w14:paraId="0E2FAB9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及伴随货物</w:t>
            </w:r>
          </w:p>
        </w:tc>
        <w:tc>
          <w:tcPr>
            <w:tcW w:w="1184" w:type="pct"/>
            <w:noWrap w:val="0"/>
            <w:vAlign w:val="center"/>
          </w:tcPr>
          <w:p w14:paraId="4C7F961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招标文件条款号</w:t>
            </w:r>
          </w:p>
        </w:tc>
        <w:tc>
          <w:tcPr>
            <w:tcW w:w="645" w:type="pct"/>
            <w:noWrap w:val="0"/>
            <w:vAlign w:val="center"/>
          </w:tcPr>
          <w:p w14:paraId="1C78711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招标要求</w:t>
            </w:r>
          </w:p>
        </w:tc>
        <w:tc>
          <w:tcPr>
            <w:tcW w:w="719" w:type="pct"/>
            <w:noWrap w:val="0"/>
            <w:vAlign w:val="center"/>
          </w:tcPr>
          <w:p w14:paraId="3E10CC4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投标响应</w:t>
            </w:r>
          </w:p>
        </w:tc>
        <w:tc>
          <w:tcPr>
            <w:tcW w:w="514" w:type="pct"/>
            <w:noWrap w:val="0"/>
            <w:vAlign w:val="center"/>
          </w:tcPr>
          <w:p w14:paraId="6B958C84">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偏离</w:t>
            </w:r>
          </w:p>
        </w:tc>
        <w:tc>
          <w:tcPr>
            <w:tcW w:w="514" w:type="pct"/>
            <w:noWrap w:val="0"/>
            <w:vAlign w:val="center"/>
          </w:tcPr>
          <w:p w14:paraId="702D2B9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说明</w:t>
            </w:r>
          </w:p>
        </w:tc>
      </w:tr>
      <w:tr w14:paraId="249E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72" w:type="pct"/>
            <w:noWrap w:val="0"/>
            <w:vAlign w:val="center"/>
          </w:tcPr>
          <w:p w14:paraId="0245C0D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948" w:type="pct"/>
            <w:noWrap w:val="0"/>
            <w:vAlign w:val="center"/>
          </w:tcPr>
          <w:p w14:paraId="01C4BAE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84" w:type="pct"/>
            <w:noWrap w:val="0"/>
            <w:vAlign w:val="center"/>
          </w:tcPr>
          <w:p w14:paraId="379E8C1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45" w:type="pct"/>
            <w:noWrap w:val="0"/>
            <w:vAlign w:val="center"/>
          </w:tcPr>
          <w:p w14:paraId="0761721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719" w:type="pct"/>
            <w:noWrap w:val="0"/>
            <w:vAlign w:val="center"/>
          </w:tcPr>
          <w:p w14:paraId="4420677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1E28F6A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217EA465">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62255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72" w:type="pct"/>
            <w:noWrap w:val="0"/>
            <w:vAlign w:val="center"/>
          </w:tcPr>
          <w:p w14:paraId="3A6CF5E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948" w:type="pct"/>
            <w:noWrap w:val="0"/>
            <w:vAlign w:val="center"/>
          </w:tcPr>
          <w:p w14:paraId="5736340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84" w:type="pct"/>
            <w:noWrap w:val="0"/>
            <w:vAlign w:val="center"/>
          </w:tcPr>
          <w:p w14:paraId="0B0DD2B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45" w:type="pct"/>
            <w:noWrap w:val="0"/>
            <w:vAlign w:val="center"/>
          </w:tcPr>
          <w:p w14:paraId="2873B0B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719" w:type="pct"/>
            <w:noWrap w:val="0"/>
            <w:vAlign w:val="center"/>
          </w:tcPr>
          <w:p w14:paraId="384F7AB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3AD0D524">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2A36C5B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0859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72" w:type="pct"/>
            <w:noWrap w:val="0"/>
            <w:vAlign w:val="center"/>
          </w:tcPr>
          <w:p w14:paraId="1EAC46E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948" w:type="pct"/>
            <w:noWrap w:val="0"/>
            <w:vAlign w:val="center"/>
          </w:tcPr>
          <w:p w14:paraId="14DA9FA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84" w:type="pct"/>
            <w:noWrap w:val="0"/>
            <w:vAlign w:val="center"/>
          </w:tcPr>
          <w:p w14:paraId="0CCF74A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45" w:type="pct"/>
            <w:noWrap w:val="0"/>
            <w:vAlign w:val="center"/>
          </w:tcPr>
          <w:p w14:paraId="6C0DEE1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719" w:type="pct"/>
            <w:noWrap w:val="0"/>
            <w:vAlign w:val="center"/>
          </w:tcPr>
          <w:p w14:paraId="5A7BE02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4CD619B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64FA455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3872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72" w:type="pct"/>
            <w:noWrap w:val="0"/>
            <w:vAlign w:val="center"/>
          </w:tcPr>
          <w:p w14:paraId="6FD7C254">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948" w:type="pct"/>
            <w:noWrap w:val="0"/>
            <w:vAlign w:val="center"/>
          </w:tcPr>
          <w:p w14:paraId="62F397E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84" w:type="pct"/>
            <w:noWrap w:val="0"/>
            <w:vAlign w:val="center"/>
          </w:tcPr>
          <w:p w14:paraId="77CC10A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45" w:type="pct"/>
            <w:noWrap w:val="0"/>
            <w:vAlign w:val="center"/>
          </w:tcPr>
          <w:p w14:paraId="2C0787F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719" w:type="pct"/>
            <w:noWrap w:val="0"/>
            <w:vAlign w:val="center"/>
          </w:tcPr>
          <w:p w14:paraId="7308687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1740AF7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6EFE7A1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75C9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72" w:type="pct"/>
            <w:noWrap w:val="0"/>
            <w:vAlign w:val="center"/>
          </w:tcPr>
          <w:p w14:paraId="5E39E3B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948" w:type="pct"/>
            <w:noWrap w:val="0"/>
            <w:vAlign w:val="center"/>
          </w:tcPr>
          <w:p w14:paraId="115B055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84" w:type="pct"/>
            <w:noWrap w:val="0"/>
            <w:vAlign w:val="center"/>
          </w:tcPr>
          <w:p w14:paraId="3CFE17E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45" w:type="pct"/>
            <w:noWrap w:val="0"/>
            <w:vAlign w:val="center"/>
          </w:tcPr>
          <w:p w14:paraId="3B65410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719" w:type="pct"/>
            <w:noWrap w:val="0"/>
            <w:vAlign w:val="center"/>
          </w:tcPr>
          <w:p w14:paraId="3ADDF4A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0F4A235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457D6B8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6593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72" w:type="pct"/>
            <w:noWrap w:val="0"/>
            <w:vAlign w:val="center"/>
          </w:tcPr>
          <w:p w14:paraId="37656A8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948" w:type="pct"/>
            <w:noWrap w:val="0"/>
            <w:vAlign w:val="center"/>
          </w:tcPr>
          <w:p w14:paraId="2BFEC89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84" w:type="pct"/>
            <w:noWrap w:val="0"/>
            <w:vAlign w:val="center"/>
          </w:tcPr>
          <w:p w14:paraId="6FDBF98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45" w:type="pct"/>
            <w:noWrap w:val="0"/>
            <w:vAlign w:val="center"/>
          </w:tcPr>
          <w:p w14:paraId="0FD0887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719" w:type="pct"/>
            <w:noWrap w:val="0"/>
            <w:vAlign w:val="center"/>
          </w:tcPr>
          <w:p w14:paraId="14F4D8A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100AF08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45114C35">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5A1C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72" w:type="pct"/>
            <w:noWrap w:val="0"/>
            <w:vAlign w:val="center"/>
          </w:tcPr>
          <w:p w14:paraId="68493CE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948" w:type="pct"/>
            <w:noWrap w:val="0"/>
            <w:vAlign w:val="center"/>
          </w:tcPr>
          <w:p w14:paraId="7DB3361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84" w:type="pct"/>
            <w:noWrap w:val="0"/>
            <w:vAlign w:val="center"/>
          </w:tcPr>
          <w:p w14:paraId="64509CD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45" w:type="pct"/>
            <w:noWrap w:val="0"/>
            <w:vAlign w:val="center"/>
          </w:tcPr>
          <w:p w14:paraId="15AF5DE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719" w:type="pct"/>
            <w:noWrap w:val="0"/>
            <w:vAlign w:val="center"/>
          </w:tcPr>
          <w:p w14:paraId="24A164F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13F4BE7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41B9329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759F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72" w:type="pct"/>
            <w:noWrap w:val="0"/>
            <w:vAlign w:val="center"/>
          </w:tcPr>
          <w:p w14:paraId="2507F3B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948" w:type="pct"/>
            <w:noWrap w:val="0"/>
            <w:vAlign w:val="center"/>
          </w:tcPr>
          <w:p w14:paraId="135C7FE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84" w:type="pct"/>
            <w:noWrap w:val="0"/>
            <w:vAlign w:val="center"/>
          </w:tcPr>
          <w:p w14:paraId="46CFD61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45" w:type="pct"/>
            <w:noWrap w:val="0"/>
            <w:vAlign w:val="center"/>
          </w:tcPr>
          <w:p w14:paraId="50621D6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719" w:type="pct"/>
            <w:noWrap w:val="0"/>
            <w:vAlign w:val="center"/>
          </w:tcPr>
          <w:p w14:paraId="4EDA7B0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5A7B8804">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07343CB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167A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72" w:type="pct"/>
            <w:noWrap w:val="0"/>
            <w:vAlign w:val="center"/>
          </w:tcPr>
          <w:p w14:paraId="540329C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948" w:type="pct"/>
            <w:noWrap w:val="0"/>
            <w:vAlign w:val="center"/>
          </w:tcPr>
          <w:p w14:paraId="0F99017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84" w:type="pct"/>
            <w:noWrap w:val="0"/>
            <w:vAlign w:val="center"/>
          </w:tcPr>
          <w:p w14:paraId="0EFC58F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45" w:type="pct"/>
            <w:noWrap w:val="0"/>
            <w:vAlign w:val="center"/>
          </w:tcPr>
          <w:p w14:paraId="5F4E533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719" w:type="pct"/>
            <w:noWrap w:val="0"/>
            <w:vAlign w:val="center"/>
          </w:tcPr>
          <w:p w14:paraId="04F48CF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2E4622E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40FA5DD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7AA1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72" w:type="pct"/>
            <w:noWrap w:val="0"/>
            <w:vAlign w:val="center"/>
          </w:tcPr>
          <w:p w14:paraId="73DE533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948" w:type="pct"/>
            <w:noWrap w:val="0"/>
            <w:vAlign w:val="center"/>
          </w:tcPr>
          <w:p w14:paraId="6342C68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84" w:type="pct"/>
            <w:noWrap w:val="0"/>
            <w:vAlign w:val="center"/>
          </w:tcPr>
          <w:p w14:paraId="459E415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45" w:type="pct"/>
            <w:noWrap w:val="0"/>
            <w:vAlign w:val="center"/>
          </w:tcPr>
          <w:p w14:paraId="22BE153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719" w:type="pct"/>
            <w:noWrap w:val="0"/>
            <w:vAlign w:val="center"/>
          </w:tcPr>
          <w:p w14:paraId="18BBE9C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7BD6028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7965C785">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2CC9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72" w:type="pct"/>
            <w:noWrap w:val="0"/>
            <w:vAlign w:val="center"/>
          </w:tcPr>
          <w:p w14:paraId="3DC7ED7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948" w:type="pct"/>
            <w:noWrap w:val="0"/>
            <w:vAlign w:val="center"/>
          </w:tcPr>
          <w:p w14:paraId="352F7AC5">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84" w:type="pct"/>
            <w:noWrap w:val="0"/>
            <w:vAlign w:val="center"/>
          </w:tcPr>
          <w:p w14:paraId="5FC6058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45" w:type="pct"/>
            <w:noWrap w:val="0"/>
            <w:vAlign w:val="center"/>
          </w:tcPr>
          <w:p w14:paraId="5FFC464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719" w:type="pct"/>
            <w:noWrap w:val="0"/>
            <w:vAlign w:val="center"/>
          </w:tcPr>
          <w:p w14:paraId="4BABAE2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4574508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7E25AF0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7BBE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72" w:type="pct"/>
            <w:noWrap w:val="0"/>
            <w:vAlign w:val="center"/>
          </w:tcPr>
          <w:p w14:paraId="02B458A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948" w:type="pct"/>
            <w:noWrap w:val="0"/>
            <w:vAlign w:val="center"/>
          </w:tcPr>
          <w:p w14:paraId="02A3D3C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84" w:type="pct"/>
            <w:noWrap w:val="0"/>
            <w:vAlign w:val="center"/>
          </w:tcPr>
          <w:p w14:paraId="6753A98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45" w:type="pct"/>
            <w:noWrap w:val="0"/>
            <w:vAlign w:val="center"/>
          </w:tcPr>
          <w:p w14:paraId="6725AFF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719" w:type="pct"/>
            <w:noWrap w:val="0"/>
            <w:vAlign w:val="center"/>
          </w:tcPr>
          <w:p w14:paraId="17D9162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5ED7857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62B2A04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78C5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72" w:type="pct"/>
            <w:noWrap w:val="0"/>
            <w:vAlign w:val="center"/>
          </w:tcPr>
          <w:p w14:paraId="27C8B04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948" w:type="pct"/>
            <w:noWrap w:val="0"/>
            <w:vAlign w:val="center"/>
          </w:tcPr>
          <w:p w14:paraId="5969D286">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84" w:type="pct"/>
            <w:noWrap w:val="0"/>
            <w:vAlign w:val="center"/>
          </w:tcPr>
          <w:p w14:paraId="2D18957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45" w:type="pct"/>
            <w:noWrap w:val="0"/>
            <w:vAlign w:val="center"/>
          </w:tcPr>
          <w:p w14:paraId="155C00E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719" w:type="pct"/>
            <w:noWrap w:val="0"/>
            <w:vAlign w:val="center"/>
          </w:tcPr>
          <w:p w14:paraId="1CBD3D0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05DBD9F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10B7C44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0D10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72" w:type="pct"/>
            <w:noWrap w:val="0"/>
            <w:vAlign w:val="center"/>
          </w:tcPr>
          <w:p w14:paraId="2B3BF3A5">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948" w:type="pct"/>
            <w:noWrap w:val="0"/>
            <w:vAlign w:val="center"/>
          </w:tcPr>
          <w:p w14:paraId="69897C14">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84" w:type="pct"/>
            <w:noWrap w:val="0"/>
            <w:vAlign w:val="center"/>
          </w:tcPr>
          <w:p w14:paraId="4D7C59C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645" w:type="pct"/>
            <w:noWrap w:val="0"/>
            <w:vAlign w:val="center"/>
          </w:tcPr>
          <w:p w14:paraId="21D5F30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719" w:type="pct"/>
            <w:noWrap w:val="0"/>
            <w:vAlign w:val="center"/>
          </w:tcPr>
          <w:p w14:paraId="0129E1D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5F1E39D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14" w:type="pct"/>
            <w:noWrap w:val="0"/>
            <w:vAlign w:val="center"/>
          </w:tcPr>
          <w:p w14:paraId="6352854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bl>
    <w:p w14:paraId="3532AEF0">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4680E841">
      <w:pPr>
        <w:pStyle w:val="17"/>
        <w:pageBreakBefore w:val="0"/>
        <w:tabs>
          <w:tab w:val="left" w:pos="5370"/>
        </w:tabs>
        <w:kinsoku/>
        <w:overflowPunct/>
        <w:topLinePunct w:val="0"/>
        <w:bidi w:val="0"/>
        <w:spacing w:line="360" w:lineRule="auto"/>
        <w:ind w:left="0" w:leftChars="0" w:firstLine="0" w:firstLineChars="0"/>
        <w:jc w:val="left"/>
        <w:textAlignment w:val="auto"/>
        <w:rPr>
          <w:rFonts w:hint="eastAsia" w:hAnsi="宋体"/>
          <w:color w:val="auto"/>
          <w:sz w:val="24"/>
          <w:szCs w:val="24"/>
          <w:u w:val="single"/>
        </w:rPr>
      </w:pPr>
      <w:r>
        <w:rPr>
          <w:rFonts w:hint="eastAsia" w:hAnsi="宋体"/>
          <w:color w:val="auto"/>
          <w:sz w:val="24"/>
          <w:szCs w:val="24"/>
        </w:rPr>
        <w:t>投标人(盖章):</w:t>
      </w:r>
      <w:r>
        <w:rPr>
          <w:rFonts w:hAnsi="宋体"/>
          <w:color w:val="auto"/>
          <w:sz w:val="24"/>
          <w:szCs w:val="24"/>
          <w:u w:val="single"/>
        </w:rPr>
        <w:t xml:space="preserve">                                </w:t>
      </w:r>
    </w:p>
    <w:p w14:paraId="21E09FA2">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r>
        <w:rPr>
          <w:rFonts w:hint="eastAsia" w:hAnsi="宋体"/>
          <w:color w:val="auto"/>
          <w:sz w:val="24"/>
          <w:szCs w:val="24"/>
        </w:rPr>
        <w:t>法定代表人或委托代理人（签字或签章）:</w:t>
      </w:r>
      <w:r>
        <w:rPr>
          <w:rFonts w:hint="eastAsia" w:hAnsi="宋体"/>
          <w:color w:val="auto"/>
          <w:sz w:val="24"/>
          <w:szCs w:val="24"/>
          <w:u w:val="single"/>
        </w:rPr>
        <w:t xml:space="preserve"> </w:t>
      </w:r>
      <w:r>
        <w:rPr>
          <w:rFonts w:hAnsi="宋体"/>
          <w:color w:val="auto"/>
          <w:sz w:val="24"/>
          <w:szCs w:val="24"/>
          <w:u w:val="single"/>
        </w:rPr>
        <w:t xml:space="preserve"> </w:t>
      </w:r>
      <w:r>
        <w:rPr>
          <w:rFonts w:hint="eastAsia" w:hAnsi="宋体"/>
          <w:color w:val="auto"/>
          <w:sz w:val="24"/>
          <w:szCs w:val="24"/>
          <w:u w:val="single"/>
        </w:rPr>
        <w:t xml:space="preserve">                </w:t>
      </w:r>
    </w:p>
    <w:p w14:paraId="73F7DD39">
      <w:pPr>
        <w:pStyle w:val="17"/>
        <w:pageBreakBefore w:val="0"/>
        <w:tabs>
          <w:tab w:val="left" w:pos="5580"/>
        </w:tabs>
        <w:kinsoku/>
        <w:overflowPunct/>
        <w:topLinePunct w:val="0"/>
        <w:bidi w:val="0"/>
        <w:spacing w:line="360" w:lineRule="auto"/>
        <w:ind w:left="0" w:leftChars="0" w:firstLine="0" w:firstLineChars="0"/>
        <w:jc w:val="left"/>
        <w:textAlignment w:val="auto"/>
        <w:rPr>
          <w:rFonts w:hint="eastAsia" w:hAnsi="宋体"/>
          <w:color w:val="auto"/>
          <w:sz w:val="24"/>
          <w:szCs w:val="24"/>
          <w:u w:val="single"/>
        </w:rPr>
      </w:pPr>
    </w:p>
    <w:p w14:paraId="525B9C6C">
      <w:pPr>
        <w:pStyle w:val="17"/>
        <w:pageBreakBefore w:val="0"/>
        <w:kinsoku/>
        <w:overflowPunct/>
        <w:topLinePunct w:val="0"/>
        <w:bidi w:val="0"/>
        <w:spacing w:line="360" w:lineRule="auto"/>
        <w:ind w:left="0" w:leftChars="0" w:firstLine="0" w:firstLineChars="0"/>
        <w:jc w:val="left"/>
        <w:textAlignment w:val="auto"/>
        <w:outlineLvl w:val="2"/>
        <w:rPr>
          <w:rFonts w:hAnsi="宋体"/>
          <w:b/>
          <w:bCs/>
          <w:color w:val="auto"/>
          <w:sz w:val="24"/>
          <w:szCs w:val="24"/>
        </w:rPr>
      </w:pPr>
      <w:bookmarkStart w:id="426" w:name="_Toc216582818"/>
      <w:bookmarkStart w:id="427" w:name="_Toc2582324"/>
      <w:bookmarkStart w:id="428" w:name="_Toc1980"/>
      <w:bookmarkStart w:id="429" w:name="_Toc532473510"/>
      <w:bookmarkStart w:id="430" w:name="_Toc515647821"/>
      <w:bookmarkStart w:id="431" w:name="_Toc23"/>
      <w:r>
        <w:rPr>
          <w:rFonts w:hAnsi="宋体"/>
          <w:b/>
          <w:bCs/>
          <w:color w:val="auto"/>
          <w:sz w:val="24"/>
          <w:szCs w:val="24"/>
        </w:rPr>
        <w:br w:type="page"/>
      </w:r>
      <w:bookmarkStart w:id="432" w:name="_Toc7050"/>
      <w:r>
        <w:rPr>
          <w:rFonts w:hint="eastAsia" w:hAnsi="宋体"/>
          <w:b/>
          <w:bCs/>
          <w:color w:val="auto"/>
          <w:sz w:val="24"/>
          <w:szCs w:val="24"/>
        </w:rPr>
        <w:t>5</w:t>
      </w:r>
      <w:r>
        <w:rPr>
          <w:rFonts w:hAnsi="宋体"/>
          <w:b/>
          <w:bCs/>
          <w:color w:val="auto"/>
          <w:sz w:val="24"/>
          <w:szCs w:val="24"/>
        </w:rPr>
        <w:t xml:space="preserve"> </w:t>
      </w:r>
      <w:r>
        <w:rPr>
          <w:rFonts w:hint="eastAsia" w:hAnsi="宋体"/>
          <w:b/>
          <w:bCs/>
          <w:color w:val="auto"/>
          <w:sz w:val="24"/>
          <w:szCs w:val="24"/>
        </w:rPr>
        <w:t>商务条款偏离表</w:t>
      </w:r>
      <w:bookmarkEnd w:id="426"/>
      <w:bookmarkEnd w:id="427"/>
      <w:bookmarkEnd w:id="432"/>
    </w:p>
    <w:bookmarkEnd w:id="428"/>
    <w:bookmarkEnd w:id="429"/>
    <w:bookmarkEnd w:id="430"/>
    <w:bookmarkEnd w:id="431"/>
    <w:p w14:paraId="76F77526">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12D61F39">
      <w:pPr>
        <w:pStyle w:val="17"/>
        <w:pageBreakBefore w:val="0"/>
        <w:kinsoku/>
        <w:overflowPunct/>
        <w:topLinePunct w:val="0"/>
        <w:bidi w:val="0"/>
        <w:spacing w:line="360" w:lineRule="auto"/>
        <w:ind w:left="0" w:leftChars="0" w:firstLine="0" w:firstLineChars="0"/>
        <w:jc w:val="left"/>
        <w:textAlignment w:val="auto"/>
        <w:rPr>
          <w:rFonts w:hAnsi="宋体"/>
          <w:color w:val="auto"/>
          <w:sz w:val="24"/>
          <w:szCs w:val="24"/>
        </w:rPr>
      </w:pPr>
      <w:r>
        <w:rPr>
          <w:rFonts w:hint="eastAsia" w:hAnsi="宋体"/>
          <w:color w:val="auto"/>
          <w:sz w:val="24"/>
          <w:szCs w:val="24"/>
        </w:rPr>
        <w:t xml:space="preserve">项目名称:                      </w:t>
      </w:r>
    </w:p>
    <w:p w14:paraId="153C91C1">
      <w:pPr>
        <w:pStyle w:val="17"/>
        <w:pageBreakBefore w:val="0"/>
        <w:kinsoku/>
        <w:overflowPunct/>
        <w:topLinePunct w:val="0"/>
        <w:bidi w:val="0"/>
        <w:spacing w:line="360" w:lineRule="auto"/>
        <w:ind w:left="0" w:leftChars="0" w:firstLine="0" w:firstLineChars="0"/>
        <w:jc w:val="left"/>
        <w:textAlignment w:val="auto"/>
        <w:rPr>
          <w:rFonts w:hAnsi="宋体"/>
          <w:color w:val="auto"/>
          <w:sz w:val="24"/>
          <w:szCs w:val="24"/>
        </w:rPr>
      </w:pPr>
      <w:r>
        <w:rPr>
          <w:rFonts w:hint="eastAsia" w:hAnsi="宋体"/>
          <w:color w:val="auto"/>
          <w:sz w:val="24"/>
          <w:szCs w:val="24"/>
        </w:rPr>
        <w:t xml:space="preserve">项目编号:             </w:t>
      </w:r>
    </w:p>
    <w:tbl>
      <w:tblPr>
        <w:tblStyle w:val="33"/>
        <w:tblpPr w:leftFromText="180" w:rightFromText="180" w:vertAnchor="text" w:horzAnchor="page" w:tblpX="1060" w:tblpY="466"/>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2276"/>
        <w:gridCol w:w="2812"/>
        <w:gridCol w:w="2812"/>
        <w:gridCol w:w="1004"/>
      </w:tblGrid>
      <w:tr w14:paraId="5455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31" w:type="pct"/>
            <w:noWrap w:val="0"/>
            <w:vAlign w:val="center"/>
          </w:tcPr>
          <w:p w14:paraId="0F85826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序号</w:t>
            </w:r>
          </w:p>
        </w:tc>
        <w:tc>
          <w:tcPr>
            <w:tcW w:w="1142" w:type="pct"/>
            <w:noWrap w:val="0"/>
            <w:vAlign w:val="center"/>
          </w:tcPr>
          <w:p w14:paraId="45A45D9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招标文件条款号</w:t>
            </w:r>
          </w:p>
        </w:tc>
        <w:tc>
          <w:tcPr>
            <w:tcW w:w="1411" w:type="pct"/>
            <w:noWrap w:val="0"/>
            <w:vAlign w:val="center"/>
          </w:tcPr>
          <w:p w14:paraId="2CB7AF1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招标文件的商务条款</w:t>
            </w:r>
          </w:p>
        </w:tc>
        <w:tc>
          <w:tcPr>
            <w:tcW w:w="1411" w:type="pct"/>
            <w:noWrap w:val="0"/>
            <w:vAlign w:val="center"/>
          </w:tcPr>
          <w:p w14:paraId="6FE74BC6">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投标文件的商务条款</w:t>
            </w:r>
          </w:p>
        </w:tc>
        <w:tc>
          <w:tcPr>
            <w:tcW w:w="503" w:type="pct"/>
            <w:noWrap w:val="0"/>
            <w:vAlign w:val="center"/>
          </w:tcPr>
          <w:p w14:paraId="41D31286">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r>
              <w:rPr>
                <w:rFonts w:hint="eastAsia" w:hAnsi="宋体"/>
                <w:color w:val="auto"/>
                <w:sz w:val="24"/>
                <w:szCs w:val="24"/>
              </w:rPr>
              <w:t>说明</w:t>
            </w:r>
          </w:p>
        </w:tc>
      </w:tr>
      <w:tr w14:paraId="3B6B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70745105">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4470F00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4FB394D4">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1A3FE50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34F43AC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303A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3596277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4ED39774">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7921F22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2004D1E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1FE2F37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26FF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7EA78BF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6313A016">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2E83AD45">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5FA964E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3658143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7094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0423A3D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7DDFA26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5AD6EEA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3CAD284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7CD6BE2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1466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0C50AA1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22E44C7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7FE24E94">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37B4B7E4">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1F82A7A6">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4AEC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06A0338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2787EF94">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645F4CE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2801172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7C0BEAA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2B4A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4CD03E1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44DE62C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49EBAB5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570782F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3A0B2BD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49FD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4C6D0F6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6F299B3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7FFE486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433227B5">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3B9914D6">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212E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23400A9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012551C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5915DA4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15F74B9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6B02442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04EA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5973E56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1EEF09B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6892B56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0E87B446">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32871034">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776B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7D3766C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41D3108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56E1069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26F14DF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33D3149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1A40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1D1C7BC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267C1E6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33CAA66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78F5698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5C15113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3D05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236531FC">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015D0F21">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628A290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3EC3245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19CFE77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6273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5F45BCA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36B6702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50729403">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55F71D7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0EB24F1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4311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50A62F95">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7C0CEBC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7833E98B">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1219354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4F5E91D8">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1B87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137A4E79">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6DDC5C70">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6B94008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094D4F5F">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3D36B43E">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r w14:paraId="0D2F0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1" w:type="pct"/>
            <w:noWrap w:val="0"/>
            <w:vAlign w:val="center"/>
          </w:tcPr>
          <w:p w14:paraId="64F9AADD">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142" w:type="pct"/>
            <w:noWrap w:val="0"/>
            <w:vAlign w:val="center"/>
          </w:tcPr>
          <w:p w14:paraId="5D651AA7">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4A5ADE0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1411" w:type="pct"/>
            <w:noWrap w:val="0"/>
            <w:vAlign w:val="center"/>
          </w:tcPr>
          <w:p w14:paraId="31BA1FF2">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c>
          <w:tcPr>
            <w:tcW w:w="503" w:type="pct"/>
            <w:noWrap w:val="0"/>
            <w:vAlign w:val="center"/>
          </w:tcPr>
          <w:p w14:paraId="7414965A">
            <w:pPr>
              <w:pStyle w:val="17"/>
              <w:pageBreakBefore w:val="0"/>
              <w:kinsoku/>
              <w:overflowPunct/>
              <w:topLinePunct w:val="0"/>
              <w:bidi w:val="0"/>
              <w:spacing w:line="360" w:lineRule="auto"/>
              <w:ind w:left="0" w:leftChars="0" w:firstLine="0" w:firstLineChars="0"/>
              <w:jc w:val="center"/>
              <w:textAlignment w:val="auto"/>
              <w:rPr>
                <w:rFonts w:hint="eastAsia" w:hAnsi="宋体"/>
                <w:color w:val="auto"/>
                <w:sz w:val="24"/>
                <w:szCs w:val="24"/>
              </w:rPr>
            </w:pPr>
          </w:p>
        </w:tc>
      </w:tr>
    </w:tbl>
    <w:p w14:paraId="1FD58E47">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5E51B325">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7ED20CAC">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298798ED">
      <w:pPr>
        <w:pStyle w:val="17"/>
        <w:pageBreakBefore w:val="0"/>
        <w:tabs>
          <w:tab w:val="left" w:pos="5370"/>
        </w:tabs>
        <w:kinsoku/>
        <w:overflowPunct/>
        <w:topLinePunct w:val="0"/>
        <w:bidi w:val="0"/>
        <w:spacing w:line="360" w:lineRule="auto"/>
        <w:ind w:left="0" w:leftChars="0" w:firstLine="0" w:firstLineChars="0"/>
        <w:jc w:val="left"/>
        <w:textAlignment w:val="auto"/>
        <w:rPr>
          <w:rFonts w:hint="eastAsia" w:hAnsi="宋体"/>
          <w:color w:val="auto"/>
          <w:sz w:val="24"/>
          <w:szCs w:val="24"/>
          <w:u w:val="single"/>
        </w:rPr>
      </w:pPr>
      <w:r>
        <w:rPr>
          <w:rFonts w:hint="eastAsia" w:hAnsi="宋体"/>
          <w:color w:val="auto"/>
          <w:sz w:val="24"/>
          <w:szCs w:val="24"/>
        </w:rPr>
        <w:t>投标人(盖章):</w:t>
      </w:r>
      <w:r>
        <w:rPr>
          <w:rFonts w:hAnsi="宋体"/>
          <w:color w:val="auto"/>
          <w:sz w:val="24"/>
          <w:szCs w:val="24"/>
          <w:u w:val="single"/>
        </w:rPr>
        <w:t xml:space="preserve">                               </w:t>
      </w:r>
    </w:p>
    <w:p w14:paraId="4146B92F">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u w:val="single"/>
        </w:rPr>
      </w:pPr>
      <w:r>
        <w:rPr>
          <w:rFonts w:hint="eastAsia" w:hAnsi="宋体"/>
          <w:color w:val="auto"/>
          <w:sz w:val="24"/>
          <w:szCs w:val="24"/>
        </w:rPr>
        <w:t>法定代表人或委托代理人（签字或签章）:</w:t>
      </w:r>
      <w:r>
        <w:rPr>
          <w:rFonts w:hAnsi="宋体"/>
          <w:color w:val="auto"/>
          <w:sz w:val="24"/>
          <w:szCs w:val="24"/>
          <w:u w:val="single"/>
        </w:rPr>
        <w:t xml:space="preserve">  </w:t>
      </w:r>
      <w:r>
        <w:rPr>
          <w:rFonts w:hint="eastAsia" w:hAnsi="宋体"/>
          <w:color w:val="auto"/>
          <w:sz w:val="24"/>
          <w:szCs w:val="24"/>
          <w:u w:val="single"/>
        </w:rPr>
        <w:t xml:space="preserve">                 </w:t>
      </w:r>
    </w:p>
    <w:p w14:paraId="2A46F92A">
      <w:pPr>
        <w:pStyle w:val="17"/>
        <w:pageBreakBefore w:val="0"/>
        <w:kinsoku/>
        <w:overflowPunct/>
        <w:topLinePunct w:val="0"/>
        <w:bidi w:val="0"/>
        <w:spacing w:line="360" w:lineRule="auto"/>
        <w:ind w:left="0" w:leftChars="0" w:firstLine="0" w:firstLineChars="0"/>
        <w:jc w:val="left"/>
        <w:textAlignment w:val="auto"/>
        <w:rPr>
          <w:rFonts w:hint="eastAsia" w:hAnsi="宋体"/>
          <w:color w:val="auto"/>
          <w:sz w:val="24"/>
          <w:szCs w:val="24"/>
        </w:rPr>
      </w:pPr>
    </w:p>
    <w:p w14:paraId="586FD614">
      <w:pPr>
        <w:pStyle w:val="17"/>
        <w:pageBreakBefore w:val="0"/>
        <w:kinsoku/>
        <w:overflowPunct/>
        <w:topLinePunct w:val="0"/>
        <w:bidi w:val="0"/>
        <w:spacing w:line="360" w:lineRule="auto"/>
        <w:ind w:left="0" w:leftChars="0" w:firstLine="0" w:firstLineChars="0"/>
        <w:jc w:val="left"/>
        <w:textAlignment w:val="auto"/>
        <w:outlineLvl w:val="2"/>
        <w:rPr>
          <w:rFonts w:hAnsi="宋体"/>
          <w:b/>
          <w:bCs/>
          <w:color w:val="auto"/>
          <w:sz w:val="24"/>
          <w:szCs w:val="24"/>
        </w:rPr>
      </w:pPr>
      <w:bookmarkStart w:id="433" w:name="_Hlt520350918"/>
      <w:bookmarkEnd w:id="433"/>
      <w:bookmarkStart w:id="434" w:name="_Hlt520343392"/>
      <w:bookmarkEnd w:id="434"/>
      <w:bookmarkStart w:id="435" w:name="_Hlt520273973"/>
      <w:bookmarkEnd w:id="435"/>
      <w:bookmarkStart w:id="436" w:name="_Hlt520274393"/>
      <w:bookmarkEnd w:id="436"/>
      <w:bookmarkStart w:id="437" w:name="_Hlt520274911"/>
      <w:bookmarkEnd w:id="437"/>
      <w:bookmarkStart w:id="438" w:name="_Hlt520274065"/>
      <w:bookmarkEnd w:id="438"/>
      <w:bookmarkStart w:id="439" w:name="_Hlt520343000"/>
      <w:bookmarkEnd w:id="439"/>
      <w:bookmarkStart w:id="440" w:name="_Hlt520274407"/>
      <w:bookmarkEnd w:id="440"/>
      <w:bookmarkStart w:id="441" w:name="_Hlt520271212"/>
      <w:bookmarkEnd w:id="441"/>
      <w:bookmarkStart w:id="442" w:name="_Hlt520273711"/>
      <w:bookmarkEnd w:id="442"/>
      <w:bookmarkStart w:id="443" w:name="_Hlt520350957"/>
      <w:bookmarkEnd w:id="443"/>
      <w:bookmarkStart w:id="444" w:name="_Toc2582325"/>
      <w:bookmarkStart w:id="445" w:name="_Toc10725"/>
      <w:bookmarkStart w:id="446" w:name="_Toc515647823"/>
      <w:bookmarkStart w:id="447" w:name="_Toc21312"/>
      <w:bookmarkStart w:id="448" w:name="_Toc532473511"/>
      <w:r>
        <w:rPr>
          <w:rFonts w:hAnsi="宋体"/>
          <w:color w:val="auto"/>
          <w:sz w:val="24"/>
          <w:szCs w:val="24"/>
        </w:rPr>
        <w:br w:type="page"/>
      </w:r>
      <w:bookmarkStart w:id="449" w:name="_Toc3713"/>
      <w:r>
        <w:rPr>
          <w:rFonts w:hint="eastAsia" w:hAnsi="宋体"/>
          <w:b/>
          <w:bCs/>
          <w:color w:val="auto"/>
          <w:sz w:val="24"/>
          <w:szCs w:val="24"/>
        </w:rPr>
        <w:t>6</w:t>
      </w:r>
      <w:r>
        <w:rPr>
          <w:rFonts w:hAnsi="宋体"/>
          <w:b/>
          <w:bCs/>
          <w:color w:val="auto"/>
          <w:sz w:val="24"/>
          <w:szCs w:val="24"/>
        </w:rPr>
        <w:t xml:space="preserve"> </w:t>
      </w:r>
      <w:bookmarkEnd w:id="444"/>
      <w:bookmarkEnd w:id="449"/>
      <w:r>
        <w:rPr>
          <w:rFonts w:hint="eastAsia" w:hAnsi="宋体"/>
          <w:b/>
          <w:bCs/>
          <w:color w:val="auto"/>
          <w:sz w:val="24"/>
          <w:szCs w:val="24"/>
        </w:rPr>
        <w:t>政府采购相关政策要求（如涉及）</w:t>
      </w:r>
    </w:p>
    <w:bookmarkEnd w:id="445"/>
    <w:bookmarkEnd w:id="446"/>
    <w:bookmarkEnd w:id="447"/>
    <w:bookmarkEnd w:id="448"/>
    <w:p w14:paraId="227054C4">
      <w:pPr>
        <w:pageBreakBefore w:val="0"/>
        <w:kinsoku/>
        <w:overflowPunct/>
        <w:topLinePunct w:val="0"/>
        <w:bidi w:val="0"/>
        <w:spacing w:line="360" w:lineRule="auto"/>
        <w:ind w:left="0" w:leftChars="0" w:firstLine="0" w:firstLineChars="0"/>
        <w:jc w:val="left"/>
        <w:textAlignment w:val="auto"/>
        <w:rPr>
          <w:rFonts w:hint="eastAsia" w:ascii="宋体" w:hAnsi="宋体"/>
          <w:b/>
          <w:color w:val="auto"/>
          <w:kern w:val="0"/>
          <w:sz w:val="24"/>
        </w:rPr>
      </w:pPr>
    </w:p>
    <w:p w14:paraId="5A197DE7">
      <w:pPr>
        <w:pageBreakBefore w:val="0"/>
        <w:kinsoku/>
        <w:overflowPunct/>
        <w:topLinePunct w:val="0"/>
        <w:bidi w:val="0"/>
        <w:snapToGrid w:val="0"/>
        <w:spacing w:line="360" w:lineRule="auto"/>
        <w:ind w:left="0" w:leftChars="0" w:firstLine="0" w:firstLineChars="0"/>
        <w:jc w:val="center"/>
        <w:textAlignment w:val="auto"/>
        <w:rPr>
          <w:rFonts w:hint="eastAsia" w:ascii="宋体" w:hAnsi="宋体" w:eastAsia="宋体" w:cs="宋体"/>
          <w:b/>
          <w:color w:val="auto"/>
          <w:kern w:val="0"/>
          <w:sz w:val="28"/>
          <w:szCs w:val="28"/>
        </w:rPr>
      </w:pPr>
      <w:bookmarkStart w:id="450" w:name="_Toc2582326"/>
      <w:bookmarkStart w:id="451" w:name="_Toc532473512"/>
      <w:bookmarkStart w:id="452" w:name="_Toc11803"/>
      <w:bookmarkStart w:id="453" w:name="_Toc10977"/>
      <w:bookmarkStart w:id="454" w:name="_Toc515647824"/>
      <w:r>
        <w:rPr>
          <w:rFonts w:hint="eastAsia" w:ascii="宋体" w:hAnsi="宋体" w:eastAsia="宋体" w:cs="宋体"/>
          <w:b/>
          <w:color w:val="auto"/>
          <w:kern w:val="0"/>
          <w:sz w:val="28"/>
          <w:szCs w:val="28"/>
          <w:lang w:val="en-US" w:eastAsia="zh-CN"/>
        </w:rPr>
        <w:t>中小企业声明函（服务）</w:t>
      </w:r>
    </w:p>
    <w:p w14:paraId="742B01A1">
      <w:pPr>
        <w:spacing w:line="360" w:lineRule="auto"/>
        <w:ind w:firstLine="480" w:firstLineChars="200"/>
        <w:jc w:val="left"/>
        <w:rPr>
          <w:rStyle w:val="97"/>
          <w:rFonts w:hint="eastAsia" w:ascii="宋体" w:hAnsi="宋体"/>
          <w:b w:val="0"/>
          <w:color w:val="auto"/>
          <w:sz w:val="24"/>
          <w:szCs w:val="24"/>
        </w:rPr>
      </w:pPr>
      <w:r>
        <w:rPr>
          <w:rStyle w:val="97"/>
          <w:rFonts w:hint="eastAsia" w:ascii="宋体" w:hAnsi="宋体"/>
          <w:b w:val="0"/>
          <w:color w:val="auto"/>
          <w:sz w:val="24"/>
          <w:szCs w:val="24"/>
          <w:lang w:val="en-US" w:eastAsia="zh-CN"/>
        </w:rPr>
        <w:t>本公司（联合体）郑重声明，根据《政府采购促进中小企业发展管理办法》（财库﹝2020﹞46 号）的规定，本公司（联合体）参加</w:t>
      </w:r>
      <w:r>
        <w:rPr>
          <w:rStyle w:val="97"/>
          <w:rFonts w:hint="eastAsia" w:ascii="宋体" w:hAnsi="宋体"/>
          <w:b w:val="0"/>
          <w:color w:val="auto"/>
          <w:sz w:val="24"/>
          <w:szCs w:val="24"/>
          <w:u w:val="single"/>
          <w:lang w:val="en-US" w:eastAsia="zh-CN"/>
        </w:rPr>
        <w:t>（单位名称）</w:t>
      </w:r>
      <w:r>
        <w:rPr>
          <w:rStyle w:val="97"/>
          <w:rFonts w:hint="eastAsia" w:ascii="宋体" w:hAnsi="宋体"/>
          <w:b w:val="0"/>
          <w:color w:val="auto"/>
          <w:sz w:val="24"/>
          <w:szCs w:val="24"/>
          <w:lang w:val="en-US" w:eastAsia="zh-CN"/>
        </w:rPr>
        <w:t>的</w:t>
      </w:r>
      <w:r>
        <w:rPr>
          <w:rStyle w:val="97"/>
          <w:rFonts w:hint="eastAsia" w:ascii="宋体" w:hAnsi="宋体"/>
          <w:b w:val="0"/>
          <w:color w:val="auto"/>
          <w:sz w:val="24"/>
          <w:szCs w:val="24"/>
          <w:u w:val="single"/>
          <w:lang w:val="en-US" w:eastAsia="zh-CN"/>
        </w:rPr>
        <w:t>（项目名称）</w:t>
      </w:r>
      <w:r>
        <w:rPr>
          <w:rStyle w:val="97"/>
          <w:rFonts w:hint="eastAsia" w:ascii="宋体" w:hAnsi="宋体"/>
          <w:b w:val="0"/>
          <w:color w:val="auto"/>
          <w:sz w:val="24"/>
          <w:szCs w:val="24"/>
          <w:lang w:val="en-US" w:eastAsia="zh-CN"/>
        </w:rPr>
        <w:t>采购活动，服务全部由符合政策要求的中小企业承接。相关企业（含联合体中的中小企业、签订分包意向协议的中小企业）的具体情况如下：</w:t>
      </w:r>
    </w:p>
    <w:p w14:paraId="39D1FF54">
      <w:pPr>
        <w:spacing w:line="360" w:lineRule="auto"/>
        <w:ind w:firstLine="480" w:firstLineChars="200"/>
        <w:jc w:val="left"/>
        <w:rPr>
          <w:rStyle w:val="97"/>
          <w:rFonts w:hint="eastAsia" w:ascii="宋体" w:hAnsi="宋体"/>
          <w:b w:val="0"/>
          <w:color w:val="auto"/>
          <w:sz w:val="24"/>
          <w:szCs w:val="24"/>
        </w:rPr>
      </w:pPr>
      <w:r>
        <w:rPr>
          <w:rStyle w:val="97"/>
          <w:rFonts w:hint="eastAsia" w:ascii="宋体" w:hAnsi="宋体"/>
          <w:b w:val="0"/>
          <w:color w:val="auto"/>
          <w:sz w:val="24"/>
          <w:szCs w:val="24"/>
          <w:lang w:val="en-US" w:eastAsia="zh-CN"/>
        </w:rPr>
        <w:t>1.</w:t>
      </w:r>
      <w:r>
        <w:rPr>
          <w:rStyle w:val="97"/>
          <w:rFonts w:hint="eastAsia" w:ascii="宋体" w:hAnsi="宋体"/>
          <w:b w:val="0"/>
          <w:color w:val="auto"/>
          <w:sz w:val="24"/>
          <w:szCs w:val="24"/>
          <w:u w:val="single"/>
          <w:lang w:val="en-US" w:eastAsia="zh-CN"/>
        </w:rPr>
        <w:t xml:space="preserve"> （标的名称） </w:t>
      </w:r>
      <w:r>
        <w:rPr>
          <w:rStyle w:val="97"/>
          <w:rFonts w:hint="eastAsia" w:ascii="宋体" w:hAnsi="宋体"/>
          <w:b w:val="0"/>
          <w:color w:val="auto"/>
          <w:sz w:val="24"/>
          <w:szCs w:val="24"/>
          <w:lang w:val="en-US" w:eastAsia="zh-CN"/>
        </w:rPr>
        <w:t>，属于</w:t>
      </w:r>
      <w:r>
        <w:rPr>
          <w:rStyle w:val="97"/>
          <w:rFonts w:hint="eastAsia" w:ascii="宋体" w:hAnsi="宋体"/>
          <w:b w:val="0"/>
          <w:color w:val="auto"/>
          <w:sz w:val="24"/>
          <w:szCs w:val="24"/>
          <w:u w:val="single"/>
          <w:lang w:val="en-US" w:eastAsia="zh-CN"/>
        </w:rPr>
        <w:t>（采购文件中明确的所属行业）</w:t>
      </w:r>
      <w:r>
        <w:rPr>
          <w:rStyle w:val="97"/>
          <w:rFonts w:hint="eastAsia" w:ascii="宋体" w:hAnsi="宋体"/>
          <w:b w:val="0"/>
          <w:color w:val="auto"/>
          <w:sz w:val="24"/>
          <w:szCs w:val="24"/>
          <w:lang w:val="en-US" w:eastAsia="zh-CN"/>
        </w:rPr>
        <w:t xml:space="preserve">； </w:t>
      </w:r>
    </w:p>
    <w:p w14:paraId="6C5E3D89">
      <w:pPr>
        <w:spacing w:line="360" w:lineRule="auto"/>
        <w:ind w:firstLine="480" w:firstLineChars="200"/>
        <w:jc w:val="left"/>
        <w:rPr>
          <w:rStyle w:val="97"/>
          <w:rFonts w:hint="eastAsia" w:ascii="宋体" w:hAnsi="宋体"/>
          <w:b w:val="0"/>
          <w:color w:val="auto"/>
          <w:sz w:val="24"/>
          <w:szCs w:val="24"/>
        </w:rPr>
      </w:pPr>
      <w:r>
        <w:rPr>
          <w:rStyle w:val="97"/>
          <w:rFonts w:hint="eastAsia" w:ascii="宋体" w:hAnsi="宋体"/>
          <w:b w:val="0"/>
          <w:color w:val="auto"/>
          <w:sz w:val="24"/>
          <w:szCs w:val="24"/>
          <w:lang w:val="en-US" w:eastAsia="zh-CN"/>
        </w:rPr>
        <w:t>承接企业为</w:t>
      </w:r>
      <w:r>
        <w:rPr>
          <w:rStyle w:val="97"/>
          <w:rFonts w:hint="eastAsia" w:ascii="宋体" w:hAnsi="宋体"/>
          <w:b w:val="0"/>
          <w:color w:val="auto"/>
          <w:sz w:val="24"/>
          <w:szCs w:val="24"/>
          <w:u w:val="single"/>
          <w:lang w:val="en-US" w:eastAsia="zh-CN"/>
        </w:rPr>
        <w:t>（企业名称）</w:t>
      </w:r>
      <w:r>
        <w:rPr>
          <w:rStyle w:val="97"/>
          <w:rFonts w:hint="eastAsia" w:ascii="宋体" w:hAnsi="宋体"/>
          <w:b w:val="0"/>
          <w:color w:val="auto"/>
          <w:sz w:val="24"/>
          <w:szCs w:val="24"/>
          <w:lang w:val="en-US" w:eastAsia="zh-CN"/>
        </w:rPr>
        <w:t>，从业人员</w:t>
      </w:r>
      <w:r>
        <w:rPr>
          <w:rStyle w:val="97"/>
          <w:rFonts w:hint="eastAsia" w:ascii="宋体" w:hAnsi="宋体"/>
          <w:b w:val="0"/>
          <w:color w:val="auto"/>
          <w:sz w:val="24"/>
          <w:szCs w:val="24"/>
          <w:u w:val="single"/>
          <w:lang w:val="en-US" w:eastAsia="zh-CN"/>
        </w:rPr>
        <w:t xml:space="preserve">       </w:t>
      </w:r>
      <w:r>
        <w:rPr>
          <w:rStyle w:val="97"/>
          <w:rFonts w:hint="eastAsia" w:ascii="宋体" w:hAnsi="宋体"/>
          <w:b w:val="0"/>
          <w:color w:val="auto"/>
          <w:sz w:val="24"/>
          <w:szCs w:val="24"/>
          <w:lang w:val="en-US" w:eastAsia="zh-CN"/>
        </w:rPr>
        <w:t>人，营业收入为</w:t>
      </w:r>
      <w:r>
        <w:rPr>
          <w:rStyle w:val="97"/>
          <w:rFonts w:hint="eastAsia" w:ascii="宋体" w:hAnsi="宋体"/>
          <w:b w:val="0"/>
          <w:color w:val="auto"/>
          <w:sz w:val="24"/>
          <w:szCs w:val="24"/>
          <w:u w:val="single"/>
          <w:lang w:val="en-US" w:eastAsia="zh-CN"/>
        </w:rPr>
        <w:t xml:space="preserve">       </w:t>
      </w:r>
      <w:r>
        <w:rPr>
          <w:rStyle w:val="97"/>
          <w:rFonts w:hint="eastAsia" w:ascii="宋体" w:hAnsi="宋体"/>
          <w:b w:val="0"/>
          <w:color w:val="auto"/>
          <w:sz w:val="24"/>
          <w:szCs w:val="24"/>
          <w:lang w:val="en-US" w:eastAsia="zh-CN"/>
        </w:rPr>
        <w:t>万元，资产总额为</w:t>
      </w:r>
      <w:r>
        <w:rPr>
          <w:rStyle w:val="97"/>
          <w:rFonts w:hint="eastAsia" w:ascii="宋体" w:hAnsi="宋体"/>
          <w:b w:val="0"/>
          <w:color w:val="auto"/>
          <w:sz w:val="24"/>
          <w:szCs w:val="24"/>
          <w:u w:val="single"/>
          <w:lang w:val="en-US" w:eastAsia="zh-CN"/>
        </w:rPr>
        <w:t xml:space="preserve">       </w:t>
      </w:r>
      <w:r>
        <w:rPr>
          <w:rStyle w:val="97"/>
          <w:rFonts w:hint="eastAsia" w:ascii="宋体" w:hAnsi="宋体"/>
          <w:b w:val="0"/>
          <w:color w:val="auto"/>
          <w:sz w:val="24"/>
          <w:szCs w:val="24"/>
          <w:lang w:val="en-US" w:eastAsia="zh-CN"/>
        </w:rPr>
        <w:t>万元，属于</w:t>
      </w:r>
      <w:r>
        <w:rPr>
          <w:rStyle w:val="97"/>
          <w:rFonts w:hint="eastAsia" w:ascii="宋体" w:hAnsi="宋体"/>
          <w:b w:val="0"/>
          <w:color w:val="auto"/>
          <w:sz w:val="24"/>
          <w:szCs w:val="24"/>
          <w:u w:val="single"/>
          <w:lang w:val="en-US" w:eastAsia="zh-CN"/>
        </w:rPr>
        <w:t xml:space="preserve">  （中型企业、小型企业、微型企业）</w:t>
      </w:r>
      <w:r>
        <w:rPr>
          <w:rStyle w:val="97"/>
          <w:rFonts w:hint="eastAsia" w:ascii="宋体" w:hAnsi="宋体"/>
          <w:b w:val="0"/>
          <w:color w:val="auto"/>
          <w:sz w:val="24"/>
          <w:szCs w:val="24"/>
          <w:lang w:val="en-US" w:eastAsia="zh-CN"/>
        </w:rPr>
        <w:t xml:space="preserve">； </w:t>
      </w:r>
    </w:p>
    <w:p w14:paraId="3FD04A95">
      <w:pPr>
        <w:spacing w:line="360" w:lineRule="auto"/>
        <w:ind w:firstLine="480" w:firstLineChars="200"/>
        <w:jc w:val="left"/>
        <w:rPr>
          <w:rStyle w:val="97"/>
          <w:rFonts w:hint="eastAsia" w:ascii="宋体" w:hAnsi="宋体"/>
          <w:b w:val="0"/>
          <w:color w:val="auto"/>
          <w:sz w:val="24"/>
          <w:szCs w:val="24"/>
        </w:rPr>
      </w:pPr>
      <w:r>
        <w:rPr>
          <w:rStyle w:val="97"/>
          <w:rFonts w:hint="eastAsia" w:ascii="宋体" w:hAnsi="宋体"/>
          <w:b w:val="0"/>
          <w:color w:val="auto"/>
          <w:sz w:val="24"/>
          <w:szCs w:val="24"/>
          <w:lang w:val="en-US" w:eastAsia="zh-CN"/>
        </w:rPr>
        <w:t>2.</w:t>
      </w:r>
      <w:r>
        <w:rPr>
          <w:rStyle w:val="97"/>
          <w:rFonts w:hint="eastAsia" w:ascii="宋体" w:hAnsi="宋体"/>
          <w:b w:val="0"/>
          <w:color w:val="auto"/>
          <w:sz w:val="24"/>
          <w:szCs w:val="24"/>
          <w:u w:val="single"/>
          <w:lang w:val="en-US" w:eastAsia="zh-CN"/>
        </w:rPr>
        <w:t xml:space="preserve"> （标的名称） </w:t>
      </w:r>
      <w:r>
        <w:rPr>
          <w:rStyle w:val="97"/>
          <w:rFonts w:hint="eastAsia" w:ascii="宋体" w:hAnsi="宋体"/>
          <w:b w:val="0"/>
          <w:color w:val="auto"/>
          <w:sz w:val="24"/>
          <w:szCs w:val="24"/>
          <w:lang w:val="en-US" w:eastAsia="zh-CN"/>
        </w:rPr>
        <w:t xml:space="preserve">，属于（采购文件中明确的所属行业）； </w:t>
      </w:r>
    </w:p>
    <w:p w14:paraId="098483D7">
      <w:pPr>
        <w:spacing w:line="360" w:lineRule="auto"/>
        <w:ind w:firstLine="480" w:firstLineChars="200"/>
        <w:jc w:val="left"/>
        <w:rPr>
          <w:rStyle w:val="97"/>
          <w:rFonts w:hint="eastAsia" w:ascii="宋体" w:hAnsi="宋体"/>
          <w:b w:val="0"/>
          <w:color w:val="auto"/>
          <w:sz w:val="24"/>
          <w:szCs w:val="24"/>
        </w:rPr>
      </w:pPr>
      <w:r>
        <w:rPr>
          <w:rStyle w:val="97"/>
          <w:rFonts w:hint="eastAsia" w:ascii="宋体" w:hAnsi="宋体"/>
          <w:b w:val="0"/>
          <w:color w:val="auto"/>
          <w:sz w:val="24"/>
          <w:szCs w:val="24"/>
          <w:lang w:val="en-US" w:eastAsia="zh-CN"/>
        </w:rPr>
        <w:t>承接企业为</w:t>
      </w:r>
      <w:r>
        <w:rPr>
          <w:rStyle w:val="97"/>
          <w:rFonts w:hint="eastAsia" w:ascii="宋体" w:hAnsi="宋体"/>
          <w:b w:val="0"/>
          <w:color w:val="auto"/>
          <w:sz w:val="24"/>
          <w:szCs w:val="24"/>
          <w:u w:val="single"/>
          <w:lang w:val="en-US" w:eastAsia="zh-CN"/>
        </w:rPr>
        <w:t>（企业名称）</w:t>
      </w:r>
      <w:r>
        <w:rPr>
          <w:rStyle w:val="97"/>
          <w:rFonts w:hint="eastAsia" w:ascii="宋体" w:hAnsi="宋体"/>
          <w:b w:val="0"/>
          <w:color w:val="auto"/>
          <w:sz w:val="24"/>
          <w:szCs w:val="24"/>
          <w:lang w:val="en-US" w:eastAsia="zh-CN"/>
        </w:rPr>
        <w:t>，从业人员</w:t>
      </w:r>
      <w:r>
        <w:rPr>
          <w:rStyle w:val="97"/>
          <w:rFonts w:hint="eastAsia" w:ascii="宋体" w:hAnsi="宋体"/>
          <w:b w:val="0"/>
          <w:color w:val="auto"/>
          <w:sz w:val="24"/>
          <w:szCs w:val="24"/>
          <w:u w:val="single"/>
          <w:lang w:val="en-US" w:eastAsia="zh-CN"/>
        </w:rPr>
        <w:t xml:space="preserve">       </w:t>
      </w:r>
      <w:r>
        <w:rPr>
          <w:rStyle w:val="97"/>
          <w:rFonts w:hint="eastAsia" w:ascii="宋体" w:hAnsi="宋体"/>
          <w:b w:val="0"/>
          <w:color w:val="auto"/>
          <w:sz w:val="24"/>
          <w:szCs w:val="24"/>
          <w:lang w:val="en-US" w:eastAsia="zh-CN"/>
        </w:rPr>
        <w:t>人，营业收入为</w:t>
      </w:r>
      <w:r>
        <w:rPr>
          <w:rStyle w:val="97"/>
          <w:rFonts w:hint="eastAsia" w:ascii="宋体" w:hAnsi="宋体"/>
          <w:b w:val="0"/>
          <w:color w:val="auto"/>
          <w:sz w:val="24"/>
          <w:szCs w:val="24"/>
          <w:u w:val="single"/>
          <w:lang w:val="en-US" w:eastAsia="zh-CN"/>
        </w:rPr>
        <w:t xml:space="preserve">       </w:t>
      </w:r>
      <w:r>
        <w:rPr>
          <w:rStyle w:val="97"/>
          <w:rFonts w:hint="eastAsia" w:ascii="宋体" w:hAnsi="宋体"/>
          <w:b w:val="0"/>
          <w:color w:val="auto"/>
          <w:sz w:val="24"/>
          <w:szCs w:val="24"/>
          <w:lang w:val="en-US" w:eastAsia="zh-CN"/>
        </w:rPr>
        <w:t>万元，资产总额为</w:t>
      </w:r>
      <w:r>
        <w:rPr>
          <w:rStyle w:val="97"/>
          <w:rFonts w:hint="eastAsia" w:ascii="宋体" w:hAnsi="宋体"/>
          <w:b w:val="0"/>
          <w:color w:val="auto"/>
          <w:sz w:val="24"/>
          <w:szCs w:val="24"/>
          <w:u w:val="single"/>
          <w:lang w:val="en-US" w:eastAsia="zh-CN"/>
        </w:rPr>
        <w:t xml:space="preserve">       </w:t>
      </w:r>
      <w:r>
        <w:rPr>
          <w:rStyle w:val="97"/>
          <w:rFonts w:hint="eastAsia" w:ascii="宋体" w:hAnsi="宋体"/>
          <w:b w:val="0"/>
          <w:color w:val="auto"/>
          <w:sz w:val="24"/>
          <w:szCs w:val="24"/>
          <w:lang w:val="en-US" w:eastAsia="zh-CN"/>
        </w:rPr>
        <w:t>万元，属于</w:t>
      </w:r>
      <w:r>
        <w:rPr>
          <w:rStyle w:val="97"/>
          <w:rFonts w:hint="eastAsia" w:ascii="宋体" w:hAnsi="宋体"/>
          <w:b w:val="0"/>
          <w:color w:val="auto"/>
          <w:sz w:val="24"/>
          <w:szCs w:val="24"/>
          <w:u w:val="single"/>
          <w:lang w:val="en-US" w:eastAsia="zh-CN"/>
        </w:rPr>
        <w:t xml:space="preserve">  （中型企业、小型企业、微型企业）</w:t>
      </w:r>
      <w:r>
        <w:rPr>
          <w:rStyle w:val="97"/>
          <w:rFonts w:hint="eastAsia" w:ascii="宋体" w:hAnsi="宋体"/>
          <w:b w:val="0"/>
          <w:color w:val="auto"/>
          <w:sz w:val="24"/>
          <w:szCs w:val="24"/>
          <w:lang w:val="en-US" w:eastAsia="zh-CN"/>
        </w:rPr>
        <w:t xml:space="preserve">； </w:t>
      </w:r>
    </w:p>
    <w:p w14:paraId="1B01D5AE">
      <w:pPr>
        <w:spacing w:line="360" w:lineRule="auto"/>
        <w:ind w:firstLine="480" w:firstLineChars="200"/>
        <w:jc w:val="left"/>
        <w:rPr>
          <w:rStyle w:val="97"/>
          <w:rFonts w:hint="eastAsia" w:ascii="宋体" w:hAnsi="宋体"/>
          <w:b w:val="0"/>
          <w:color w:val="auto"/>
          <w:sz w:val="24"/>
          <w:szCs w:val="24"/>
        </w:rPr>
      </w:pPr>
      <w:r>
        <w:rPr>
          <w:rStyle w:val="97"/>
          <w:rFonts w:hint="eastAsia" w:ascii="宋体" w:hAnsi="宋体"/>
          <w:b w:val="0"/>
          <w:color w:val="auto"/>
          <w:sz w:val="24"/>
          <w:szCs w:val="24"/>
          <w:lang w:val="en-US" w:eastAsia="zh-CN"/>
        </w:rPr>
        <w:t>……</w:t>
      </w:r>
    </w:p>
    <w:p w14:paraId="6BB9E09F">
      <w:pPr>
        <w:spacing w:line="360" w:lineRule="auto"/>
        <w:ind w:firstLine="480" w:firstLineChars="200"/>
        <w:jc w:val="left"/>
        <w:rPr>
          <w:rStyle w:val="97"/>
          <w:rFonts w:hint="eastAsia" w:ascii="宋体" w:hAnsi="宋体"/>
          <w:b w:val="0"/>
          <w:color w:val="auto"/>
          <w:sz w:val="24"/>
          <w:szCs w:val="24"/>
        </w:rPr>
      </w:pPr>
      <w:r>
        <w:rPr>
          <w:rStyle w:val="97"/>
          <w:rFonts w:hint="eastAsia" w:ascii="宋体" w:hAnsi="宋体"/>
          <w:b w:val="0"/>
          <w:color w:val="auto"/>
          <w:sz w:val="24"/>
          <w:szCs w:val="24"/>
          <w:lang w:val="en-US" w:eastAsia="zh-CN"/>
        </w:rPr>
        <w:t>以上企业，不属于大企业的分支机构，不存在控股股东为大企业的情形，也不存在与大企业的负责人为同一人的情形。</w:t>
      </w:r>
    </w:p>
    <w:p w14:paraId="69DE2BD4">
      <w:pPr>
        <w:spacing w:line="360" w:lineRule="auto"/>
        <w:ind w:firstLine="480" w:firstLineChars="200"/>
        <w:jc w:val="left"/>
        <w:rPr>
          <w:rStyle w:val="97"/>
          <w:rFonts w:hint="eastAsia" w:ascii="宋体" w:hAnsi="宋体"/>
          <w:b w:val="0"/>
          <w:color w:val="auto"/>
          <w:sz w:val="24"/>
          <w:szCs w:val="24"/>
        </w:rPr>
      </w:pPr>
      <w:r>
        <w:rPr>
          <w:rStyle w:val="97"/>
          <w:rFonts w:hint="eastAsia" w:ascii="宋体" w:hAnsi="宋体"/>
          <w:b w:val="0"/>
          <w:color w:val="auto"/>
          <w:sz w:val="24"/>
          <w:szCs w:val="24"/>
          <w:lang w:val="en-US" w:eastAsia="zh-CN"/>
        </w:rPr>
        <w:t xml:space="preserve">本企业对上述声明内容的真实性负责。如有虚假，将依法承担相应责任。 </w:t>
      </w:r>
    </w:p>
    <w:p w14:paraId="1291E8C0">
      <w:pPr>
        <w:spacing w:line="360" w:lineRule="auto"/>
        <w:ind w:firstLine="480" w:firstLineChars="200"/>
        <w:jc w:val="left"/>
        <w:rPr>
          <w:rStyle w:val="97"/>
          <w:rFonts w:hint="eastAsia" w:ascii="宋体" w:hAnsi="宋体"/>
          <w:b w:val="0"/>
          <w:color w:val="auto"/>
          <w:sz w:val="24"/>
          <w:szCs w:val="24"/>
        </w:rPr>
      </w:pPr>
      <w:r>
        <w:rPr>
          <w:rStyle w:val="97"/>
          <w:rFonts w:hint="eastAsia" w:ascii="宋体" w:hAnsi="宋体"/>
          <w:b w:val="0"/>
          <w:color w:val="auto"/>
          <w:sz w:val="24"/>
          <w:szCs w:val="24"/>
          <w:lang w:val="en-US" w:eastAsia="zh-CN"/>
        </w:rPr>
        <w:t xml:space="preserve">企业名称（盖章）： </w:t>
      </w:r>
    </w:p>
    <w:p w14:paraId="302012E8">
      <w:pPr>
        <w:spacing w:line="360" w:lineRule="auto"/>
        <w:ind w:firstLine="480" w:firstLineChars="200"/>
        <w:jc w:val="left"/>
        <w:rPr>
          <w:rStyle w:val="97"/>
          <w:rFonts w:hint="eastAsia" w:ascii="宋体" w:hAnsi="宋体"/>
          <w:b w:val="0"/>
          <w:color w:val="auto"/>
          <w:sz w:val="24"/>
          <w:szCs w:val="24"/>
        </w:rPr>
      </w:pPr>
      <w:r>
        <w:rPr>
          <w:rStyle w:val="97"/>
          <w:rFonts w:hint="eastAsia" w:ascii="宋体" w:hAnsi="宋体"/>
          <w:b w:val="0"/>
          <w:color w:val="auto"/>
          <w:sz w:val="24"/>
          <w:szCs w:val="24"/>
          <w:lang w:val="en-US" w:eastAsia="zh-CN"/>
        </w:rPr>
        <w:t xml:space="preserve">日 期： </w:t>
      </w:r>
    </w:p>
    <w:p w14:paraId="41296EDA">
      <w:pPr>
        <w:spacing w:line="360" w:lineRule="auto"/>
        <w:ind w:firstLine="480" w:firstLineChars="200"/>
        <w:jc w:val="left"/>
        <w:rPr>
          <w:rStyle w:val="97"/>
          <w:rFonts w:hint="eastAsia" w:ascii="宋体" w:hAnsi="宋体"/>
          <w:b w:val="0"/>
          <w:color w:val="auto"/>
          <w:sz w:val="24"/>
          <w:szCs w:val="24"/>
          <w:lang w:val="en-US" w:eastAsia="zh-CN"/>
        </w:rPr>
      </w:pPr>
    </w:p>
    <w:p w14:paraId="27A07931">
      <w:pPr>
        <w:spacing w:line="360" w:lineRule="auto"/>
        <w:ind w:firstLine="480" w:firstLineChars="200"/>
        <w:jc w:val="left"/>
        <w:rPr>
          <w:rStyle w:val="97"/>
          <w:rFonts w:hint="eastAsia" w:ascii="宋体" w:hAnsi="宋体"/>
          <w:b w:val="0"/>
          <w:color w:val="auto"/>
          <w:sz w:val="24"/>
          <w:szCs w:val="24"/>
          <w:lang w:val="en-US" w:eastAsia="zh-CN"/>
        </w:rPr>
      </w:pPr>
    </w:p>
    <w:p w14:paraId="4CDCEC8D">
      <w:pPr>
        <w:spacing w:line="480" w:lineRule="exact"/>
        <w:ind w:firstLine="4667" w:firstLineChars="1937"/>
        <w:rPr>
          <w:rFonts w:ascii="宋体" w:hAnsi="宋体" w:cs="宋体"/>
          <w:b/>
          <w:color w:val="auto"/>
          <w:sz w:val="24"/>
          <w:szCs w:val="24"/>
        </w:rPr>
      </w:pPr>
      <w:r>
        <w:rPr>
          <w:rFonts w:hint="eastAsia" w:ascii="宋体" w:hAnsi="宋体" w:cs="宋体"/>
          <w:b/>
          <w:color w:val="auto"/>
          <w:sz w:val="24"/>
          <w:szCs w:val="24"/>
        </w:rPr>
        <w:t>投标单位全称（公章）：</w:t>
      </w:r>
      <w:r>
        <w:rPr>
          <w:rFonts w:hint="eastAsia" w:ascii="宋体" w:hAnsi="宋体" w:cs="宋体"/>
          <w:b/>
          <w:color w:val="auto"/>
          <w:sz w:val="24"/>
          <w:szCs w:val="24"/>
          <w:u w:val="single"/>
        </w:rPr>
        <w:t xml:space="preserve">                    </w:t>
      </w:r>
      <w:r>
        <w:rPr>
          <w:rFonts w:hint="eastAsia" w:ascii="宋体" w:hAnsi="宋体" w:cs="宋体"/>
          <w:b/>
          <w:color w:val="auto"/>
          <w:sz w:val="24"/>
          <w:szCs w:val="24"/>
        </w:rPr>
        <w:t xml:space="preserve"> </w:t>
      </w:r>
    </w:p>
    <w:p w14:paraId="4DCE8572">
      <w:pPr>
        <w:spacing w:line="480" w:lineRule="exact"/>
        <w:ind w:firstLine="4667" w:firstLineChars="1937"/>
        <w:rPr>
          <w:rFonts w:ascii="仿宋" w:hAnsi="仿宋" w:eastAsia="仿宋"/>
          <w:b/>
          <w:color w:val="auto"/>
          <w:sz w:val="24"/>
          <w:szCs w:val="24"/>
        </w:rPr>
      </w:pPr>
      <w:r>
        <w:rPr>
          <w:rFonts w:hint="eastAsia" w:ascii="宋体" w:hAnsi="宋体" w:cs="宋体"/>
          <w:b/>
          <w:color w:val="auto"/>
          <w:sz w:val="24"/>
          <w:szCs w:val="24"/>
        </w:rPr>
        <w:t>签署日期：</w:t>
      </w:r>
      <w:r>
        <w:rPr>
          <w:rFonts w:hint="eastAsia" w:ascii="宋体" w:hAnsi="宋体" w:cs="宋体"/>
          <w:b/>
          <w:color w:val="auto"/>
          <w:sz w:val="24"/>
          <w:szCs w:val="24"/>
          <w:u w:val="single"/>
        </w:rPr>
        <w:t xml:space="preserve">           </w:t>
      </w:r>
      <w:r>
        <w:rPr>
          <w:rFonts w:hint="eastAsia" w:ascii="宋体" w:hAnsi="宋体" w:cs="宋体"/>
          <w:b/>
          <w:color w:val="auto"/>
          <w:sz w:val="24"/>
          <w:szCs w:val="24"/>
        </w:rPr>
        <w:t>年</w:t>
      </w:r>
      <w:r>
        <w:rPr>
          <w:rFonts w:hint="eastAsia" w:ascii="宋体" w:hAnsi="宋体" w:cs="宋体"/>
          <w:b/>
          <w:color w:val="auto"/>
          <w:sz w:val="24"/>
          <w:szCs w:val="24"/>
          <w:u w:val="single"/>
        </w:rPr>
        <w:t xml:space="preserve">       </w:t>
      </w:r>
      <w:r>
        <w:rPr>
          <w:rFonts w:hint="eastAsia" w:ascii="宋体" w:hAnsi="宋体" w:cs="宋体"/>
          <w:b/>
          <w:color w:val="auto"/>
          <w:sz w:val="24"/>
          <w:szCs w:val="24"/>
        </w:rPr>
        <w:t>月</w:t>
      </w:r>
      <w:r>
        <w:rPr>
          <w:rFonts w:hint="eastAsia" w:ascii="宋体" w:hAnsi="宋体" w:cs="宋体"/>
          <w:b/>
          <w:color w:val="auto"/>
          <w:sz w:val="24"/>
          <w:szCs w:val="24"/>
          <w:u w:val="single"/>
        </w:rPr>
        <w:t xml:space="preserve">       </w:t>
      </w:r>
      <w:r>
        <w:rPr>
          <w:rFonts w:hint="eastAsia" w:ascii="宋体" w:hAnsi="宋体" w:cs="宋体"/>
          <w:b/>
          <w:color w:val="auto"/>
          <w:sz w:val="24"/>
          <w:szCs w:val="24"/>
        </w:rPr>
        <w:t>日</w:t>
      </w:r>
    </w:p>
    <w:p w14:paraId="23AFCE74">
      <w:pPr>
        <w:spacing w:line="360" w:lineRule="auto"/>
        <w:ind w:firstLine="480" w:firstLineChars="200"/>
        <w:jc w:val="left"/>
        <w:rPr>
          <w:rStyle w:val="97"/>
          <w:rFonts w:hint="eastAsia" w:ascii="宋体" w:hAnsi="宋体"/>
          <w:b w:val="0"/>
          <w:color w:val="auto"/>
          <w:sz w:val="24"/>
          <w:szCs w:val="24"/>
          <w:lang w:val="en-US" w:eastAsia="zh-CN"/>
        </w:rPr>
      </w:pPr>
    </w:p>
    <w:p w14:paraId="3DDF1C77">
      <w:pPr>
        <w:spacing w:line="360" w:lineRule="auto"/>
        <w:ind w:firstLine="480" w:firstLineChars="200"/>
        <w:jc w:val="left"/>
        <w:rPr>
          <w:rStyle w:val="97"/>
          <w:rFonts w:hint="eastAsia" w:ascii="宋体" w:hAnsi="宋体"/>
          <w:b w:val="0"/>
          <w:color w:val="auto"/>
          <w:sz w:val="24"/>
          <w:szCs w:val="24"/>
          <w:lang w:val="en-US" w:eastAsia="zh-CN"/>
        </w:rPr>
      </w:pPr>
      <w:r>
        <w:rPr>
          <w:rStyle w:val="97"/>
          <w:rFonts w:hint="eastAsia" w:ascii="宋体" w:hAnsi="宋体"/>
          <w:b w:val="0"/>
          <w:color w:val="auto"/>
          <w:sz w:val="24"/>
          <w:szCs w:val="24"/>
          <w:lang w:val="en-US" w:eastAsia="zh-CN"/>
        </w:rPr>
        <w:t xml:space="preserve">1 从业人员、营业收入、资产总额填报上一年度数据，无上一年度数据的新成立企业可不填报。 </w:t>
      </w:r>
    </w:p>
    <w:p w14:paraId="1BC7D391">
      <w:pPr>
        <w:pageBreakBefore w:val="0"/>
        <w:kinsoku/>
        <w:overflowPunct/>
        <w:topLinePunct w:val="0"/>
        <w:bidi w:val="0"/>
        <w:spacing w:line="360" w:lineRule="auto"/>
        <w:ind w:left="0" w:leftChars="0" w:firstLine="0" w:firstLineChars="0"/>
        <w:textAlignment w:val="auto"/>
        <w:rPr>
          <w:rFonts w:hint="eastAsia" w:ascii="宋体" w:hAnsi="宋体" w:eastAsia="宋体"/>
          <w:color w:val="auto"/>
          <w:sz w:val="24"/>
          <w:lang w:eastAsia="zh-CN"/>
        </w:rPr>
      </w:pPr>
      <w:r>
        <w:rPr>
          <w:rFonts w:hint="eastAsia" w:ascii="宋体" w:hAnsi="宋体"/>
          <w:b/>
          <w:color w:val="auto"/>
          <w:kern w:val="0"/>
          <w:sz w:val="24"/>
        </w:rPr>
        <w:t>中标供应商享受中小企业扶持政策的，随中标结果公开中标供应商的《中小企业声明函》</w:t>
      </w:r>
      <w:r>
        <w:rPr>
          <w:rFonts w:hint="eastAsia" w:ascii="宋体" w:hAnsi="宋体"/>
          <w:b/>
          <w:color w:val="auto"/>
          <w:kern w:val="0"/>
          <w:sz w:val="24"/>
          <w:lang w:eastAsia="zh-CN"/>
        </w:rPr>
        <w:t>。</w:t>
      </w:r>
    </w:p>
    <w:p w14:paraId="1DD115D4">
      <w:pPr>
        <w:pageBreakBefore w:val="0"/>
        <w:kinsoku/>
        <w:overflowPunct/>
        <w:topLinePunct w:val="0"/>
        <w:bidi w:val="0"/>
        <w:spacing w:line="360" w:lineRule="auto"/>
        <w:ind w:left="0" w:leftChars="0" w:firstLine="0" w:firstLineChars="0"/>
        <w:jc w:val="left"/>
        <w:textAlignment w:val="auto"/>
        <w:rPr>
          <w:rFonts w:ascii="宋体" w:hAnsi="宋体" w:cs="仿宋"/>
          <w:b/>
          <w:color w:val="auto"/>
          <w:kern w:val="0"/>
          <w:sz w:val="24"/>
        </w:rPr>
      </w:pPr>
    </w:p>
    <w:p w14:paraId="5036F9E8">
      <w:pPr>
        <w:pageBreakBefore w:val="0"/>
        <w:kinsoku/>
        <w:overflowPunct/>
        <w:topLinePunct w:val="0"/>
        <w:bidi w:val="0"/>
        <w:snapToGrid w:val="0"/>
        <w:spacing w:line="360" w:lineRule="auto"/>
        <w:ind w:left="0" w:leftChars="0" w:firstLine="0" w:firstLineChars="0"/>
        <w:jc w:val="center"/>
        <w:textAlignment w:val="auto"/>
        <w:outlineLvl w:val="3"/>
        <w:rPr>
          <w:rFonts w:ascii="宋体" w:hAnsi="宋体" w:cs="宋体"/>
          <w:b/>
          <w:color w:val="auto"/>
          <w:kern w:val="0"/>
          <w:sz w:val="24"/>
        </w:rPr>
      </w:pPr>
      <w:r>
        <w:rPr>
          <w:rFonts w:ascii="宋体" w:hAnsi="宋体"/>
          <w:b/>
          <w:color w:val="auto"/>
          <w:sz w:val="24"/>
        </w:rPr>
        <w:br w:type="page"/>
      </w:r>
      <w:bookmarkStart w:id="455" w:name="_Toc89005166"/>
      <w:bookmarkStart w:id="456" w:name="OLE_LINK13"/>
      <w:bookmarkStart w:id="457" w:name="OLE_LINK14"/>
      <w:r>
        <w:rPr>
          <w:rFonts w:hint="eastAsia" w:ascii="宋体" w:hAnsi="宋体" w:cs="宋体"/>
          <w:b/>
          <w:color w:val="auto"/>
          <w:kern w:val="0"/>
          <w:sz w:val="28"/>
          <w:szCs w:val="28"/>
        </w:rPr>
        <w:t>残疾人福利性单位声明函</w:t>
      </w:r>
      <w:bookmarkEnd w:id="455"/>
    </w:p>
    <w:bookmarkEnd w:id="456"/>
    <w:bookmarkEnd w:id="457"/>
    <w:p w14:paraId="3C577889">
      <w:pPr>
        <w:pageBreakBefore w:val="0"/>
        <w:kinsoku/>
        <w:overflowPunct/>
        <w:topLinePunct w:val="0"/>
        <w:bidi w:val="0"/>
        <w:spacing w:line="360" w:lineRule="auto"/>
        <w:ind w:left="0" w:leftChars="0" w:firstLine="0" w:firstLineChars="0"/>
        <w:textAlignment w:val="auto"/>
        <w:rPr>
          <w:rFonts w:ascii="宋体" w:hAnsi="宋体"/>
          <w:b/>
          <w:color w:val="auto"/>
          <w:spacing w:val="6"/>
          <w:sz w:val="24"/>
        </w:rPr>
      </w:pPr>
    </w:p>
    <w:p w14:paraId="5D90349A">
      <w:pPr>
        <w:pageBreakBefore w:val="0"/>
        <w:kinsoku/>
        <w:overflowPunct/>
        <w:topLinePunct w:val="0"/>
        <w:bidi w:val="0"/>
        <w:spacing w:line="360" w:lineRule="auto"/>
        <w:ind w:left="0" w:leftChars="0" w:firstLine="418" w:firstLineChars="166"/>
        <w:textAlignment w:val="auto"/>
        <w:rPr>
          <w:rFonts w:ascii="宋体" w:hAnsi="宋体"/>
          <w:color w:val="auto"/>
          <w:spacing w:val="6"/>
          <w:sz w:val="24"/>
        </w:rPr>
      </w:pPr>
      <w:r>
        <w:rPr>
          <w:rFonts w:hint="eastAsia" w:ascii="宋体" w:hAnsi="宋体"/>
          <w:color w:val="auto"/>
          <w:spacing w:val="6"/>
          <w:sz w:val="24"/>
        </w:rPr>
        <w:t>本单位郑重声明，根据《财政部 民政部 中国残疾人联合会关于促进残疾人就业政府采购政策的通知》（财库</w:t>
      </w:r>
      <w:r>
        <w:rPr>
          <w:rFonts w:hint="eastAsia" w:ascii="宋体" w:hAnsi="宋体"/>
          <w:color w:val="auto"/>
          <w:sz w:val="24"/>
        </w:rPr>
        <w:t>〔2017〕141</w:t>
      </w:r>
      <w:r>
        <w:rPr>
          <w:rFonts w:hint="eastAsia" w:ascii="宋体" w:hAnsi="宋体"/>
          <w:color w:val="auto"/>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6692660">
      <w:pPr>
        <w:pageBreakBefore w:val="0"/>
        <w:kinsoku/>
        <w:overflowPunct/>
        <w:topLinePunct w:val="0"/>
        <w:bidi w:val="0"/>
        <w:spacing w:line="360" w:lineRule="auto"/>
        <w:ind w:left="0" w:leftChars="0" w:firstLine="418" w:firstLineChars="166"/>
        <w:textAlignment w:val="auto"/>
        <w:rPr>
          <w:rFonts w:ascii="宋体" w:hAnsi="宋体"/>
          <w:color w:val="auto"/>
          <w:spacing w:val="6"/>
          <w:sz w:val="24"/>
        </w:rPr>
      </w:pPr>
      <w:r>
        <w:rPr>
          <w:rFonts w:hint="eastAsia" w:ascii="宋体" w:hAnsi="宋体"/>
          <w:color w:val="auto"/>
          <w:spacing w:val="6"/>
          <w:sz w:val="24"/>
        </w:rPr>
        <w:t>本单位对上述声明的真实性负责。如有虚假，将依法承担相应责任。</w:t>
      </w:r>
    </w:p>
    <w:p w14:paraId="3EB4ED32">
      <w:pPr>
        <w:pageBreakBefore w:val="0"/>
        <w:kinsoku/>
        <w:overflowPunct/>
        <w:topLinePunct w:val="0"/>
        <w:bidi w:val="0"/>
        <w:spacing w:line="360" w:lineRule="auto"/>
        <w:ind w:left="0" w:leftChars="0" w:firstLine="0" w:firstLineChars="0"/>
        <w:textAlignment w:val="auto"/>
        <w:rPr>
          <w:rFonts w:ascii="宋体" w:hAnsi="宋体"/>
          <w:color w:val="auto"/>
          <w:spacing w:val="6"/>
          <w:sz w:val="24"/>
        </w:rPr>
      </w:pPr>
    </w:p>
    <w:p w14:paraId="7AD2824E">
      <w:pPr>
        <w:pageBreakBefore w:val="0"/>
        <w:kinsoku/>
        <w:overflowPunct/>
        <w:topLinePunct w:val="0"/>
        <w:bidi w:val="0"/>
        <w:spacing w:line="360" w:lineRule="auto"/>
        <w:ind w:left="0" w:leftChars="0" w:firstLine="0" w:firstLineChars="0"/>
        <w:textAlignment w:val="auto"/>
        <w:rPr>
          <w:rFonts w:ascii="宋体" w:hAnsi="宋体"/>
          <w:color w:val="auto"/>
          <w:spacing w:val="6"/>
          <w:sz w:val="24"/>
        </w:rPr>
      </w:pPr>
    </w:p>
    <w:p w14:paraId="59BF5A8A">
      <w:pPr>
        <w:pageBreakBefore w:val="0"/>
        <w:widowControl/>
        <w:kinsoku/>
        <w:overflowPunct/>
        <w:topLinePunct w:val="0"/>
        <w:bidi w:val="0"/>
        <w:spacing w:line="360" w:lineRule="auto"/>
        <w:ind w:left="0" w:leftChars="0" w:firstLine="0" w:firstLineChars="0"/>
        <w:jc w:val="left"/>
        <w:textAlignment w:val="auto"/>
        <w:rPr>
          <w:rFonts w:ascii="宋体" w:hAnsi="宋体" w:cs="宋体"/>
          <w:color w:val="auto"/>
          <w:kern w:val="0"/>
          <w:sz w:val="24"/>
        </w:rPr>
      </w:pPr>
    </w:p>
    <w:p w14:paraId="7BD6EF39">
      <w:pPr>
        <w:pageBreakBefore w:val="0"/>
        <w:widowControl/>
        <w:kinsoku/>
        <w:wordWrap w:val="0"/>
        <w:overflowPunct/>
        <w:topLinePunct w:val="0"/>
        <w:bidi w:val="0"/>
        <w:spacing w:line="360" w:lineRule="auto"/>
        <w:ind w:left="0" w:leftChars="0" w:firstLine="0" w:firstLineChars="0"/>
        <w:jc w:val="right"/>
        <w:textAlignment w:val="auto"/>
        <w:rPr>
          <w:rFonts w:hint="eastAsia" w:ascii="宋体" w:hAnsi="宋体" w:cs="宋体"/>
          <w:color w:val="auto"/>
          <w:kern w:val="0"/>
          <w:sz w:val="24"/>
        </w:rPr>
      </w:pPr>
      <w:r>
        <w:rPr>
          <w:rFonts w:hint="eastAsia" w:ascii="宋体" w:hAnsi="宋体" w:cs="宋体"/>
          <w:color w:val="auto"/>
          <w:kern w:val="0"/>
          <w:sz w:val="24"/>
        </w:rPr>
        <w:t>投标人</w:t>
      </w:r>
      <w:r>
        <w:rPr>
          <w:rFonts w:ascii="宋体" w:hAnsi="宋体" w:cs="宋体"/>
          <w:color w:val="auto"/>
          <w:kern w:val="0"/>
          <w:sz w:val="24"/>
        </w:rPr>
        <w:t>（盖章）：</w:t>
      </w:r>
      <w:r>
        <w:rPr>
          <w:rFonts w:hint="eastAsia" w:ascii="宋体" w:hAnsi="宋体" w:cs="宋体"/>
          <w:color w:val="auto"/>
          <w:kern w:val="0"/>
          <w:sz w:val="24"/>
          <w:u w:val="single"/>
        </w:rPr>
        <w:t xml:space="preserve"> </w:t>
      </w:r>
      <w:r>
        <w:rPr>
          <w:rFonts w:ascii="宋体" w:hAnsi="宋体" w:cs="宋体"/>
          <w:color w:val="auto"/>
          <w:kern w:val="0"/>
          <w:sz w:val="24"/>
          <w:u w:val="single"/>
        </w:rPr>
        <w:t xml:space="preserve">          </w:t>
      </w:r>
    </w:p>
    <w:p w14:paraId="3C78AB4F">
      <w:pPr>
        <w:pageBreakBefore w:val="0"/>
        <w:widowControl/>
        <w:kinsoku/>
        <w:wordWrap w:val="0"/>
        <w:overflowPunct/>
        <w:topLinePunct w:val="0"/>
        <w:bidi w:val="0"/>
        <w:spacing w:line="360" w:lineRule="auto"/>
        <w:ind w:left="0" w:leftChars="0" w:firstLine="0" w:firstLineChars="0"/>
        <w:jc w:val="right"/>
        <w:textAlignment w:val="auto"/>
        <w:rPr>
          <w:rFonts w:hint="eastAsia" w:ascii="宋体" w:hAnsi="宋体" w:cs="宋体"/>
          <w:color w:val="auto"/>
          <w:kern w:val="0"/>
          <w:sz w:val="24"/>
          <w:u w:val="single"/>
        </w:rPr>
      </w:pPr>
      <w:r>
        <w:rPr>
          <w:rFonts w:ascii="宋体" w:hAnsi="宋体" w:cs="宋体"/>
          <w:color w:val="auto"/>
          <w:kern w:val="0"/>
          <w:sz w:val="24"/>
        </w:rPr>
        <w:t>日期：</w:t>
      </w:r>
      <w:r>
        <w:rPr>
          <w:rFonts w:ascii="宋体" w:hAnsi="宋体" w:cs="宋体"/>
          <w:color w:val="auto"/>
          <w:kern w:val="0"/>
          <w:sz w:val="24"/>
          <w:u w:val="single"/>
        </w:rPr>
        <w:t xml:space="preserve">                     </w:t>
      </w:r>
    </w:p>
    <w:p w14:paraId="781E60B9">
      <w:pPr>
        <w:pageBreakBefore w:val="0"/>
        <w:kinsoku/>
        <w:overflowPunct/>
        <w:topLinePunct w:val="0"/>
        <w:bidi w:val="0"/>
        <w:spacing w:line="360" w:lineRule="auto"/>
        <w:ind w:left="0" w:leftChars="0" w:firstLine="0" w:firstLineChars="0"/>
        <w:jc w:val="left"/>
        <w:textAlignment w:val="auto"/>
        <w:rPr>
          <w:rFonts w:hint="eastAsia" w:ascii="宋体" w:hAnsi="宋体" w:cs="仿宋"/>
          <w:color w:val="auto"/>
          <w:kern w:val="0"/>
          <w:sz w:val="24"/>
        </w:rPr>
      </w:pPr>
    </w:p>
    <w:p w14:paraId="62734E4B">
      <w:pPr>
        <w:pageBreakBefore w:val="0"/>
        <w:kinsoku/>
        <w:overflowPunct/>
        <w:topLinePunct w:val="0"/>
        <w:bidi w:val="0"/>
        <w:spacing w:line="360" w:lineRule="auto"/>
        <w:ind w:left="0" w:leftChars="0" w:firstLine="0" w:firstLineChars="0"/>
        <w:jc w:val="left"/>
        <w:textAlignment w:val="auto"/>
        <w:rPr>
          <w:rFonts w:hint="eastAsia" w:ascii="宋体" w:hAnsi="宋体" w:cs="仿宋"/>
          <w:color w:val="auto"/>
          <w:kern w:val="0"/>
          <w:sz w:val="24"/>
        </w:rPr>
      </w:pPr>
    </w:p>
    <w:p w14:paraId="58BF441C">
      <w:pPr>
        <w:pageBreakBefore w:val="0"/>
        <w:kinsoku/>
        <w:overflowPunct/>
        <w:topLinePunct w:val="0"/>
        <w:bidi w:val="0"/>
        <w:spacing w:line="360" w:lineRule="auto"/>
        <w:ind w:left="0" w:leftChars="0" w:firstLine="0" w:firstLineChars="0"/>
        <w:jc w:val="left"/>
        <w:textAlignment w:val="auto"/>
        <w:rPr>
          <w:rFonts w:ascii="宋体" w:hAnsi="宋体" w:cs="仿宋"/>
          <w:color w:val="auto"/>
          <w:kern w:val="0"/>
          <w:sz w:val="24"/>
        </w:rPr>
      </w:pPr>
    </w:p>
    <w:p w14:paraId="0F0A8021">
      <w:pPr>
        <w:pageBreakBefore w:val="0"/>
        <w:kinsoku/>
        <w:overflowPunct/>
        <w:topLinePunct w:val="0"/>
        <w:bidi w:val="0"/>
        <w:spacing w:line="360" w:lineRule="auto"/>
        <w:ind w:left="0" w:leftChars="0" w:firstLine="0" w:firstLineChars="0"/>
        <w:jc w:val="left"/>
        <w:textAlignment w:val="auto"/>
        <w:rPr>
          <w:rFonts w:ascii="宋体" w:hAnsi="宋体" w:cs="仿宋"/>
          <w:color w:val="auto"/>
          <w:kern w:val="0"/>
          <w:sz w:val="24"/>
        </w:rPr>
      </w:pPr>
    </w:p>
    <w:p w14:paraId="04C20AEB">
      <w:pPr>
        <w:pageBreakBefore w:val="0"/>
        <w:kinsoku/>
        <w:overflowPunct/>
        <w:topLinePunct w:val="0"/>
        <w:bidi w:val="0"/>
        <w:spacing w:line="360" w:lineRule="auto"/>
        <w:ind w:left="0" w:leftChars="0" w:firstLine="0" w:firstLineChars="0"/>
        <w:jc w:val="left"/>
        <w:textAlignment w:val="auto"/>
        <w:rPr>
          <w:rFonts w:ascii="宋体" w:hAnsi="宋体" w:cs="仿宋"/>
          <w:color w:val="auto"/>
          <w:kern w:val="0"/>
          <w:sz w:val="24"/>
        </w:rPr>
      </w:pPr>
    </w:p>
    <w:p w14:paraId="6711F221">
      <w:pPr>
        <w:pageBreakBefore w:val="0"/>
        <w:kinsoku/>
        <w:overflowPunct/>
        <w:topLinePunct w:val="0"/>
        <w:bidi w:val="0"/>
        <w:spacing w:line="360" w:lineRule="auto"/>
        <w:ind w:left="0" w:leftChars="0" w:firstLine="0" w:firstLineChars="0"/>
        <w:jc w:val="left"/>
        <w:textAlignment w:val="auto"/>
        <w:rPr>
          <w:rFonts w:ascii="宋体" w:hAnsi="宋体" w:cs="仿宋"/>
          <w:color w:val="auto"/>
          <w:kern w:val="0"/>
          <w:sz w:val="24"/>
        </w:rPr>
      </w:pPr>
    </w:p>
    <w:p w14:paraId="2DE25913">
      <w:pPr>
        <w:pageBreakBefore w:val="0"/>
        <w:kinsoku/>
        <w:overflowPunct/>
        <w:topLinePunct w:val="0"/>
        <w:bidi w:val="0"/>
        <w:spacing w:line="360" w:lineRule="auto"/>
        <w:ind w:left="0" w:leftChars="0" w:firstLine="0" w:firstLineChars="0"/>
        <w:jc w:val="left"/>
        <w:textAlignment w:val="auto"/>
        <w:rPr>
          <w:rFonts w:ascii="宋体" w:hAnsi="宋体" w:cs="仿宋"/>
          <w:color w:val="auto"/>
          <w:kern w:val="0"/>
          <w:sz w:val="24"/>
        </w:rPr>
      </w:pPr>
    </w:p>
    <w:p w14:paraId="4B641246">
      <w:pPr>
        <w:pageBreakBefore w:val="0"/>
        <w:kinsoku/>
        <w:overflowPunct/>
        <w:topLinePunct w:val="0"/>
        <w:bidi w:val="0"/>
        <w:spacing w:line="360" w:lineRule="auto"/>
        <w:ind w:left="0" w:leftChars="0" w:firstLine="0" w:firstLineChars="0"/>
        <w:jc w:val="left"/>
        <w:textAlignment w:val="auto"/>
        <w:rPr>
          <w:rFonts w:hint="eastAsia" w:ascii="宋体" w:hAnsi="宋体" w:cs="仿宋"/>
          <w:color w:val="auto"/>
          <w:kern w:val="0"/>
          <w:sz w:val="24"/>
        </w:rPr>
      </w:pPr>
    </w:p>
    <w:p w14:paraId="4DDF9EA2">
      <w:pPr>
        <w:pageBreakBefore w:val="0"/>
        <w:kinsoku/>
        <w:overflowPunct/>
        <w:topLinePunct w:val="0"/>
        <w:bidi w:val="0"/>
        <w:spacing w:line="360" w:lineRule="auto"/>
        <w:ind w:left="0" w:leftChars="0" w:firstLine="0" w:firstLineChars="0"/>
        <w:jc w:val="left"/>
        <w:textAlignment w:val="auto"/>
        <w:rPr>
          <w:rFonts w:ascii="宋体" w:hAnsi="宋体" w:cs="仿宋"/>
          <w:color w:val="auto"/>
          <w:kern w:val="0"/>
          <w:sz w:val="24"/>
        </w:rPr>
      </w:pPr>
    </w:p>
    <w:p w14:paraId="063BE4D0">
      <w:pPr>
        <w:pageBreakBefore w:val="0"/>
        <w:kinsoku/>
        <w:overflowPunct/>
        <w:topLinePunct w:val="0"/>
        <w:bidi w:val="0"/>
        <w:spacing w:line="360" w:lineRule="auto"/>
        <w:ind w:left="0" w:leftChars="0" w:firstLine="0" w:firstLineChars="0"/>
        <w:jc w:val="left"/>
        <w:textAlignment w:val="auto"/>
        <w:rPr>
          <w:rFonts w:ascii="宋体" w:hAnsi="宋体" w:cs="仿宋"/>
          <w:b/>
          <w:color w:val="auto"/>
          <w:sz w:val="24"/>
        </w:rPr>
      </w:pPr>
      <w:r>
        <w:rPr>
          <w:rFonts w:hint="eastAsia" w:ascii="宋体" w:hAnsi="宋体" w:cs="仿宋"/>
          <w:b/>
          <w:color w:val="auto"/>
          <w:sz w:val="24"/>
        </w:rPr>
        <w:t>注：根据财库〔2017〕141号文件要求，中标、成交供应商为残疾人福利性单位的，采购人或者其委托的采购代理机构将随中标、成交结果同时公告其《残疾人福利性单位声明函》，接受社会监督。</w:t>
      </w:r>
    </w:p>
    <w:p w14:paraId="48073452">
      <w:pPr>
        <w:pageBreakBefore w:val="0"/>
        <w:kinsoku/>
        <w:overflowPunct/>
        <w:topLinePunct w:val="0"/>
        <w:bidi w:val="0"/>
        <w:snapToGrid w:val="0"/>
        <w:spacing w:line="360" w:lineRule="auto"/>
        <w:ind w:left="0" w:leftChars="0" w:firstLine="0" w:firstLineChars="0"/>
        <w:jc w:val="center"/>
        <w:textAlignment w:val="auto"/>
        <w:rPr>
          <w:rFonts w:ascii="宋体" w:hAnsi="宋体" w:cs="宋体"/>
          <w:b/>
          <w:color w:val="auto"/>
          <w:kern w:val="0"/>
          <w:sz w:val="28"/>
          <w:szCs w:val="28"/>
        </w:rPr>
      </w:pPr>
      <w:r>
        <w:rPr>
          <w:rFonts w:ascii="宋体" w:hAnsi="宋体" w:cs="仿宋"/>
          <w:b/>
          <w:color w:val="auto"/>
          <w:sz w:val="24"/>
        </w:rPr>
        <w:br w:type="page"/>
      </w:r>
      <w:r>
        <w:rPr>
          <w:rFonts w:hint="eastAsia" w:ascii="宋体" w:hAnsi="宋体" w:cs="宋体"/>
          <w:b/>
          <w:color w:val="auto"/>
          <w:kern w:val="0"/>
          <w:sz w:val="28"/>
          <w:szCs w:val="28"/>
        </w:rPr>
        <w:t>监狱企业</w:t>
      </w:r>
      <w:r>
        <w:rPr>
          <w:rFonts w:ascii="宋体" w:hAnsi="宋体" w:cs="宋体"/>
          <w:b/>
          <w:color w:val="auto"/>
          <w:kern w:val="0"/>
          <w:sz w:val="28"/>
          <w:szCs w:val="28"/>
        </w:rPr>
        <w:t>声明函</w:t>
      </w:r>
      <w:bookmarkEnd w:id="450"/>
    </w:p>
    <w:bookmarkEnd w:id="451"/>
    <w:p w14:paraId="21001D3C">
      <w:pPr>
        <w:pageBreakBefore w:val="0"/>
        <w:widowControl/>
        <w:kinsoku/>
        <w:overflowPunct/>
        <w:topLinePunct w:val="0"/>
        <w:bidi w:val="0"/>
        <w:spacing w:line="360" w:lineRule="auto"/>
        <w:ind w:left="0" w:leftChars="0" w:firstLine="0" w:firstLineChars="0"/>
        <w:jc w:val="left"/>
        <w:textAlignment w:val="auto"/>
        <w:rPr>
          <w:rFonts w:ascii="宋体" w:hAnsi="宋体"/>
          <w:b/>
          <w:color w:val="auto"/>
          <w:kern w:val="0"/>
          <w:sz w:val="24"/>
        </w:rPr>
      </w:pPr>
    </w:p>
    <w:p w14:paraId="30C69FF6">
      <w:pPr>
        <w:pageBreakBefore w:val="0"/>
        <w:widowControl/>
        <w:kinsoku/>
        <w:overflowPunct/>
        <w:topLinePunct w:val="0"/>
        <w:bidi w:val="0"/>
        <w:spacing w:line="360" w:lineRule="auto"/>
        <w:ind w:left="0" w:leftChars="0" w:firstLine="420" w:firstLineChars="175"/>
        <w:jc w:val="left"/>
        <w:textAlignment w:val="auto"/>
        <w:rPr>
          <w:rFonts w:hint="eastAsia" w:ascii="宋体" w:hAnsi="宋体" w:cs="宋体"/>
          <w:color w:val="auto"/>
          <w:kern w:val="0"/>
          <w:sz w:val="24"/>
        </w:rPr>
      </w:pPr>
      <w:r>
        <w:rPr>
          <w:rFonts w:ascii="宋体" w:hAnsi="宋体" w:cs="宋体"/>
          <w:color w:val="auto"/>
          <w:kern w:val="0"/>
          <w:sz w:val="24"/>
        </w:rPr>
        <w:t>本</w:t>
      </w:r>
      <w:r>
        <w:rPr>
          <w:rFonts w:hint="eastAsia" w:ascii="宋体" w:hAnsi="宋体" w:cs="宋体"/>
          <w:color w:val="auto"/>
          <w:kern w:val="0"/>
          <w:sz w:val="24"/>
        </w:rPr>
        <w:t>企业</w:t>
      </w:r>
      <w:r>
        <w:rPr>
          <w:rFonts w:ascii="宋体" w:hAnsi="宋体" w:cs="宋体"/>
          <w:color w:val="auto"/>
          <w:kern w:val="0"/>
          <w:sz w:val="24"/>
        </w:rPr>
        <w:t>（</w:t>
      </w:r>
      <w:r>
        <w:rPr>
          <w:rFonts w:hint="eastAsia" w:ascii="宋体" w:hAnsi="宋体" w:cs="宋体"/>
          <w:color w:val="auto"/>
          <w:kern w:val="0"/>
          <w:sz w:val="24"/>
        </w:rPr>
        <w:t>单位</w:t>
      </w:r>
      <w:r>
        <w:rPr>
          <w:rFonts w:ascii="宋体" w:hAnsi="宋体" w:cs="宋体"/>
          <w:color w:val="auto"/>
          <w:kern w:val="0"/>
          <w:sz w:val="24"/>
        </w:rPr>
        <w:t>）郑重声明下</w:t>
      </w:r>
      <w:r>
        <w:rPr>
          <w:rFonts w:hint="eastAsia" w:ascii="宋体" w:hAnsi="宋体" w:cs="宋体"/>
          <w:color w:val="auto"/>
          <w:kern w:val="0"/>
          <w:sz w:val="24"/>
        </w:rPr>
        <w:t>列事项（按照</w:t>
      </w:r>
      <w:r>
        <w:rPr>
          <w:rFonts w:ascii="宋体" w:hAnsi="宋体" w:cs="宋体"/>
          <w:color w:val="auto"/>
          <w:kern w:val="0"/>
          <w:sz w:val="24"/>
        </w:rPr>
        <w:t>实际情况勾选或</w:t>
      </w:r>
      <w:r>
        <w:rPr>
          <w:rFonts w:hint="eastAsia" w:ascii="宋体" w:hAnsi="宋体" w:cs="宋体"/>
          <w:color w:val="auto"/>
          <w:kern w:val="0"/>
          <w:sz w:val="24"/>
        </w:rPr>
        <w:t>填空）：</w:t>
      </w:r>
    </w:p>
    <w:p w14:paraId="6F90B5BE">
      <w:pPr>
        <w:pageBreakBefore w:val="0"/>
        <w:widowControl/>
        <w:kinsoku/>
        <w:overflowPunct/>
        <w:topLinePunct w:val="0"/>
        <w:bidi w:val="0"/>
        <w:spacing w:line="360" w:lineRule="auto"/>
        <w:ind w:left="0" w:leftChars="0" w:firstLine="420" w:firstLineChars="175"/>
        <w:jc w:val="left"/>
        <w:textAlignment w:val="auto"/>
        <w:rPr>
          <w:rFonts w:ascii="宋体" w:hAnsi="宋体" w:cs="宋体"/>
          <w:color w:val="auto"/>
          <w:kern w:val="0"/>
          <w:sz w:val="24"/>
        </w:rPr>
      </w:pPr>
      <w:r>
        <w:rPr>
          <w:rFonts w:ascii="宋体" w:hAnsi="宋体" w:cs="宋体"/>
          <w:color w:val="auto"/>
          <w:kern w:val="0"/>
          <w:sz w:val="24"/>
        </w:rPr>
        <w:t>本</w:t>
      </w:r>
      <w:r>
        <w:rPr>
          <w:rFonts w:hint="eastAsia" w:ascii="宋体" w:hAnsi="宋体" w:cs="宋体"/>
          <w:color w:val="auto"/>
          <w:kern w:val="0"/>
          <w:sz w:val="24"/>
        </w:rPr>
        <w:t>企业（单位）为直接投标人</w:t>
      </w:r>
      <w:r>
        <w:rPr>
          <w:rFonts w:ascii="宋体" w:hAnsi="宋体" w:cs="宋体"/>
          <w:color w:val="auto"/>
          <w:kern w:val="0"/>
          <w:sz w:val="24"/>
        </w:rPr>
        <w:t>提供本企业</w:t>
      </w:r>
      <w:r>
        <w:rPr>
          <w:rFonts w:hint="eastAsia" w:ascii="宋体" w:hAnsi="宋体" w:cs="宋体"/>
          <w:color w:val="auto"/>
          <w:kern w:val="0"/>
          <w:sz w:val="24"/>
        </w:rPr>
        <w:t>（单位）</w:t>
      </w:r>
      <w:r>
        <w:rPr>
          <w:rFonts w:ascii="宋体" w:hAnsi="宋体" w:cs="宋体"/>
          <w:color w:val="auto"/>
          <w:kern w:val="0"/>
          <w:sz w:val="24"/>
        </w:rPr>
        <w:t>制造的货物</w:t>
      </w:r>
      <w:r>
        <w:rPr>
          <w:rFonts w:hint="eastAsia" w:ascii="宋体" w:hAnsi="宋体" w:cs="宋体"/>
          <w:color w:val="auto"/>
          <w:kern w:val="0"/>
          <w:sz w:val="24"/>
        </w:rPr>
        <w:t>。</w:t>
      </w:r>
    </w:p>
    <w:p w14:paraId="67004331">
      <w:pPr>
        <w:pageBreakBefore w:val="0"/>
        <w:widowControl/>
        <w:kinsoku/>
        <w:overflowPunct/>
        <w:topLinePunct w:val="0"/>
        <w:bidi w:val="0"/>
        <w:spacing w:line="360" w:lineRule="auto"/>
        <w:ind w:left="0" w:leftChars="0" w:firstLine="420" w:firstLineChars="175"/>
        <w:jc w:val="left"/>
        <w:textAlignment w:val="auto"/>
        <w:rPr>
          <w:rFonts w:hint="eastAsia"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本</w:t>
      </w:r>
      <w:r>
        <w:rPr>
          <w:rFonts w:hint="eastAsia" w:ascii="宋体" w:hAnsi="宋体" w:cs="宋体"/>
          <w:color w:val="auto"/>
          <w:kern w:val="0"/>
          <w:sz w:val="24"/>
        </w:rPr>
        <w:t>企业（单位）</w:t>
      </w:r>
      <w:r>
        <w:rPr>
          <w:rFonts w:hint="eastAsia" w:ascii="宋体" w:hAnsi="宋体" w:cs="宋体"/>
          <w:color w:val="auto"/>
          <w:kern w:val="0"/>
          <w:sz w:val="24"/>
          <w:u w:val="single"/>
        </w:rPr>
        <w:t xml:space="preserve">        </w:t>
      </w:r>
      <w:r>
        <w:rPr>
          <w:rFonts w:ascii="宋体" w:hAnsi="宋体" w:cs="宋体"/>
          <w:color w:val="auto"/>
          <w:kern w:val="0"/>
          <w:sz w:val="24"/>
        </w:rPr>
        <w:t>（请填写：</w:t>
      </w:r>
      <w:r>
        <w:rPr>
          <w:rFonts w:hint="eastAsia" w:ascii="宋体" w:hAnsi="宋体" w:cs="宋体"/>
          <w:color w:val="auto"/>
          <w:kern w:val="0"/>
          <w:sz w:val="24"/>
        </w:rPr>
        <w:t>是、不是</w:t>
      </w:r>
      <w:r>
        <w:rPr>
          <w:rFonts w:ascii="宋体" w:hAnsi="宋体" w:cs="宋体"/>
          <w:color w:val="auto"/>
          <w:kern w:val="0"/>
          <w:sz w:val="24"/>
        </w:rPr>
        <w:t>）监狱企业。</w:t>
      </w:r>
      <w:r>
        <w:rPr>
          <w:rFonts w:hint="eastAsia" w:ascii="宋体" w:hAnsi="宋体" w:cs="宋体"/>
          <w:color w:val="auto"/>
          <w:kern w:val="0"/>
          <w:sz w:val="24"/>
        </w:rPr>
        <w:t>后附省级以上监狱管理局、戒毒管理局（含新疆生产建设兵团）出具的属于监狱企业的证明文件。</w:t>
      </w:r>
    </w:p>
    <w:p w14:paraId="0052FE39">
      <w:pPr>
        <w:pageBreakBefore w:val="0"/>
        <w:widowControl/>
        <w:kinsoku/>
        <w:overflowPunct/>
        <w:topLinePunct w:val="0"/>
        <w:bidi w:val="0"/>
        <w:spacing w:line="360" w:lineRule="auto"/>
        <w:ind w:left="0" w:leftChars="0" w:firstLine="420" w:firstLineChars="175"/>
        <w:jc w:val="left"/>
        <w:textAlignment w:val="auto"/>
        <w:rPr>
          <w:rFonts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2</w:t>
      </w:r>
      <w:r>
        <w:rPr>
          <w:rFonts w:hint="eastAsia" w:ascii="宋体" w:hAnsi="宋体" w:cs="宋体"/>
          <w:color w:val="auto"/>
          <w:kern w:val="0"/>
          <w:sz w:val="24"/>
        </w:rPr>
        <w:t>）</w:t>
      </w:r>
      <w:r>
        <w:rPr>
          <w:rFonts w:ascii="宋体" w:hAnsi="宋体" w:cs="宋体"/>
          <w:color w:val="auto"/>
          <w:kern w:val="0"/>
          <w:sz w:val="24"/>
        </w:rPr>
        <w:t>本</w:t>
      </w:r>
      <w:r>
        <w:rPr>
          <w:rFonts w:hint="eastAsia" w:ascii="宋体" w:hAnsi="宋体" w:cs="宋体"/>
          <w:color w:val="auto"/>
          <w:kern w:val="0"/>
          <w:sz w:val="24"/>
        </w:rPr>
        <w:t>企业（单位）</w:t>
      </w:r>
      <w:r>
        <w:rPr>
          <w:rFonts w:hint="eastAsia" w:ascii="宋体" w:hAnsi="宋体" w:cs="宋体"/>
          <w:color w:val="auto"/>
          <w:kern w:val="0"/>
          <w:sz w:val="24"/>
          <w:u w:val="single"/>
        </w:rPr>
        <w:t xml:space="preserve">        </w:t>
      </w:r>
      <w:r>
        <w:rPr>
          <w:rFonts w:ascii="宋体" w:hAnsi="宋体" w:cs="宋体"/>
          <w:color w:val="auto"/>
          <w:kern w:val="0"/>
          <w:sz w:val="24"/>
        </w:rPr>
        <w:t>（请填写：</w:t>
      </w:r>
      <w:r>
        <w:rPr>
          <w:rFonts w:hint="eastAsia" w:ascii="宋体" w:hAnsi="宋体" w:cs="宋体"/>
          <w:color w:val="auto"/>
          <w:kern w:val="0"/>
          <w:sz w:val="24"/>
        </w:rPr>
        <w:t>是、不是</w:t>
      </w:r>
      <w:r>
        <w:rPr>
          <w:rFonts w:ascii="宋体" w:hAnsi="宋体" w:cs="宋体"/>
          <w:color w:val="auto"/>
          <w:kern w:val="0"/>
          <w:sz w:val="24"/>
        </w:rPr>
        <w:t>）</w:t>
      </w:r>
      <w:r>
        <w:rPr>
          <w:rFonts w:hint="eastAsia" w:ascii="宋体" w:hAnsi="宋体" w:cs="宋体"/>
          <w:color w:val="auto"/>
          <w:kern w:val="0"/>
          <w:sz w:val="24"/>
        </w:rPr>
        <w:t>为联合体一方，</w:t>
      </w:r>
      <w:r>
        <w:rPr>
          <w:rFonts w:ascii="宋体" w:hAnsi="宋体" w:cs="宋体"/>
          <w:color w:val="auto"/>
          <w:kern w:val="0"/>
          <w:sz w:val="24"/>
        </w:rPr>
        <w:t>提供本企业</w:t>
      </w:r>
      <w:r>
        <w:rPr>
          <w:rFonts w:hint="eastAsia" w:ascii="宋体" w:hAnsi="宋体" w:cs="宋体"/>
          <w:color w:val="auto"/>
          <w:kern w:val="0"/>
          <w:sz w:val="24"/>
        </w:rPr>
        <w:t>（单位）</w:t>
      </w:r>
      <w:r>
        <w:rPr>
          <w:rFonts w:ascii="宋体" w:hAnsi="宋体" w:cs="宋体"/>
          <w:color w:val="auto"/>
          <w:kern w:val="0"/>
          <w:sz w:val="24"/>
        </w:rPr>
        <w:t>制造的货物，由本企业</w:t>
      </w:r>
      <w:r>
        <w:rPr>
          <w:rFonts w:hint="eastAsia" w:ascii="宋体" w:hAnsi="宋体" w:cs="宋体"/>
          <w:color w:val="auto"/>
          <w:kern w:val="0"/>
          <w:sz w:val="24"/>
        </w:rPr>
        <w:t>（单位）</w:t>
      </w:r>
      <w:r>
        <w:rPr>
          <w:rFonts w:ascii="宋体" w:hAnsi="宋体" w:cs="宋体"/>
          <w:color w:val="auto"/>
          <w:kern w:val="0"/>
          <w:sz w:val="24"/>
        </w:rPr>
        <w:t>承担工程、提供服务</w:t>
      </w:r>
      <w:r>
        <w:rPr>
          <w:rFonts w:hint="eastAsia" w:ascii="宋体" w:hAnsi="宋体" w:cs="宋体"/>
          <w:color w:val="auto"/>
          <w:kern w:val="0"/>
          <w:sz w:val="24"/>
        </w:rPr>
        <w:t>。本企业</w:t>
      </w:r>
      <w:r>
        <w:rPr>
          <w:rFonts w:ascii="宋体" w:hAnsi="宋体" w:cs="宋体"/>
          <w:color w:val="auto"/>
          <w:kern w:val="0"/>
          <w:sz w:val="24"/>
        </w:rPr>
        <w:t>（</w:t>
      </w:r>
      <w:r>
        <w:rPr>
          <w:rFonts w:hint="eastAsia" w:ascii="宋体" w:hAnsi="宋体" w:cs="宋体"/>
          <w:color w:val="auto"/>
          <w:kern w:val="0"/>
          <w:sz w:val="24"/>
        </w:rPr>
        <w:t>单位</w:t>
      </w:r>
      <w:r>
        <w:rPr>
          <w:rFonts w:ascii="宋体" w:hAnsi="宋体" w:cs="宋体"/>
          <w:color w:val="auto"/>
          <w:kern w:val="0"/>
          <w:sz w:val="24"/>
        </w:rPr>
        <w:t>）</w:t>
      </w:r>
      <w:r>
        <w:rPr>
          <w:rFonts w:hint="eastAsia" w:ascii="宋体" w:hAnsi="宋体" w:cs="宋体"/>
          <w:color w:val="auto"/>
          <w:kern w:val="0"/>
          <w:sz w:val="24"/>
        </w:rPr>
        <w:t>提供</w:t>
      </w:r>
      <w:r>
        <w:rPr>
          <w:rFonts w:ascii="宋体" w:hAnsi="宋体" w:cs="宋体"/>
          <w:color w:val="auto"/>
          <w:kern w:val="0"/>
          <w:sz w:val="24"/>
        </w:rPr>
        <w:t>协议合同金额占到</w:t>
      </w:r>
      <w:r>
        <w:rPr>
          <w:rFonts w:hint="eastAsia" w:ascii="宋体" w:hAnsi="宋体" w:cs="宋体"/>
          <w:color w:val="auto"/>
          <w:kern w:val="0"/>
          <w:sz w:val="24"/>
        </w:rPr>
        <w:t>共同投标</w:t>
      </w:r>
      <w:r>
        <w:rPr>
          <w:rFonts w:ascii="宋体" w:hAnsi="宋体" w:cs="宋体"/>
          <w:color w:val="auto"/>
          <w:kern w:val="0"/>
          <w:sz w:val="24"/>
        </w:rPr>
        <w:t>协议合同总金额</w:t>
      </w:r>
      <w:r>
        <w:rPr>
          <w:rFonts w:hint="eastAsia" w:ascii="宋体" w:hAnsi="宋体" w:cs="宋体"/>
          <w:color w:val="auto"/>
          <w:kern w:val="0"/>
          <w:sz w:val="24"/>
        </w:rPr>
        <w:t>的比例为</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23FD8B7">
      <w:pPr>
        <w:pageBreakBefore w:val="0"/>
        <w:widowControl/>
        <w:kinsoku/>
        <w:overflowPunct/>
        <w:topLinePunct w:val="0"/>
        <w:bidi w:val="0"/>
        <w:spacing w:line="360" w:lineRule="auto"/>
        <w:ind w:left="0" w:leftChars="0" w:firstLine="420" w:firstLineChars="175"/>
        <w:jc w:val="left"/>
        <w:textAlignment w:val="auto"/>
        <w:rPr>
          <w:rFonts w:ascii="宋体" w:hAnsi="宋体" w:cs="宋体"/>
          <w:color w:val="auto"/>
          <w:kern w:val="0"/>
          <w:sz w:val="24"/>
        </w:rPr>
      </w:pPr>
      <w:r>
        <w:rPr>
          <w:rFonts w:ascii="宋体" w:hAnsi="宋体" w:cs="宋体"/>
          <w:color w:val="auto"/>
          <w:kern w:val="0"/>
          <w:sz w:val="24"/>
        </w:rPr>
        <w:t>本</w:t>
      </w:r>
      <w:r>
        <w:rPr>
          <w:rFonts w:hint="eastAsia" w:ascii="宋体" w:hAnsi="宋体" w:cs="宋体"/>
          <w:color w:val="auto"/>
          <w:kern w:val="0"/>
          <w:sz w:val="24"/>
        </w:rPr>
        <w:t>企业</w:t>
      </w:r>
      <w:r>
        <w:rPr>
          <w:rFonts w:ascii="宋体" w:hAnsi="宋体" w:cs="宋体"/>
          <w:color w:val="auto"/>
          <w:kern w:val="0"/>
          <w:sz w:val="24"/>
        </w:rPr>
        <w:t>（</w:t>
      </w:r>
      <w:r>
        <w:rPr>
          <w:rFonts w:hint="eastAsia" w:ascii="宋体" w:hAnsi="宋体" w:cs="宋体"/>
          <w:color w:val="auto"/>
          <w:kern w:val="0"/>
          <w:sz w:val="24"/>
        </w:rPr>
        <w:t>单位</w:t>
      </w:r>
      <w:r>
        <w:rPr>
          <w:rFonts w:ascii="宋体" w:hAnsi="宋体" w:cs="宋体"/>
          <w:color w:val="auto"/>
          <w:kern w:val="0"/>
          <w:sz w:val="24"/>
        </w:rPr>
        <w:t>）对上述声明的真实性负责。如有虚假，将依法承担相应责任。</w:t>
      </w:r>
    </w:p>
    <w:p w14:paraId="0215029D">
      <w:pPr>
        <w:pageBreakBefore w:val="0"/>
        <w:widowControl/>
        <w:kinsoku/>
        <w:overflowPunct/>
        <w:topLinePunct w:val="0"/>
        <w:bidi w:val="0"/>
        <w:spacing w:line="360" w:lineRule="auto"/>
        <w:ind w:left="0" w:leftChars="0" w:firstLine="0" w:firstLineChars="0"/>
        <w:jc w:val="left"/>
        <w:textAlignment w:val="auto"/>
        <w:rPr>
          <w:rFonts w:ascii="宋体" w:hAnsi="宋体" w:cs="宋体"/>
          <w:color w:val="auto"/>
          <w:kern w:val="0"/>
          <w:sz w:val="24"/>
        </w:rPr>
      </w:pPr>
    </w:p>
    <w:p w14:paraId="42C0022D">
      <w:pPr>
        <w:pageBreakBefore w:val="0"/>
        <w:widowControl/>
        <w:kinsoku/>
        <w:overflowPunct/>
        <w:topLinePunct w:val="0"/>
        <w:bidi w:val="0"/>
        <w:spacing w:line="360" w:lineRule="auto"/>
        <w:ind w:left="0" w:leftChars="0" w:firstLine="0" w:firstLineChars="0"/>
        <w:jc w:val="left"/>
        <w:textAlignment w:val="auto"/>
        <w:rPr>
          <w:rFonts w:ascii="宋体" w:hAnsi="宋体" w:cs="宋体"/>
          <w:color w:val="auto"/>
          <w:kern w:val="0"/>
          <w:sz w:val="24"/>
        </w:rPr>
      </w:pPr>
    </w:p>
    <w:p w14:paraId="0459F572">
      <w:pPr>
        <w:pageBreakBefore w:val="0"/>
        <w:widowControl/>
        <w:kinsoku/>
        <w:wordWrap w:val="0"/>
        <w:overflowPunct/>
        <w:topLinePunct w:val="0"/>
        <w:bidi w:val="0"/>
        <w:spacing w:line="360" w:lineRule="auto"/>
        <w:ind w:left="0" w:leftChars="0" w:firstLine="0" w:firstLineChars="0"/>
        <w:jc w:val="right"/>
        <w:textAlignment w:val="auto"/>
        <w:rPr>
          <w:rFonts w:hint="eastAsia" w:ascii="宋体" w:hAnsi="宋体" w:cs="宋体"/>
          <w:color w:val="auto"/>
          <w:kern w:val="0"/>
          <w:sz w:val="24"/>
        </w:rPr>
      </w:pPr>
      <w:r>
        <w:rPr>
          <w:rFonts w:hint="eastAsia" w:ascii="宋体" w:hAnsi="宋体" w:cs="宋体"/>
          <w:color w:val="auto"/>
          <w:kern w:val="0"/>
          <w:sz w:val="24"/>
        </w:rPr>
        <w:t>投标人</w:t>
      </w:r>
      <w:r>
        <w:rPr>
          <w:rFonts w:ascii="宋体" w:hAnsi="宋体" w:cs="宋体"/>
          <w:color w:val="auto"/>
          <w:kern w:val="0"/>
          <w:sz w:val="24"/>
        </w:rPr>
        <w:t>（盖章）：</w:t>
      </w:r>
      <w:r>
        <w:rPr>
          <w:rFonts w:hint="eastAsia" w:ascii="宋体" w:hAnsi="宋体" w:cs="宋体"/>
          <w:color w:val="auto"/>
          <w:kern w:val="0"/>
          <w:sz w:val="24"/>
          <w:u w:val="single"/>
        </w:rPr>
        <w:t xml:space="preserve"> </w:t>
      </w:r>
      <w:r>
        <w:rPr>
          <w:rFonts w:ascii="宋体" w:hAnsi="宋体" w:cs="宋体"/>
          <w:color w:val="auto"/>
          <w:kern w:val="0"/>
          <w:sz w:val="24"/>
          <w:u w:val="single"/>
        </w:rPr>
        <w:t xml:space="preserve">          </w:t>
      </w:r>
    </w:p>
    <w:p w14:paraId="57A6C395">
      <w:pPr>
        <w:pageBreakBefore w:val="0"/>
        <w:widowControl/>
        <w:kinsoku/>
        <w:wordWrap w:val="0"/>
        <w:overflowPunct/>
        <w:topLinePunct w:val="0"/>
        <w:bidi w:val="0"/>
        <w:spacing w:line="360" w:lineRule="auto"/>
        <w:ind w:left="0" w:leftChars="0" w:firstLine="0" w:firstLineChars="0"/>
        <w:jc w:val="right"/>
        <w:textAlignment w:val="auto"/>
        <w:rPr>
          <w:rFonts w:hint="eastAsia" w:ascii="宋体" w:hAnsi="宋体" w:cs="宋体"/>
          <w:color w:val="auto"/>
          <w:kern w:val="0"/>
          <w:sz w:val="24"/>
          <w:u w:val="single"/>
        </w:rPr>
      </w:pPr>
      <w:r>
        <w:rPr>
          <w:rFonts w:ascii="宋体" w:hAnsi="宋体" w:cs="宋体"/>
          <w:color w:val="auto"/>
          <w:kern w:val="0"/>
          <w:sz w:val="24"/>
        </w:rPr>
        <w:t>日期：</w:t>
      </w:r>
      <w:r>
        <w:rPr>
          <w:rFonts w:ascii="宋体" w:hAnsi="宋体" w:cs="宋体"/>
          <w:color w:val="auto"/>
          <w:kern w:val="0"/>
          <w:sz w:val="24"/>
          <w:u w:val="single"/>
        </w:rPr>
        <w:t xml:space="preserve">                     </w:t>
      </w:r>
    </w:p>
    <w:p w14:paraId="720623B1">
      <w:pPr>
        <w:pageBreakBefore w:val="0"/>
        <w:kinsoku/>
        <w:overflowPunct/>
        <w:topLinePunct w:val="0"/>
        <w:bidi w:val="0"/>
        <w:snapToGrid w:val="0"/>
        <w:spacing w:line="360" w:lineRule="auto"/>
        <w:ind w:left="0" w:leftChars="0" w:firstLine="0" w:firstLineChars="0"/>
        <w:jc w:val="center"/>
        <w:textAlignment w:val="auto"/>
        <w:rPr>
          <w:rFonts w:hint="eastAsia" w:ascii="仿宋" w:hAnsi="仿宋" w:eastAsia="仿宋" w:cs="仿宋"/>
          <w:b/>
          <w:bCs/>
          <w:color w:val="auto"/>
          <w:spacing w:val="6"/>
          <w:kern w:val="0"/>
          <w:sz w:val="32"/>
          <w:szCs w:val="32"/>
          <w:highlight w:val="none"/>
          <w:lang w:val="en-US" w:eastAsia="zh-CN"/>
        </w:rPr>
      </w:pPr>
      <w:r>
        <w:rPr>
          <w:rFonts w:ascii="宋体" w:hAnsi="宋体"/>
          <w:color w:val="auto"/>
          <w:sz w:val="24"/>
        </w:rPr>
        <w:br w:type="page"/>
      </w:r>
      <w:bookmarkEnd w:id="452"/>
      <w:bookmarkEnd w:id="453"/>
      <w:bookmarkEnd w:id="454"/>
      <w:bookmarkStart w:id="458" w:name="_Toc515647827"/>
      <w:bookmarkStart w:id="459" w:name="_Toc30795"/>
      <w:bookmarkStart w:id="460" w:name="_Toc2582329"/>
      <w:bookmarkStart w:id="461" w:name="_Toc28099"/>
      <w:bookmarkStart w:id="462" w:name="_Toc175844157"/>
      <w:bookmarkStart w:id="463" w:name="_Toc532473515"/>
      <w:r>
        <w:rPr>
          <w:rFonts w:hint="eastAsia" w:ascii="宋体" w:hAnsi="宋体" w:eastAsia="宋体" w:cs="宋体"/>
          <w:b/>
          <w:color w:val="auto"/>
          <w:kern w:val="0"/>
          <w:sz w:val="28"/>
          <w:szCs w:val="28"/>
          <w:lang w:val="en-US" w:eastAsia="zh-CN"/>
        </w:rPr>
        <w:t>商品包装和快递包装承诺函</w:t>
      </w:r>
    </w:p>
    <w:p w14:paraId="6EBF84FC">
      <w:pPr>
        <w:keepLines w:val="0"/>
        <w:pageBreakBefore w:val="0"/>
        <w:widowControl w:val="0"/>
        <w:shd w:val="clear" w:color="auto" w:fill="FFFFFF"/>
        <w:kinsoku/>
        <w:overflowPunct/>
        <w:topLinePunct w:val="0"/>
        <w:bidi w:val="0"/>
        <w:snapToGrid w:val="0"/>
        <w:spacing w:line="480" w:lineRule="auto"/>
        <w:ind w:firstLine="600" w:firstLineChars="200"/>
        <w:jc w:val="both"/>
        <w:rPr>
          <w:rFonts w:hint="eastAsia" w:ascii="仿宋" w:hAnsi="仿宋" w:eastAsia="仿宋" w:cs="仿宋"/>
          <w:color w:val="auto"/>
          <w:spacing w:val="10"/>
          <w:kern w:val="0"/>
          <w:sz w:val="28"/>
          <w:szCs w:val="28"/>
          <w:highlight w:val="none"/>
          <w:lang w:val="en-US" w:eastAsia="zh-CN"/>
        </w:rPr>
      </w:pPr>
    </w:p>
    <w:p w14:paraId="1BFDE673">
      <w:pPr>
        <w:pageBreakBefore w:val="0"/>
        <w:widowControl/>
        <w:kinsoku/>
        <w:overflowPunct/>
        <w:topLinePunct w:val="0"/>
        <w:bidi w:val="0"/>
        <w:spacing w:line="360" w:lineRule="auto"/>
        <w:ind w:left="0" w:leftChars="0" w:firstLine="638" w:firstLineChars="266"/>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本供应商现参与___________项目（项目编号：______ ）的采购活动，本公司承诺所供商品包装符合《商品包装政府采购需求标准（试行）》，快递包装符合《快递包装政府采购需求标准（试行）》。</w:t>
      </w:r>
    </w:p>
    <w:p w14:paraId="36B8049B">
      <w:pPr>
        <w:pageBreakBefore w:val="0"/>
        <w:widowControl/>
        <w:kinsoku/>
        <w:overflowPunct/>
        <w:topLinePunct w:val="0"/>
        <w:bidi w:val="0"/>
        <w:spacing w:line="360" w:lineRule="auto"/>
        <w:ind w:left="0" w:leftChars="0" w:firstLine="638" w:firstLineChars="266"/>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如上述声明不真实，愿意按照政府采购有关法律法规的规定接受处罚。</w:t>
      </w:r>
    </w:p>
    <w:p w14:paraId="4FFFA9B2">
      <w:pPr>
        <w:pageBreakBefore w:val="0"/>
        <w:widowControl/>
        <w:kinsoku/>
        <w:overflowPunct/>
        <w:topLinePunct w:val="0"/>
        <w:bidi w:val="0"/>
        <w:spacing w:line="360" w:lineRule="auto"/>
        <w:ind w:left="0" w:leftChars="0" w:firstLine="638" w:firstLineChars="266"/>
        <w:jc w:val="left"/>
        <w:textAlignment w:val="auto"/>
        <w:rPr>
          <w:rFonts w:hint="eastAsia" w:ascii="仿宋" w:hAnsi="仿宋" w:eastAsia="仿宋" w:cs="仿宋"/>
          <w:color w:val="auto"/>
          <w:spacing w:val="10"/>
          <w:kern w:val="0"/>
          <w:sz w:val="28"/>
          <w:szCs w:val="28"/>
          <w:highlight w:val="none"/>
          <w:lang w:val="en-US" w:eastAsia="zh-CN"/>
        </w:rPr>
      </w:pPr>
      <w:r>
        <w:rPr>
          <w:rFonts w:hint="eastAsia" w:ascii="宋体" w:hAnsi="宋体" w:eastAsia="宋体" w:cs="宋体"/>
          <w:color w:val="auto"/>
          <w:kern w:val="0"/>
          <w:sz w:val="24"/>
          <w:lang w:val="en-US" w:eastAsia="zh-CN"/>
        </w:rPr>
        <w:t>特此声明</w:t>
      </w:r>
    </w:p>
    <w:p w14:paraId="5A028BF9">
      <w:pPr>
        <w:pStyle w:val="12"/>
        <w:keepLines w:val="0"/>
        <w:pageBreakBefore w:val="0"/>
        <w:widowControl w:val="0"/>
        <w:kinsoku/>
        <w:overflowPunct/>
        <w:topLinePunct w:val="0"/>
        <w:bidi w:val="0"/>
        <w:rPr>
          <w:rFonts w:hint="eastAsia" w:ascii="仿宋" w:hAnsi="仿宋" w:eastAsia="仿宋" w:cs="仿宋"/>
          <w:color w:val="auto"/>
        </w:rPr>
      </w:pPr>
    </w:p>
    <w:p w14:paraId="109629D0">
      <w:pPr>
        <w:pStyle w:val="12"/>
        <w:keepLines w:val="0"/>
        <w:pageBreakBefore w:val="0"/>
        <w:widowControl w:val="0"/>
        <w:kinsoku/>
        <w:overflowPunct/>
        <w:topLinePunct w:val="0"/>
        <w:bidi w:val="0"/>
        <w:rPr>
          <w:rFonts w:hint="eastAsia" w:ascii="仿宋" w:hAnsi="仿宋" w:eastAsia="仿宋" w:cs="仿宋"/>
          <w:color w:val="auto"/>
        </w:rPr>
      </w:pPr>
    </w:p>
    <w:p w14:paraId="0116FCF5">
      <w:pPr>
        <w:pageBreakBefore w:val="0"/>
        <w:widowControl/>
        <w:kinsoku/>
        <w:wordWrap w:val="0"/>
        <w:overflowPunct/>
        <w:topLinePunct w:val="0"/>
        <w:bidi w:val="0"/>
        <w:spacing w:line="360" w:lineRule="auto"/>
        <w:ind w:left="0" w:leftChars="0" w:firstLine="0" w:firstLineChars="0"/>
        <w:jc w:val="right"/>
        <w:textAlignment w:val="auto"/>
        <w:rPr>
          <w:rFonts w:hint="eastAsia" w:ascii="宋体" w:hAnsi="宋体" w:cs="宋体"/>
          <w:color w:val="auto"/>
          <w:kern w:val="0"/>
          <w:sz w:val="24"/>
        </w:rPr>
      </w:pPr>
      <w:r>
        <w:rPr>
          <w:rFonts w:hint="eastAsia" w:ascii="宋体" w:hAnsi="宋体" w:cs="宋体"/>
          <w:color w:val="auto"/>
          <w:kern w:val="0"/>
          <w:sz w:val="24"/>
        </w:rPr>
        <w:t>投标人</w:t>
      </w:r>
      <w:r>
        <w:rPr>
          <w:rFonts w:ascii="宋体" w:hAnsi="宋体" w:cs="宋体"/>
          <w:color w:val="auto"/>
          <w:kern w:val="0"/>
          <w:sz w:val="24"/>
        </w:rPr>
        <w:t>（盖章）：</w:t>
      </w:r>
      <w:r>
        <w:rPr>
          <w:rFonts w:hint="eastAsia" w:ascii="宋体" w:hAnsi="宋体" w:cs="宋体"/>
          <w:color w:val="auto"/>
          <w:kern w:val="0"/>
          <w:sz w:val="24"/>
          <w:u w:val="single"/>
        </w:rPr>
        <w:t xml:space="preserve"> </w:t>
      </w:r>
      <w:r>
        <w:rPr>
          <w:rFonts w:ascii="宋体" w:hAnsi="宋体" w:cs="宋体"/>
          <w:color w:val="auto"/>
          <w:kern w:val="0"/>
          <w:sz w:val="24"/>
          <w:u w:val="single"/>
        </w:rPr>
        <w:t xml:space="preserve">          </w:t>
      </w:r>
    </w:p>
    <w:p w14:paraId="70414215">
      <w:pPr>
        <w:keepLines w:val="0"/>
        <w:pageBreakBefore w:val="0"/>
        <w:widowControl w:val="0"/>
        <w:tabs>
          <w:tab w:val="left" w:pos="4000"/>
        </w:tabs>
        <w:kinsoku/>
        <w:overflowPunct/>
        <w:topLinePunct w:val="0"/>
        <w:bidi w:val="0"/>
        <w:snapToGrid w:val="0"/>
        <w:spacing w:line="360" w:lineRule="auto"/>
        <w:jc w:val="center"/>
        <w:rPr>
          <w:rFonts w:hint="eastAsia" w:ascii="仿宋" w:hAnsi="仿宋" w:eastAsia="仿宋" w:cs="仿宋"/>
          <w:color w:val="auto"/>
          <w:spacing w:val="20"/>
          <w:kern w:val="0"/>
          <w:sz w:val="28"/>
          <w:szCs w:val="28"/>
          <w:highlight w:val="none"/>
        </w:rPr>
      </w:pPr>
      <w:r>
        <w:rPr>
          <w:rFonts w:hint="eastAsia" w:ascii="宋体" w:hAnsi="宋体" w:cs="宋体"/>
          <w:color w:val="auto"/>
          <w:kern w:val="0"/>
          <w:sz w:val="24"/>
          <w:lang w:val="en-US" w:eastAsia="zh-CN"/>
        </w:rPr>
        <w:t xml:space="preserve">                                  </w:t>
      </w:r>
      <w:r>
        <w:rPr>
          <w:rFonts w:ascii="宋体" w:hAnsi="宋体" w:cs="宋体"/>
          <w:color w:val="auto"/>
          <w:kern w:val="0"/>
          <w:sz w:val="24"/>
        </w:rPr>
        <w:t>日期：</w:t>
      </w:r>
      <w:r>
        <w:rPr>
          <w:rFonts w:ascii="宋体" w:hAnsi="宋体" w:cs="宋体"/>
          <w:color w:val="auto"/>
          <w:kern w:val="0"/>
          <w:sz w:val="24"/>
          <w:u w:val="single"/>
        </w:rPr>
        <w:t xml:space="preserve">                     </w:t>
      </w:r>
    </w:p>
    <w:p w14:paraId="03B4CBBE">
      <w:pPr>
        <w:keepLines w:val="0"/>
        <w:pageBreakBefore w:val="0"/>
        <w:widowControl w:val="0"/>
        <w:kinsoku/>
        <w:overflowPunct/>
        <w:topLinePunct w:val="0"/>
        <w:bidi w:val="0"/>
        <w:snapToGrid w:val="0"/>
        <w:spacing w:line="420" w:lineRule="exact"/>
        <w:jc w:val="center"/>
        <w:rPr>
          <w:rFonts w:hint="eastAsia" w:ascii="仿宋" w:hAnsi="仿宋" w:eastAsia="仿宋" w:cs="仿宋"/>
          <w:b/>
          <w:bCs/>
          <w:color w:val="auto"/>
          <w:spacing w:val="10"/>
          <w:kern w:val="0"/>
          <w:sz w:val="32"/>
          <w:szCs w:val="32"/>
          <w:highlight w:val="none"/>
        </w:rPr>
      </w:pPr>
    </w:p>
    <w:p w14:paraId="61B8130F">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44756335">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170BF4EB">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792BB128">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6E789E30">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78414493">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78E1E3ED">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577F9C12">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6B68A01F">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68DA36CC">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6E728E72">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0"/>
          <w:kern w:val="0"/>
          <w:sz w:val="32"/>
          <w:szCs w:val="32"/>
          <w:highlight w:val="none"/>
          <w:lang w:val="en-US" w:eastAsia="zh-CN"/>
        </w:rPr>
      </w:pPr>
    </w:p>
    <w:p w14:paraId="16E0188B">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0"/>
          <w:kern w:val="0"/>
          <w:sz w:val="32"/>
          <w:szCs w:val="32"/>
          <w:highlight w:val="none"/>
          <w:lang w:val="en-US" w:eastAsia="zh-CN"/>
        </w:rPr>
      </w:pPr>
    </w:p>
    <w:p w14:paraId="7C6F5BAA">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0"/>
          <w:kern w:val="0"/>
          <w:sz w:val="32"/>
          <w:szCs w:val="32"/>
          <w:highlight w:val="none"/>
          <w:lang w:val="en-US" w:eastAsia="zh-CN"/>
        </w:rPr>
      </w:pPr>
    </w:p>
    <w:p w14:paraId="1EF17464">
      <w:pPr>
        <w:pageBreakBefore w:val="0"/>
        <w:kinsoku/>
        <w:overflowPunct/>
        <w:topLinePunct w:val="0"/>
        <w:bidi w:val="0"/>
        <w:snapToGrid w:val="0"/>
        <w:spacing w:line="360" w:lineRule="auto"/>
        <w:ind w:left="0" w:leftChars="0" w:firstLine="0" w:firstLineChars="0"/>
        <w:jc w:val="center"/>
        <w:textAlignment w:val="auto"/>
        <w:rPr>
          <w:rFonts w:hint="eastAsia" w:ascii="宋体" w:hAnsi="宋体" w:eastAsia="宋体" w:cs="宋体"/>
          <w:b/>
          <w:color w:val="auto"/>
          <w:kern w:val="0"/>
          <w:sz w:val="28"/>
          <w:szCs w:val="28"/>
          <w:lang w:val="en-US" w:eastAsia="zh-CN"/>
        </w:rPr>
      </w:pPr>
      <w:r>
        <w:rPr>
          <w:rFonts w:hint="eastAsia" w:ascii="宋体" w:hAnsi="宋体" w:eastAsia="宋体" w:cs="宋体"/>
          <w:b/>
          <w:color w:val="auto"/>
          <w:kern w:val="0"/>
          <w:sz w:val="28"/>
          <w:szCs w:val="28"/>
          <w:lang w:val="en-US" w:eastAsia="zh-CN"/>
        </w:rPr>
        <w:br w:type="textWrapping"/>
      </w:r>
    </w:p>
    <w:p w14:paraId="26B9F8D2">
      <w:pPr>
        <w:pageBreakBefore w:val="0"/>
        <w:kinsoku/>
        <w:overflowPunct/>
        <w:topLinePunct w:val="0"/>
        <w:bidi w:val="0"/>
        <w:snapToGrid w:val="0"/>
        <w:spacing w:line="360" w:lineRule="auto"/>
        <w:ind w:left="0" w:leftChars="0" w:firstLine="0" w:firstLineChars="0"/>
        <w:jc w:val="center"/>
        <w:textAlignment w:val="auto"/>
        <w:rPr>
          <w:rFonts w:hint="eastAsia" w:ascii="仿宋" w:hAnsi="仿宋" w:eastAsia="仿宋" w:cs="仿宋"/>
          <w:b/>
          <w:bCs/>
          <w:color w:val="auto"/>
          <w:spacing w:val="0"/>
          <w:kern w:val="0"/>
          <w:sz w:val="32"/>
          <w:szCs w:val="32"/>
          <w:highlight w:val="none"/>
          <w:lang w:val="en-US" w:eastAsia="zh-CN"/>
        </w:rPr>
      </w:pPr>
      <w:r>
        <w:rPr>
          <w:rFonts w:hint="eastAsia" w:ascii="宋体" w:hAnsi="宋体" w:eastAsia="宋体" w:cs="宋体"/>
          <w:b/>
          <w:color w:val="auto"/>
          <w:kern w:val="0"/>
          <w:sz w:val="28"/>
          <w:szCs w:val="28"/>
          <w:lang w:val="en-US" w:eastAsia="zh-CN"/>
        </w:rPr>
        <w:t>正版软件承诺</w:t>
      </w:r>
    </w:p>
    <w:p w14:paraId="3D74F6D5">
      <w:pPr>
        <w:keepLines w:val="0"/>
        <w:pageBreakBefore w:val="0"/>
        <w:widowControl w:val="0"/>
        <w:kinsoku/>
        <w:overflowPunct/>
        <w:topLinePunct w:val="0"/>
        <w:bidi w:val="0"/>
        <w:snapToGrid w:val="0"/>
        <w:spacing w:line="360" w:lineRule="auto"/>
        <w:jc w:val="center"/>
        <w:rPr>
          <w:rFonts w:hint="eastAsia" w:ascii="仿宋" w:hAnsi="仿宋" w:eastAsia="仿宋" w:cs="仿宋"/>
          <w:color w:val="auto"/>
        </w:rPr>
      </w:pPr>
    </w:p>
    <w:p w14:paraId="4D5A8D8C">
      <w:pPr>
        <w:pageBreakBefore w:val="0"/>
        <w:widowControl/>
        <w:kinsoku/>
        <w:overflowPunct/>
        <w:topLinePunct w:val="0"/>
        <w:bidi w:val="0"/>
        <w:spacing w:line="360" w:lineRule="auto"/>
        <w:ind w:left="0" w:leftChars="0" w:firstLine="638" w:firstLineChars="266"/>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本供应商现参与项目___________（项目编号：___________）的采购活动，本公司承诺投报的计算机产品预装正版操作系统，投报的硬件产品内的预装软件为正版软件。</w:t>
      </w:r>
    </w:p>
    <w:p w14:paraId="46C3DAE1">
      <w:pPr>
        <w:pageBreakBefore w:val="0"/>
        <w:widowControl/>
        <w:kinsoku/>
        <w:overflowPunct/>
        <w:topLinePunct w:val="0"/>
        <w:bidi w:val="0"/>
        <w:spacing w:line="360" w:lineRule="auto"/>
        <w:ind w:left="0" w:leftChars="0" w:firstLine="638" w:firstLineChars="266"/>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如上述声明不真实，愿意按照政府采购有关法律法规的规定接受处罚。</w:t>
      </w:r>
    </w:p>
    <w:p w14:paraId="2725983D">
      <w:pPr>
        <w:pageBreakBefore w:val="0"/>
        <w:widowControl/>
        <w:kinsoku/>
        <w:overflowPunct/>
        <w:topLinePunct w:val="0"/>
        <w:bidi w:val="0"/>
        <w:spacing w:line="360" w:lineRule="auto"/>
        <w:ind w:left="0" w:leftChars="0" w:firstLine="638" w:firstLineChars="266"/>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特此声明</w:t>
      </w:r>
    </w:p>
    <w:p w14:paraId="2A81A401">
      <w:pPr>
        <w:keepLines w:val="0"/>
        <w:pageBreakBefore w:val="0"/>
        <w:widowControl w:val="0"/>
        <w:kinsoku/>
        <w:overflowPunct/>
        <w:topLinePunct w:val="0"/>
        <w:bidi w:val="0"/>
        <w:snapToGrid w:val="0"/>
        <w:spacing w:line="360" w:lineRule="auto"/>
        <w:ind w:firstLine="480" w:firstLineChars="200"/>
        <w:jc w:val="left"/>
        <w:rPr>
          <w:rFonts w:hint="eastAsia" w:ascii="仿宋" w:hAnsi="仿宋" w:eastAsia="仿宋" w:cs="仿宋"/>
          <w:color w:val="auto"/>
          <w:kern w:val="0"/>
          <w:sz w:val="24"/>
          <w:szCs w:val="24"/>
          <w:highlight w:val="none"/>
        </w:rPr>
      </w:pPr>
    </w:p>
    <w:p w14:paraId="27582942">
      <w:pPr>
        <w:pStyle w:val="12"/>
        <w:keepLines w:val="0"/>
        <w:pageBreakBefore w:val="0"/>
        <w:widowControl w:val="0"/>
        <w:kinsoku/>
        <w:overflowPunct/>
        <w:topLinePunct w:val="0"/>
        <w:bidi w:val="0"/>
        <w:rPr>
          <w:rFonts w:hint="eastAsia" w:ascii="仿宋" w:hAnsi="仿宋" w:eastAsia="仿宋" w:cs="仿宋"/>
          <w:color w:val="auto"/>
        </w:rPr>
      </w:pPr>
    </w:p>
    <w:p w14:paraId="76162F07">
      <w:pPr>
        <w:rPr>
          <w:rFonts w:hint="eastAsia" w:ascii="仿宋" w:hAnsi="仿宋" w:eastAsia="仿宋" w:cs="仿宋"/>
          <w:color w:val="auto"/>
        </w:rPr>
      </w:pPr>
    </w:p>
    <w:p w14:paraId="6AAF45CA">
      <w:pPr>
        <w:rPr>
          <w:rFonts w:hint="eastAsia" w:ascii="仿宋" w:hAnsi="仿宋" w:eastAsia="仿宋" w:cs="仿宋"/>
          <w:color w:val="auto"/>
        </w:rPr>
      </w:pPr>
    </w:p>
    <w:p w14:paraId="04C920E8">
      <w:pPr>
        <w:keepLines w:val="0"/>
        <w:pageBreakBefore w:val="0"/>
        <w:widowControl w:val="0"/>
        <w:kinsoku/>
        <w:overflowPunct/>
        <w:topLinePunct w:val="0"/>
        <w:bidi w:val="0"/>
        <w:rPr>
          <w:rFonts w:hint="eastAsia" w:ascii="仿宋" w:hAnsi="仿宋" w:eastAsia="仿宋" w:cs="仿宋"/>
          <w:color w:val="auto"/>
        </w:rPr>
      </w:pPr>
    </w:p>
    <w:p w14:paraId="6412E2C6">
      <w:pPr>
        <w:pageBreakBefore w:val="0"/>
        <w:widowControl/>
        <w:kinsoku/>
        <w:wordWrap w:val="0"/>
        <w:overflowPunct/>
        <w:topLinePunct w:val="0"/>
        <w:bidi w:val="0"/>
        <w:spacing w:line="360" w:lineRule="auto"/>
        <w:ind w:left="0" w:leftChars="0" w:firstLine="6300" w:firstLineChars="2625"/>
        <w:jc w:val="both"/>
        <w:textAlignment w:val="auto"/>
        <w:rPr>
          <w:rFonts w:hint="eastAsia" w:ascii="宋体" w:hAnsi="宋体" w:cs="宋体"/>
          <w:color w:val="auto"/>
          <w:kern w:val="0"/>
          <w:sz w:val="24"/>
        </w:rPr>
      </w:pPr>
      <w:r>
        <w:rPr>
          <w:rFonts w:hint="eastAsia" w:ascii="宋体" w:hAnsi="宋体" w:cs="宋体"/>
          <w:color w:val="auto"/>
          <w:kern w:val="0"/>
          <w:sz w:val="24"/>
        </w:rPr>
        <w:t>投标人</w:t>
      </w:r>
      <w:r>
        <w:rPr>
          <w:rFonts w:ascii="宋体" w:hAnsi="宋体" w:cs="宋体"/>
          <w:color w:val="auto"/>
          <w:kern w:val="0"/>
          <w:sz w:val="24"/>
        </w:rPr>
        <w:t>（盖章）：</w:t>
      </w:r>
      <w:r>
        <w:rPr>
          <w:rFonts w:hint="eastAsia" w:ascii="宋体" w:hAnsi="宋体" w:cs="宋体"/>
          <w:color w:val="auto"/>
          <w:kern w:val="0"/>
          <w:sz w:val="24"/>
          <w:u w:val="single"/>
        </w:rPr>
        <w:t xml:space="preserve"> </w:t>
      </w:r>
      <w:r>
        <w:rPr>
          <w:rFonts w:ascii="宋体" w:hAnsi="宋体" w:cs="宋体"/>
          <w:color w:val="auto"/>
          <w:kern w:val="0"/>
          <w:sz w:val="24"/>
          <w:u w:val="single"/>
        </w:rPr>
        <w:t xml:space="preserve">          </w:t>
      </w:r>
    </w:p>
    <w:p w14:paraId="4262A087">
      <w:pPr>
        <w:keepLines w:val="0"/>
        <w:pageBreakBefore w:val="0"/>
        <w:widowControl w:val="0"/>
        <w:tabs>
          <w:tab w:val="left" w:pos="4000"/>
        </w:tabs>
        <w:kinsoku/>
        <w:overflowPunct/>
        <w:topLinePunct w:val="0"/>
        <w:bidi w:val="0"/>
        <w:snapToGrid w:val="0"/>
        <w:spacing w:line="360" w:lineRule="auto"/>
        <w:ind w:left="0" w:leftChars="0" w:firstLine="6300" w:firstLineChars="2625"/>
        <w:rPr>
          <w:rFonts w:hint="eastAsia" w:ascii="仿宋" w:hAnsi="仿宋" w:eastAsia="仿宋" w:cs="仿宋"/>
          <w:color w:val="auto"/>
          <w:spacing w:val="20"/>
          <w:kern w:val="0"/>
          <w:sz w:val="28"/>
          <w:szCs w:val="28"/>
          <w:highlight w:val="none"/>
        </w:rPr>
      </w:pPr>
      <w:r>
        <w:rPr>
          <w:rFonts w:ascii="宋体" w:hAnsi="宋体" w:cs="宋体"/>
          <w:color w:val="auto"/>
          <w:kern w:val="0"/>
          <w:sz w:val="24"/>
        </w:rPr>
        <w:t>日期：</w:t>
      </w:r>
      <w:r>
        <w:rPr>
          <w:rFonts w:ascii="宋体" w:hAnsi="宋体" w:cs="宋体"/>
          <w:color w:val="auto"/>
          <w:kern w:val="0"/>
          <w:sz w:val="24"/>
          <w:u w:val="single"/>
        </w:rPr>
        <w:t xml:space="preserve">                     </w:t>
      </w:r>
    </w:p>
    <w:p w14:paraId="6B8C9BB0">
      <w:pPr>
        <w:keepLines w:val="0"/>
        <w:pageBreakBefore w:val="0"/>
        <w:widowControl w:val="0"/>
        <w:kinsoku/>
        <w:overflowPunct/>
        <w:topLinePunct w:val="0"/>
        <w:bidi w:val="0"/>
        <w:snapToGrid w:val="0"/>
        <w:spacing w:line="420" w:lineRule="exact"/>
        <w:jc w:val="center"/>
        <w:rPr>
          <w:rFonts w:hint="eastAsia" w:ascii="仿宋" w:hAnsi="仿宋" w:eastAsia="仿宋" w:cs="仿宋"/>
          <w:b/>
          <w:bCs/>
          <w:color w:val="auto"/>
          <w:spacing w:val="10"/>
          <w:kern w:val="0"/>
          <w:sz w:val="32"/>
          <w:szCs w:val="32"/>
          <w:highlight w:val="none"/>
        </w:rPr>
      </w:pPr>
    </w:p>
    <w:p w14:paraId="3DBEEE7A">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56138E50">
      <w:pPr>
        <w:pStyle w:val="2"/>
        <w:keepLines w:val="0"/>
        <w:pageBreakBefore w:val="0"/>
        <w:widowControl w:val="0"/>
        <w:kinsoku/>
        <w:overflowPunct/>
        <w:topLinePunct w:val="0"/>
        <w:bidi w:val="0"/>
        <w:outlineLvl w:val="9"/>
        <w:rPr>
          <w:rFonts w:hint="eastAsia" w:ascii="仿宋" w:hAnsi="仿宋" w:eastAsia="仿宋" w:cs="仿宋"/>
          <w:b/>
          <w:bCs/>
          <w:color w:val="auto"/>
          <w:spacing w:val="6"/>
          <w:kern w:val="0"/>
          <w:sz w:val="32"/>
          <w:szCs w:val="32"/>
          <w:highlight w:val="none"/>
          <w:lang w:val="en-US" w:eastAsia="zh-CN"/>
        </w:rPr>
      </w:pPr>
    </w:p>
    <w:p w14:paraId="270F0EA5">
      <w:pPr>
        <w:keepLines w:val="0"/>
        <w:pageBreakBefore w:val="0"/>
        <w:widowControl w:val="0"/>
        <w:kinsoku/>
        <w:overflowPunct/>
        <w:topLinePunct w:val="0"/>
        <w:bidi w:val="0"/>
        <w:rPr>
          <w:rFonts w:hint="eastAsia" w:ascii="仿宋" w:hAnsi="仿宋" w:eastAsia="仿宋" w:cs="仿宋"/>
          <w:b/>
          <w:bCs/>
          <w:color w:val="auto"/>
          <w:spacing w:val="6"/>
          <w:kern w:val="0"/>
          <w:sz w:val="32"/>
          <w:szCs w:val="32"/>
          <w:highlight w:val="none"/>
          <w:lang w:val="en-US" w:eastAsia="zh-CN"/>
        </w:rPr>
      </w:pPr>
    </w:p>
    <w:p w14:paraId="12599740">
      <w:pPr>
        <w:pStyle w:val="2"/>
        <w:keepLines w:val="0"/>
        <w:pageBreakBefore w:val="0"/>
        <w:widowControl w:val="0"/>
        <w:kinsoku/>
        <w:overflowPunct/>
        <w:topLinePunct w:val="0"/>
        <w:bidi w:val="0"/>
        <w:outlineLvl w:val="9"/>
        <w:rPr>
          <w:rFonts w:hint="eastAsia" w:ascii="仿宋" w:hAnsi="仿宋" w:eastAsia="仿宋" w:cs="仿宋"/>
          <w:b/>
          <w:bCs/>
          <w:color w:val="auto"/>
          <w:spacing w:val="6"/>
          <w:kern w:val="0"/>
          <w:sz w:val="32"/>
          <w:szCs w:val="32"/>
          <w:highlight w:val="none"/>
          <w:lang w:val="en-US" w:eastAsia="zh-CN"/>
        </w:rPr>
      </w:pPr>
    </w:p>
    <w:p w14:paraId="6EE07290">
      <w:pPr>
        <w:keepLines w:val="0"/>
        <w:pageBreakBefore w:val="0"/>
        <w:widowControl w:val="0"/>
        <w:kinsoku/>
        <w:overflowPunct/>
        <w:topLinePunct w:val="0"/>
        <w:bidi w:val="0"/>
        <w:rPr>
          <w:rFonts w:hint="eastAsia" w:ascii="仿宋" w:hAnsi="仿宋" w:eastAsia="仿宋" w:cs="仿宋"/>
          <w:color w:val="auto"/>
          <w:lang w:val="en-US" w:eastAsia="zh-CN"/>
        </w:rPr>
      </w:pPr>
    </w:p>
    <w:p w14:paraId="41D2F0DF">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3345CB62">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402F95A1">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461D18DE">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6890ED74">
      <w:pPr>
        <w:keepLines w:val="0"/>
        <w:pageBreakBefore w:val="0"/>
        <w:widowControl w:val="0"/>
        <w:kinsoku/>
        <w:wordWrap/>
        <w:overflowPunct/>
        <w:topLinePunct w:val="0"/>
        <w:bidi w:val="0"/>
        <w:spacing w:after="156" w:afterLines="50"/>
        <w:jc w:val="center"/>
        <w:outlineLvl w:val="9"/>
        <w:rPr>
          <w:rFonts w:hint="eastAsia" w:ascii="宋体" w:hAnsi="宋体" w:eastAsia="宋体" w:cs="宋体"/>
          <w:b/>
          <w:bCs/>
          <w:color w:val="auto"/>
          <w:spacing w:val="6"/>
          <w:kern w:val="0"/>
          <w:sz w:val="24"/>
          <w:szCs w:val="24"/>
          <w:highlight w:val="none"/>
          <w:lang w:val="en-US" w:eastAsia="zh-CN"/>
        </w:rPr>
      </w:pPr>
    </w:p>
    <w:p w14:paraId="4866A6C8">
      <w:pPr>
        <w:keepLines w:val="0"/>
        <w:pageBreakBefore w:val="0"/>
        <w:widowControl w:val="0"/>
        <w:kinsoku/>
        <w:wordWrap/>
        <w:overflowPunct/>
        <w:topLinePunct w:val="0"/>
        <w:bidi w:val="0"/>
        <w:spacing w:after="156" w:afterLines="50"/>
        <w:jc w:val="center"/>
        <w:outlineLvl w:val="9"/>
        <w:rPr>
          <w:rFonts w:hint="eastAsia" w:ascii="宋体" w:hAnsi="宋体" w:eastAsia="宋体" w:cs="宋体"/>
          <w:b/>
          <w:bCs/>
          <w:color w:val="auto"/>
          <w:spacing w:val="6"/>
          <w:kern w:val="0"/>
          <w:sz w:val="24"/>
          <w:szCs w:val="24"/>
          <w:highlight w:val="none"/>
          <w:lang w:val="en-US" w:eastAsia="zh-CN"/>
        </w:rPr>
      </w:pPr>
    </w:p>
    <w:p w14:paraId="2F588598">
      <w:pPr>
        <w:keepLines w:val="0"/>
        <w:pageBreakBefore w:val="0"/>
        <w:widowControl w:val="0"/>
        <w:kinsoku/>
        <w:wordWrap/>
        <w:overflowPunct/>
        <w:topLinePunct w:val="0"/>
        <w:bidi w:val="0"/>
        <w:spacing w:after="156" w:afterLines="50"/>
        <w:jc w:val="center"/>
        <w:outlineLvl w:val="9"/>
        <w:rPr>
          <w:rFonts w:hint="eastAsia" w:ascii="宋体" w:hAnsi="宋体" w:eastAsia="宋体" w:cs="宋体"/>
          <w:b/>
          <w:bCs/>
          <w:color w:val="auto"/>
          <w:spacing w:val="6"/>
          <w:kern w:val="0"/>
          <w:sz w:val="24"/>
          <w:szCs w:val="24"/>
          <w:highlight w:val="none"/>
          <w:lang w:val="en-US" w:eastAsia="zh-CN"/>
        </w:rPr>
      </w:pPr>
    </w:p>
    <w:p w14:paraId="0EA72BFB">
      <w:pPr>
        <w:pageBreakBefore w:val="0"/>
        <w:kinsoku/>
        <w:overflowPunct/>
        <w:topLinePunct w:val="0"/>
        <w:bidi w:val="0"/>
        <w:snapToGrid w:val="0"/>
        <w:spacing w:line="360" w:lineRule="auto"/>
        <w:ind w:left="0" w:leftChars="0" w:firstLine="0" w:firstLineChars="0"/>
        <w:jc w:val="center"/>
        <w:textAlignment w:val="auto"/>
        <w:rPr>
          <w:rFonts w:hint="eastAsia" w:ascii="宋体" w:hAnsi="宋体" w:eastAsia="宋体" w:cs="宋体"/>
          <w:b/>
          <w:color w:val="auto"/>
          <w:kern w:val="0"/>
          <w:sz w:val="28"/>
          <w:szCs w:val="28"/>
          <w:lang w:val="en-US" w:eastAsia="zh-CN"/>
        </w:rPr>
      </w:pPr>
    </w:p>
    <w:p w14:paraId="2EF50DD6">
      <w:pPr>
        <w:pageBreakBefore w:val="0"/>
        <w:kinsoku/>
        <w:overflowPunct/>
        <w:topLinePunct w:val="0"/>
        <w:bidi w:val="0"/>
        <w:snapToGrid w:val="0"/>
        <w:spacing w:line="360" w:lineRule="auto"/>
        <w:ind w:left="0" w:leftChars="0" w:firstLine="0" w:firstLineChars="0"/>
        <w:jc w:val="center"/>
        <w:textAlignment w:val="auto"/>
        <w:rPr>
          <w:rFonts w:hint="eastAsia" w:ascii="宋体" w:hAnsi="宋体" w:eastAsia="宋体" w:cs="宋体"/>
          <w:b/>
          <w:color w:val="auto"/>
          <w:kern w:val="0"/>
          <w:sz w:val="28"/>
          <w:szCs w:val="28"/>
          <w:lang w:val="en-US" w:eastAsia="zh-CN"/>
        </w:rPr>
      </w:pPr>
    </w:p>
    <w:p w14:paraId="3976AFC3">
      <w:pPr>
        <w:pageBreakBefore w:val="0"/>
        <w:kinsoku/>
        <w:overflowPunct/>
        <w:topLinePunct w:val="0"/>
        <w:bidi w:val="0"/>
        <w:snapToGrid w:val="0"/>
        <w:spacing w:line="360" w:lineRule="auto"/>
        <w:ind w:left="0" w:leftChars="0" w:firstLine="0" w:firstLineChars="0"/>
        <w:jc w:val="center"/>
        <w:textAlignment w:val="auto"/>
        <w:rPr>
          <w:rFonts w:hint="eastAsia" w:ascii="宋体" w:hAnsi="宋体" w:eastAsia="宋体" w:cs="宋体"/>
          <w:b/>
          <w:color w:val="auto"/>
          <w:kern w:val="0"/>
          <w:sz w:val="28"/>
          <w:szCs w:val="28"/>
          <w:lang w:val="en-US" w:eastAsia="zh-CN"/>
        </w:rPr>
      </w:pPr>
    </w:p>
    <w:p w14:paraId="13F8E397">
      <w:pPr>
        <w:pageBreakBefore w:val="0"/>
        <w:kinsoku/>
        <w:overflowPunct/>
        <w:topLinePunct w:val="0"/>
        <w:bidi w:val="0"/>
        <w:snapToGrid w:val="0"/>
        <w:spacing w:line="360" w:lineRule="auto"/>
        <w:ind w:left="0" w:leftChars="0" w:firstLine="0" w:firstLineChars="0"/>
        <w:jc w:val="center"/>
        <w:textAlignment w:val="auto"/>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color w:val="auto"/>
          <w:kern w:val="0"/>
          <w:sz w:val="28"/>
          <w:szCs w:val="28"/>
          <w:lang w:val="en-US" w:eastAsia="zh-CN"/>
        </w:rPr>
        <w:t>政府强制采购产品明细表</w:t>
      </w:r>
    </w:p>
    <w:p w14:paraId="33598108">
      <w:pPr>
        <w:keepLines w:val="0"/>
        <w:pageBreakBefore w:val="0"/>
        <w:widowControl w:val="0"/>
        <w:kinsoku/>
        <w:overflowPunct/>
        <w:topLinePunct w:val="0"/>
        <w:bidi w:val="0"/>
        <w:snapToGrid w:val="0"/>
        <w:spacing w:line="360" w:lineRule="auto"/>
        <w:jc w:val="center"/>
        <w:rPr>
          <w:rFonts w:hint="eastAsia" w:ascii="宋体" w:hAnsi="宋体" w:eastAsia="宋体" w:cs="宋体"/>
          <w:b/>
          <w:color w:val="auto"/>
          <w:kern w:val="0"/>
          <w:sz w:val="24"/>
          <w:szCs w:val="24"/>
          <w:highlight w:val="none"/>
        </w:rPr>
      </w:pPr>
    </w:p>
    <w:p w14:paraId="2D1B70C7">
      <w:pPr>
        <w:keepLines w:val="0"/>
        <w:pageBreakBefore w:val="0"/>
        <w:widowControl w:val="0"/>
        <w:kinsoku/>
        <w:overflowPunct/>
        <w:topLinePunct w:val="0"/>
        <w:bidi w:val="0"/>
        <w:rPr>
          <w:rFonts w:hint="eastAsia" w:ascii="宋体" w:hAnsi="宋体" w:eastAsia="宋体" w:cs="宋体"/>
          <w:color w:val="auto"/>
          <w:sz w:val="24"/>
          <w:szCs w:val="24"/>
        </w:rPr>
      </w:pPr>
    </w:p>
    <w:tbl>
      <w:tblPr>
        <w:tblStyle w:val="3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1698"/>
        <w:gridCol w:w="1361"/>
        <w:gridCol w:w="1737"/>
        <w:gridCol w:w="2088"/>
        <w:gridCol w:w="2100"/>
      </w:tblGrid>
      <w:tr w14:paraId="6DFF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488" w:type="pct"/>
            <w:noWrap w:val="0"/>
            <w:vAlign w:val="center"/>
          </w:tcPr>
          <w:p w14:paraId="7A3E1F7F">
            <w:pPr>
              <w:keepLines w:val="0"/>
              <w:pageBreakBefore w:val="0"/>
              <w:widowControl w:val="0"/>
              <w:kinsoku/>
              <w:overflowPunct/>
              <w:topLinePunct w:val="0"/>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序号</w:t>
            </w:r>
          </w:p>
        </w:tc>
        <w:tc>
          <w:tcPr>
            <w:tcW w:w="852" w:type="pct"/>
            <w:noWrap w:val="0"/>
            <w:vAlign w:val="center"/>
          </w:tcPr>
          <w:p w14:paraId="04870C56">
            <w:pPr>
              <w:keepLines w:val="0"/>
              <w:pageBreakBefore w:val="0"/>
              <w:widowControl w:val="0"/>
              <w:kinsoku/>
              <w:overflowPunct/>
              <w:topLinePunct w:val="0"/>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产品名称</w:t>
            </w:r>
          </w:p>
        </w:tc>
        <w:tc>
          <w:tcPr>
            <w:tcW w:w="683" w:type="pct"/>
            <w:noWrap w:val="0"/>
            <w:vAlign w:val="center"/>
          </w:tcPr>
          <w:p w14:paraId="6CA244F4">
            <w:pPr>
              <w:keepLines w:val="0"/>
              <w:pageBreakBefore w:val="0"/>
              <w:widowControl w:val="0"/>
              <w:kinsoku/>
              <w:overflowPunct/>
              <w:topLinePunct w:val="0"/>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制造商</w:t>
            </w:r>
          </w:p>
        </w:tc>
        <w:tc>
          <w:tcPr>
            <w:tcW w:w="872" w:type="pct"/>
            <w:noWrap w:val="0"/>
            <w:vAlign w:val="center"/>
          </w:tcPr>
          <w:p w14:paraId="159488C0">
            <w:pPr>
              <w:keepLines w:val="0"/>
              <w:pageBreakBefore w:val="0"/>
              <w:widowControl w:val="0"/>
              <w:kinsoku/>
              <w:overflowPunct/>
              <w:topLinePunct w:val="0"/>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产品型号</w:t>
            </w:r>
          </w:p>
        </w:tc>
        <w:tc>
          <w:tcPr>
            <w:tcW w:w="1048" w:type="pct"/>
            <w:noWrap w:val="0"/>
            <w:vAlign w:val="center"/>
          </w:tcPr>
          <w:p w14:paraId="1E6F7C1A">
            <w:pPr>
              <w:keepLines w:val="0"/>
              <w:pageBreakBefore w:val="0"/>
              <w:widowControl w:val="0"/>
              <w:kinsoku/>
              <w:overflowPunct/>
              <w:topLinePunct w:val="0"/>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认证证书编号</w:t>
            </w:r>
          </w:p>
        </w:tc>
        <w:tc>
          <w:tcPr>
            <w:tcW w:w="1054" w:type="pct"/>
            <w:noWrap w:val="0"/>
            <w:vAlign w:val="center"/>
          </w:tcPr>
          <w:p w14:paraId="6B2C6070">
            <w:pPr>
              <w:keepLines w:val="0"/>
              <w:pageBreakBefore w:val="0"/>
              <w:widowControl w:val="0"/>
              <w:kinsoku/>
              <w:overflowPunct/>
              <w:topLinePunct w:val="0"/>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认证证书有</w:t>
            </w:r>
          </w:p>
          <w:p w14:paraId="4ABE6405">
            <w:pPr>
              <w:keepLines w:val="0"/>
              <w:pageBreakBefore w:val="0"/>
              <w:widowControl w:val="0"/>
              <w:kinsoku/>
              <w:overflowPunct/>
              <w:topLinePunct w:val="0"/>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效截止日期</w:t>
            </w:r>
          </w:p>
        </w:tc>
      </w:tr>
      <w:tr w14:paraId="7FF7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88" w:type="pct"/>
            <w:noWrap w:val="0"/>
            <w:vAlign w:val="center"/>
          </w:tcPr>
          <w:p w14:paraId="33091A4F">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852" w:type="pct"/>
            <w:noWrap w:val="0"/>
            <w:vAlign w:val="center"/>
          </w:tcPr>
          <w:p w14:paraId="54AB78CA">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683" w:type="pct"/>
            <w:noWrap w:val="0"/>
            <w:vAlign w:val="center"/>
          </w:tcPr>
          <w:p w14:paraId="467F3AF9">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872" w:type="pct"/>
            <w:noWrap w:val="0"/>
            <w:vAlign w:val="center"/>
          </w:tcPr>
          <w:p w14:paraId="630D18C8">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1048" w:type="pct"/>
            <w:noWrap w:val="0"/>
            <w:vAlign w:val="center"/>
          </w:tcPr>
          <w:p w14:paraId="0A7CE551">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1054" w:type="pct"/>
            <w:noWrap w:val="0"/>
            <w:vAlign w:val="center"/>
          </w:tcPr>
          <w:p w14:paraId="6F53243E">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r>
      <w:tr w14:paraId="1A07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88" w:type="pct"/>
            <w:noWrap w:val="0"/>
            <w:vAlign w:val="center"/>
          </w:tcPr>
          <w:p w14:paraId="256D39FC">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852" w:type="pct"/>
            <w:noWrap w:val="0"/>
            <w:vAlign w:val="center"/>
          </w:tcPr>
          <w:p w14:paraId="72A35F63">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683" w:type="pct"/>
            <w:noWrap w:val="0"/>
            <w:vAlign w:val="center"/>
          </w:tcPr>
          <w:p w14:paraId="29BE9E33">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872" w:type="pct"/>
            <w:noWrap w:val="0"/>
            <w:vAlign w:val="center"/>
          </w:tcPr>
          <w:p w14:paraId="5CF563FE">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1048" w:type="pct"/>
            <w:noWrap w:val="0"/>
            <w:vAlign w:val="center"/>
          </w:tcPr>
          <w:p w14:paraId="18390E9A">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1054" w:type="pct"/>
            <w:noWrap w:val="0"/>
            <w:vAlign w:val="center"/>
          </w:tcPr>
          <w:p w14:paraId="7CD59EDB">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r>
      <w:tr w14:paraId="12FE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88" w:type="pct"/>
            <w:noWrap w:val="0"/>
            <w:vAlign w:val="center"/>
          </w:tcPr>
          <w:p w14:paraId="1D8443D5">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852" w:type="pct"/>
            <w:noWrap w:val="0"/>
            <w:vAlign w:val="center"/>
          </w:tcPr>
          <w:p w14:paraId="4C5554BD">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683" w:type="pct"/>
            <w:noWrap w:val="0"/>
            <w:vAlign w:val="center"/>
          </w:tcPr>
          <w:p w14:paraId="0C96E8E8">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872" w:type="pct"/>
            <w:noWrap w:val="0"/>
            <w:vAlign w:val="center"/>
          </w:tcPr>
          <w:p w14:paraId="2A1E129C">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1048" w:type="pct"/>
            <w:noWrap w:val="0"/>
            <w:vAlign w:val="center"/>
          </w:tcPr>
          <w:p w14:paraId="271DA5EA">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1054" w:type="pct"/>
            <w:noWrap w:val="0"/>
            <w:vAlign w:val="center"/>
          </w:tcPr>
          <w:p w14:paraId="0DECACE5">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r>
      <w:tr w14:paraId="4F5F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88" w:type="pct"/>
            <w:noWrap w:val="0"/>
            <w:vAlign w:val="center"/>
          </w:tcPr>
          <w:p w14:paraId="6AB679FC">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852" w:type="pct"/>
            <w:noWrap w:val="0"/>
            <w:vAlign w:val="center"/>
          </w:tcPr>
          <w:p w14:paraId="482E08BA">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683" w:type="pct"/>
            <w:noWrap w:val="0"/>
            <w:vAlign w:val="center"/>
          </w:tcPr>
          <w:p w14:paraId="17BAE1CF">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872" w:type="pct"/>
            <w:noWrap w:val="0"/>
            <w:vAlign w:val="center"/>
          </w:tcPr>
          <w:p w14:paraId="1660CEA5">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1048" w:type="pct"/>
            <w:noWrap w:val="0"/>
            <w:vAlign w:val="center"/>
          </w:tcPr>
          <w:p w14:paraId="3EC096A1">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1054" w:type="pct"/>
            <w:noWrap w:val="0"/>
            <w:vAlign w:val="center"/>
          </w:tcPr>
          <w:p w14:paraId="5A9C9C94">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r>
    </w:tbl>
    <w:p w14:paraId="7DA5ACF7">
      <w:pPr>
        <w:keepLines w:val="0"/>
        <w:pageBreakBefore w:val="0"/>
        <w:widowControl w:val="0"/>
        <w:kinsoku/>
        <w:overflowPunct/>
        <w:topLinePunct w:val="0"/>
        <w:bidi w:val="0"/>
        <w:snapToGrid w:val="0"/>
        <w:spacing w:line="360" w:lineRule="auto"/>
        <w:jc w:val="left"/>
        <w:rPr>
          <w:rFonts w:hint="eastAsia" w:ascii="仿宋" w:hAnsi="仿宋" w:eastAsia="仿宋" w:cs="仿宋"/>
          <w:color w:val="auto"/>
          <w:kern w:val="0"/>
          <w:sz w:val="24"/>
          <w:szCs w:val="24"/>
          <w:highlight w:val="none"/>
        </w:rPr>
      </w:pPr>
    </w:p>
    <w:p w14:paraId="2A26130A">
      <w:pPr>
        <w:pageBreakBefore w:val="0"/>
        <w:widowControl/>
        <w:kinsoku/>
        <w:overflowPunct/>
        <w:topLinePunct w:val="0"/>
        <w:bidi w:val="0"/>
        <w:spacing w:line="360" w:lineRule="auto"/>
        <w:ind w:left="0" w:leftChars="0" w:firstLine="420" w:firstLineChars="175"/>
        <w:jc w:val="left"/>
        <w:textAlignment w:val="auto"/>
        <w:rPr>
          <w:rFonts w:hint="eastAsia" w:ascii="仿宋" w:hAnsi="仿宋" w:eastAsia="仿宋" w:cs="仿宋"/>
          <w:color w:val="auto"/>
          <w:kern w:val="0"/>
          <w:sz w:val="28"/>
          <w:szCs w:val="28"/>
          <w:highlight w:val="none"/>
          <w:lang w:val="en-US" w:eastAsia="zh-CN"/>
        </w:rPr>
      </w:pPr>
      <w:r>
        <w:rPr>
          <w:rFonts w:hint="eastAsia" w:ascii="宋体" w:hAnsi="宋体" w:eastAsia="宋体" w:cs="宋体"/>
          <w:color w:val="auto"/>
          <w:kern w:val="0"/>
          <w:sz w:val="24"/>
          <w:lang w:val="en-US" w:eastAsia="zh-CN"/>
        </w:rPr>
        <w:t>说明：</w:t>
      </w:r>
    </w:p>
    <w:p w14:paraId="1F0C2785">
      <w:pPr>
        <w:pageBreakBefore w:val="0"/>
        <w:widowControl/>
        <w:kinsoku/>
        <w:overflowPunct/>
        <w:topLinePunct w:val="0"/>
        <w:bidi w:val="0"/>
        <w:spacing w:line="360" w:lineRule="auto"/>
        <w:ind w:left="0" w:leftChars="0" w:firstLine="420" w:firstLineChars="175"/>
        <w:jc w:val="left"/>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本文件未列出政府强制采购产品的，投标人可投报“节能产品政府采购品目清单、环境标志产品政府采购品目清单”中非政府强制采购产品或其范围以外的产品</w:t>
      </w:r>
      <w:r>
        <w:rPr>
          <w:rFonts w:hint="eastAsia" w:ascii="宋体" w:hAnsi="宋体" w:eastAsia="宋体" w:cs="宋体"/>
          <w:color w:val="auto"/>
          <w:kern w:val="0"/>
          <w:sz w:val="24"/>
          <w:lang w:eastAsia="zh-CN"/>
        </w:rPr>
        <w:t>。</w:t>
      </w:r>
    </w:p>
    <w:p w14:paraId="65A5CFBA">
      <w:pPr>
        <w:pageBreakBefore w:val="0"/>
        <w:widowControl/>
        <w:kinsoku/>
        <w:overflowPunct/>
        <w:topLinePunct w:val="0"/>
        <w:bidi w:val="0"/>
        <w:spacing w:line="360" w:lineRule="auto"/>
        <w:ind w:left="0" w:leftChars="0" w:firstLine="420" w:firstLineChars="175"/>
        <w:jc w:val="left"/>
        <w:textAlignment w:val="auto"/>
        <w:outlineLvl w:val="2"/>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认证证书附后（有效期之内的节能产品认证证书扫描件）</w:t>
      </w:r>
    </w:p>
    <w:p w14:paraId="4FCB1B44">
      <w:pPr>
        <w:pageBreakBefore w:val="0"/>
        <w:widowControl/>
        <w:kinsoku/>
        <w:overflowPunct/>
        <w:topLinePunct w:val="0"/>
        <w:bidi w:val="0"/>
        <w:spacing w:line="360" w:lineRule="auto"/>
        <w:ind w:left="0" w:leftChars="0" w:firstLine="420" w:firstLineChars="175"/>
        <w:jc w:val="left"/>
        <w:textAlignment w:val="auto"/>
        <w:rPr>
          <w:rFonts w:hint="eastAsia" w:ascii="仿宋" w:hAnsi="仿宋" w:eastAsia="仿宋" w:cs="仿宋"/>
          <w:b/>
          <w:bCs/>
          <w:color w:val="auto"/>
          <w:spacing w:val="10"/>
          <w:kern w:val="0"/>
          <w:sz w:val="32"/>
          <w:szCs w:val="32"/>
          <w:highlight w:val="none"/>
        </w:rPr>
      </w:pP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供应商如实填写表格，无相应内容可填写“无”</w:t>
      </w:r>
      <w:r>
        <w:rPr>
          <w:rFonts w:hint="eastAsia" w:ascii="宋体" w:hAnsi="宋体" w:eastAsia="宋体" w:cs="宋体"/>
          <w:color w:val="auto"/>
          <w:kern w:val="0"/>
          <w:sz w:val="24"/>
          <w:lang w:val="en-US" w:eastAsia="zh-CN"/>
        </w:rPr>
        <w:t>或用“/”来表示。</w:t>
      </w:r>
    </w:p>
    <w:p w14:paraId="6D877B02">
      <w:pPr>
        <w:keepLines w:val="0"/>
        <w:pageBreakBefore w:val="0"/>
        <w:widowControl w:val="0"/>
        <w:kinsoku/>
        <w:overflowPunct/>
        <w:topLinePunct w:val="0"/>
        <w:bidi w:val="0"/>
        <w:snapToGrid w:val="0"/>
        <w:spacing w:line="480" w:lineRule="auto"/>
        <w:jc w:val="left"/>
        <w:rPr>
          <w:rFonts w:hint="eastAsia" w:ascii="仿宋" w:hAnsi="仿宋" w:eastAsia="仿宋" w:cs="仿宋"/>
          <w:color w:val="auto"/>
          <w:spacing w:val="10"/>
          <w:kern w:val="0"/>
          <w:sz w:val="28"/>
          <w:szCs w:val="28"/>
          <w:highlight w:val="none"/>
        </w:rPr>
      </w:pPr>
    </w:p>
    <w:p w14:paraId="1A6C9E53">
      <w:pPr>
        <w:pStyle w:val="12"/>
        <w:keepLines w:val="0"/>
        <w:pageBreakBefore w:val="0"/>
        <w:widowControl w:val="0"/>
        <w:kinsoku/>
        <w:overflowPunct/>
        <w:topLinePunct w:val="0"/>
        <w:bidi w:val="0"/>
        <w:rPr>
          <w:rFonts w:hint="eastAsia" w:ascii="仿宋" w:hAnsi="仿宋" w:eastAsia="仿宋" w:cs="仿宋"/>
          <w:color w:val="auto"/>
        </w:rPr>
      </w:pPr>
    </w:p>
    <w:p w14:paraId="388E550C">
      <w:pPr>
        <w:pStyle w:val="12"/>
        <w:keepLines w:val="0"/>
        <w:pageBreakBefore w:val="0"/>
        <w:widowControl w:val="0"/>
        <w:kinsoku/>
        <w:overflowPunct/>
        <w:topLinePunct w:val="0"/>
        <w:bidi w:val="0"/>
        <w:rPr>
          <w:rFonts w:hint="eastAsia" w:ascii="仿宋" w:hAnsi="仿宋" w:eastAsia="仿宋" w:cs="仿宋"/>
          <w:color w:val="auto"/>
        </w:rPr>
      </w:pPr>
    </w:p>
    <w:p w14:paraId="74EB9E83">
      <w:pPr>
        <w:pageBreakBefore w:val="0"/>
        <w:widowControl/>
        <w:kinsoku/>
        <w:wordWrap w:val="0"/>
        <w:overflowPunct/>
        <w:topLinePunct w:val="0"/>
        <w:bidi w:val="0"/>
        <w:spacing w:line="360" w:lineRule="auto"/>
        <w:ind w:left="0" w:leftChars="0" w:firstLine="6518" w:firstLineChars="2716"/>
        <w:jc w:val="both"/>
        <w:textAlignment w:val="auto"/>
        <w:rPr>
          <w:rFonts w:hint="eastAsia" w:ascii="宋体" w:hAnsi="宋体" w:cs="宋体"/>
          <w:color w:val="auto"/>
          <w:kern w:val="0"/>
          <w:sz w:val="24"/>
        </w:rPr>
      </w:pPr>
      <w:r>
        <w:rPr>
          <w:rFonts w:hint="eastAsia" w:ascii="宋体" w:hAnsi="宋体" w:cs="宋体"/>
          <w:color w:val="auto"/>
          <w:kern w:val="0"/>
          <w:sz w:val="24"/>
        </w:rPr>
        <w:t>投标人</w:t>
      </w:r>
      <w:r>
        <w:rPr>
          <w:rFonts w:ascii="宋体" w:hAnsi="宋体" w:cs="宋体"/>
          <w:color w:val="auto"/>
          <w:kern w:val="0"/>
          <w:sz w:val="24"/>
        </w:rPr>
        <w:t>（盖章）：</w:t>
      </w:r>
      <w:r>
        <w:rPr>
          <w:rFonts w:hint="eastAsia" w:ascii="宋体" w:hAnsi="宋体" w:cs="宋体"/>
          <w:color w:val="auto"/>
          <w:kern w:val="0"/>
          <w:sz w:val="24"/>
          <w:u w:val="single"/>
        </w:rPr>
        <w:t xml:space="preserve"> </w:t>
      </w:r>
      <w:r>
        <w:rPr>
          <w:rFonts w:ascii="宋体" w:hAnsi="宋体" w:cs="宋体"/>
          <w:color w:val="auto"/>
          <w:kern w:val="0"/>
          <w:sz w:val="24"/>
          <w:u w:val="single"/>
        </w:rPr>
        <w:t xml:space="preserve">          </w:t>
      </w:r>
    </w:p>
    <w:p w14:paraId="6929B6EF">
      <w:pPr>
        <w:keepLines w:val="0"/>
        <w:pageBreakBefore w:val="0"/>
        <w:widowControl w:val="0"/>
        <w:tabs>
          <w:tab w:val="left" w:pos="4000"/>
        </w:tabs>
        <w:kinsoku/>
        <w:overflowPunct/>
        <w:topLinePunct w:val="0"/>
        <w:bidi w:val="0"/>
        <w:snapToGrid w:val="0"/>
        <w:spacing w:line="360" w:lineRule="auto"/>
        <w:ind w:left="0" w:leftChars="0" w:firstLine="6518" w:firstLineChars="2716"/>
        <w:rPr>
          <w:rFonts w:hint="eastAsia" w:ascii="仿宋" w:hAnsi="仿宋" w:eastAsia="仿宋" w:cs="仿宋"/>
          <w:color w:val="auto"/>
          <w:spacing w:val="20"/>
          <w:kern w:val="0"/>
          <w:sz w:val="28"/>
          <w:szCs w:val="28"/>
          <w:highlight w:val="none"/>
        </w:rPr>
      </w:pPr>
      <w:r>
        <w:rPr>
          <w:rFonts w:ascii="宋体" w:hAnsi="宋体" w:cs="宋体"/>
          <w:color w:val="auto"/>
          <w:kern w:val="0"/>
          <w:sz w:val="24"/>
        </w:rPr>
        <w:t>日期：</w:t>
      </w:r>
      <w:r>
        <w:rPr>
          <w:rFonts w:ascii="宋体" w:hAnsi="宋体" w:cs="宋体"/>
          <w:color w:val="auto"/>
          <w:kern w:val="0"/>
          <w:sz w:val="24"/>
          <w:u w:val="single"/>
        </w:rPr>
        <w:t xml:space="preserve">                     </w:t>
      </w:r>
    </w:p>
    <w:p w14:paraId="215B5E2A">
      <w:pPr>
        <w:keepLines w:val="0"/>
        <w:pageBreakBefore w:val="0"/>
        <w:widowControl w:val="0"/>
        <w:kinsoku/>
        <w:overflowPunct/>
        <w:topLinePunct w:val="0"/>
        <w:bidi w:val="0"/>
        <w:snapToGrid w:val="0"/>
        <w:spacing w:line="420" w:lineRule="exact"/>
        <w:jc w:val="center"/>
        <w:rPr>
          <w:rFonts w:hint="eastAsia" w:ascii="仿宋" w:hAnsi="仿宋" w:eastAsia="仿宋" w:cs="仿宋"/>
          <w:b/>
          <w:bCs/>
          <w:color w:val="auto"/>
          <w:spacing w:val="10"/>
          <w:kern w:val="0"/>
          <w:sz w:val="32"/>
          <w:szCs w:val="32"/>
          <w:highlight w:val="none"/>
        </w:rPr>
      </w:pPr>
    </w:p>
    <w:p w14:paraId="27DBDA0C">
      <w:pPr>
        <w:keepLines w:val="0"/>
        <w:pageBreakBefore w:val="0"/>
        <w:widowControl w:val="0"/>
        <w:kinsoku/>
        <w:overflowPunct/>
        <w:topLinePunct w:val="0"/>
        <w:bidi w:val="0"/>
        <w:snapToGrid w:val="0"/>
        <w:spacing w:line="420" w:lineRule="exact"/>
        <w:jc w:val="center"/>
        <w:rPr>
          <w:rFonts w:hint="eastAsia" w:ascii="仿宋" w:hAnsi="仿宋" w:eastAsia="仿宋" w:cs="仿宋"/>
          <w:b/>
          <w:bCs/>
          <w:color w:val="auto"/>
          <w:spacing w:val="10"/>
          <w:kern w:val="0"/>
          <w:sz w:val="32"/>
          <w:szCs w:val="32"/>
          <w:highlight w:val="none"/>
        </w:rPr>
      </w:pPr>
    </w:p>
    <w:p w14:paraId="0000D4CE">
      <w:pPr>
        <w:keepLines w:val="0"/>
        <w:pageBreakBefore w:val="0"/>
        <w:widowControl w:val="0"/>
        <w:kinsoku/>
        <w:overflowPunct/>
        <w:topLinePunct w:val="0"/>
        <w:bidi w:val="0"/>
        <w:snapToGrid w:val="0"/>
        <w:spacing w:line="420" w:lineRule="exact"/>
        <w:jc w:val="center"/>
        <w:rPr>
          <w:rFonts w:hint="eastAsia" w:ascii="仿宋" w:hAnsi="仿宋" w:eastAsia="仿宋" w:cs="仿宋"/>
          <w:b/>
          <w:bCs/>
          <w:color w:val="auto"/>
          <w:spacing w:val="10"/>
          <w:kern w:val="0"/>
          <w:sz w:val="32"/>
          <w:szCs w:val="32"/>
          <w:highlight w:val="none"/>
        </w:rPr>
      </w:pPr>
    </w:p>
    <w:p w14:paraId="597DD454">
      <w:pPr>
        <w:keepLines w:val="0"/>
        <w:pageBreakBefore w:val="0"/>
        <w:widowControl w:val="0"/>
        <w:kinsoku/>
        <w:overflowPunct/>
        <w:topLinePunct w:val="0"/>
        <w:bidi w:val="0"/>
        <w:snapToGrid w:val="0"/>
        <w:spacing w:line="420" w:lineRule="exact"/>
        <w:jc w:val="center"/>
        <w:rPr>
          <w:rFonts w:hint="eastAsia" w:ascii="仿宋" w:hAnsi="仿宋" w:eastAsia="仿宋" w:cs="仿宋"/>
          <w:b/>
          <w:bCs/>
          <w:color w:val="auto"/>
          <w:spacing w:val="10"/>
          <w:kern w:val="0"/>
          <w:sz w:val="32"/>
          <w:szCs w:val="32"/>
          <w:highlight w:val="none"/>
        </w:rPr>
      </w:pPr>
    </w:p>
    <w:p w14:paraId="49C91350">
      <w:pPr>
        <w:keepLines w:val="0"/>
        <w:pageBreakBefore w:val="0"/>
        <w:widowControl w:val="0"/>
        <w:kinsoku/>
        <w:overflowPunct/>
        <w:topLinePunct w:val="0"/>
        <w:bidi w:val="0"/>
        <w:snapToGrid w:val="0"/>
        <w:spacing w:line="420" w:lineRule="exact"/>
        <w:jc w:val="center"/>
        <w:rPr>
          <w:rFonts w:hint="eastAsia" w:ascii="仿宋" w:hAnsi="仿宋" w:eastAsia="仿宋" w:cs="仿宋"/>
          <w:b/>
          <w:bCs/>
          <w:color w:val="auto"/>
          <w:spacing w:val="10"/>
          <w:kern w:val="0"/>
          <w:sz w:val="32"/>
          <w:szCs w:val="32"/>
          <w:highlight w:val="none"/>
        </w:rPr>
      </w:pPr>
    </w:p>
    <w:p w14:paraId="32D062B8">
      <w:pPr>
        <w:pStyle w:val="12"/>
        <w:keepLines w:val="0"/>
        <w:pageBreakBefore w:val="0"/>
        <w:widowControl w:val="0"/>
        <w:kinsoku/>
        <w:overflowPunct/>
        <w:topLinePunct w:val="0"/>
        <w:bidi w:val="0"/>
        <w:rPr>
          <w:rFonts w:hint="eastAsia" w:ascii="仿宋" w:hAnsi="仿宋" w:eastAsia="仿宋" w:cs="仿宋"/>
          <w:color w:val="auto"/>
        </w:rPr>
      </w:pPr>
    </w:p>
    <w:p w14:paraId="3795C5ED">
      <w:pPr>
        <w:keepLines w:val="0"/>
        <w:pageBreakBefore w:val="0"/>
        <w:widowControl w:val="0"/>
        <w:kinsoku/>
        <w:overflowPunct/>
        <w:topLinePunct w:val="0"/>
        <w:bidi w:val="0"/>
        <w:snapToGrid w:val="0"/>
        <w:spacing w:line="420" w:lineRule="exact"/>
        <w:ind w:firstLine="522" w:firstLineChars="200"/>
        <w:jc w:val="left"/>
        <w:rPr>
          <w:rFonts w:hint="eastAsia" w:ascii="仿宋" w:hAnsi="仿宋" w:eastAsia="仿宋" w:cs="仿宋"/>
          <w:b/>
          <w:bCs/>
          <w:color w:val="auto"/>
          <w:spacing w:val="10"/>
          <w:kern w:val="0"/>
          <w:sz w:val="24"/>
          <w:szCs w:val="24"/>
          <w:highlight w:val="none"/>
          <w:lang w:val="en-US" w:eastAsia="zh-CN"/>
        </w:rPr>
      </w:pPr>
    </w:p>
    <w:p w14:paraId="6AF7FA76">
      <w:pPr>
        <w:keepLines w:val="0"/>
        <w:pageBreakBefore w:val="0"/>
        <w:widowControl w:val="0"/>
        <w:kinsoku/>
        <w:overflowPunct/>
        <w:topLinePunct w:val="0"/>
        <w:bidi w:val="0"/>
        <w:snapToGrid w:val="0"/>
        <w:spacing w:line="420" w:lineRule="exact"/>
        <w:ind w:firstLine="522" w:firstLineChars="200"/>
        <w:jc w:val="left"/>
        <w:rPr>
          <w:rFonts w:hint="eastAsia" w:ascii="仿宋" w:hAnsi="仿宋" w:eastAsia="仿宋" w:cs="仿宋"/>
          <w:b/>
          <w:bCs/>
          <w:color w:val="auto"/>
          <w:spacing w:val="10"/>
          <w:kern w:val="0"/>
          <w:sz w:val="24"/>
          <w:szCs w:val="24"/>
          <w:highlight w:val="none"/>
          <w:lang w:val="en-US" w:eastAsia="zh-CN"/>
        </w:rPr>
      </w:pPr>
    </w:p>
    <w:p w14:paraId="1FAEAE31">
      <w:pPr>
        <w:tabs>
          <w:tab w:val="left" w:pos="1680"/>
        </w:tabs>
        <w:snapToGrid w:val="0"/>
        <w:spacing w:line="360" w:lineRule="auto"/>
        <w:rPr>
          <w:rFonts w:hint="eastAsia" w:ascii="宋体" w:hAnsi="宋体" w:cs="宋体"/>
          <w:bCs/>
          <w:color w:val="auto"/>
          <w:sz w:val="24"/>
          <w:szCs w:val="24"/>
        </w:rPr>
      </w:pPr>
    </w:p>
    <w:p w14:paraId="5B5E87A0">
      <w:pPr>
        <w:pageBreakBefore w:val="0"/>
        <w:kinsoku/>
        <w:overflowPunct/>
        <w:topLinePunct w:val="0"/>
        <w:bidi w:val="0"/>
        <w:snapToGrid w:val="0"/>
        <w:spacing w:line="360" w:lineRule="auto"/>
        <w:ind w:left="0" w:leftChars="0" w:firstLine="0" w:firstLineChars="0"/>
        <w:jc w:val="center"/>
        <w:textAlignment w:val="auto"/>
        <w:outlineLvl w:val="3"/>
        <w:rPr>
          <w:rFonts w:ascii="华文中宋" w:hAnsi="华文中宋" w:eastAsia="华文中宋" w:cs="华文中宋"/>
          <w:b/>
          <w:color w:val="auto"/>
          <w:sz w:val="24"/>
          <w:highlight w:val="none"/>
        </w:rPr>
      </w:pPr>
      <w:r>
        <w:rPr>
          <w:rFonts w:hint="eastAsia" w:ascii="宋体" w:hAnsi="宋体" w:eastAsia="宋体" w:cs="宋体"/>
          <w:b/>
          <w:color w:val="auto"/>
          <w:kern w:val="0"/>
          <w:sz w:val="28"/>
          <w:szCs w:val="28"/>
          <w:lang w:val="en-US" w:eastAsia="zh-CN"/>
        </w:rPr>
        <w:t>非政府强制采购产品明细表</w:t>
      </w:r>
    </w:p>
    <w:tbl>
      <w:tblPr>
        <w:tblStyle w:val="33"/>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260"/>
        <w:gridCol w:w="1134"/>
        <w:gridCol w:w="1276"/>
        <w:gridCol w:w="1701"/>
        <w:gridCol w:w="2100"/>
      </w:tblGrid>
      <w:tr w14:paraId="2C75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607" w:type="dxa"/>
            <w:vAlign w:val="center"/>
          </w:tcPr>
          <w:p w14:paraId="6058A17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60" w:type="dxa"/>
            <w:vAlign w:val="center"/>
          </w:tcPr>
          <w:p w14:paraId="551B8F1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1134" w:type="dxa"/>
            <w:vAlign w:val="center"/>
          </w:tcPr>
          <w:p w14:paraId="532897D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tc>
        <w:tc>
          <w:tcPr>
            <w:tcW w:w="1276" w:type="dxa"/>
            <w:vAlign w:val="center"/>
          </w:tcPr>
          <w:p w14:paraId="054AE4A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产品型号</w:t>
            </w:r>
          </w:p>
        </w:tc>
        <w:tc>
          <w:tcPr>
            <w:tcW w:w="1701" w:type="dxa"/>
            <w:vAlign w:val="center"/>
          </w:tcPr>
          <w:p w14:paraId="649D9D2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产品认证证书号</w:t>
            </w:r>
          </w:p>
        </w:tc>
        <w:tc>
          <w:tcPr>
            <w:tcW w:w="2100" w:type="dxa"/>
            <w:vAlign w:val="center"/>
          </w:tcPr>
          <w:p w14:paraId="50A4E2C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认证证书有效截止日期</w:t>
            </w:r>
          </w:p>
        </w:tc>
      </w:tr>
      <w:tr w14:paraId="3BBA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607" w:type="dxa"/>
          </w:tcPr>
          <w:p w14:paraId="3BA8E80C">
            <w:pPr>
              <w:spacing w:line="360" w:lineRule="auto"/>
              <w:rPr>
                <w:rFonts w:hint="eastAsia" w:ascii="宋体" w:hAnsi="宋体" w:eastAsia="宋体" w:cs="宋体"/>
                <w:color w:val="auto"/>
                <w:sz w:val="24"/>
                <w:szCs w:val="24"/>
                <w:highlight w:val="none"/>
              </w:rPr>
            </w:pPr>
          </w:p>
        </w:tc>
        <w:tc>
          <w:tcPr>
            <w:tcW w:w="1260" w:type="dxa"/>
          </w:tcPr>
          <w:p w14:paraId="1456D64C">
            <w:pPr>
              <w:spacing w:line="360" w:lineRule="auto"/>
              <w:rPr>
                <w:rFonts w:hint="eastAsia" w:ascii="宋体" w:hAnsi="宋体" w:eastAsia="宋体" w:cs="宋体"/>
                <w:color w:val="auto"/>
                <w:sz w:val="24"/>
                <w:szCs w:val="24"/>
                <w:highlight w:val="none"/>
              </w:rPr>
            </w:pPr>
          </w:p>
        </w:tc>
        <w:tc>
          <w:tcPr>
            <w:tcW w:w="1134" w:type="dxa"/>
          </w:tcPr>
          <w:p w14:paraId="531F6171">
            <w:pPr>
              <w:spacing w:line="360" w:lineRule="auto"/>
              <w:rPr>
                <w:rFonts w:hint="eastAsia" w:ascii="宋体" w:hAnsi="宋体" w:eastAsia="宋体" w:cs="宋体"/>
                <w:color w:val="auto"/>
                <w:sz w:val="24"/>
                <w:szCs w:val="24"/>
                <w:highlight w:val="none"/>
              </w:rPr>
            </w:pPr>
          </w:p>
        </w:tc>
        <w:tc>
          <w:tcPr>
            <w:tcW w:w="1276" w:type="dxa"/>
          </w:tcPr>
          <w:p w14:paraId="21CA1C8C">
            <w:pPr>
              <w:spacing w:line="360" w:lineRule="auto"/>
              <w:rPr>
                <w:rFonts w:hint="eastAsia" w:ascii="宋体" w:hAnsi="宋体" w:eastAsia="宋体" w:cs="宋体"/>
                <w:color w:val="auto"/>
                <w:sz w:val="24"/>
                <w:szCs w:val="24"/>
                <w:highlight w:val="none"/>
              </w:rPr>
            </w:pPr>
          </w:p>
        </w:tc>
        <w:tc>
          <w:tcPr>
            <w:tcW w:w="1701" w:type="dxa"/>
          </w:tcPr>
          <w:p w14:paraId="0D504F25">
            <w:pPr>
              <w:spacing w:line="360" w:lineRule="auto"/>
              <w:rPr>
                <w:rFonts w:hint="eastAsia" w:ascii="宋体" w:hAnsi="宋体" w:eastAsia="宋体" w:cs="宋体"/>
                <w:color w:val="auto"/>
                <w:sz w:val="24"/>
                <w:szCs w:val="24"/>
                <w:highlight w:val="none"/>
              </w:rPr>
            </w:pPr>
          </w:p>
        </w:tc>
        <w:tc>
          <w:tcPr>
            <w:tcW w:w="2100" w:type="dxa"/>
          </w:tcPr>
          <w:p w14:paraId="4C8E49A7">
            <w:pPr>
              <w:spacing w:line="360" w:lineRule="auto"/>
              <w:rPr>
                <w:rFonts w:hint="eastAsia" w:ascii="宋体" w:hAnsi="宋体" w:eastAsia="宋体" w:cs="宋体"/>
                <w:color w:val="auto"/>
                <w:sz w:val="24"/>
                <w:szCs w:val="24"/>
                <w:highlight w:val="none"/>
              </w:rPr>
            </w:pPr>
          </w:p>
        </w:tc>
      </w:tr>
      <w:tr w14:paraId="2B4E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607" w:type="dxa"/>
          </w:tcPr>
          <w:p w14:paraId="05A5EA26">
            <w:pPr>
              <w:spacing w:line="360" w:lineRule="auto"/>
              <w:rPr>
                <w:rFonts w:hint="eastAsia" w:ascii="宋体" w:hAnsi="宋体" w:eastAsia="宋体" w:cs="宋体"/>
                <w:color w:val="auto"/>
                <w:sz w:val="24"/>
                <w:szCs w:val="24"/>
                <w:highlight w:val="none"/>
              </w:rPr>
            </w:pPr>
          </w:p>
        </w:tc>
        <w:tc>
          <w:tcPr>
            <w:tcW w:w="1260" w:type="dxa"/>
          </w:tcPr>
          <w:p w14:paraId="7D21EBAC">
            <w:pPr>
              <w:spacing w:line="360" w:lineRule="auto"/>
              <w:rPr>
                <w:rFonts w:hint="eastAsia" w:ascii="宋体" w:hAnsi="宋体" w:eastAsia="宋体" w:cs="宋体"/>
                <w:color w:val="auto"/>
                <w:sz w:val="24"/>
                <w:szCs w:val="24"/>
                <w:highlight w:val="none"/>
              </w:rPr>
            </w:pPr>
          </w:p>
        </w:tc>
        <w:tc>
          <w:tcPr>
            <w:tcW w:w="1134" w:type="dxa"/>
          </w:tcPr>
          <w:p w14:paraId="5AFCFB84">
            <w:pPr>
              <w:spacing w:line="360" w:lineRule="auto"/>
              <w:rPr>
                <w:rFonts w:hint="eastAsia" w:ascii="宋体" w:hAnsi="宋体" w:eastAsia="宋体" w:cs="宋体"/>
                <w:color w:val="auto"/>
                <w:sz w:val="24"/>
                <w:szCs w:val="24"/>
                <w:highlight w:val="none"/>
              </w:rPr>
            </w:pPr>
          </w:p>
        </w:tc>
        <w:tc>
          <w:tcPr>
            <w:tcW w:w="1276" w:type="dxa"/>
          </w:tcPr>
          <w:p w14:paraId="4F6CB7F0">
            <w:pPr>
              <w:spacing w:line="360" w:lineRule="auto"/>
              <w:rPr>
                <w:rFonts w:hint="eastAsia" w:ascii="宋体" w:hAnsi="宋体" w:eastAsia="宋体" w:cs="宋体"/>
                <w:color w:val="auto"/>
                <w:sz w:val="24"/>
                <w:szCs w:val="24"/>
                <w:highlight w:val="none"/>
              </w:rPr>
            </w:pPr>
          </w:p>
        </w:tc>
        <w:tc>
          <w:tcPr>
            <w:tcW w:w="1701" w:type="dxa"/>
          </w:tcPr>
          <w:p w14:paraId="2BE08BF0">
            <w:pPr>
              <w:spacing w:line="360" w:lineRule="auto"/>
              <w:rPr>
                <w:rFonts w:hint="eastAsia" w:ascii="宋体" w:hAnsi="宋体" w:eastAsia="宋体" w:cs="宋体"/>
                <w:color w:val="auto"/>
                <w:sz w:val="24"/>
                <w:szCs w:val="24"/>
                <w:highlight w:val="none"/>
              </w:rPr>
            </w:pPr>
          </w:p>
        </w:tc>
        <w:tc>
          <w:tcPr>
            <w:tcW w:w="2100" w:type="dxa"/>
          </w:tcPr>
          <w:p w14:paraId="75C66A0D">
            <w:pPr>
              <w:spacing w:line="360" w:lineRule="auto"/>
              <w:rPr>
                <w:rFonts w:hint="eastAsia" w:ascii="宋体" w:hAnsi="宋体" w:eastAsia="宋体" w:cs="宋体"/>
                <w:color w:val="auto"/>
                <w:sz w:val="24"/>
                <w:szCs w:val="24"/>
                <w:highlight w:val="none"/>
              </w:rPr>
            </w:pPr>
          </w:p>
        </w:tc>
      </w:tr>
    </w:tbl>
    <w:p w14:paraId="3A260D18">
      <w:pPr>
        <w:pStyle w:val="30"/>
        <w:widowControl w:val="0"/>
        <w:adjustRightInd w:val="0"/>
        <w:snapToGrid w:val="0"/>
        <w:spacing w:before="0" w:beforeAutospacing="0" w:after="0" w:afterAutospacing="0" w:line="480" w:lineRule="exact"/>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投报“品目清单”中非政府强制采购产品。</w:t>
      </w:r>
    </w:p>
    <w:p w14:paraId="396F8972">
      <w:pPr>
        <w:pageBreakBefore w:val="0"/>
        <w:kinsoku/>
        <w:overflowPunct/>
        <w:topLinePunct w:val="0"/>
        <w:bidi w:val="0"/>
        <w:snapToGrid w:val="0"/>
        <w:spacing w:line="360" w:lineRule="auto"/>
        <w:ind w:left="0" w:leftChars="0" w:firstLine="420" w:firstLineChars="175"/>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2. 认证证书附后（有效期之内的节能产品、环境标志产品证书）</w:t>
      </w:r>
    </w:p>
    <w:p w14:paraId="6C47BFD5">
      <w:pPr>
        <w:spacing w:line="360" w:lineRule="auto"/>
        <w:jc w:val="center"/>
        <w:rPr>
          <w:rFonts w:ascii="宋体" w:hAnsi="宋体" w:cs="宋体"/>
          <w:color w:val="auto"/>
          <w:sz w:val="24"/>
          <w:szCs w:val="24"/>
        </w:rPr>
      </w:pPr>
      <w:r>
        <w:rPr>
          <w:rFonts w:hint="eastAsia" w:ascii="宋体" w:hAnsi="宋体" w:cs="宋体"/>
          <w:color w:val="auto"/>
          <w:sz w:val="24"/>
          <w:szCs w:val="24"/>
        </w:rPr>
        <w:t xml:space="preserve">  </w:t>
      </w:r>
    </w:p>
    <w:p w14:paraId="65426446">
      <w:pPr>
        <w:pStyle w:val="9"/>
        <w:numPr>
          <w:ilvl w:val="0"/>
          <w:numId w:val="0"/>
        </w:numPr>
        <w:rPr>
          <w:rFonts w:ascii="宋体" w:hAnsi="宋体" w:cs="宋体"/>
          <w:color w:val="auto"/>
          <w:sz w:val="24"/>
        </w:rPr>
      </w:pPr>
    </w:p>
    <w:p w14:paraId="091DA5CF">
      <w:pPr>
        <w:rPr>
          <w:color w:val="auto"/>
        </w:rPr>
      </w:pPr>
    </w:p>
    <w:p w14:paraId="1EBDA5CD">
      <w:pPr>
        <w:pageBreakBefore w:val="0"/>
        <w:widowControl/>
        <w:kinsoku/>
        <w:wordWrap w:val="0"/>
        <w:overflowPunct/>
        <w:topLinePunct w:val="0"/>
        <w:bidi w:val="0"/>
        <w:spacing w:line="360" w:lineRule="auto"/>
        <w:ind w:left="0" w:leftChars="0" w:firstLine="6518" w:firstLineChars="2716"/>
        <w:jc w:val="both"/>
        <w:textAlignment w:val="auto"/>
        <w:rPr>
          <w:rFonts w:hint="eastAsia" w:ascii="宋体" w:hAnsi="宋体" w:cs="宋体"/>
          <w:color w:val="auto"/>
          <w:kern w:val="0"/>
          <w:sz w:val="24"/>
        </w:rPr>
      </w:pPr>
    </w:p>
    <w:p w14:paraId="6C8279B4">
      <w:pPr>
        <w:pageBreakBefore w:val="0"/>
        <w:widowControl/>
        <w:kinsoku/>
        <w:wordWrap w:val="0"/>
        <w:overflowPunct/>
        <w:topLinePunct w:val="0"/>
        <w:bidi w:val="0"/>
        <w:spacing w:line="360" w:lineRule="auto"/>
        <w:ind w:left="0" w:leftChars="0" w:firstLine="6518" w:firstLineChars="2716"/>
        <w:jc w:val="both"/>
        <w:textAlignment w:val="auto"/>
        <w:rPr>
          <w:rFonts w:hint="eastAsia" w:ascii="宋体" w:hAnsi="宋体" w:cs="宋体"/>
          <w:color w:val="auto"/>
          <w:kern w:val="0"/>
          <w:sz w:val="24"/>
        </w:rPr>
      </w:pPr>
    </w:p>
    <w:p w14:paraId="184680BF">
      <w:pPr>
        <w:pageBreakBefore w:val="0"/>
        <w:widowControl/>
        <w:kinsoku/>
        <w:wordWrap w:val="0"/>
        <w:overflowPunct/>
        <w:topLinePunct w:val="0"/>
        <w:bidi w:val="0"/>
        <w:spacing w:line="360" w:lineRule="auto"/>
        <w:ind w:left="0" w:leftChars="0" w:firstLine="6518" w:firstLineChars="2716"/>
        <w:jc w:val="both"/>
        <w:textAlignment w:val="auto"/>
        <w:rPr>
          <w:rFonts w:hint="eastAsia" w:ascii="宋体" w:hAnsi="宋体" w:cs="宋体"/>
          <w:color w:val="auto"/>
          <w:kern w:val="0"/>
          <w:sz w:val="24"/>
        </w:rPr>
      </w:pPr>
      <w:r>
        <w:rPr>
          <w:rFonts w:hint="eastAsia" w:ascii="宋体" w:hAnsi="宋体" w:cs="宋体"/>
          <w:color w:val="auto"/>
          <w:kern w:val="0"/>
          <w:sz w:val="24"/>
        </w:rPr>
        <w:t>投标人</w:t>
      </w:r>
      <w:r>
        <w:rPr>
          <w:rFonts w:ascii="宋体" w:hAnsi="宋体" w:cs="宋体"/>
          <w:color w:val="auto"/>
          <w:kern w:val="0"/>
          <w:sz w:val="24"/>
        </w:rPr>
        <w:t>（盖章）：</w:t>
      </w:r>
      <w:r>
        <w:rPr>
          <w:rFonts w:hint="eastAsia" w:ascii="宋体" w:hAnsi="宋体" w:cs="宋体"/>
          <w:color w:val="auto"/>
          <w:kern w:val="0"/>
          <w:sz w:val="24"/>
          <w:u w:val="single"/>
        </w:rPr>
        <w:t xml:space="preserve"> </w:t>
      </w:r>
      <w:r>
        <w:rPr>
          <w:rFonts w:ascii="宋体" w:hAnsi="宋体" w:cs="宋体"/>
          <w:color w:val="auto"/>
          <w:kern w:val="0"/>
          <w:sz w:val="24"/>
          <w:u w:val="single"/>
        </w:rPr>
        <w:t xml:space="preserve">          </w:t>
      </w:r>
    </w:p>
    <w:p w14:paraId="1A476CFE">
      <w:pPr>
        <w:keepLines w:val="0"/>
        <w:pageBreakBefore w:val="0"/>
        <w:widowControl w:val="0"/>
        <w:tabs>
          <w:tab w:val="left" w:pos="4000"/>
        </w:tabs>
        <w:kinsoku/>
        <w:overflowPunct/>
        <w:topLinePunct w:val="0"/>
        <w:bidi w:val="0"/>
        <w:snapToGrid w:val="0"/>
        <w:spacing w:line="360" w:lineRule="auto"/>
        <w:ind w:left="0" w:leftChars="0" w:firstLine="6518" w:firstLineChars="2716"/>
        <w:rPr>
          <w:rFonts w:hint="eastAsia" w:ascii="仿宋" w:hAnsi="仿宋" w:eastAsia="仿宋" w:cs="仿宋"/>
          <w:color w:val="auto"/>
          <w:spacing w:val="20"/>
          <w:kern w:val="0"/>
          <w:sz w:val="28"/>
          <w:szCs w:val="28"/>
          <w:highlight w:val="none"/>
        </w:rPr>
      </w:pPr>
      <w:r>
        <w:rPr>
          <w:rFonts w:ascii="宋体" w:hAnsi="宋体" w:cs="宋体"/>
          <w:color w:val="auto"/>
          <w:kern w:val="0"/>
          <w:sz w:val="24"/>
        </w:rPr>
        <w:t>日期：</w:t>
      </w:r>
      <w:r>
        <w:rPr>
          <w:rFonts w:ascii="宋体" w:hAnsi="宋体" w:cs="宋体"/>
          <w:color w:val="auto"/>
          <w:kern w:val="0"/>
          <w:sz w:val="24"/>
          <w:u w:val="single"/>
        </w:rPr>
        <w:t xml:space="preserve">                     </w:t>
      </w:r>
    </w:p>
    <w:p w14:paraId="55938BCD">
      <w:pPr>
        <w:rPr>
          <w:rFonts w:hint="eastAsia" w:ascii="仿宋" w:hAnsi="仿宋" w:eastAsia="仿宋" w:cs="仿宋"/>
          <w:b/>
          <w:bCs/>
          <w:color w:val="auto"/>
          <w:spacing w:val="6"/>
          <w:kern w:val="0"/>
          <w:sz w:val="32"/>
          <w:szCs w:val="32"/>
          <w:highlight w:val="none"/>
          <w:lang w:val="en-US" w:eastAsia="zh-CN"/>
        </w:rPr>
      </w:pPr>
      <w:r>
        <w:rPr>
          <w:rFonts w:hint="eastAsia" w:ascii="仿宋" w:hAnsi="仿宋" w:eastAsia="仿宋" w:cs="仿宋"/>
          <w:b/>
          <w:bCs/>
          <w:color w:val="auto"/>
          <w:spacing w:val="6"/>
          <w:kern w:val="0"/>
          <w:sz w:val="32"/>
          <w:szCs w:val="32"/>
          <w:highlight w:val="none"/>
          <w:lang w:val="en-US" w:eastAsia="zh-CN"/>
        </w:rPr>
        <w:br w:type="page"/>
      </w:r>
    </w:p>
    <w:p w14:paraId="31846CA4">
      <w:pPr>
        <w:pageBreakBefore w:val="0"/>
        <w:kinsoku/>
        <w:overflowPunct/>
        <w:topLinePunct w:val="0"/>
        <w:bidi w:val="0"/>
        <w:snapToGrid w:val="0"/>
        <w:spacing w:line="360" w:lineRule="auto"/>
        <w:ind w:left="0" w:leftChars="0" w:firstLine="0" w:firstLineChars="0"/>
        <w:jc w:val="center"/>
        <w:textAlignment w:val="auto"/>
        <w:rPr>
          <w:rFonts w:hint="eastAsia" w:ascii="宋体" w:hAnsi="宋体" w:eastAsia="宋体" w:cs="宋体"/>
          <w:b/>
          <w:color w:val="auto"/>
          <w:kern w:val="0"/>
          <w:sz w:val="28"/>
          <w:szCs w:val="28"/>
          <w:lang w:val="en-US" w:eastAsia="zh-CN"/>
        </w:rPr>
      </w:pPr>
      <w:r>
        <w:rPr>
          <w:rFonts w:hint="eastAsia" w:ascii="宋体" w:hAnsi="宋体" w:eastAsia="宋体" w:cs="宋体"/>
          <w:b/>
          <w:color w:val="auto"/>
          <w:kern w:val="0"/>
          <w:sz w:val="28"/>
          <w:szCs w:val="28"/>
          <w:lang w:val="en-US" w:eastAsia="zh-CN"/>
        </w:rPr>
        <w:t>信息安全产品明细表</w:t>
      </w:r>
    </w:p>
    <w:p w14:paraId="4D9B53D4">
      <w:pPr>
        <w:keepLines w:val="0"/>
        <w:pageBreakBefore w:val="0"/>
        <w:widowControl w:val="0"/>
        <w:kinsoku/>
        <w:overflowPunct/>
        <w:topLinePunct w:val="0"/>
        <w:bidi w:val="0"/>
        <w:rPr>
          <w:rFonts w:hint="eastAsia" w:ascii="宋体" w:hAnsi="宋体" w:eastAsia="宋体" w:cs="宋体"/>
          <w:color w:val="auto"/>
          <w:lang w:val="en-US" w:eastAsia="zh-CN"/>
        </w:rPr>
      </w:pP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536"/>
        <w:gridCol w:w="1536"/>
        <w:gridCol w:w="1536"/>
        <w:gridCol w:w="1984"/>
        <w:gridCol w:w="2484"/>
      </w:tblGrid>
      <w:tr w14:paraId="78B3B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443" w:type="pct"/>
            <w:noWrap w:val="0"/>
            <w:vAlign w:val="center"/>
          </w:tcPr>
          <w:p w14:paraId="3259068B">
            <w:pPr>
              <w:keepLines w:val="0"/>
              <w:pageBreakBefore w:val="0"/>
              <w:widowControl w:val="0"/>
              <w:kinsoku/>
              <w:overflowPunct/>
              <w:topLinePunct w:val="0"/>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序号</w:t>
            </w:r>
          </w:p>
        </w:tc>
        <w:tc>
          <w:tcPr>
            <w:tcW w:w="771" w:type="pct"/>
            <w:noWrap w:val="0"/>
            <w:vAlign w:val="center"/>
          </w:tcPr>
          <w:p w14:paraId="270896B0">
            <w:pPr>
              <w:keepLines w:val="0"/>
              <w:pageBreakBefore w:val="0"/>
              <w:widowControl w:val="0"/>
              <w:kinsoku/>
              <w:overflowPunct/>
              <w:topLinePunct w:val="0"/>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产品名称</w:t>
            </w:r>
          </w:p>
        </w:tc>
        <w:tc>
          <w:tcPr>
            <w:tcW w:w="771" w:type="pct"/>
            <w:noWrap w:val="0"/>
            <w:vAlign w:val="center"/>
          </w:tcPr>
          <w:p w14:paraId="5248BDC6">
            <w:pPr>
              <w:keepLines w:val="0"/>
              <w:pageBreakBefore w:val="0"/>
              <w:widowControl w:val="0"/>
              <w:kinsoku/>
              <w:overflowPunct/>
              <w:topLinePunct w:val="0"/>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制造商</w:t>
            </w:r>
          </w:p>
        </w:tc>
        <w:tc>
          <w:tcPr>
            <w:tcW w:w="771" w:type="pct"/>
            <w:noWrap w:val="0"/>
            <w:vAlign w:val="center"/>
          </w:tcPr>
          <w:p w14:paraId="2761A54C">
            <w:pPr>
              <w:keepLines w:val="0"/>
              <w:pageBreakBefore w:val="0"/>
              <w:widowControl w:val="0"/>
              <w:kinsoku/>
              <w:overflowPunct/>
              <w:topLinePunct w:val="0"/>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产品型号</w:t>
            </w:r>
          </w:p>
        </w:tc>
        <w:tc>
          <w:tcPr>
            <w:tcW w:w="996" w:type="pct"/>
            <w:noWrap w:val="0"/>
            <w:vAlign w:val="center"/>
          </w:tcPr>
          <w:p w14:paraId="5DD39880">
            <w:pPr>
              <w:keepLines w:val="0"/>
              <w:pageBreakBefore w:val="0"/>
              <w:widowControl w:val="0"/>
              <w:kinsoku/>
              <w:overflowPunct/>
              <w:topLinePunct w:val="0"/>
              <w:bidi w:val="0"/>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信息安全产品强制性认证证书号</w:t>
            </w:r>
          </w:p>
        </w:tc>
        <w:tc>
          <w:tcPr>
            <w:tcW w:w="1247" w:type="pct"/>
            <w:noWrap w:val="0"/>
            <w:vAlign w:val="center"/>
          </w:tcPr>
          <w:p w14:paraId="174D7B9C">
            <w:pPr>
              <w:keepLines w:val="0"/>
              <w:pageBreakBefore w:val="0"/>
              <w:widowControl w:val="0"/>
              <w:kinsoku/>
              <w:overflowPunct/>
              <w:topLinePunct w:val="0"/>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认证证书有</w:t>
            </w:r>
          </w:p>
          <w:p w14:paraId="1CF48929">
            <w:pPr>
              <w:keepLines w:val="0"/>
              <w:pageBreakBefore w:val="0"/>
              <w:widowControl w:val="0"/>
              <w:kinsoku/>
              <w:overflowPunct/>
              <w:topLinePunct w:val="0"/>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效截止日期</w:t>
            </w:r>
          </w:p>
        </w:tc>
      </w:tr>
      <w:tr w14:paraId="08C0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43" w:type="pct"/>
            <w:noWrap w:val="0"/>
            <w:vAlign w:val="center"/>
          </w:tcPr>
          <w:p w14:paraId="4D97B29A">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771" w:type="pct"/>
            <w:noWrap w:val="0"/>
            <w:vAlign w:val="center"/>
          </w:tcPr>
          <w:p w14:paraId="1C65D40F">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771" w:type="pct"/>
            <w:noWrap w:val="0"/>
            <w:vAlign w:val="center"/>
          </w:tcPr>
          <w:p w14:paraId="785FB7C8">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771" w:type="pct"/>
            <w:noWrap w:val="0"/>
            <w:vAlign w:val="center"/>
          </w:tcPr>
          <w:p w14:paraId="31F86D5F">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996" w:type="pct"/>
            <w:noWrap w:val="0"/>
            <w:vAlign w:val="center"/>
          </w:tcPr>
          <w:p w14:paraId="1C4E7085">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1247" w:type="pct"/>
            <w:noWrap w:val="0"/>
            <w:vAlign w:val="center"/>
          </w:tcPr>
          <w:p w14:paraId="33CF3A80">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r>
      <w:tr w14:paraId="4113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43" w:type="pct"/>
            <w:noWrap w:val="0"/>
            <w:vAlign w:val="center"/>
          </w:tcPr>
          <w:p w14:paraId="774479BB">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771" w:type="pct"/>
            <w:noWrap w:val="0"/>
            <w:vAlign w:val="center"/>
          </w:tcPr>
          <w:p w14:paraId="70EF8F6B">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771" w:type="pct"/>
            <w:noWrap w:val="0"/>
            <w:vAlign w:val="center"/>
          </w:tcPr>
          <w:p w14:paraId="77B2C926">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771" w:type="pct"/>
            <w:noWrap w:val="0"/>
            <w:vAlign w:val="center"/>
          </w:tcPr>
          <w:p w14:paraId="72EA23FC">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996" w:type="pct"/>
            <w:noWrap w:val="0"/>
            <w:vAlign w:val="center"/>
          </w:tcPr>
          <w:p w14:paraId="5FB058E6">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1247" w:type="pct"/>
            <w:noWrap w:val="0"/>
            <w:vAlign w:val="center"/>
          </w:tcPr>
          <w:p w14:paraId="5D7CF7B1">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r>
      <w:tr w14:paraId="7071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43" w:type="pct"/>
            <w:noWrap w:val="0"/>
            <w:vAlign w:val="center"/>
          </w:tcPr>
          <w:p w14:paraId="3A1BC244">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771" w:type="pct"/>
            <w:noWrap w:val="0"/>
            <w:vAlign w:val="center"/>
          </w:tcPr>
          <w:p w14:paraId="3691878D">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771" w:type="pct"/>
            <w:noWrap w:val="0"/>
            <w:vAlign w:val="center"/>
          </w:tcPr>
          <w:p w14:paraId="4E99939B">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771" w:type="pct"/>
            <w:noWrap w:val="0"/>
            <w:vAlign w:val="center"/>
          </w:tcPr>
          <w:p w14:paraId="02091502">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996" w:type="pct"/>
            <w:noWrap w:val="0"/>
            <w:vAlign w:val="center"/>
          </w:tcPr>
          <w:p w14:paraId="69C9CF6B">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1247" w:type="pct"/>
            <w:noWrap w:val="0"/>
            <w:vAlign w:val="center"/>
          </w:tcPr>
          <w:p w14:paraId="220A81AE">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r>
      <w:tr w14:paraId="7015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43" w:type="pct"/>
            <w:noWrap w:val="0"/>
            <w:vAlign w:val="center"/>
          </w:tcPr>
          <w:p w14:paraId="7B4A8796">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771" w:type="pct"/>
            <w:noWrap w:val="0"/>
            <w:vAlign w:val="center"/>
          </w:tcPr>
          <w:p w14:paraId="033961EA">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771" w:type="pct"/>
            <w:noWrap w:val="0"/>
            <w:vAlign w:val="center"/>
          </w:tcPr>
          <w:p w14:paraId="21D90C5C">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771" w:type="pct"/>
            <w:noWrap w:val="0"/>
            <w:vAlign w:val="center"/>
          </w:tcPr>
          <w:p w14:paraId="3EA5F73A">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996" w:type="pct"/>
            <w:noWrap w:val="0"/>
            <w:vAlign w:val="center"/>
          </w:tcPr>
          <w:p w14:paraId="64C402BC">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1247" w:type="pct"/>
            <w:noWrap w:val="0"/>
            <w:vAlign w:val="center"/>
          </w:tcPr>
          <w:p w14:paraId="3B4925BC">
            <w:pPr>
              <w:keepLines w:val="0"/>
              <w:pageBreakBefore w:val="0"/>
              <w:widowControl w:val="0"/>
              <w:kinsoku/>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r>
    </w:tbl>
    <w:p w14:paraId="43EB5F22">
      <w:pPr>
        <w:keepLines w:val="0"/>
        <w:pageBreakBefore w:val="0"/>
        <w:widowControl w:val="0"/>
        <w:kinsoku/>
        <w:overflowPunct/>
        <w:topLinePunct w:val="0"/>
        <w:bidi w:val="0"/>
        <w:snapToGrid w:val="0"/>
        <w:spacing w:line="360" w:lineRule="auto"/>
        <w:rPr>
          <w:rFonts w:hint="eastAsia" w:ascii="宋体" w:hAnsi="宋体" w:eastAsia="宋体" w:cs="宋体"/>
          <w:color w:val="auto"/>
          <w:kern w:val="0"/>
          <w:sz w:val="28"/>
          <w:szCs w:val="28"/>
          <w:highlight w:val="none"/>
          <w:lang w:val="en-US" w:eastAsia="zh-CN"/>
        </w:rPr>
      </w:pPr>
    </w:p>
    <w:p w14:paraId="4F12F7F6">
      <w:pPr>
        <w:keepLines w:val="0"/>
        <w:pageBreakBefore w:val="0"/>
        <w:widowControl w:val="0"/>
        <w:kinsoku/>
        <w:overflowPunct/>
        <w:topLinePunct w:val="0"/>
        <w:bidi w:val="0"/>
        <w:snapToGrid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说明：</w:t>
      </w:r>
    </w:p>
    <w:p w14:paraId="1C569D42">
      <w:pPr>
        <w:keepLines w:val="0"/>
        <w:pageBreakBefore w:val="0"/>
        <w:widowControl w:val="0"/>
        <w:kinsoku/>
        <w:overflowPunct/>
        <w:topLinePunct w:val="0"/>
        <w:bidi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供应商如实填写表格，无相应内容可填写“无”</w:t>
      </w:r>
      <w:r>
        <w:rPr>
          <w:rFonts w:hint="eastAsia" w:ascii="宋体" w:hAnsi="宋体" w:eastAsia="宋体" w:cs="宋体"/>
          <w:color w:val="auto"/>
          <w:kern w:val="0"/>
          <w:sz w:val="24"/>
          <w:szCs w:val="24"/>
          <w:highlight w:val="none"/>
          <w:lang w:val="en-US" w:eastAsia="zh-CN"/>
        </w:rPr>
        <w:t>或用“/”来表示。</w:t>
      </w:r>
    </w:p>
    <w:p w14:paraId="0A11D2A3">
      <w:pPr>
        <w:keepLines w:val="0"/>
        <w:pageBreakBefore w:val="0"/>
        <w:widowControl w:val="0"/>
        <w:kinsoku/>
        <w:overflowPunct/>
        <w:topLinePunct w:val="0"/>
        <w:bidi w:val="0"/>
        <w:snapToGrid w:val="0"/>
        <w:spacing w:line="480" w:lineRule="auto"/>
        <w:jc w:val="left"/>
        <w:rPr>
          <w:rFonts w:hint="eastAsia" w:ascii="宋体" w:hAnsi="宋体" w:eastAsia="宋体" w:cs="宋体"/>
          <w:color w:val="auto"/>
          <w:spacing w:val="10"/>
          <w:kern w:val="0"/>
          <w:sz w:val="24"/>
          <w:szCs w:val="24"/>
          <w:highlight w:val="none"/>
        </w:rPr>
      </w:pPr>
    </w:p>
    <w:p w14:paraId="497D7263">
      <w:pPr>
        <w:pStyle w:val="12"/>
        <w:keepLines w:val="0"/>
        <w:pageBreakBefore w:val="0"/>
        <w:widowControl w:val="0"/>
        <w:kinsoku/>
        <w:overflowPunct/>
        <w:topLinePunct w:val="0"/>
        <w:bidi w:val="0"/>
        <w:rPr>
          <w:rFonts w:hint="eastAsia" w:ascii="宋体" w:hAnsi="宋体" w:eastAsia="宋体" w:cs="宋体"/>
          <w:color w:val="auto"/>
        </w:rPr>
      </w:pPr>
    </w:p>
    <w:p w14:paraId="3A41A816">
      <w:pPr>
        <w:pageBreakBefore w:val="0"/>
        <w:widowControl/>
        <w:kinsoku/>
        <w:wordWrap w:val="0"/>
        <w:overflowPunct/>
        <w:topLinePunct w:val="0"/>
        <w:bidi w:val="0"/>
        <w:spacing w:line="360" w:lineRule="auto"/>
        <w:ind w:left="0" w:leftChars="0" w:firstLine="6518" w:firstLineChars="2716"/>
        <w:jc w:val="both"/>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投标人（盖章）：</w:t>
      </w:r>
      <w:r>
        <w:rPr>
          <w:rFonts w:hint="eastAsia" w:ascii="宋体" w:hAnsi="宋体" w:eastAsia="宋体" w:cs="宋体"/>
          <w:color w:val="auto"/>
          <w:kern w:val="0"/>
          <w:sz w:val="24"/>
          <w:u w:val="single"/>
        </w:rPr>
        <w:t xml:space="preserve">           </w:t>
      </w:r>
    </w:p>
    <w:p w14:paraId="39179CD3">
      <w:pPr>
        <w:keepLines w:val="0"/>
        <w:pageBreakBefore w:val="0"/>
        <w:widowControl w:val="0"/>
        <w:tabs>
          <w:tab w:val="left" w:pos="4000"/>
        </w:tabs>
        <w:kinsoku/>
        <w:overflowPunct/>
        <w:topLinePunct w:val="0"/>
        <w:bidi w:val="0"/>
        <w:snapToGrid w:val="0"/>
        <w:spacing w:line="360" w:lineRule="auto"/>
        <w:ind w:left="0" w:leftChars="0" w:firstLine="6518" w:firstLineChars="2716"/>
        <w:rPr>
          <w:rFonts w:hint="eastAsia" w:ascii="仿宋" w:hAnsi="仿宋" w:eastAsia="仿宋" w:cs="仿宋"/>
          <w:color w:val="auto"/>
          <w:spacing w:val="20"/>
          <w:kern w:val="0"/>
          <w:sz w:val="28"/>
          <w:szCs w:val="28"/>
          <w:highlight w:val="none"/>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p>
    <w:p w14:paraId="00294E9F">
      <w:pPr>
        <w:keepLines w:val="0"/>
        <w:pageBreakBefore w:val="0"/>
        <w:widowControl w:val="0"/>
        <w:kinsoku/>
        <w:overflowPunct/>
        <w:topLinePunct w:val="0"/>
        <w:bidi w:val="0"/>
        <w:snapToGrid w:val="0"/>
        <w:spacing w:line="420" w:lineRule="exact"/>
        <w:jc w:val="center"/>
        <w:rPr>
          <w:rFonts w:hint="eastAsia" w:ascii="仿宋" w:hAnsi="仿宋" w:eastAsia="仿宋" w:cs="仿宋"/>
          <w:b/>
          <w:bCs/>
          <w:color w:val="auto"/>
          <w:spacing w:val="10"/>
          <w:kern w:val="0"/>
          <w:sz w:val="32"/>
          <w:szCs w:val="32"/>
          <w:highlight w:val="none"/>
        </w:rPr>
      </w:pPr>
    </w:p>
    <w:p w14:paraId="55B29065">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10"/>
          <w:kern w:val="0"/>
          <w:sz w:val="32"/>
          <w:szCs w:val="32"/>
          <w:highlight w:val="none"/>
          <w:lang w:val="en-US" w:eastAsia="zh-CN"/>
        </w:rPr>
      </w:pPr>
    </w:p>
    <w:p w14:paraId="1E6687AC">
      <w:pPr>
        <w:pStyle w:val="2"/>
        <w:keepLines w:val="0"/>
        <w:pageBreakBefore w:val="0"/>
        <w:widowControl w:val="0"/>
        <w:kinsoku/>
        <w:overflowPunct/>
        <w:topLinePunct w:val="0"/>
        <w:bidi w:val="0"/>
        <w:outlineLvl w:val="9"/>
        <w:rPr>
          <w:rFonts w:hint="eastAsia" w:ascii="仿宋" w:hAnsi="仿宋" w:eastAsia="仿宋" w:cs="仿宋"/>
          <w:b/>
          <w:bCs/>
          <w:color w:val="auto"/>
          <w:spacing w:val="10"/>
          <w:kern w:val="0"/>
          <w:sz w:val="32"/>
          <w:szCs w:val="32"/>
          <w:highlight w:val="none"/>
          <w:lang w:val="en-US" w:eastAsia="zh-CN"/>
        </w:rPr>
      </w:pPr>
    </w:p>
    <w:p w14:paraId="627DBB90">
      <w:pPr>
        <w:keepLines w:val="0"/>
        <w:pageBreakBefore w:val="0"/>
        <w:widowControl w:val="0"/>
        <w:kinsoku/>
        <w:overflowPunct/>
        <w:topLinePunct w:val="0"/>
        <w:bidi w:val="0"/>
        <w:rPr>
          <w:rFonts w:hint="eastAsia" w:ascii="仿宋" w:hAnsi="仿宋" w:eastAsia="仿宋" w:cs="仿宋"/>
          <w:b/>
          <w:bCs/>
          <w:color w:val="auto"/>
          <w:spacing w:val="10"/>
          <w:kern w:val="0"/>
          <w:sz w:val="32"/>
          <w:szCs w:val="32"/>
          <w:highlight w:val="none"/>
          <w:lang w:val="en-US" w:eastAsia="zh-CN"/>
        </w:rPr>
      </w:pPr>
    </w:p>
    <w:p w14:paraId="249B565D">
      <w:pPr>
        <w:keepLines w:val="0"/>
        <w:pageBreakBefore w:val="0"/>
        <w:widowControl w:val="0"/>
        <w:kinsoku/>
        <w:overflowPunct/>
        <w:topLinePunct w:val="0"/>
        <w:bidi w:val="0"/>
        <w:rPr>
          <w:rFonts w:hint="eastAsia" w:ascii="仿宋" w:hAnsi="仿宋" w:eastAsia="仿宋" w:cs="仿宋"/>
          <w:color w:val="auto"/>
          <w:lang w:val="en-US" w:eastAsia="zh-CN"/>
        </w:rPr>
      </w:pPr>
    </w:p>
    <w:p w14:paraId="12C1E88B">
      <w:pPr>
        <w:keepLines w:val="0"/>
        <w:pageBreakBefore w:val="0"/>
        <w:widowControl w:val="0"/>
        <w:kinsoku/>
        <w:overflowPunct/>
        <w:topLinePunct w:val="0"/>
        <w:bidi w:val="0"/>
        <w:rPr>
          <w:rFonts w:hint="eastAsia" w:ascii="仿宋" w:hAnsi="仿宋" w:eastAsia="仿宋" w:cs="仿宋"/>
          <w:color w:val="auto"/>
          <w:lang w:val="en-US" w:eastAsia="zh-CN"/>
        </w:rPr>
      </w:pPr>
    </w:p>
    <w:p w14:paraId="76066FDC">
      <w:pPr>
        <w:keepLines w:val="0"/>
        <w:pageBreakBefore w:val="0"/>
        <w:widowControl w:val="0"/>
        <w:kinsoku/>
        <w:overflowPunct/>
        <w:topLinePunct w:val="0"/>
        <w:bidi w:val="0"/>
        <w:rPr>
          <w:rFonts w:hint="eastAsia" w:ascii="仿宋" w:hAnsi="仿宋" w:eastAsia="仿宋" w:cs="仿宋"/>
          <w:color w:val="auto"/>
          <w:lang w:val="en-US" w:eastAsia="zh-CN"/>
        </w:rPr>
      </w:pPr>
    </w:p>
    <w:p w14:paraId="6CB7C4BF">
      <w:pPr>
        <w:keepLines w:val="0"/>
        <w:pageBreakBefore w:val="0"/>
        <w:widowControl w:val="0"/>
        <w:kinsoku/>
        <w:overflowPunct/>
        <w:topLinePunct w:val="0"/>
        <w:bidi w:val="0"/>
        <w:rPr>
          <w:rFonts w:hint="eastAsia" w:ascii="仿宋" w:hAnsi="仿宋" w:eastAsia="仿宋" w:cs="仿宋"/>
          <w:color w:val="auto"/>
          <w:lang w:val="en-US" w:eastAsia="zh-CN"/>
        </w:rPr>
      </w:pPr>
    </w:p>
    <w:p w14:paraId="78FFD4E0">
      <w:pPr>
        <w:keepLines w:val="0"/>
        <w:pageBreakBefore w:val="0"/>
        <w:widowControl w:val="0"/>
        <w:kinsoku/>
        <w:overflowPunct/>
        <w:topLinePunct w:val="0"/>
        <w:bidi w:val="0"/>
        <w:rPr>
          <w:rFonts w:hint="eastAsia" w:ascii="仿宋" w:hAnsi="仿宋" w:eastAsia="仿宋" w:cs="仿宋"/>
          <w:color w:val="auto"/>
          <w:lang w:val="en-US" w:eastAsia="zh-CN"/>
        </w:rPr>
      </w:pPr>
    </w:p>
    <w:p w14:paraId="425C251E">
      <w:pPr>
        <w:keepLines w:val="0"/>
        <w:pageBreakBefore w:val="0"/>
        <w:widowControl w:val="0"/>
        <w:kinsoku/>
        <w:overflowPunct/>
        <w:topLinePunct w:val="0"/>
        <w:bidi w:val="0"/>
        <w:rPr>
          <w:rFonts w:hint="eastAsia" w:ascii="仿宋" w:hAnsi="仿宋" w:eastAsia="仿宋" w:cs="仿宋"/>
          <w:color w:val="auto"/>
          <w:lang w:val="en-US" w:eastAsia="zh-CN"/>
        </w:rPr>
      </w:pPr>
    </w:p>
    <w:p w14:paraId="3C3FB160">
      <w:pPr>
        <w:keepLines w:val="0"/>
        <w:pageBreakBefore w:val="0"/>
        <w:widowControl w:val="0"/>
        <w:kinsoku/>
        <w:overflowPunct/>
        <w:topLinePunct w:val="0"/>
        <w:bidi w:val="0"/>
        <w:rPr>
          <w:rFonts w:hint="eastAsia" w:ascii="仿宋" w:hAnsi="仿宋" w:eastAsia="仿宋" w:cs="仿宋"/>
          <w:color w:val="auto"/>
          <w:lang w:val="en-US" w:eastAsia="zh-CN"/>
        </w:rPr>
      </w:pPr>
    </w:p>
    <w:p w14:paraId="48091C3F">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5E41D0F4">
      <w:pPr>
        <w:keepLines w:val="0"/>
        <w:pageBreakBefore w:val="0"/>
        <w:widowControl w:val="0"/>
        <w:kinsoku/>
        <w:wordWrap/>
        <w:overflowPunct/>
        <w:topLinePunct w:val="0"/>
        <w:bidi w:val="0"/>
        <w:spacing w:after="156" w:afterLines="50"/>
        <w:jc w:val="center"/>
        <w:outlineLvl w:val="9"/>
        <w:rPr>
          <w:rFonts w:hint="eastAsia" w:ascii="仿宋" w:hAnsi="仿宋" w:eastAsia="仿宋" w:cs="仿宋"/>
          <w:b/>
          <w:bCs/>
          <w:color w:val="auto"/>
          <w:spacing w:val="6"/>
          <w:kern w:val="0"/>
          <w:sz w:val="32"/>
          <w:szCs w:val="32"/>
          <w:highlight w:val="none"/>
          <w:lang w:val="en-US" w:eastAsia="zh-CN"/>
        </w:rPr>
      </w:pPr>
    </w:p>
    <w:p w14:paraId="089A2B78">
      <w:pPr>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br w:type="page"/>
      </w:r>
    </w:p>
    <w:p w14:paraId="0A04CD59">
      <w:pPr>
        <w:keepLines w:val="0"/>
        <w:pageBreakBefore w:val="0"/>
        <w:widowControl w:val="0"/>
        <w:kinsoku/>
        <w:wordWrap/>
        <w:overflowPunct/>
        <w:topLinePunct w:val="0"/>
        <w:bidi w:val="0"/>
        <w:spacing w:after="156" w:afterLines="50"/>
        <w:jc w:val="center"/>
        <w:outlineLvl w:val="1"/>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color w:val="auto"/>
          <w:kern w:val="0"/>
          <w:sz w:val="28"/>
          <w:szCs w:val="28"/>
          <w:lang w:val="en-US" w:eastAsia="zh-CN"/>
        </w:rPr>
        <w:t>创新产品或创新服务明细表</w:t>
      </w:r>
    </w:p>
    <w:p w14:paraId="56DD2D3E">
      <w:pPr>
        <w:keepLines w:val="0"/>
        <w:pageBreakBefore w:val="0"/>
        <w:widowControl w:val="0"/>
        <w:kinsoku/>
        <w:overflowPunct/>
        <w:topLinePunct w:val="0"/>
        <w:bidi w:val="0"/>
        <w:spacing w:line="360" w:lineRule="auto"/>
        <w:ind w:firstLine="480" w:firstLineChars="200"/>
        <w:rPr>
          <w:rFonts w:hint="eastAsia" w:ascii="宋体" w:hAnsi="宋体" w:eastAsia="宋体" w:cs="宋体"/>
          <w:color w:val="auto"/>
          <w:sz w:val="24"/>
          <w:szCs w:val="24"/>
          <w:lang w:val="en-US" w:eastAsia="zh-CN"/>
        </w:rPr>
      </w:pPr>
    </w:p>
    <w:p w14:paraId="22A34502">
      <w:pPr>
        <w:keepLines w:val="0"/>
        <w:pageBreakBefore w:val="0"/>
        <w:widowControl w:val="0"/>
        <w:kinsoku/>
        <w:overflowPunct/>
        <w:topLinePunct w:val="0"/>
        <w:bidi w:val="0"/>
        <w:spacing w:line="360" w:lineRule="auto"/>
        <w:ind w:firstLine="480" w:firstLineChars="200"/>
        <w:rPr>
          <w:rFonts w:hint="eastAsia" w:ascii="宋体" w:hAnsi="宋体" w:eastAsia="宋体" w:cs="宋体"/>
          <w:color w:val="auto"/>
          <w:sz w:val="24"/>
          <w:szCs w:val="24"/>
          <w:lang w:val="en-US" w:eastAsia="zh-CN"/>
        </w:rPr>
      </w:pPr>
    </w:p>
    <w:tbl>
      <w:tblPr>
        <w:tblStyle w:val="33"/>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66"/>
        <w:gridCol w:w="900"/>
        <w:gridCol w:w="1243"/>
        <w:gridCol w:w="1436"/>
        <w:gridCol w:w="900"/>
        <w:gridCol w:w="1028"/>
        <w:gridCol w:w="1162"/>
      </w:tblGrid>
      <w:tr w14:paraId="0DE3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854" w:type="dxa"/>
            <w:noWrap w:val="0"/>
            <w:vAlign w:val="center"/>
          </w:tcPr>
          <w:p w14:paraId="75B07C4F">
            <w:pPr>
              <w:keepLines w:val="0"/>
              <w:pageBreakBefore w:val="0"/>
              <w:widowControl w:val="0"/>
              <w:kinsoku/>
              <w:overflowPunct/>
              <w:topLinePunct w:val="0"/>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1466" w:type="dxa"/>
            <w:noWrap w:val="0"/>
            <w:vAlign w:val="center"/>
          </w:tcPr>
          <w:p w14:paraId="44201D19">
            <w:pPr>
              <w:keepLines w:val="0"/>
              <w:pageBreakBefore w:val="0"/>
              <w:widowControl w:val="0"/>
              <w:kinsoku/>
              <w:overflowPunct/>
              <w:topLinePunct w:val="0"/>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产品名称</w:t>
            </w:r>
          </w:p>
        </w:tc>
        <w:tc>
          <w:tcPr>
            <w:tcW w:w="900" w:type="dxa"/>
            <w:noWrap w:val="0"/>
            <w:vAlign w:val="center"/>
          </w:tcPr>
          <w:p w14:paraId="17473E66">
            <w:pPr>
              <w:keepLines w:val="0"/>
              <w:pageBreakBefore w:val="0"/>
              <w:widowControl w:val="0"/>
              <w:kinsoku/>
              <w:overflowPunct/>
              <w:topLinePunct w:val="0"/>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品牌</w:t>
            </w:r>
          </w:p>
        </w:tc>
        <w:tc>
          <w:tcPr>
            <w:tcW w:w="1243" w:type="dxa"/>
            <w:tcBorders>
              <w:bottom w:val="single" w:color="auto" w:sz="4" w:space="0"/>
            </w:tcBorders>
            <w:noWrap w:val="0"/>
            <w:vAlign w:val="center"/>
          </w:tcPr>
          <w:p w14:paraId="558E25AF">
            <w:pPr>
              <w:keepLines w:val="0"/>
              <w:pageBreakBefore w:val="0"/>
              <w:widowControl w:val="0"/>
              <w:kinsoku/>
              <w:overflowPunct/>
              <w:topLinePunct w:val="0"/>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规格</w:t>
            </w:r>
          </w:p>
          <w:p w14:paraId="728A9994">
            <w:pPr>
              <w:keepLines w:val="0"/>
              <w:pageBreakBefore w:val="0"/>
              <w:widowControl w:val="0"/>
              <w:kinsoku/>
              <w:overflowPunct/>
              <w:topLinePunct w:val="0"/>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型号</w:t>
            </w:r>
          </w:p>
        </w:tc>
        <w:tc>
          <w:tcPr>
            <w:tcW w:w="1436" w:type="dxa"/>
            <w:tcBorders>
              <w:bottom w:val="single" w:color="auto" w:sz="4" w:space="0"/>
            </w:tcBorders>
            <w:noWrap w:val="0"/>
            <w:vAlign w:val="center"/>
          </w:tcPr>
          <w:p w14:paraId="4791F22C">
            <w:pPr>
              <w:keepLines w:val="0"/>
              <w:pageBreakBefore w:val="0"/>
              <w:widowControl w:val="0"/>
              <w:kinsoku/>
              <w:overflowPunct/>
              <w:topLinePunct w:val="0"/>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产地及</w:t>
            </w:r>
          </w:p>
          <w:p w14:paraId="46EECB07">
            <w:pPr>
              <w:keepLines w:val="0"/>
              <w:pageBreakBefore w:val="0"/>
              <w:widowControl w:val="0"/>
              <w:kinsoku/>
              <w:overflowPunct/>
              <w:topLinePunct w:val="0"/>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厂家</w:t>
            </w:r>
          </w:p>
        </w:tc>
        <w:tc>
          <w:tcPr>
            <w:tcW w:w="900" w:type="dxa"/>
            <w:tcBorders>
              <w:bottom w:val="single" w:color="auto" w:sz="4" w:space="0"/>
            </w:tcBorders>
            <w:noWrap w:val="0"/>
            <w:vAlign w:val="center"/>
          </w:tcPr>
          <w:p w14:paraId="08DC3326">
            <w:pPr>
              <w:keepLines w:val="0"/>
              <w:pageBreakBefore w:val="0"/>
              <w:widowControl w:val="0"/>
              <w:kinsoku/>
              <w:overflowPunct/>
              <w:topLinePunct w:val="0"/>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1028" w:type="dxa"/>
            <w:tcBorders>
              <w:bottom w:val="single" w:color="auto" w:sz="4" w:space="0"/>
            </w:tcBorders>
            <w:noWrap w:val="0"/>
            <w:vAlign w:val="center"/>
          </w:tcPr>
          <w:p w14:paraId="1C563BCA">
            <w:pPr>
              <w:keepLines w:val="0"/>
              <w:pageBreakBefore w:val="0"/>
              <w:widowControl w:val="0"/>
              <w:kinsoku/>
              <w:overflowPunct/>
              <w:topLinePunct w:val="0"/>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单价</w:t>
            </w:r>
          </w:p>
        </w:tc>
        <w:tc>
          <w:tcPr>
            <w:tcW w:w="1162" w:type="dxa"/>
            <w:tcBorders>
              <w:bottom w:val="single" w:color="auto" w:sz="4" w:space="0"/>
            </w:tcBorders>
            <w:noWrap w:val="0"/>
            <w:vAlign w:val="center"/>
          </w:tcPr>
          <w:p w14:paraId="1DF5702C">
            <w:pPr>
              <w:keepLines w:val="0"/>
              <w:pageBreakBefore w:val="0"/>
              <w:widowControl w:val="0"/>
              <w:kinsoku/>
              <w:overflowPunct/>
              <w:topLinePunct w:val="0"/>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总价</w:t>
            </w:r>
          </w:p>
        </w:tc>
      </w:tr>
      <w:tr w14:paraId="4F8B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54" w:type="dxa"/>
            <w:noWrap w:val="0"/>
            <w:vAlign w:val="center"/>
          </w:tcPr>
          <w:p w14:paraId="2AD19FB0">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c>
          <w:tcPr>
            <w:tcW w:w="1466" w:type="dxa"/>
            <w:noWrap w:val="0"/>
            <w:vAlign w:val="center"/>
          </w:tcPr>
          <w:p w14:paraId="0AA3BA79">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c>
          <w:tcPr>
            <w:tcW w:w="900" w:type="dxa"/>
            <w:noWrap w:val="0"/>
            <w:vAlign w:val="center"/>
          </w:tcPr>
          <w:p w14:paraId="7B479840">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c>
          <w:tcPr>
            <w:tcW w:w="1243" w:type="dxa"/>
            <w:tcBorders>
              <w:top w:val="single" w:color="auto" w:sz="4" w:space="0"/>
              <w:bottom w:val="single" w:color="auto" w:sz="4" w:space="0"/>
            </w:tcBorders>
            <w:noWrap w:val="0"/>
            <w:vAlign w:val="center"/>
          </w:tcPr>
          <w:p w14:paraId="6677F1D6">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vertAlign w:val="superscript"/>
              </w:rPr>
            </w:pPr>
          </w:p>
        </w:tc>
        <w:tc>
          <w:tcPr>
            <w:tcW w:w="1436" w:type="dxa"/>
            <w:tcBorders>
              <w:top w:val="single" w:color="auto" w:sz="4" w:space="0"/>
              <w:bottom w:val="single" w:color="auto" w:sz="4" w:space="0"/>
            </w:tcBorders>
            <w:noWrap w:val="0"/>
            <w:vAlign w:val="center"/>
          </w:tcPr>
          <w:p w14:paraId="38F66150">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vertAlign w:val="superscript"/>
              </w:rPr>
            </w:pPr>
          </w:p>
        </w:tc>
        <w:tc>
          <w:tcPr>
            <w:tcW w:w="900" w:type="dxa"/>
            <w:tcBorders>
              <w:top w:val="single" w:color="auto" w:sz="4" w:space="0"/>
            </w:tcBorders>
            <w:noWrap w:val="0"/>
            <w:vAlign w:val="center"/>
          </w:tcPr>
          <w:p w14:paraId="6733C2BE">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c>
          <w:tcPr>
            <w:tcW w:w="1028" w:type="dxa"/>
            <w:tcBorders>
              <w:top w:val="single" w:color="auto" w:sz="4" w:space="0"/>
            </w:tcBorders>
            <w:noWrap w:val="0"/>
            <w:vAlign w:val="center"/>
          </w:tcPr>
          <w:p w14:paraId="346497E8">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c>
          <w:tcPr>
            <w:tcW w:w="1162" w:type="dxa"/>
            <w:tcBorders>
              <w:top w:val="single" w:color="auto" w:sz="4" w:space="0"/>
            </w:tcBorders>
            <w:noWrap w:val="0"/>
            <w:vAlign w:val="center"/>
          </w:tcPr>
          <w:p w14:paraId="488E6FBA">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r>
      <w:tr w14:paraId="37E6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54" w:type="dxa"/>
            <w:noWrap w:val="0"/>
            <w:vAlign w:val="center"/>
          </w:tcPr>
          <w:p w14:paraId="0C6759D2">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c>
          <w:tcPr>
            <w:tcW w:w="1466" w:type="dxa"/>
            <w:noWrap w:val="0"/>
            <w:vAlign w:val="center"/>
          </w:tcPr>
          <w:p w14:paraId="172A9808">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c>
          <w:tcPr>
            <w:tcW w:w="900" w:type="dxa"/>
            <w:noWrap w:val="0"/>
            <w:vAlign w:val="center"/>
          </w:tcPr>
          <w:p w14:paraId="33A63463">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c>
          <w:tcPr>
            <w:tcW w:w="1243" w:type="dxa"/>
            <w:tcBorders>
              <w:top w:val="single" w:color="auto" w:sz="4" w:space="0"/>
              <w:bottom w:val="single" w:color="auto" w:sz="4" w:space="0"/>
            </w:tcBorders>
            <w:noWrap w:val="0"/>
            <w:vAlign w:val="center"/>
          </w:tcPr>
          <w:p w14:paraId="7678EA7B">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vertAlign w:val="superscript"/>
              </w:rPr>
            </w:pPr>
          </w:p>
        </w:tc>
        <w:tc>
          <w:tcPr>
            <w:tcW w:w="1436" w:type="dxa"/>
            <w:tcBorders>
              <w:top w:val="single" w:color="auto" w:sz="4" w:space="0"/>
              <w:bottom w:val="single" w:color="auto" w:sz="4" w:space="0"/>
            </w:tcBorders>
            <w:noWrap w:val="0"/>
            <w:vAlign w:val="center"/>
          </w:tcPr>
          <w:p w14:paraId="612CDACD">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vertAlign w:val="superscript"/>
              </w:rPr>
            </w:pPr>
          </w:p>
        </w:tc>
        <w:tc>
          <w:tcPr>
            <w:tcW w:w="900" w:type="dxa"/>
            <w:tcBorders>
              <w:top w:val="single" w:color="auto" w:sz="4" w:space="0"/>
            </w:tcBorders>
            <w:noWrap w:val="0"/>
            <w:vAlign w:val="center"/>
          </w:tcPr>
          <w:p w14:paraId="33A1CA44">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c>
          <w:tcPr>
            <w:tcW w:w="1028" w:type="dxa"/>
            <w:tcBorders>
              <w:top w:val="single" w:color="auto" w:sz="4" w:space="0"/>
            </w:tcBorders>
            <w:noWrap w:val="0"/>
            <w:vAlign w:val="center"/>
          </w:tcPr>
          <w:p w14:paraId="747DEBDF">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c>
          <w:tcPr>
            <w:tcW w:w="1162" w:type="dxa"/>
            <w:tcBorders>
              <w:top w:val="single" w:color="auto" w:sz="4" w:space="0"/>
            </w:tcBorders>
            <w:noWrap w:val="0"/>
            <w:vAlign w:val="center"/>
          </w:tcPr>
          <w:p w14:paraId="515602E9">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r>
      <w:tr w14:paraId="1954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54" w:type="dxa"/>
            <w:noWrap w:val="0"/>
            <w:vAlign w:val="center"/>
          </w:tcPr>
          <w:p w14:paraId="552DF8C0">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c>
          <w:tcPr>
            <w:tcW w:w="1466" w:type="dxa"/>
            <w:noWrap w:val="0"/>
            <w:vAlign w:val="center"/>
          </w:tcPr>
          <w:p w14:paraId="2B5D783E">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c>
          <w:tcPr>
            <w:tcW w:w="900" w:type="dxa"/>
            <w:noWrap w:val="0"/>
            <w:vAlign w:val="center"/>
          </w:tcPr>
          <w:p w14:paraId="16DA044E">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c>
          <w:tcPr>
            <w:tcW w:w="1243" w:type="dxa"/>
            <w:tcBorders>
              <w:top w:val="single" w:color="auto" w:sz="4" w:space="0"/>
              <w:bottom w:val="single" w:color="auto" w:sz="4" w:space="0"/>
            </w:tcBorders>
            <w:noWrap w:val="0"/>
            <w:vAlign w:val="center"/>
          </w:tcPr>
          <w:p w14:paraId="2568331D">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vertAlign w:val="superscript"/>
              </w:rPr>
            </w:pPr>
          </w:p>
        </w:tc>
        <w:tc>
          <w:tcPr>
            <w:tcW w:w="1436" w:type="dxa"/>
            <w:tcBorders>
              <w:top w:val="single" w:color="auto" w:sz="4" w:space="0"/>
              <w:bottom w:val="single" w:color="auto" w:sz="4" w:space="0"/>
            </w:tcBorders>
            <w:noWrap w:val="0"/>
            <w:vAlign w:val="center"/>
          </w:tcPr>
          <w:p w14:paraId="3ADFEFD2">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vertAlign w:val="superscript"/>
              </w:rPr>
            </w:pPr>
          </w:p>
        </w:tc>
        <w:tc>
          <w:tcPr>
            <w:tcW w:w="900" w:type="dxa"/>
            <w:tcBorders>
              <w:top w:val="single" w:color="auto" w:sz="4" w:space="0"/>
            </w:tcBorders>
            <w:noWrap w:val="0"/>
            <w:vAlign w:val="center"/>
          </w:tcPr>
          <w:p w14:paraId="76D3CB6B">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c>
          <w:tcPr>
            <w:tcW w:w="1028" w:type="dxa"/>
            <w:tcBorders>
              <w:top w:val="single" w:color="auto" w:sz="4" w:space="0"/>
            </w:tcBorders>
            <w:noWrap w:val="0"/>
            <w:vAlign w:val="center"/>
          </w:tcPr>
          <w:p w14:paraId="2863ECFA">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c>
          <w:tcPr>
            <w:tcW w:w="1162" w:type="dxa"/>
            <w:tcBorders>
              <w:top w:val="single" w:color="auto" w:sz="4" w:space="0"/>
            </w:tcBorders>
            <w:noWrap w:val="0"/>
            <w:vAlign w:val="center"/>
          </w:tcPr>
          <w:p w14:paraId="4D1C6EEA">
            <w:pPr>
              <w:keepLines w:val="0"/>
              <w:pageBreakBefore w:val="0"/>
              <w:widowControl w:val="0"/>
              <w:kinsoku/>
              <w:overflowPunct/>
              <w:topLinePunct w:val="0"/>
              <w:bidi w:val="0"/>
              <w:spacing w:line="360" w:lineRule="auto"/>
              <w:jc w:val="center"/>
              <w:rPr>
                <w:rFonts w:hint="eastAsia" w:ascii="宋体" w:hAnsi="宋体" w:eastAsia="宋体" w:cs="宋体"/>
                <w:bCs/>
                <w:color w:val="auto"/>
                <w:sz w:val="24"/>
                <w:szCs w:val="24"/>
              </w:rPr>
            </w:pPr>
          </w:p>
        </w:tc>
      </w:tr>
      <w:tr w14:paraId="535F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noWrap w:val="0"/>
            <w:vAlign w:val="center"/>
          </w:tcPr>
          <w:p w14:paraId="1B5C66BB">
            <w:pPr>
              <w:keepLines w:val="0"/>
              <w:pageBreakBefore w:val="0"/>
              <w:widowControl w:val="0"/>
              <w:kinsoku/>
              <w:overflowPunct/>
              <w:topLinePunct w:val="0"/>
              <w:bidi w:val="0"/>
              <w:spacing w:line="360" w:lineRule="auto"/>
              <w:rPr>
                <w:rFonts w:hint="eastAsia" w:ascii="宋体" w:hAnsi="宋体" w:eastAsia="宋体" w:cs="宋体"/>
                <w:bCs/>
                <w:color w:val="auto"/>
                <w:sz w:val="24"/>
                <w:szCs w:val="24"/>
              </w:rPr>
            </w:pPr>
          </w:p>
          <w:p w14:paraId="376BE625">
            <w:pPr>
              <w:keepLines w:val="0"/>
              <w:pageBreakBefore w:val="0"/>
              <w:widowControl w:val="0"/>
              <w:kinsoku/>
              <w:overflowPunct/>
              <w:topLinePunct w:val="0"/>
              <w:bidi w:val="0"/>
              <w:spacing w:line="360" w:lineRule="auto"/>
              <w:rPr>
                <w:rFonts w:hint="eastAsia" w:ascii="宋体" w:hAnsi="宋体" w:eastAsia="宋体" w:cs="宋体"/>
                <w:bCs/>
                <w:color w:val="auto"/>
                <w:sz w:val="24"/>
                <w:szCs w:val="24"/>
                <w:u w:val="single"/>
                <w:lang w:val="en-US" w:eastAsia="zh-CN"/>
              </w:rPr>
            </w:pPr>
            <w:r>
              <w:rPr>
                <w:rFonts w:hint="eastAsia" w:ascii="宋体" w:hAnsi="宋体" w:eastAsia="宋体" w:cs="宋体"/>
                <w:bCs/>
                <w:color w:val="auto"/>
                <w:sz w:val="24"/>
                <w:szCs w:val="24"/>
              </w:rPr>
              <w:t>创新产品或创新服务价格合计：(大写)</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（小写）￥</w:t>
            </w:r>
            <w:r>
              <w:rPr>
                <w:rFonts w:hint="eastAsia" w:ascii="宋体" w:hAnsi="宋体" w:eastAsia="宋体" w:cs="宋体"/>
                <w:bCs/>
                <w:color w:val="auto"/>
                <w:sz w:val="24"/>
                <w:szCs w:val="24"/>
                <w:lang w:val="en-US" w:eastAsia="zh-CN"/>
              </w:rPr>
              <w:t xml:space="preserve"> </w:t>
            </w:r>
            <w:r>
              <w:rPr>
                <w:rFonts w:hint="eastAsia" w:ascii="宋体" w:hAnsi="宋体" w:eastAsia="宋体" w:cs="宋体"/>
                <w:b/>
                <w:bCs/>
                <w:color w:val="auto"/>
                <w:sz w:val="24"/>
                <w:szCs w:val="24"/>
                <w:highlight w:val="none"/>
                <w:u w:val="single"/>
                <w:lang w:val="en-US" w:eastAsia="zh-CN"/>
              </w:rPr>
              <w:t xml:space="preserve">         </w:t>
            </w:r>
          </w:p>
        </w:tc>
      </w:tr>
    </w:tbl>
    <w:p w14:paraId="6D87C991">
      <w:pPr>
        <w:keepLines w:val="0"/>
        <w:pageBreakBefore w:val="0"/>
        <w:widowControl w:val="0"/>
        <w:kinsoku/>
        <w:overflowPunct/>
        <w:topLinePunct w:val="0"/>
        <w:bidi w:val="0"/>
        <w:snapToGrid w:val="0"/>
        <w:spacing w:line="300" w:lineRule="auto"/>
        <w:jc w:val="center"/>
        <w:outlineLvl w:val="9"/>
        <w:rPr>
          <w:rFonts w:hint="eastAsia" w:ascii="宋体" w:hAnsi="宋体" w:eastAsia="宋体" w:cs="宋体"/>
          <w:b/>
          <w:bCs/>
          <w:color w:val="auto"/>
          <w:spacing w:val="10"/>
          <w:kern w:val="0"/>
          <w:sz w:val="24"/>
          <w:szCs w:val="24"/>
          <w:highlight w:val="none"/>
        </w:rPr>
      </w:pPr>
    </w:p>
    <w:p w14:paraId="0DE082AE">
      <w:pPr>
        <w:keepLines w:val="0"/>
        <w:pageBreakBefore w:val="0"/>
        <w:widowControl w:val="0"/>
        <w:kinsoku/>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说明： </w:t>
      </w:r>
    </w:p>
    <w:p w14:paraId="1C084209">
      <w:pPr>
        <w:keepLines w:val="0"/>
        <w:pageBreakBefore w:val="0"/>
        <w:widowControl w:val="0"/>
        <w:kinsoku/>
        <w:overflowPunct/>
        <w:topLinePunct w:val="0"/>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如实填写表格，无相应内容可填写“无”、“未测试”、“没有相应指标”等明确的回答文字，或用“/”来表示。</w:t>
      </w:r>
    </w:p>
    <w:p w14:paraId="6472525B">
      <w:pPr>
        <w:keepLines w:val="0"/>
        <w:pageBreakBefore w:val="0"/>
        <w:widowControl w:val="0"/>
        <w:kinsoku/>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投标产品包含创新产品或创新服务，需填写此表后，提供《山西省创新产品和服务推荐清单》。</w:t>
      </w:r>
    </w:p>
    <w:p w14:paraId="7525D6BD">
      <w:pPr>
        <w:keepLines w:val="0"/>
        <w:pageBreakBefore w:val="0"/>
        <w:widowControl w:val="0"/>
        <w:kinsoku/>
        <w:overflowPunct/>
        <w:topLinePunct w:val="0"/>
        <w:bidi w:val="0"/>
        <w:snapToGrid w:val="0"/>
        <w:spacing w:line="300" w:lineRule="auto"/>
        <w:jc w:val="center"/>
        <w:outlineLvl w:val="9"/>
        <w:rPr>
          <w:rFonts w:hint="eastAsia" w:ascii="仿宋" w:hAnsi="仿宋" w:eastAsia="仿宋" w:cs="仿宋"/>
          <w:b/>
          <w:bCs/>
          <w:color w:val="auto"/>
          <w:spacing w:val="10"/>
          <w:kern w:val="0"/>
          <w:sz w:val="32"/>
          <w:szCs w:val="32"/>
          <w:highlight w:val="none"/>
        </w:rPr>
      </w:pPr>
    </w:p>
    <w:p w14:paraId="45C77B92">
      <w:pPr>
        <w:keepLines w:val="0"/>
        <w:pageBreakBefore w:val="0"/>
        <w:widowControl w:val="0"/>
        <w:kinsoku/>
        <w:overflowPunct/>
        <w:topLinePunct w:val="0"/>
        <w:bidi w:val="0"/>
        <w:snapToGrid w:val="0"/>
        <w:spacing w:line="300" w:lineRule="auto"/>
        <w:jc w:val="center"/>
        <w:outlineLvl w:val="9"/>
        <w:rPr>
          <w:rFonts w:hint="eastAsia" w:ascii="仿宋" w:hAnsi="仿宋" w:eastAsia="仿宋" w:cs="仿宋"/>
          <w:b/>
          <w:bCs/>
          <w:color w:val="auto"/>
          <w:spacing w:val="10"/>
          <w:kern w:val="0"/>
          <w:sz w:val="32"/>
          <w:szCs w:val="32"/>
          <w:highlight w:val="none"/>
        </w:rPr>
      </w:pPr>
    </w:p>
    <w:p w14:paraId="63206749">
      <w:pPr>
        <w:pStyle w:val="12"/>
        <w:keepLines w:val="0"/>
        <w:pageBreakBefore w:val="0"/>
        <w:widowControl w:val="0"/>
        <w:kinsoku/>
        <w:overflowPunct/>
        <w:topLinePunct w:val="0"/>
        <w:bidi w:val="0"/>
        <w:rPr>
          <w:rFonts w:hint="eastAsia" w:ascii="仿宋" w:hAnsi="仿宋" w:eastAsia="仿宋" w:cs="仿宋"/>
          <w:color w:val="auto"/>
        </w:rPr>
      </w:pPr>
    </w:p>
    <w:p w14:paraId="030D037D">
      <w:pPr>
        <w:pageBreakBefore w:val="0"/>
        <w:widowControl/>
        <w:kinsoku/>
        <w:wordWrap w:val="0"/>
        <w:overflowPunct/>
        <w:topLinePunct w:val="0"/>
        <w:bidi w:val="0"/>
        <w:spacing w:line="360" w:lineRule="auto"/>
        <w:ind w:left="0" w:leftChars="0" w:firstLine="6518" w:firstLineChars="2716"/>
        <w:jc w:val="both"/>
        <w:textAlignment w:val="auto"/>
        <w:rPr>
          <w:rFonts w:hint="eastAsia" w:ascii="宋体" w:hAnsi="宋体" w:cs="宋体"/>
          <w:color w:val="auto"/>
          <w:kern w:val="0"/>
          <w:sz w:val="24"/>
        </w:rPr>
      </w:pPr>
      <w:r>
        <w:rPr>
          <w:rFonts w:hint="eastAsia" w:ascii="宋体" w:hAnsi="宋体" w:cs="宋体"/>
          <w:color w:val="auto"/>
          <w:kern w:val="0"/>
          <w:sz w:val="24"/>
        </w:rPr>
        <w:t>投标人</w:t>
      </w:r>
      <w:r>
        <w:rPr>
          <w:rFonts w:ascii="宋体" w:hAnsi="宋体" w:cs="宋体"/>
          <w:color w:val="auto"/>
          <w:kern w:val="0"/>
          <w:sz w:val="24"/>
        </w:rPr>
        <w:t>（盖章）：</w:t>
      </w:r>
      <w:r>
        <w:rPr>
          <w:rFonts w:hint="eastAsia" w:ascii="宋体" w:hAnsi="宋体" w:cs="宋体"/>
          <w:color w:val="auto"/>
          <w:kern w:val="0"/>
          <w:sz w:val="24"/>
          <w:u w:val="single"/>
        </w:rPr>
        <w:t xml:space="preserve"> </w:t>
      </w:r>
      <w:r>
        <w:rPr>
          <w:rFonts w:ascii="宋体" w:hAnsi="宋体" w:cs="宋体"/>
          <w:color w:val="auto"/>
          <w:kern w:val="0"/>
          <w:sz w:val="24"/>
          <w:u w:val="single"/>
        </w:rPr>
        <w:t xml:space="preserve">          </w:t>
      </w:r>
    </w:p>
    <w:p w14:paraId="5890663D">
      <w:pPr>
        <w:keepLines w:val="0"/>
        <w:pageBreakBefore w:val="0"/>
        <w:widowControl w:val="0"/>
        <w:tabs>
          <w:tab w:val="left" w:pos="4000"/>
        </w:tabs>
        <w:kinsoku/>
        <w:overflowPunct/>
        <w:topLinePunct w:val="0"/>
        <w:bidi w:val="0"/>
        <w:snapToGrid w:val="0"/>
        <w:spacing w:line="360" w:lineRule="auto"/>
        <w:ind w:left="0" w:leftChars="0" w:firstLine="6518" w:firstLineChars="2716"/>
        <w:rPr>
          <w:rFonts w:hint="eastAsia" w:ascii="仿宋" w:hAnsi="仿宋" w:eastAsia="仿宋" w:cs="仿宋"/>
          <w:color w:val="auto"/>
          <w:spacing w:val="20"/>
          <w:kern w:val="0"/>
          <w:sz w:val="28"/>
          <w:szCs w:val="28"/>
          <w:highlight w:val="none"/>
        </w:rPr>
      </w:pPr>
      <w:r>
        <w:rPr>
          <w:rFonts w:ascii="宋体" w:hAnsi="宋体" w:cs="宋体"/>
          <w:color w:val="auto"/>
          <w:kern w:val="0"/>
          <w:sz w:val="24"/>
        </w:rPr>
        <w:t>日期：</w:t>
      </w:r>
      <w:r>
        <w:rPr>
          <w:rFonts w:ascii="宋体" w:hAnsi="宋体" w:cs="宋体"/>
          <w:color w:val="auto"/>
          <w:kern w:val="0"/>
          <w:sz w:val="24"/>
          <w:u w:val="single"/>
        </w:rPr>
        <w:t xml:space="preserve">                     </w:t>
      </w:r>
    </w:p>
    <w:p w14:paraId="005922EA">
      <w:pPr>
        <w:ind w:firstLine="2640" w:firstLineChars="1100"/>
        <w:rPr>
          <w:rFonts w:ascii="宋体" w:hAnsi="宋体"/>
          <w:color w:val="auto"/>
          <w:sz w:val="24"/>
        </w:rPr>
      </w:pPr>
    </w:p>
    <w:p w14:paraId="4F340D20">
      <w:pPr>
        <w:rPr>
          <w:rFonts w:hint="eastAsia" w:ascii="宋体" w:hAnsi="宋体"/>
          <w:b/>
          <w:bCs/>
          <w:color w:val="auto"/>
          <w:sz w:val="24"/>
        </w:rPr>
      </w:pPr>
      <w:r>
        <w:rPr>
          <w:rFonts w:hint="eastAsia" w:ascii="宋体" w:hAnsi="宋体"/>
          <w:b/>
          <w:bCs/>
          <w:color w:val="auto"/>
          <w:sz w:val="24"/>
        </w:rPr>
        <w:br w:type="page"/>
      </w:r>
    </w:p>
    <w:p w14:paraId="5EB6A484">
      <w:pPr>
        <w:spacing w:line="360" w:lineRule="auto"/>
        <w:ind w:left="0" w:leftChars="0" w:firstLine="0" w:firstLineChars="0"/>
        <w:jc w:val="left"/>
        <w:outlineLvl w:val="2"/>
        <w:rPr>
          <w:rFonts w:ascii="宋体" w:hAnsi="宋体"/>
          <w:b/>
          <w:bCs/>
          <w:color w:val="auto"/>
          <w:sz w:val="24"/>
        </w:rPr>
      </w:pPr>
      <w:r>
        <w:rPr>
          <w:rFonts w:hint="eastAsia" w:ascii="宋体" w:hAnsi="宋体"/>
          <w:b/>
          <w:bCs/>
          <w:color w:val="auto"/>
          <w:sz w:val="24"/>
        </w:rPr>
        <w:t xml:space="preserve">7 </w:t>
      </w:r>
      <w:r>
        <w:rPr>
          <w:rFonts w:ascii="宋体" w:hAnsi="宋体"/>
          <w:b/>
          <w:bCs/>
          <w:color w:val="auto"/>
          <w:sz w:val="24"/>
        </w:rPr>
        <w:t>投标人关联单位的说明</w:t>
      </w:r>
      <w:bookmarkEnd w:id="458"/>
      <w:bookmarkEnd w:id="459"/>
      <w:bookmarkEnd w:id="460"/>
      <w:bookmarkEnd w:id="461"/>
      <w:bookmarkEnd w:id="462"/>
    </w:p>
    <w:p w14:paraId="023B2AEB">
      <w:pPr>
        <w:pStyle w:val="10"/>
        <w:spacing w:line="360" w:lineRule="auto"/>
        <w:ind w:left="0" w:leftChars="0" w:firstLine="0" w:firstLineChars="0"/>
        <w:rPr>
          <w:rFonts w:hAnsi="宋体"/>
          <w:color w:val="auto"/>
          <w:szCs w:val="24"/>
        </w:rPr>
      </w:pPr>
    </w:p>
    <w:p w14:paraId="6815D9AC">
      <w:pPr>
        <w:pStyle w:val="10"/>
        <w:pageBreakBefore w:val="0"/>
        <w:kinsoku/>
        <w:overflowPunct/>
        <w:topLinePunct w:val="0"/>
        <w:bidi w:val="0"/>
        <w:spacing w:line="360" w:lineRule="auto"/>
        <w:ind w:left="0" w:leftChars="0" w:firstLine="0" w:firstLineChars="0"/>
        <w:textAlignment w:val="auto"/>
        <w:rPr>
          <w:rFonts w:hint="eastAsia" w:hAnsi="宋体"/>
          <w:color w:val="auto"/>
          <w:szCs w:val="24"/>
        </w:rPr>
      </w:pPr>
      <w:r>
        <w:rPr>
          <w:rFonts w:hint="eastAsia" w:hAnsi="宋体"/>
          <w:color w:val="auto"/>
          <w:szCs w:val="24"/>
        </w:rPr>
        <w:t>（格式自拟）</w:t>
      </w:r>
      <w:bookmarkEnd w:id="463"/>
    </w:p>
    <w:p w14:paraId="1053AC9B">
      <w:pPr>
        <w:pStyle w:val="10"/>
        <w:pageBreakBefore w:val="0"/>
        <w:kinsoku/>
        <w:overflowPunct/>
        <w:topLinePunct w:val="0"/>
        <w:bidi w:val="0"/>
        <w:spacing w:line="360" w:lineRule="auto"/>
        <w:ind w:left="0" w:leftChars="0" w:firstLine="0" w:firstLineChars="0"/>
        <w:textAlignment w:val="auto"/>
        <w:rPr>
          <w:rFonts w:hAnsi="宋体"/>
          <w:color w:val="auto"/>
          <w:szCs w:val="24"/>
        </w:rPr>
      </w:pPr>
    </w:p>
    <w:p w14:paraId="6846A63B">
      <w:pPr>
        <w:pStyle w:val="10"/>
        <w:pageBreakBefore w:val="0"/>
        <w:kinsoku/>
        <w:overflowPunct/>
        <w:topLinePunct w:val="0"/>
        <w:bidi w:val="0"/>
        <w:spacing w:line="360" w:lineRule="auto"/>
        <w:ind w:left="0" w:leftChars="0" w:firstLine="0" w:firstLineChars="0"/>
        <w:textAlignment w:val="auto"/>
        <w:rPr>
          <w:rFonts w:hAnsi="宋体"/>
          <w:color w:val="auto"/>
          <w:szCs w:val="24"/>
        </w:rPr>
      </w:pPr>
    </w:p>
    <w:p w14:paraId="54CD32DD">
      <w:pPr>
        <w:pStyle w:val="10"/>
        <w:pageBreakBefore w:val="0"/>
        <w:kinsoku/>
        <w:overflowPunct/>
        <w:topLinePunct w:val="0"/>
        <w:bidi w:val="0"/>
        <w:spacing w:line="360" w:lineRule="auto"/>
        <w:ind w:left="0" w:leftChars="0" w:firstLine="0" w:firstLineChars="0"/>
        <w:textAlignment w:val="auto"/>
        <w:rPr>
          <w:rFonts w:hAnsi="宋体"/>
          <w:color w:val="auto"/>
          <w:szCs w:val="24"/>
        </w:rPr>
      </w:pPr>
    </w:p>
    <w:p w14:paraId="2F5A581D">
      <w:pPr>
        <w:pStyle w:val="10"/>
        <w:pageBreakBefore w:val="0"/>
        <w:kinsoku/>
        <w:overflowPunct/>
        <w:topLinePunct w:val="0"/>
        <w:bidi w:val="0"/>
        <w:spacing w:line="360" w:lineRule="auto"/>
        <w:ind w:left="0" w:leftChars="0" w:firstLine="0" w:firstLineChars="0"/>
        <w:textAlignment w:val="auto"/>
        <w:rPr>
          <w:rFonts w:hAnsi="宋体"/>
          <w:color w:val="auto"/>
          <w:szCs w:val="24"/>
        </w:rPr>
      </w:pPr>
    </w:p>
    <w:p w14:paraId="2637AD2B">
      <w:pPr>
        <w:pStyle w:val="10"/>
        <w:pageBreakBefore w:val="0"/>
        <w:kinsoku/>
        <w:overflowPunct/>
        <w:topLinePunct w:val="0"/>
        <w:bidi w:val="0"/>
        <w:spacing w:line="360" w:lineRule="auto"/>
        <w:ind w:left="0" w:leftChars="0" w:firstLine="0" w:firstLineChars="0"/>
        <w:textAlignment w:val="auto"/>
        <w:rPr>
          <w:rFonts w:hAnsi="宋体"/>
          <w:color w:val="auto"/>
          <w:szCs w:val="24"/>
        </w:rPr>
      </w:pPr>
    </w:p>
    <w:p w14:paraId="1FA0D7D2">
      <w:pPr>
        <w:pStyle w:val="10"/>
        <w:pageBreakBefore w:val="0"/>
        <w:kinsoku/>
        <w:overflowPunct/>
        <w:topLinePunct w:val="0"/>
        <w:bidi w:val="0"/>
        <w:spacing w:line="360" w:lineRule="auto"/>
        <w:ind w:left="0" w:leftChars="0" w:firstLine="0" w:firstLineChars="0"/>
        <w:textAlignment w:val="auto"/>
        <w:rPr>
          <w:rFonts w:hAnsi="宋体"/>
          <w:color w:val="auto"/>
          <w:szCs w:val="24"/>
        </w:rPr>
      </w:pPr>
    </w:p>
    <w:p w14:paraId="0688848B">
      <w:pPr>
        <w:pStyle w:val="10"/>
        <w:pageBreakBefore w:val="0"/>
        <w:kinsoku/>
        <w:overflowPunct/>
        <w:topLinePunct w:val="0"/>
        <w:bidi w:val="0"/>
        <w:spacing w:line="360" w:lineRule="auto"/>
        <w:ind w:left="0" w:leftChars="0" w:firstLine="0" w:firstLineChars="0"/>
        <w:textAlignment w:val="auto"/>
        <w:rPr>
          <w:rFonts w:hAnsi="宋体"/>
          <w:color w:val="auto"/>
          <w:szCs w:val="24"/>
        </w:rPr>
      </w:pPr>
    </w:p>
    <w:p w14:paraId="3480C8EE">
      <w:pPr>
        <w:pStyle w:val="10"/>
        <w:pageBreakBefore w:val="0"/>
        <w:kinsoku/>
        <w:overflowPunct/>
        <w:topLinePunct w:val="0"/>
        <w:bidi w:val="0"/>
        <w:spacing w:line="360" w:lineRule="auto"/>
        <w:ind w:left="0" w:leftChars="0" w:firstLine="0" w:firstLineChars="0"/>
        <w:textAlignment w:val="auto"/>
        <w:rPr>
          <w:rFonts w:hAnsi="宋体"/>
          <w:color w:val="auto"/>
          <w:szCs w:val="24"/>
        </w:rPr>
      </w:pPr>
    </w:p>
    <w:p w14:paraId="3A526796">
      <w:pPr>
        <w:pStyle w:val="10"/>
        <w:pageBreakBefore w:val="0"/>
        <w:kinsoku/>
        <w:overflowPunct/>
        <w:topLinePunct w:val="0"/>
        <w:bidi w:val="0"/>
        <w:spacing w:line="360" w:lineRule="auto"/>
        <w:ind w:left="0" w:leftChars="0" w:firstLine="0" w:firstLineChars="0"/>
        <w:textAlignment w:val="auto"/>
        <w:rPr>
          <w:rFonts w:hAnsi="宋体"/>
          <w:color w:val="auto"/>
          <w:szCs w:val="24"/>
        </w:rPr>
      </w:pPr>
    </w:p>
    <w:p w14:paraId="33A8D3A9">
      <w:pPr>
        <w:pStyle w:val="10"/>
        <w:pageBreakBefore w:val="0"/>
        <w:kinsoku/>
        <w:overflowPunct/>
        <w:topLinePunct w:val="0"/>
        <w:bidi w:val="0"/>
        <w:spacing w:line="360" w:lineRule="auto"/>
        <w:ind w:left="0" w:leftChars="0" w:firstLine="0" w:firstLineChars="0"/>
        <w:textAlignment w:val="auto"/>
        <w:rPr>
          <w:rFonts w:hAnsi="宋体"/>
          <w:color w:val="auto"/>
          <w:szCs w:val="24"/>
        </w:rPr>
      </w:pPr>
    </w:p>
    <w:p w14:paraId="6F450610">
      <w:pPr>
        <w:pStyle w:val="10"/>
        <w:pageBreakBefore w:val="0"/>
        <w:kinsoku/>
        <w:overflowPunct/>
        <w:topLinePunct w:val="0"/>
        <w:bidi w:val="0"/>
        <w:spacing w:line="360" w:lineRule="auto"/>
        <w:ind w:left="0" w:leftChars="0" w:firstLine="0" w:firstLineChars="0"/>
        <w:textAlignment w:val="auto"/>
        <w:rPr>
          <w:rFonts w:hAnsi="宋体"/>
          <w:color w:val="auto"/>
          <w:szCs w:val="24"/>
        </w:rPr>
      </w:pPr>
    </w:p>
    <w:p w14:paraId="67EB7650">
      <w:pPr>
        <w:pStyle w:val="10"/>
        <w:pageBreakBefore w:val="0"/>
        <w:kinsoku/>
        <w:overflowPunct/>
        <w:topLinePunct w:val="0"/>
        <w:bidi w:val="0"/>
        <w:spacing w:line="360" w:lineRule="auto"/>
        <w:ind w:left="0" w:leftChars="0" w:firstLine="0" w:firstLineChars="0"/>
        <w:textAlignment w:val="auto"/>
        <w:rPr>
          <w:rFonts w:hAnsi="宋体"/>
          <w:color w:val="auto"/>
          <w:szCs w:val="24"/>
        </w:rPr>
      </w:pPr>
    </w:p>
    <w:p w14:paraId="1F95E4F4">
      <w:pPr>
        <w:pStyle w:val="10"/>
        <w:pageBreakBefore w:val="0"/>
        <w:kinsoku/>
        <w:overflowPunct/>
        <w:topLinePunct w:val="0"/>
        <w:bidi w:val="0"/>
        <w:spacing w:line="360" w:lineRule="auto"/>
        <w:ind w:left="0" w:leftChars="0" w:firstLine="0" w:firstLineChars="0"/>
        <w:textAlignment w:val="auto"/>
        <w:rPr>
          <w:rFonts w:hAnsi="宋体"/>
          <w:color w:val="auto"/>
          <w:szCs w:val="24"/>
        </w:rPr>
      </w:pPr>
    </w:p>
    <w:p w14:paraId="78C41118">
      <w:pPr>
        <w:pStyle w:val="10"/>
        <w:pageBreakBefore w:val="0"/>
        <w:kinsoku/>
        <w:overflowPunct/>
        <w:topLinePunct w:val="0"/>
        <w:bidi w:val="0"/>
        <w:spacing w:line="360" w:lineRule="auto"/>
        <w:ind w:left="0" w:leftChars="0" w:firstLine="0" w:firstLineChars="0"/>
        <w:textAlignment w:val="auto"/>
        <w:rPr>
          <w:rFonts w:hAnsi="宋体"/>
          <w:color w:val="auto"/>
          <w:szCs w:val="24"/>
        </w:rPr>
      </w:pPr>
    </w:p>
    <w:p w14:paraId="07AC6E6E">
      <w:pPr>
        <w:pStyle w:val="10"/>
        <w:pageBreakBefore w:val="0"/>
        <w:kinsoku/>
        <w:overflowPunct/>
        <w:topLinePunct w:val="0"/>
        <w:bidi w:val="0"/>
        <w:spacing w:line="360" w:lineRule="auto"/>
        <w:ind w:left="0" w:leftChars="0" w:firstLine="0" w:firstLineChars="0"/>
        <w:textAlignment w:val="auto"/>
        <w:rPr>
          <w:rFonts w:hint="eastAsia" w:hAnsi="宋体"/>
          <w:color w:val="auto"/>
          <w:szCs w:val="24"/>
        </w:rPr>
      </w:pPr>
    </w:p>
    <w:p w14:paraId="79477E58">
      <w:pPr>
        <w:pStyle w:val="10"/>
        <w:pageBreakBefore w:val="0"/>
        <w:kinsoku/>
        <w:overflowPunct/>
        <w:topLinePunct w:val="0"/>
        <w:bidi w:val="0"/>
        <w:spacing w:line="360" w:lineRule="auto"/>
        <w:ind w:left="0" w:leftChars="0" w:firstLine="0" w:firstLineChars="0"/>
        <w:textAlignment w:val="auto"/>
        <w:rPr>
          <w:rFonts w:hAnsi="宋体"/>
          <w:color w:val="auto"/>
          <w:szCs w:val="24"/>
        </w:rPr>
      </w:pPr>
      <w:r>
        <w:rPr>
          <w:rFonts w:hint="eastAsia" w:hAnsi="宋体"/>
          <w:color w:val="auto"/>
          <w:szCs w:val="24"/>
        </w:rPr>
        <w:t>说明</w:t>
      </w:r>
      <w:r>
        <w:rPr>
          <w:rFonts w:hAnsi="宋体"/>
          <w:color w:val="auto"/>
          <w:szCs w:val="24"/>
        </w:rPr>
        <w:t>：投标人应当如实披露与本单位存在下列关联关系的单位名称</w:t>
      </w:r>
      <w:r>
        <w:rPr>
          <w:rFonts w:hint="eastAsia" w:hAnsi="宋体"/>
          <w:color w:val="auto"/>
          <w:szCs w:val="24"/>
        </w:rPr>
        <w:t>：</w:t>
      </w:r>
    </w:p>
    <w:p w14:paraId="70FB309B">
      <w:pPr>
        <w:pStyle w:val="10"/>
        <w:pageBreakBefore w:val="0"/>
        <w:kinsoku/>
        <w:overflowPunct/>
        <w:topLinePunct w:val="0"/>
        <w:bidi w:val="0"/>
        <w:spacing w:line="360" w:lineRule="auto"/>
        <w:ind w:left="0" w:leftChars="0" w:firstLine="0" w:firstLineChars="0"/>
        <w:textAlignment w:val="auto"/>
        <w:rPr>
          <w:rFonts w:hAnsi="宋体"/>
          <w:color w:val="auto"/>
          <w:szCs w:val="24"/>
        </w:rPr>
      </w:pPr>
      <w:r>
        <w:rPr>
          <w:rFonts w:hAnsi="宋体"/>
          <w:color w:val="auto"/>
          <w:szCs w:val="24"/>
        </w:rPr>
        <w:t>（1）与投标人单位负责人为同一人的其他</w:t>
      </w:r>
      <w:r>
        <w:rPr>
          <w:rFonts w:hint="eastAsia" w:hAnsi="宋体"/>
          <w:color w:val="auto"/>
          <w:szCs w:val="24"/>
        </w:rPr>
        <w:t>单位</w:t>
      </w:r>
      <w:r>
        <w:rPr>
          <w:rFonts w:hAnsi="宋体"/>
          <w:color w:val="auto"/>
          <w:szCs w:val="24"/>
        </w:rPr>
        <w:t>；</w:t>
      </w:r>
    </w:p>
    <w:p w14:paraId="45FC4D68">
      <w:pPr>
        <w:pStyle w:val="10"/>
        <w:pageBreakBefore w:val="0"/>
        <w:kinsoku/>
        <w:overflowPunct/>
        <w:topLinePunct w:val="0"/>
        <w:bidi w:val="0"/>
        <w:spacing w:line="360" w:lineRule="auto"/>
        <w:ind w:left="0" w:leftChars="0" w:firstLine="0" w:firstLineChars="0"/>
        <w:textAlignment w:val="auto"/>
        <w:rPr>
          <w:rFonts w:hint="eastAsia" w:hAnsi="宋体"/>
          <w:color w:val="auto"/>
          <w:szCs w:val="24"/>
        </w:rPr>
      </w:pPr>
      <w:r>
        <w:rPr>
          <w:rFonts w:hAnsi="宋体"/>
          <w:color w:val="auto"/>
          <w:szCs w:val="24"/>
        </w:rPr>
        <w:t>（2）与投标人存在直接控股、管理关系的其他单位</w:t>
      </w:r>
      <w:r>
        <w:rPr>
          <w:rFonts w:hint="eastAsia" w:hAnsi="宋体"/>
          <w:color w:val="auto"/>
          <w:szCs w:val="24"/>
        </w:rPr>
        <w:t>。</w:t>
      </w:r>
    </w:p>
    <w:p w14:paraId="3E27DB5E">
      <w:pPr>
        <w:pStyle w:val="10"/>
        <w:pageBreakBefore w:val="0"/>
        <w:kinsoku/>
        <w:overflowPunct/>
        <w:topLinePunct w:val="0"/>
        <w:bidi w:val="0"/>
        <w:spacing w:line="360" w:lineRule="auto"/>
        <w:ind w:left="0" w:leftChars="0" w:firstLine="0" w:firstLineChars="0"/>
        <w:textAlignment w:val="auto"/>
        <w:outlineLvl w:val="2"/>
        <w:rPr>
          <w:rFonts w:hAnsi="宋体"/>
          <w:b/>
          <w:bCs/>
          <w:color w:val="auto"/>
          <w:szCs w:val="24"/>
        </w:rPr>
      </w:pPr>
      <w:r>
        <w:rPr>
          <w:rFonts w:hAnsi="宋体"/>
          <w:color w:val="auto"/>
          <w:szCs w:val="24"/>
        </w:rPr>
        <w:br w:type="page"/>
      </w:r>
      <w:bookmarkStart w:id="464" w:name="_Toc2582330"/>
      <w:bookmarkStart w:id="465" w:name="_Toc5016"/>
      <w:bookmarkStart w:id="466" w:name="_Toc532473516"/>
      <w:r>
        <w:rPr>
          <w:rFonts w:hint="eastAsia" w:hAnsi="宋体"/>
          <w:b/>
          <w:bCs/>
          <w:color w:val="auto"/>
          <w:szCs w:val="24"/>
          <w:lang w:val="en-US" w:eastAsia="zh-CN"/>
        </w:rPr>
        <w:t xml:space="preserve">8 </w:t>
      </w:r>
      <w:r>
        <w:rPr>
          <w:rFonts w:hint="eastAsia" w:hAnsi="宋体"/>
          <w:b/>
          <w:bCs/>
          <w:color w:val="auto"/>
          <w:szCs w:val="24"/>
        </w:rPr>
        <w:t>评审所需要的其他商务文件</w:t>
      </w:r>
      <w:bookmarkEnd w:id="464"/>
      <w:bookmarkEnd w:id="465"/>
      <w:bookmarkEnd w:id="466"/>
    </w:p>
    <w:p w14:paraId="3ECC80C6">
      <w:pPr>
        <w:pStyle w:val="10"/>
        <w:pageBreakBefore w:val="0"/>
        <w:kinsoku/>
        <w:overflowPunct/>
        <w:topLinePunct w:val="0"/>
        <w:bidi w:val="0"/>
        <w:spacing w:line="360" w:lineRule="auto"/>
        <w:ind w:left="0" w:leftChars="0" w:firstLine="0" w:firstLineChars="0"/>
        <w:textAlignment w:val="auto"/>
        <w:rPr>
          <w:rFonts w:hint="eastAsia" w:hAnsi="宋体"/>
          <w:color w:val="auto"/>
          <w:szCs w:val="24"/>
        </w:rPr>
      </w:pPr>
    </w:p>
    <w:p w14:paraId="0D36FA1A">
      <w:pPr>
        <w:pStyle w:val="10"/>
        <w:pageBreakBefore w:val="0"/>
        <w:kinsoku/>
        <w:overflowPunct/>
        <w:topLinePunct w:val="0"/>
        <w:bidi w:val="0"/>
        <w:spacing w:line="360" w:lineRule="auto"/>
        <w:ind w:left="0" w:leftChars="0" w:firstLine="0" w:firstLineChars="0"/>
        <w:textAlignment w:val="auto"/>
        <w:outlineLvl w:val="2"/>
        <w:rPr>
          <w:rFonts w:hAnsi="宋体"/>
          <w:b/>
          <w:bCs/>
          <w:color w:val="auto"/>
          <w:szCs w:val="24"/>
        </w:rPr>
      </w:pPr>
      <w:r>
        <w:rPr>
          <w:rFonts w:hAnsi="宋体"/>
          <w:color w:val="auto"/>
          <w:szCs w:val="24"/>
        </w:rPr>
        <w:br w:type="page"/>
      </w:r>
      <w:bookmarkStart w:id="467" w:name="_Toc1743"/>
      <w:bookmarkStart w:id="468" w:name="_Toc532473517"/>
      <w:bookmarkStart w:id="469" w:name="_Toc2582331"/>
      <w:r>
        <w:rPr>
          <w:rFonts w:hint="eastAsia" w:hAnsi="宋体"/>
          <w:b/>
          <w:bCs/>
          <w:color w:val="auto"/>
          <w:szCs w:val="24"/>
          <w:lang w:val="en-US" w:eastAsia="zh-CN"/>
        </w:rPr>
        <w:t xml:space="preserve">9 </w:t>
      </w:r>
      <w:r>
        <w:rPr>
          <w:rFonts w:hint="eastAsia" w:hAnsi="宋体"/>
          <w:b/>
          <w:bCs/>
          <w:color w:val="auto"/>
          <w:szCs w:val="24"/>
        </w:rPr>
        <w:t>投标人须知第10条的所有技术文件</w:t>
      </w:r>
      <w:bookmarkEnd w:id="467"/>
      <w:bookmarkEnd w:id="468"/>
      <w:bookmarkEnd w:id="469"/>
    </w:p>
    <w:p w14:paraId="7372A68F">
      <w:pPr>
        <w:pStyle w:val="10"/>
        <w:pageBreakBefore w:val="0"/>
        <w:kinsoku/>
        <w:overflowPunct/>
        <w:topLinePunct w:val="0"/>
        <w:bidi w:val="0"/>
        <w:spacing w:line="360" w:lineRule="auto"/>
        <w:ind w:left="0" w:leftChars="0" w:firstLine="0" w:firstLineChars="0"/>
        <w:textAlignment w:val="auto"/>
        <w:rPr>
          <w:rFonts w:hint="eastAsia" w:hAnsi="宋体"/>
          <w:color w:val="auto"/>
          <w:szCs w:val="24"/>
        </w:rPr>
      </w:pPr>
    </w:p>
    <w:p w14:paraId="492498E2">
      <w:pPr>
        <w:pStyle w:val="10"/>
        <w:pageBreakBefore w:val="0"/>
        <w:kinsoku/>
        <w:overflowPunct/>
        <w:topLinePunct w:val="0"/>
        <w:bidi w:val="0"/>
        <w:spacing w:line="360" w:lineRule="auto"/>
        <w:ind w:left="0" w:leftChars="0" w:firstLine="0" w:firstLineChars="0"/>
        <w:textAlignment w:val="auto"/>
        <w:outlineLvl w:val="2"/>
        <w:rPr>
          <w:rFonts w:hint="eastAsia" w:hAnsi="宋体"/>
          <w:b/>
          <w:bCs/>
          <w:color w:val="auto"/>
          <w:szCs w:val="24"/>
        </w:rPr>
      </w:pPr>
      <w:r>
        <w:rPr>
          <w:rFonts w:hAnsi="宋体"/>
          <w:color w:val="auto"/>
          <w:szCs w:val="24"/>
        </w:rPr>
        <w:br w:type="page"/>
      </w:r>
      <w:bookmarkStart w:id="470" w:name="_Toc2582332"/>
      <w:bookmarkStart w:id="471" w:name="_Toc4201"/>
      <w:bookmarkStart w:id="472" w:name="_Toc532473518"/>
      <w:r>
        <w:rPr>
          <w:rFonts w:hint="eastAsia" w:hAnsi="宋体"/>
          <w:b/>
          <w:bCs/>
          <w:color w:val="auto"/>
          <w:szCs w:val="24"/>
          <w:lang w:val="en-US" w:eastAsia="zh-CN"/>
        </w:rPr>
        <w:t>10</w:t>
      </w:r>
      <w:r>
        <w:rPr>
          <w:rFonts w:hint="eastAsia" w:hAnsi="宋体"/>
          <w:b/>
          <w:bCs/>
          <w:color w:val="auto"/>
          <w:szCs w:val="24"/>
        </w:rPr>
        <w:t xml:space="preserve"> </w:t>
      </w:r>
      <w:r>
        <w:rPr>
          <w:rFonts w:hAnsi="宋体"/>
          <w:b/>
          <w:bCs/>
          <w:color w:val="auto"/>
          <w:szCs w:val="24"/>
        </w:rPr>
        <w:t>投标须知前附表要求的其他文件</w:t>
      </w:r>
      <w:bookmarkEnd w:id="470"/>
      <w:bookmarkEnd w:id="471"/>
      <w:bookmarkEnd w:id="472"/>
    </w:p>
    <w:p w14:paraId="0CFB45A6">
      <w:pPr>
        <w:pStyle w:val="10"/>
        <w:pageBreakBefore w:val="0"/>
        <w:kinsoku/>
        <w:overflowPunct/>
        <w:topLinePunct w:val="0"/>
        <w:bidi w:val="0"/>
        <w:spacing w:line="360" w:lineRule="auto"/>
        <w:ind w:left="0" w:leftChars="0" w:firstLine="0" w:firstLineChars="0"/>
        <w:textAlignment w:val="auto"/>
        <w:rPr>
          <w:rFonts w:hint="eastAsia" w:hAnsi="宋体"/>
          <w:color w:val="auto"/>
          <w:szCs w:val="24"/>
        </w:rPr>
      </w:pPr>
    </w:p>
    <w:p w14:paraId="42870D26">
      <w:pPr>
        <w:pageBreakBefore w:val="0"/>
        <w:kinsoku/>
        <w:overflowPunct/>
        <w:topLinePunct w:val="0"/>
        <w:bidi w:val="0"/>
        <w:spacing w:line="360" w:lineRule="auto"/>
        <w:ind w:left="0" w:leftChars="0" w:firstLine="0" w:firstLineChars="0"/>
        <w:jc w:val="left"/>
        <w:textAlignment w:val="auto"/>
        <w:rPr>
          <w:rFonts w:hint="eastAsia" w:hAnsi="宋体"/>
          <w:color w:val="auto"/>
        </w:rPr>
      </w:pPr>
    </w:p>
    <w:sectPr>
      <w:footerReference r:id="rId5" w:type="default"/>
      <w:pgSz w:w="11906" w:h="16838"/>
      <w:pgMar w:top="1440" w:right="1080" w:bottom="1440" w:left="108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1847F">
    <w:pPr>
      <w:pStyle w:val="22"/>
      <w:tabs>
        <w:tab w:val="center" w:pos="4156"/>
        <w:tab w:val="right" w:pos="7952"/>
        <w:tab w:val="clear" w:pos="4153"/>
      </w:tabs>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FE9C5">
    <w:pPr>
      <w:pStyle w:val="7"/>
      <w:spacing w:line="172" w:lineRule="auto"/>
      <w:ind w:left="5299"/>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D5488D">
                          <w:pPr>
                            <w:pStyle w:val="2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0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MVN9EPgAQAAwAMAAA4AAAAA&#10;AAAAAQAgAAAAHgEAAGRycy9lMm9Eb2MueG1sUEsFBgAAAAAGAAYAWQEAAHAFAAAAAA==&#10;">
              <v:fill on="f" focussize="0,0"/>
              <v:stroke on="f"/>
              <v:imagedata o:title=""/>
              <o:lock v:ext="edit" aspectratio="f"/>
              <v:textbox inset="0mm,0mm,0mm,0mm" style="mso-fit-shape-to-text:t;">
                <w:txbxContent>
                  <w:p w14:paraId="11D5488D">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34DEA">
    <w:pPr>
      <w:pStyle w:val="7"/>
      <w:spacing w:line="172" w:lineRule="auto"/>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1CCA05">
                          <w:pPr>
                            <w:pStyle w:val="22"/>
                          </w:pPr>
                          <w:r>
                            <w:fldChar w:fldCharType="begin"/>
                          </w:r>
                          <w:r>
                            <w:instrText xml:space="preserve"> PAGE  \* MERGEFORMAT </w:instrText>
                          </w:r>
                          <w:r>
                            <w:fldChar w:fldCharType="separate"/>
                          </w:r>
                          <w:r>
                            <w:t>103</w:t>
                          </w:r>
                          <w:r>
                            <w:fldChar w:fldCharType="end"/>
                          </w:r>
                        </w:p>
                      </w:txbxContent>
                    </wps:txbx>
                    <wps:bodyPr vert="horz" wrap="none" lIns="0" tIns="0" rIns="0" bIns="0" anchor="t" anchorCtr="0" upright="0">
                      <a:spAutoFit/>
                    </wps:bodyPr>
                  </wps:wsp>
                </a:graphicData>
              </a:graphic>
            </wp:anchor>
          </w:drawing>
        </mc:Choice>
        <mc:Fallback>
          <w:pict>
            <v:shape id="文本框 20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rzTZAd8BAADAAwAADgAAAAAA&#10;AAABACAAAAAeAQAAZHJzL2Uyb0RvYy54bWxQSwUGAAAAAAYABgBZAQAAbwUAAAAA&#10;">
              <v:fill on="f" focussize="0,0"/>
              <v:stroke on="f"/>
              <v:imagedata o:title=""/>
              <o:lock v:ext="edit" aspectratio="f"/>
              <v:textbox inset="0mm,0mm,0mm,0mm" style="mso-fit-shape-to-text:t;">
                <w:txbxContent>
                  <w:p w14:paraId="181CCA05">
                    <w:pPr>
                      <w:pStyle w:val="22"/>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13619F"/>
    <w:multiLevelType w:val="multilevel"/>
    <w:tmpl w:val="2213619F"/>
    <w:lvl w:ilvl="0" w:tentative="0">
      <w:start w:val="1"/>
      <w:numFmt w:val="decimal"/>
      <w:pStyle w:val="9"/>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
    <w:nsid w:val="32291F7C"/>
    <w:multiLevelType w:val="singleLevel"/>
    <w:tmpl w:val="32291F7C"/>
    <w:lvl w:ilvl="0" w:tentative="0">
      <w:start w:val="1"/>
      <w:numFmt w:val="chineseCounting"/>
      <w:suff w:val="nothing"/>
      <w:lvlText w:val="%1、"/>
      <w:lvlJc w:val="left"/>
      <w:rPr>
        <w:rFonts w:hint="eastAsia"/>
      </w:rPr>
    </w:lvl>
  </w:abstractNum>
  <w:abstractNum w:abstractNumId="2">
    <w:nsid w:val="3E270DCF"/>
    <w:multiLevelType w:val="multilevel"/>
    <w:tmpl w:val="3E270DCF"/>
    <w:lvl w:ilvl="0" w:tentative="0">
      <w:start w:val="1"/>
      <w:numFmt w:val="decimal"/>
      <w:suff w:val="space"/>
      <w:lvlText w:val="%1."/>
      <w:lvlJc w:val="left"/>
      <w:pPr>
        <w:ind w:left="0" w:leftChars="0" w:firstLine="0" w:firstLineChars="0"/>
      </w:pPr>
      <w:rPr>
        <w:rFonts w:hint="default" w:ascii="微软雅黑" w:hAnsi="微软雅黑" w:eastAsia="微软雅黑"/>
      </w:rPr>
    </w:lvl>
    <w:lvl w:ilvl="1" w:tentative="0">
      <w:start w:val="1"/>
      <w:numFmt w:val="decimal"/>
      <w:suff w:val="space"/>
      <w:lvlText w:val="%1.%2."/>
      <w:lvlJc w:val="left"/>
      <w:pPr>
        <w:ind w:left="0" w:leftChars="0" w:firstLine="0" w:firstLineChars="0"/>
      </w:pPr>
      <w:rPr>
        <w:rFonts w:hint="default" w:ascii="微软雅黑" w:hAnsi="微软雅黑" w:eastAsia="微软雅黑"/>
      </w:rPr>
    </w:lvl>
    <w:lvl w:ilvl="2" w:tentative="0">
      <w:start w:val="1"/>
      <w:numFmt w:val="decimal"/>
      <w:suff w:val="space"/>
      <w:lvlText w:val="%1.%2.%3."/>
      <w:lvlJc w:val="left"/>
      <w:pPr>
        <w:ind w:left="0" w:leftChars="0" w:firstLine="0" w:firstLineChars="0"/>
      </w:pPr>
      <w:rPr>
        <w:rFonts w:hint="default" w:ascii="微软雅黑" w:hAnsi="微软雅黑" w:eastAsia="微软雅黑"/>
      </w:rPr>
    </w:lvl>
    <w:lvl w:ilvl="3" w:tentative="0">
      <w:start w:val="1"/>
      <w:numFmt w:val="decimal"/>
      <w:pStyle w:val="5"/>
      <w:suff w:val="space"/>
      <w:lvlText w:val="%1.%2.%3.%4."/>
      <w:lvlJc w:val="left"/>
      <w:pPr>
        <w:ind w:left="0" w:leftChars="0" w:firstLine="0" w:firstLineChars="0"/>
      </w:pPr>
      <w:rPr>
        <w:rFonts w:hint="default" w:ascii="微软雅黑" w:hAnsi="微软雅黑" w:eastAsia="微软雅黑"/>
      </w:rPr>
    </w:lvl>
    <w:lvl w:ilvl="4" w:tentative="0">
      <w:start w:val="1"/>
      <w:numFmt w:val="decimal"/>
      <w:pStyle w:val="6"/>
      <w:lvlText w:val="%1.%2.%3.%4.%5."/>
      <w:lvlJc w:val="left"/>
      <w:pPr>
        <w:tabs>
          <w:tab w:val="left" w:pos="0"/>
        </w:tabs>
        <w:ind w:left="0" w:leftChars="0" w:firstLine="0" w:firstLineChars="0"/>
      </w:pPr>
      <w:rPr>
        <w:rFonts w:hint="default" w:ascii="微软雅黑" w:hAnsi="微软雅黑" w:eastAsia="微软雅黑"/>
      </w:rPr>
    </w:lvl>
    <w:lvl w:ilvl="5" w:tentative="0">
      <w:start w:val="1"/>
      <w:numFmt w:val="decimal"/>
      <w:suff w:val="space"/>
      <w:lvlText w:val="%1.%2.%3.%4.%5.%6."/>
      <w:lvlJc w:val="left"/>
      <w:pPr>
        <w:ind w:left="0" w:leftChars="0" w:firstLine="0" w:firstLineChars="0"/>
      </w:pPr>
      <w:rPr>
        <w:rFonts w:hint="default"/>
      </w:rPr>
    </w:lvl>
    <w:lvl w:ilvl="6" w:tentative="0">
      <w:start w:val="1"/>
      <w:numFmt w:val="decimal"/>
      <w:lvlText w:val="%1.%2.%3.%4.%5.%6.%7."/>
      <w:lvlJc w:val="left"/>
      <w:pPr>
        <w:tabs>
          <w:tab w:val="left" w:pos="0"/>
        </w:tabs>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lvlText w:val="%1.%2.%3.%4.%5.%6.%7.%8.%9."/>
      <w:lvlJc w:val="left"/>
      <w:pPr>
        <w:tabs>
          <w:tab w:val="left" w:pos="0"/>
        </w:tabs>
        <w:ind w:left="0" w:leftChars="0" w:firstLine="0" w:firstLineChars="0"/>
      </w:pPr>
      <w:rPr>
        <w:rFonts w:hint="default"/>
      </w:rPr>
    </w:lvl>
  </w:abstractNum>
  <w:abstractNum w:abstractNumId="3">
    <w:nsid w:val="52F7058B"/>
    <w:multiLevelType w:val="multilevel"/>
    <w:tmpl w:val="52F7058B"/>
    <w:lvl w:ilvl="0" w:tentative="0">
      <w:start w:val="1"/>
      <w:numFmt w:val="decimal"/>
      <w:lvlText w:val="%1."/>
      <w:lvlJc w:val="left"/>
      <w:pPr>
        <w:tabs>
          <w:tab w:val="left" w:pos="830"/>
        </w:tabs>
        <w:ind w:left="830" w:hanging="360"/>
      </w:pPr>
      <w:rPr>
        <w:rFonts w:hint="eastAsia" w:ascii="黑体" w:hAnsi="Times New Roman"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num w:numId="1">
    <w:abstractNumId w:val="2"/>
  </w:num>
  <w:num w:numId="2">
    <w:abstractNumId w:val="0"/>
  </w:num>
  <w:num w:numId="3">
    <w:abstractNumId w:val="1"/>
  </w:num>
  <w:num w:numId="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GQ1YzQxMTg5NWFiZjdmNGY4MWFhZDk5MDQxZTVhYmIifQ=="/>
    <w:docVar w:name="VTCASE" w:val="4"/>
    <w:docVar w:name="VTCommandPending" w:val="NONE"/>
  </w:docVars>
  <w:rsids>
    <w:rsidRoot w:val="00887D93"/>
    <w:rsid w:val="000003F8"/>
    <w:rsid w:val="000004CD"/>
    <w:rsid w:val="00001783"/>
    <w:rsid w:val="00001797"/>
    <w:rsid w:val="000018E2"/>
    <w:rsid w:val="0000273B"/>
    <w:rsid w:val="000041A8"/>
    <w:rsid w:val="000055D7"/>
    <w:rsid w:val="000103BA"/>
    <w:rsid w:val="0001529F"/>
    <w:rsid w:val="000157E2"/>
    <w:rsid w:val="0001621A"/>
    <w:rsid w:val="0001697A"/>
    <w:rsid w:val="000169E1"/>
    <w:rsid w:val="00020D78"/>
    <w:rsid w:val="00021486"/>
    <w:rsid w:val="000217B4"/>
    <w:rsid w:val="00021AE8"/>
    <w:rsid w:val="000221ED"/>
    <w:rsid w:val="00022E94"/>
    <w:rsid w:val="00023ECF"/>
    <w:rsid w:val="00030019"/>
    <w:rsid w:val="00030B4B"/>
    <w:rsid w:val="00030FAA"/>
    <w:rsid w:val="000313B5"/>
    <w:rsid w:val="00032B95"/>
    <w:rsid w:val="000333A8"/>
    <w:rsid w:val="0003349B"/>
    <w:rsid w:val="000422D6"/>
    <w:rsid w:val="000434F9"/>
    <w:rsid w:val="00043533"/>
    <w:rsid w:val="00045D67"/>
    <w:rsid w:val="0004677C"/>
    <w:rsid w:val="000538CC"/>
    <w:rsid w:val="000541C7"/>
    <w:rsid w:val="00054A8E"/>
    <w:rsid w:val="00055A71"/>
    <w:rsid w:val="00056583"/>
    <w:rsid w:val="00056932"/>
    <w:rsid w:val="00057BB2"/>
    <w:rsid w:val="0006019D"/>
    <w:rsid w:val="000608CE"/>
    <w:rsid w:val="000612B3"/>
    <w:rsid w:val="00061B68"/>
    <w:rsid w:val="0006254B"/>
    <w:rsid w:val="00062F6D"/>
    <w:rsid w:val="000634E0"/>
    <w:rsid w:val="00063504"/>
    <w:rsid w:val="00063750"/>
    <w:rsid w:val="00065379"/>
    <w:rsid w:val="000673C5"/>
    <w:rsid w:val="00070705"/>
    <w:rsid w:val="00070907"/>
    <w:rsid w:val="0007178B"/>
    <w:rsid w:val="000719AB"/>
    <w:rsid w:val="00071A8D"/>
    <w:rsid w:val="000731AC"/>
    <w:rsid w:val="00073502"/>
    <w:rsid w:val="00073668"/>
    <w:rsid w:val="00073671"/>
    <w:rsid w:val="00073852"/>
    <w:rsid w:val="00076670"/>
    <w:rsid w:val="00080A9E"/>
    <w:rsid w:val="00080B56"/>
    <w:rsid w:val="00080FC7"/>
    <w:rsid w:val="00081B91"/>
    <w:rsid w:val="00081D11"/>
    <w:rsid w:val="00083115"/>
    <w:rsid w:val="000879F0"/>
    <w:rsid w:val="00090794"/>
    <w:rsid w:val="00091306"/>
    <w:rsid w:val="000916D5"/>
    <w:rsid w:val="00092DF6"/>
    <w:rsid w:val="00093269"/>
    <w:rsid w:val="00093645"/>
    <w:rsid w:val="00093A9D"/>
    <w:rsid w:val="00096150"/>
    <w:rsid w:val="00096F54"/>
    <w:rsid w:val="000A06BC"/>
    <w:rsid w:val="000A31C4"/>
    <w:rsid w:val="000A3727"/>
    <w:rsid w:val="000A49C1"/>
    <w:rsid w:val="000A4E35"/>
    <w:rsid w:val="000A799B"/>
    <w:rsid w:val="000A7E9D"/>
    <w:rsid w:val="000B1F67"/>
    <w:rsid w:val="000B3242"/>
    <w:rsid w:val="000B3392"/>
    <w:rsid w:val="000B362F"/>
    <w:rsid w:val="000B366A"/>
    <w:rsid w:val="000B4D5A"/>
    <w:rsid w:val="000B6C50"/>
    <w:rsid w:val="000B7166"/>
    <w:rsid w:val="000B7356"/>
    <w:rsid w:val="000B7F8A"/>
    <w:rsid w:val="000C043C"/>
    <w:rsid w:val="000C0FDF"/>
    <w:rsid w:val="000C15AF"/>
    <w:rsid w:val="000C3524"/>
    <w:rsid w:val="000C5071"/>
    <w:rsid w:val="000C55ED"/>
    <w:rsid w:val="000C5B44"/>
    <w:rsid w:val="000C643B"/>
    <w:rsid w:val="000C6F86"/>
    <w:rsid w:val="000D07CE"/>
    <w:rsid w:val="000D10E4"/>
    <w:rsid w:val="000D1613"/>
    <w:rsid w:val="000D19C1"/>
    <w:rsid w:val="000D1D95"/>
    <w:rsid w:val="000D4821"/>
    <w:rsid w:val="000D498D"/>
    <w:rsid w:val="000D4E69"/>
    <w:rsid w:val="000D5125"/>
    <w:rsid w:val="000D751E"/>
    <w:rsid w:val="000D7812"/>
    <w:rsid w:val="000E1288"/>
    <w:rsid w:val="000E3784"/>
    <w:rsid w:val="000E37E0"/>
    <w:rsid w:val="000E47A0"/>
    <w:rsid w:val="000E56F6"/>
    <w:rsid w:val="000E597F"/>
    <w:rsid w:val="000E5BFC"/>
    <w:rsid w:val="000E694F"/>
    <w:rsid w:val="000E6D3F"/>
    <w:rsid w:val="000E7158"/>
    <w:rsid w:val="000E74D4"/>
    <w:rsid w:val="000F1B2C"/>
    <w:rsid w:val="000F2D05"/>
    <w:rsid w:val="000F2EEE"/>
    <w:rsid w:val="000F4234"/>
    <w:rsid w:val="000F5B22"/>
    <w:rsid w:val="000F5EE2"/>
    <w:rsid w:val="000F5F90"/>
    <w:rsid w:val="000F6215"/>
    <w:rsid w:val="000F63B4"/>
    <w:rsid w:val="000F63C8"/>
    <w:rsid w:val="000F6581"/>
    <w:rsid w:val="000F7F63"/>
    <w:rsid w:val="00102417"/>
    <w:rsid w:val="001032CC"/>
    <w:rsid w:val="00105325"/>
    <w:rsid w:val="001054A5"/>
    <w:rsid w:val="00105B0B"/>
    <w:rsid w:val="0011024E"/>
    <w:rsid w:val="00111480"/>
    <w:rsid w:val="00112163"/>
    <w:rsid w:val="00113A95"/>
    <w:rsid w:val="00114579"/>
    <w:rsid w:val="00115BF1"/>
    <w:rsid w:val="00120292"/>
    <w:rsid w:val="0012032C"/>
    <w:rsid w:val="00120B9E"/>
    <w:rsid w:val="0012244B"/>
    <w:rsid w:val="001224B5"/>
    <w:rsid w:val="00122643"/>
    <w:rsid w:val="00122C75"/>
    <w:rsid w:val="0012425B"/>
    <w:rsid w:val="001244F8"/>
    <w:rsid w:val="001247F0"/>
    <w:rsid w:val="001252D8"/>
    <w:rsid w:val="00125432"/>
    <w:rsid w:val="00125472"/>
    <w:rsid w:val="001257D4"/>
    <w:rsid w:val="0013061E"/>
    <w:rsid w:val="00130892"/>
    <w:rsid w:val="00131E0D"/>
    <w:rsid w:val="0013359E"/>
    <w:rsid w:val="00133E2F"/>
    <w:rsid w:val="00135499"/>
    <w:rsid w:val="00137694"/>
    <w:rsid w:val="00141EAC"/>
    <w:rsid w:val="00141EC4"/>
    <w:rsid w:val="00142833"/>
    <w:rsid w:val="00143652"/>
    <w:rsid w:val="0014627C"/>
    <w:rsid w:val="00146D60"/>
    <w:rsid w:val="0015142E"/>
    <w:rsid w:val="001550F4"/>
    <w:rsid w:val="00155D60"/>
    <w:rsid w:val="00157C74"/>
    <w:rsid w:val="00157D8E"/>
    <w:rsid w:val="00161678"/>
    <w:rsid w:val="00161D71"/>
    <w:rsid w:val="00162805"/>
    <w:rsid w:val="00165014"/>
    <w:rsid w:val="00165130"/>
    <w:rsid w:val="00165D15"/>
    <w:rsid w:val="00165E1A"/>
    <w:rsid w:val="0017180F"/>
    <w:rsid w:val="001733C3"/>
    <w:rsid w:val="00173BFF"/>
    <w:rsid w:val="00173DC3"/>
    <w:rsid w:val="00174749"/>
    <w:rsid w:val="00174764"/>
    <w:rsid w:val="00174FCA"/>
    <w:rsid w:val="001758A8"/>
    <w:rsid w:val="00175AFB"/>
    <w:rsid w:val="00176F12"/>
    <w:rsid w:val="001770BE"/>
    <w:rsid w:val="00177A3E"/>
    <w:rsid w:val="001839F8"/>
    <w:rsid w:val="00183E4B"/>
    <w:rsid w:val="00184437"/>
    <w:rsid w:val="001871F8"/>
    <w:rsid w:val="00187B13"/>
    <w:rsid w:val="00187EB4"/>
    <w:rsid w:val="0019282C"/>
    <w:rsid w:val="0019618B"/>
    <w:rsid w:val="001963DD"/>
    <w:rsid w:val="00196FA0"/>
    <w:rsid w:val="001A129C"/>
    <w:rsid w:val="001A3B44"/>
    <w:rsid w:val="001A3BEB"/>
    <w:rsid w:val="001A5EEB"/>
    <w:rsid w:val="001A62A5"/>
    <w:rsid w:val="001A6980"/>
    <w:rsid w:val="001B3FFA"/>
    <w:rsid w:val="001B4216"/>
    <w:rsid w:val="001B49A4"/>
    <w:rsid w:val="001B521B"/>
    <w:rsid w:val="001B5CC8"/>
    <w:rsid w:val="001B6397"/>
    <w:rsid w:val="001B6587"/>
    <w:rsid w:val="001C0582"/>
    <w:rsid w:val="001C058D"/>
    <w:rsid w:val="001C4E93"/>
    <w:rsid w:val="001C54C3"/>
    <w:rsid w:val="001C577E"/>
    <w:rsid w:val="001D027D"/>
    <w:rsid w:val="001D0412"/>
    <w:rsid w:val="001D0A8F"/>
    <w:rsid w:val="001D388C"/>
    <w:rsid w:val="001D4A1E"/>
    <w:rsid w:val="001D595A"/>
    <w:rsid w:val="001D648B"/>
    <w:rsid w:val="001D70E9"/>
    <w:rsid w:val="001E181E"/>
    <w:rsid w:val="001E1DCD"/>
    <w:rsid w:val="001E25CB"/>
    <w:rsid w:val="001E439E"/>
    <w:rsid w:val="001E4481"/>
    <w:rsid w:val="001E44EF"/>
    <w:rsid w:val="001E5225"/>
    <w:rsid w:val="001E674E"/>
    <w:rsid w:val="001E6C1A"/>
    <w:rsid w:val="001E7629"/>
    <w:rsid w:val="001E7846"/>
    <w:rsid w:val="001E7E8B"/>
    <w:rsid w:val="001F0609"/>
    <w:rsid w:val="001F20DA"/>
    <w:rsid w:val="001F2F0B"/>
    <w:rsid w:val="001F3130"/>
    <w:rsid w:val="001F3E0A"/>
    <w:rsid w:val="001F5903"/>
    <w:rsid w:val="001F7292"/>
    <w:rsid w:val="002001DC"/>
    <w:rsid w:val="002026FB"/>
    <w:rsid w:val="002032B0"/>
    <w:rsid w:val="00203618"/>
    <w:rsid w:val="00203778"/>
    <w:rsid w:val="00203F39"/>
    <w:rsid w:val="0020407A"/>
    <w:rsid w:val="00205ABE"/>
    <w:rsid w:val="00207B86"/>
    <w:rsid w:val="00210AE7"/>
    <w:rsid w:val="002123C7"/>
    <w:rsid w:val="002124BD"/>
    <w:rsid w:val="00213411"/>
    <w:rsid w:val="00214C91"/>
    <w:rsid w:val="00216213"/>
    <w:rsid w:val="00216D4F"/>
    <w:rsid w:val="00216E43"/>
    <w:rsid w:val="00220866"/>
    <w:rsid w:val="00220E32"/>
    <w:rsid w:val="00221DE5"/>
    <w:rsid w:val="002231A4"/>
    <w:rsid w:val="00223245"/>
    <w:rsid w:val="002243E5"/>
    <w:rsid w:val="00224447"/>
    <w:rsid w:val="00224A77"/>
    <w:rsid w:val="0022671D"/>
    <w:rsid w:val="0022758C"/>
    <w:rsid w:val="0023090E"/>
    <w:rsid w:val="00231C64"/>
    <w:rsid w:val="0023234B"/>
    <w:rsid w:val="00232C22"/>
    <w:rsid w:val="0023318A"/>
    <w:rsid w:val="0023477D"/>
    <w:rsid w:val="00236A9B"/>
    <w:rsid w:val="0023715B"/>
    <w:rsid w:val="00237592"/>
    <w:rsid w:val="002402C0"/>
    <w:rsid w:val="0024141B"/>
    <w:rsid w:val="00243A49"/>
    <w:rsid w:val="002440D3"/>
    <w:rsid w:val="00244A0E"/>
    <w:rsid w:val="00244F73"/>
    <w:rsid w:val="00245783"/>
    <w:rsid w:val="002463BE"/>
    <w:rsid w:val="00247F69"/>
    <w:rsid w:val="002501BB"/>
    <w:rsid w:val="002509CA"/>
    <w:rsid w:val="00250C1D"/>
    <w:rsid w:val="002512CF"/>
    <w:rsid w:val="00251A29"/>
    <w:rsid w:val="00251B89"/>
    <w:rsid w:val="00252EEF"/>
    <w:rsid w:val="00253615"/>
    <w:rsid w:val="00253950"/>
    <w:rsid w:val="00254F7E"/>
    <w:rsid w:val="0025569E"/>
    <w:rsid w:val="002564FE"/>
    <w:rsid w:val="002603EB"/>
    <w:rsid w:val="00261FEB"/>
    <w:rsid w:val="00262A4F"/>
    <w:rsid w:val="00263968"/>
    <w:rsid w:val="00264327"/>
    <w:rsid w:val="002650F1"/>
    <w:rsid w:val="00266403"/>
    <w:rsid w:val="00266406"/>
    <w:rsid w:val="002679CA"/>
    <w:rsid w:val="00270373"/>
    <w:rsid w:val="00272722"/>
    <w:rsid w:val="002745E7"/>
    <w:rsid w:val="002760AC"/>
    <w:rsid w:val="00276A3B"/>
    <w:rsid w:val="00277935"/>
    <w:rsid w:val="00277E8E"/>
    <w:rsid w:val="002804D8"/>
    <w:rsid w:val="00280DD6"/>
    <w:rsid w:val="00281ECB"/>
    <w:rsid w:val="002822AE"/>
    <w:rsid w:val="00282496"/>
    <w:rsid w:val="00283033"/>
    <w:rsid w:val="00284575"/>
    <w:rsid w:val="002854DC"/>
    <w:rsid w:val="002859A3"/>
    <w:rsid w:val="0028616B"/>
    <w:rsid w:val="00290CDE"/>
    <w:rsid w:val="00290DE2"/>
    <w:rsid w:val="00294129"/>
    <w:rsid w:val="002959CC"/>
    <w:rsid w:val="002968A8"/>
    <w:rsid w:val="00297D7A"/>
    <w:rsid w:val="002A0C27"/>
    <w:rsid w:val="002A2315"/>
    <w:rsid w:val="002A2732"/>
    <w:rsid w:val="002A2D72"/>
    <w:rsid w:val="002A3153"/>
    <w:rsid w:val="002A6C9C"/>
    <w:rsid w:val="002A7A68"/>
    <w:rsid w:val="002B7D0D"/>
    <w:rsid w:val="002C0F6F"/>
    <w:rsid w:val="002C10AC"/>
    <w:rsid w:val="002C2A03"/>
    <w:rsid w:val="002C2AE8"/>
    <w:rsid w:val="002C2FF3"/>
    <w:rsid w:val="002C32FF"/>
    <w:rsid w:val="002C3854"/>
    <w:rsid w:val="002C3A5A"/>
    <w:rsid w:val="002C4ABE"/>
    <w:rsid w:val="002C71EC"/>
    <w:rsid w:val="002C7548"/>
    <w:rsid w:val="002C780B"/>
    <w:rsid w:val="002C7E47"/>
    <w:rsid w:val="002D2571"/>
    <w:rsid w:val="002D2C13"/>
    <w:rsid w:val="002D2FFB"/>
    <w:rsid w:val="002D4E0A"/>
    <w:rsid w:val="002D4E16"/>
    <w:rsid w:val="002D4F0F"/>
    <w:rsid w:val="002D505C"/>
    <w:rsid w:val="002D5DF8"/>
    <w:rsid w:val="002D6FE7"/>
    <w:rsid w:val="002D7759"/>
    <w:rsid w:val="002E127E"/>
    <w:rsid w:val="002E334D"/>
    <w:rsid w:val="002E486A"/>
    <w:rsid w:val="002E53C0"/>
    <w:rsid w:val="002E766C"/>
    <w:rsid w:val="002E7A9E"/>
    <w:rsid w:val="002F02C8"/>
    <w:rsid w:val="002F0A07"/>
    <w:rsid w:val="002F2D5F"/>
    <w:rsid w:val="002F3072"/>
    <w:rsid w:val="002F36F1"/>
    <w:rsid w:val="002F3AF8"/>
    <w:rsid w:val="002F46DC"/>
    <w:rsid w:val="002F5145"/>
    <w:rsid w:val="002F5CB9"/>
    <w:rsid w:val="002F5F2D"/>
    <w:rsid w:val="002F683C"/>
    <w:rsid w:val="002F77BE"/>
    <w:rsid w:val="003014CA"/>
    <w:rsid w:val="0030359D"/>
    <w:rsid w:val="00305764"/>
    <w:rsid w:val="00306F6B"/>
    <w:rsid w:val="00310C52"/>
    <w:rsid w:val="0031140B"/>
    <w:rsid w:val="00314E3D"/>
    <w:rsid w:val="00317120"/>
    <w:rsid w:val="003171BB"/>
    <w:rsid w:val="0032100C"/>
    <w:rsid w:val="003212C2"/>
    <w:rsid w:val="00321921"/>
    <w:rsid w:val="00321926"/>
    <w:rsid w:val="00327707"/>
    <w:rsid w:val="00330334"/>
    <w:rsid w:val="0033060D"/>
    <w:rsid w:val="003318F3"/>
    <w:rsid w:val="00331ECA"/>
    <w:rsid w:val="00333153"/>
    <w:rsid w:val="00333919"/>
    <w:rsid w:val="00334249"/>
    <w:rsid w:val="00334F3E"/>
    <w:rsid w:val="003379AF"/>
    <w:rsid w:val="00337C5C"/>
    <w:rsid w:val="00342F29"/>
    <w:rsid w:val="00343E4C"/>
    <w:rsid w:val="00346461"/>
    <w:rsid w:val="003466C4"/>
    <w:rsid w:val="0034779B"/>
    <w:rsid w:val="003478FB"/>
    <w:rsid w:val="00351ABD"/>
    <w:rsid w:val="00352BC8"/>
    <w:rsid w:val="00353D1E"/>
    <w:rsid w:val="00355D82"/>
    <w:rsid w:val="00356CAF"/>
    <w:rsid w:val="0035739A"/>
    <w:rsid w:val="003612A6"/>
    <w:rsid w:val="00364A24"/>
    <w:rsid w:val="00364B1F"/>
    <w:rsid w:val="003671F3"/>
    <w:rsid w:val="00367712"/>
    <w:rsid w:val="00367C88"/>
    <w:rsid w:val="00367DB2"/>
    <w:rsid w:val="00370155"/>
    <w:rsid w:val="00370A9A"/>
    <w:rsid w:val="00370B19"/>
    <w:rsid w:val="00371139"/>
    <w:rsid w:val="00371C8C"/>
    <w:rsid w:val="00372A37"/>
    <w:rsid w:val="00373408"/>
    <w:rsid w:val="003748EB"/>
    <w:rsid w:val="00375DCD"/>
    <w:rsid w:val="00376F36"/>
    <w:rsid w:val="00377618"/>
    <w:rsid w:val="003800A6"/>
    <w:rsid w:val="0038151E"/>
    <w:rsid w:val="00382FFA"/>
    <w:rsid w:val="003839DF"/>
    <w:rsid w:val="00383B0A"/>
    <w:rsid w:val="00384353"/>
    <w:rsid w:val="0038491D"/>
    <w:rsid w:val="00384EB5"/>
    <w:rsid w:val="00385665"/>
    <w:rsid w:val="00385E7A"/>
    <w:rsid w:val="00386A20"/>
    <w:rsid w:val="00387606"/>
    <w:rsid w:val="00387983"/>
    <w:rsid w:val="003900A9"/>
    <w:rsid w:val="00391DD2"/>
    <w:rsid w:val="003925E1"/>
    <w:rsid w:val="00393D74"/>
    <w:rsid w:val="003943A7"/>
    <w:rsid w:val="00396A66"/>
    <w:rsid w:val="003A0E06"/>
    <w:rsid w:val="003A1A69"/>
    <w:rsid w:val="003A27D9"/>
    <w:rsid w:val="003A36EE"/>
    <w:rsid w:val="003A37B8"/>
    <w:rsid w:val="003A582F"/>
    <w:rsid w:val="003A6B72"/>
    <w:rsid w:val="003B020F"/>
    <w:rsid w:val="003B3917"/>
    <w:rsid w:val="003B41D9"/>
    <w:rsid w:val="003B4356"/>
    <w:rsid w:val="003B5422"/>
    <w:rsid w:val="003B6694"/>
    <w:rsid w:val="003B71F8"/>
    <w:rsid w:val="003B7293"/>
    <w:rsid w:val="003C1157"/>
    <w:rsid w:val="003C4C52"/>
    <w:rsid w:val="003C53B2"/>
    <w:rsid w:val="003C6422"/>
    <w:rsid w:val="003C6B80"/>
    <w:rsid w:val="003C6C9A"/>
    <w:rsid w:val="003D19CE"/>
    <w:rsid w:val="003D352C"/>
    <w:rsid w:val="003D51FB"/>
    <w:rsid w:val="003D58CF"/>
    <w:rsid w:val="003D6961"/>
    <w:rsid w:val="003D6E2A"/>
    <w:rsid w:val="003E1B93"/>
    <w:rsid w:val="003E22FA"/>
    <w:rsid w:val="003E2C77"/>
    <w:rsid w:val="003E2C89"/>
    <w:rsid w:val="003E3C14"/>
    <w:rsid w:val="003E5133"/>
    <w:rsid w:val="003E6516"/>
    <w:rsid w:val="003E747A"/>
    <w:rsid w:val="003F0149"/>
    <w:rsid w:val="003F11BD"/>
    <w:rsid w:val="003F2ACB"/>
    <w:rsid w:val="003F4748"/>
    <w:rsid w:val="003F61AC"/>
    <w:rsid w:val="003F7B21"/>
    <w:rsid w:val="00401267"/>
    <w:rsid w:val="00401B70"/>
    <w:rsid w:val="004022D6"/>
    <w:rsid w:val="00402836"/>
    <w:rsid w:val="0040298F"/>
    <w:rsid w:val="0040367C"/>
    <w:rsid w:val="00404B23"/>
    <w:rsid w:val="00405154"/>
    <w:rsid w:val="0040552A"/>
    <w:rsid w:val="00405DA6"/>
    <w:rsid w:val="004109B8"/>
    <w:rsid w:val="0041125D"/>
    <w:rsid w:val="00412221"/>
    <w:rsid w:val="0041238C"/>
    <w:rsid w:val="00412829"/>
    <w:rsid w:val="0041314E"/>
    <w:rsid w:val="00414EDB"/>
    <w:rsid w:val="004164DF"/>
    <w:rsid w:val="00416560"/>
    <w:rsid w:val="00417107"/>
    <w:rsid w:val="00417EAE"/>
    <w:rsid w:val="00420C2B"/>
    <w:rsid w:val="0042141B"/>
    <w:rsid w:val="004249CB"/>
    <w:rsid w:val="004256BC"/>
    <w:rsid w:val="004257D5"/>
    <w:rsid w:val="00425FB2"/>
    <w:rsid w:val="004261AF"/>
    <w:rsid w:val="004265EF"/>
    <w:rsid w:val="00426BB0"/>
    <w:rsid w:val="00427BE9"/>
    <w:rsid w:val="00430D0F"/>
    <w:rsid w:val="00433EEA"/>
    <w:rsid w:val="00436CDF"/>
    <w:rsid w:val="0044052A"/>
    <w:rsid w:val="004408B0"/>
    <w:rsid w:val="004408EE"/>
    <w:rsid w:val="00441C7F"/>
    <w:rsid w:val="00441E5E"/>
    <w:rsid w:val="00442073"/>
    <w:rsid w:val="00443F3A"/>
    <w:rsid w:val="0044515D"/>
    <w:rsid w:val="0044524F"/>
    <w:rsid w:val="0044654E"/>
    <w:rsid w:val="00446B2D"/>
    <w:rsid w:val="004504F2"/>
    <w:rsid w:val="00450C1F"/>
    <w:rsid w:val="00455240"/>
    <w:rsid w:val="0045705D"/>
    <w:rsid w:val="00457157"/>
    <w:rsid w:val="00457AEF"/>
    <w:rsid w:val="00457E64"/>
    <w:rsid w:val="0046046C"/>
    <w:rsid w:val="00463430"/>
    <w:rsid w:val="004645F0"/>
    <w:rsid w:val="004653F6"/>
    <w:rsid w:val="004663F3"/>
    <w:rsid w:val="00467553"/>
    <w:rsid w:val="0046779A"/>
    <w:rsid w:val="00471F78"/>
    <w:rsid w:val="00473B94"/>
    <w:rsid w:val="00473DC2"/>
    <w:rsid w:val="004747CC"/>
    <w:rsid w:val="00474DC3"/>
    <w:rsid w:val="0047556E"/>
    <w:rsid w:val="00475991"/>
    <w:rsid w:val="00475B13"/>
    <w:rsid w:val="00476826"/>
    <w:rsid w:val="00476DBB"/>
    <w:rsid w:val="00476E47"/>
    <w:rsid w:val="00480440"/>
    <w:rsid w:val="00480D8D"/>
    <w:rsid w:val="004814E5"/>
    <w:rsid w:val="00484641"/>
    <w:rsid w:val="004846F8"/>
    <w:rsid w:val="00485EFC"/>
    <w:rsid w:val="00486435"/>
    <w:rsid w:val="00490080"/>
    <w:rsid w:val="00490A94"/>
    <w:rsid w:val="00491032"/>
    <w:rsid w:val="004911E4"/>
    <w:rsid w:val="004912F4"/>
    <w:rsid w:val="004922BC"/>
    <w:rsid w:val="00492522"/>
    <w:rsid w:val="00492CE8"/>
    <w:rsid w:val="00493558"/>
    <w:rsid w:val="00493B59"/>
    <w:rsid w:val="00493EC9"/>
    <w:rsid w:val="00494ECE"/>
    <w:rsid w:val="00495251"/>
    <w:rsid w:val="00495B0C"/>
    <w:rsid w:val="004962FC"/>
    <w:rsid w:val="004963A5"/>
    <w:rsid w:val="004A09BD"/>
    <w:rsid w:val="004A105E"/>
    <w:rsid w:val="004A1518"/>
    <w:rsid w:val="004A1759"/>
    <w:rsid w:val="004A2275"/>
    <w:rsid w:val="004A3872"/>
    <w:rsid w:val="004A3AC0"/>
    <w:rsid w:val="004A42D0"/>
    <w:rsid w:val="004A4ED0"/>
    <w:rsid w:val="004A5081"/>
    <w:rsid w:val="004A691D"/>
    <w:rsid w:val="004A6F61"/>
    <w:rsid w:val="004B0706"/>
    <w:rsid w:val="004B0F5D"/>
    <w:rsid w:val="004B22B1"/>
    <w:rsid w:val="004B46E5"/>
    <w:rsid w:val="004B48CB"/>
    <w:rsid w:val="004B6542"/>
    <w:rsid w:val="004B72A3"/>
    <w:rsid w:val="004C029F"/>
    <w:rsid w:val="004C1E33"/>
    <w:rsid w:val="004C6870"/>
    <w:rsid w:val="004D29A3"/>
    <w:rsid w:val="004D4D48"/>
    <w:rsid w:val="004D5250"/>
    <w:rsid w:val="004D6AD9"/>
    <w:rsid w:val="004E0517"/>
    <w:rsid w:val="004E0C12"/>
    <w:rsid w:val="004E13F0"/>
    <w:rsid w:val="004E4854"/>
    <w:rsid w:val="004E5FCE"/>
    <w:rsid w:val="004F036B"/>
    <w:rsid w:val="004F052D"/>
    <w:rsid w:val="004F0E54"/>
    <w:rsid w:val="004F3C2C"/>
    <w:rsid w:val="004F40DD"/>
    <w:rsid w:val="004F5B43"/>
    <w:rsid w:val="004F7B7E"/>
    <w:rsid w:val="00501785"/>
    <w:rsid w:val="00503724"/>
    <w:rsid w:val="00504E3C"/>
    <w:rsid w:val="00507970"/>
    <w:rsid w:val="00507AD5"/>
    <w:rsid w:val="00513F7C"/>
    <w:rsid w:val="005149B8"/>
    <w:rsid w:val="00515808"/>
    <w:rsid w:val="005168FA"/>
    <w:rsid w:val="005175C0"/>
    <w:rsid w:val="00520001"/>
    <w:rsid w:val="005204CF"/>
    <w:rsid w:val="00521670"/>
    <w:rsid w:val="00521717"/>
    <w:rsid w:val="0052391C"/>
    <w:rsid w:val="0052393A"/>
    <w:rsid w:val="005262DF"/>
    <w:rsid w:val="00526A26"/>
    <w:rsid w:val="00530C3F"/>
    <w:rsid w:val="00530CE0"/>
    <w:rsid w:val="00531B65"/>
    <w:rsid w:val="005322F7"/>
    <w:rsid w:val="00532B1D"/>
    <w:rsid w:val="00533524"/>
    <w:rsid w:val="00534347"/>
    <w:rsid w:val="00536336"/>
    <w:rsid w:val="00540C55"/>
    <w:rsid w:val="0054145D"/>
    <w:rsid w:val="00542227"/>
    <w:rsid w:val="005422EB"/>
    <w:rsid w:val="00542C08"/>
    <w:rsid w:val="0054426F"/>
    <w:rsid w:val="0054508F"/>
    <w:rsid w:val="00546390"/>
    <w:rsid w:val="00546F3A"/>
    <w:rsid w:val="005475C6"/>
    <w:rsid w:val="00547EA1"/>
    <w:rsid w:val="00550C61"/>
    <w:rsid w:val="00550EF0"/>
    <w:rsid w:val="005519FB"/>
    <w:rsid w:val="00552FBA"/>
    <w:rsid w:val="005537B1"/>
    <w:rsid w:val="00553ACF"/>
    <w:rsid w:val="00554047"/>
    <w:rsid w:val="00554D9D"/>
    <w:rsid w:val="00555A82"/>
    <w:rsid w:val="00556C52"/>
    <w:rsid w:val="0056008C"/>
    <w:rsid w:val="00561827"/>
    <w:rsid w:val="00563E0F"/>
    <w:rsid w:val="005665A2"/>
    <w:rsid w:val="00570A8A"/>
    <w:rsid w:val="00571BE1"/>
    <w:rsid w:val="005721CC"/>
    <w:rsid w:val="0057268E"/>
    <w:rsid w:val="00573C95"/>
    <w:rsid w:val="005744DE"/>
    <w:rsid w:val="005750B7"/>
    <w:rsid w:val="00580355"/>
    <w:rsid w:val="005806C7"/>
    <w:rsid w:val="00582CA5"/>
    <w:rsid w:val="00582EE9"/>
    <w:rsid w:val="00582FE9"/>
    <w:rsid w:val="00584703"/>
    <w:rsid w:val="0058511B"/>
    <w:rsid w:val="005852AF"/>
    <w:rsid w:val="00586027"/>
    <w:rsid w:val="005863E7"/>
    <w:rsid w:val="005867FB"/>
    <w:rsid w:val="00586C9D"/>
    <w:rsid w:val="00586FF5"/>
    <w:rsid w:val="00590B8F"/>
    <w:rsid w:val="00591FF8"/>
    <w:rsid w:val="00596ED3"/>
    <w:rsid w:val="005A0332"/>
    <w:rsid w:val="005A1737"/>
    <w:rsid w:val="005A1914"/>
    <w:rsid w:val="005A1D6F"/>
    <w:rsid w:val="005A378B"/>
    <w:rsid w:val="005A3804"/>
    <w:rsid w:val="005A40B3"/>
    <w:rsid w:val="005A7B43"/>
    <w:rsid w:val="005A7FAA"/>
    <w:rsid w:val="005B09C5"/>
    <w:rsid w:val="005B1361"/>
    <w:rsid w:val="005B177D"/>
    <w:rsid w:val="005B3B4A"/>
    <w:rsid w:val="005B4C4C"/>
    <w:rsid w:val="005B71D2"/>
    <w:rsid w:val="005B7966"/>
    <w:rsid w:val="005C0341"/>
    <w:rsid w:val="005C04FF"/>
    <w:rsid w:val="005C3CDD"/>
    <w:rsid w:val="005C46E4"/>
    <w:rsid w:val="005C4FAB"/>
    <w:rsid w:val="005C5B64"/>
    <w:rsid w:val="005C6801"/>
    <w:rsid w:val="005D2B33"/>
    <w:rsid w:val="005D43ED"/>
    <w:rsid w:val="005D4B36"/>
    <w:rsid w:val="005D5B37"/>
    <w:rsid w:val="005D6D35"/>
    <w:rsid w:val="005E1062"/>
    <w:rsid w:val="005E12BD"/>
    <w:rsid w:val="005E132E"/>
    <w:rsid w:val="005E1F41"/>
    <w:rsid w:val="005E305E"/>
    <w:rsid w:val="005E352F"/>
    <w:rsid w:val="005E3ECC"/>
    <w:rsid w:val="005E4686"/>
    <w:rsid w:val="005E53A4"/>
    <w:rsid w:val="005E5A89"/>
    <w:rsid w:val="005E60A6"/>
    <w:rsid w:val="005F047F"/>
    <w:rsid w:val="005F1F63"/>
    <w:rsid w:val="005F324D"/>
    <w:rsid w:val="005F42C9"/>
    <w:rsid w:val="005F4C0F"/>
    <w:rsid w:val="005F5BD6"/>
    <w:rsid w:val="005F7580"/>
    <w:rsid w:val="0060036F"/>
    <w:rsid w:val="006011F9"/>
    <w:rsid w:val="00601470"/>
    <w:rsid w:val="006016B0"/>
    <w:rsid w:val="00602247"/>
    <w:rsid w:val="006054AE"/>
    <w:rsid w:val="00605F57"/>
    <w:rsid w:val="006065BA"/>
    <w:rsid w:val="00606661"/>
    <w:rsid w:val="00607FDD"/>
    <w:rsid w:val="00610A62"/>
    <w:rsid w:val="00612A91"/>
    <w:rsid w:val="00615BD4"/>
    <w:rsid w:val="006176D9"/>
    <w:rsid w:val="00617850"/>
    <w:rsid w:val="0062063C"/>
    <w:rsid w:val="00620ACB"/>
    <w:rsid w:val="00621EEA"/>
    <w:rsid w:val="00622049"/>
    <w:rsid w:val="006223B3"/>
    <w:rsid w:val="00622E7C"/>
    <w:rsid w:val="00625736"/>
    <w:rsid w:val="006267AC"/>
    <w:rsid w:val="00626E16"/>
    <w:rsid w:val="006275F8"/>
    <w:rsid w:val="00630C8F"/>
    <w:rsid w:val="00630E0B"/>
    <w:rsid w:val="0063126C"/>
    <w:rsid w:val="006321D9"/>
    <w:rsid w:val="00635344"/>
    <w:rsid w:val="006354CE"/>
    <w:rsid w:val="00635ACD"/>
    <w:rsid w:val="006379BF"/>
    <w:rsid w:val="00643D4E"/>
    <w:rsid w:val="00645F9B"/>
    <w:rsid w:val="006462F4"/>
    <w:rsid w:val="00646C7B"/>
    <w:rsid w:val="00652109"/>
    <w:rsid w:val="006538BC"/>
    <w:rsid w:val="00653EEF"/>
    <w:rsid w:val="00656DB1"/>
    <w:rsid w:val="0065706C"/>
    <w:rsid w:val="006570F3"/>
    <w:rsid w:val="006574CA"/>
    <w:rsid w:val="00663087"/>
    <w:rsid w:val="0066518E"/>
    <w:rsid w:val="006663F6"/>
    <w:rsid w:val="00666E6E"/>
    <w:rsid w:val="00667926"/>
    <w:rsid w:val="00671AFE"/>
    <w:rsid w:val="00672312"/>
    <w:rsid w:val="00672A07"/>
    <w:rsid w:val="00672A3D"/>
    <w:rsid w:val="00673284"/>
    <w:rsid w:val="0067370E"/>
    <w:rsid w:val="00673C56"/>
    <w:rsid w:val="0067463F"/>
    <w:rsid w:val="00674E3C"/>
    <w:rsid w:val="00684218"/>
    <w:rsid w:val="00684A17"/>
    <w:rsid w:val="0068548A"/>
    <w:rsid w:val="00686ACA"/>
    <w:rsid w:val="006875D7"/>
    <w:rsid w:val="00687A0D"/>
    <w:rsid w:val="006904AF"/>
    <w:rsid w:val="00690B16"/>
    <w:rsid w:val="00692BB7"/>
    <w:rsid w:val="00695821"/>
    <w:rsid w:val="006959CB"/>
    <w:rsid w:val="0069607D"/>
    <w:rsid w:val="006960C5"/>
    <w:rsid w:val="0069704C"/>
    <w:rsid w:val="006A05F8"/>
    <w:rsid w:val="006A0897"/>
    <w:rsid w:val="006A27B1"/>
    <w:rsid w:val="006A4246"/>
    <w:rsid w:val="006A5302"/>
    <w:rsid w:val="006A56B9"/>
    <w:rsid w:val="006A5D0B"/>
    <w:rsid w:val="006A64EB"/>
    <w:rsid w:val="006A7750"/>
    <w:rsid w:val="006A7FD4"/>
    <w:rsid w:val="006B0E91"/>
    <w:rsid w:val="006B1891"/>
    <w:rsid w:val="006B37AE"/>
    <w:rsid w:val="006B3A39"/>
    <w:rsid w:val="006B3C07"/>
    <w:rsid w:val="006B476E"/>
    <w:rsid w:val="006B65AA"/>
    <w:rsid w:val="006B7254"/>
    <w:rsid w:val="006B73B9"/>
    <w:rsid w:val="006C0F43"/>
    <w:rsid w:val="006C2D51"/>
    <w:rsid w:val="006C4B81"/>
    <w:rsid w:val="006C517C"/>
    <w:rsid w:val="006C5CAA"/>
    <w:rsid w:val="006C6855"/>
    <w:rsid w:val="006C7F43"/>
    <w:rsid w:val="006D16F3"/>
    <w:rsid w:val="006D3332"/>
    <w:rsid w:val="006D341E"/>
    <w:rsid w:val="006D49E3"/>
    <w:rsid w:val="006D4C2C"/>
    <w:rsid w:val="006D59BA"/>
    <w:rsid w:val="006D62FF"/>
    <w:rsid w:val="006D68D1"/>
    <w:rsid w:val="006E019F"/>
    <w:rsid w:val="006E18C4"/>
    <w:rsid w:val="006E3E50"/>
    <w:rsid w:val="006E402A"/>
    <w:rsid w:val="006E4B20"/>
    <w:rsid w:val="006E525F"/>
    <w:rsid w:val="006E6666"/>
    <w:rsid w:val="006E74F5"/>
    <w:rsid w:val="006E7DCA"/>
    <w:rsid w:val="006F042E"/>
    <w:rsid w:val="006F2035"/>
    <w:rsid w:val="006F28EE"/>
    <w:rsid w:val="006F3EFF"/>
    <w:rsid w:val="006F42C2"/>
    <w:rsid w:val="006F602A"/>
    <w:rsid w:val="006F7412"/>
    <w:rsid w:val="00700940"/>
    <w:rsid w:val="00701C38"/>
    <w:rsid w:val="007030B4"/>
    <w:rsid w:val="00704E65"/>
    <w:rsid w:val="0071025E"/>
    <w:rsid w:val="007102AC"/>
    <w:rsid w:val="007105A5"/>
    <w:rsid w:val="00710B8D"/>
    <w:rsid w:val="00712CF9"/>
    <w:rsid w:val="00713024"/>
    <w:rsid w:val="00713EA1"/>
    <w:rsid w:val="0071421C"/>
    <w:rsid w:val="007142E0"/>
    <w:rsid w:val="00715D6B"/>
    <w:rsid w:val="00717F6B"/>
    <w:rsid w:val="007212F0"/>
    <w:rsid w:val="00721C56"/>
    <w:rsid w:val="00722EC6"/>
    <w:rsid w:val="00723C5D"/>
    <w:rsid w:val="00723FF6"/>
    <w:rsid w:val="0072460B"/>
    <w:rsid w:val="00726876"/>
    <w:rsid w:val="007269B1"/>
    <w:rsid w:val="00726AE0"/>
    <w:rsid w:val="00727465"/>
    <w:rsid w:val="0073007A"/>
    <w:rsid w:val="00730DF7"/>
    <w:rsid w:val="0073123A"/>
    <w:rsid w:val="00732633"/>
    <w:rsid w:val="007331F6"/>
    <w:rsid w:val="0073362F"/>
    <w:rsid w:val="00733A3E"/>
    <w:rsid w:val="00734423"/>
    <w:rsid w:val="00736B54"/>
    <w:rsid w:val="00736EFC"/>
    <w:rsid w:val="00740513"/>
    <w:rsid w:val="00740605"/>
    <w:rsid w:val="00740FA5"/>
    <w:rsid w:val="007423EC"/>
    <w:rsid w:val="007440A8"/>
    <w:rsid w:val="00747B97"/>
    <w:rsid w:val="00747DD4"/>
    <w:rsid w:val="00747F55"/>
    <w:rsid w:val="00751413"/>
    <w:rsid w:val="00751820"/>
    <w:rsid w:val="00751B7E"/>
    <w:rsid w:val="00752AB2"/>
    <w:rsid w:val="00753A0F"/>
    <w:rsid w:val="00754193"/>
    <w:rsid w:val="007556C8"/>
    <w:rsid w:val="00756C9B"/>
    <w:rsid w:val="00756FA1"/>
    <w:rsid w:val="007605DF"/>
    <w:rsid w:val="0076244A"/>
    <w:rsid w:val="00762D9D"/>
    <w:rsid w:val="00763FD6"/>
    <w:rsid w:val="0076431D"/>
    <w:rsid w:val="00765260"/>
    <w:rsid w:val="00766DE9"/>
    <w:rsid w:val="007678A5"/>
    <w:rsid w:val="00770205"/>
    <w:rsid w:val="00770841"/>
    <w:rsid w:val="00771F67"/>
    <w:rsid w:val="00772012"/>
    <w:rsid w:val="00772112"/>
    <w:rsid w:val="00772C8E"/>
    <w:rsid w:val="007739AB"/>
    <w:rsid w:val="0077418F"/>
    <w:rsid w:val="00774C01"/>
    <w:rsid w:val="00776D00"/>
    <w:rsid w:val="00777875"/>
    <w:rsid w:val="007823C9"/>
    <w:rsid w:val="00782CCA"/>
    <w:rsid w:val="007835B7"/>
    <w:rsid w:val="007840E5"/>
    <w:rsid w:val="007859BC"/>
    <w:rsid w:val="00786373"/>
    <w:rsid w:val="007863E1"/>
    <w:rsid w:val="00786609"/>
    <w:rsid w:val="0078743C"/>
    <w:rsid w:val="00790B71"/>
    <w:rsid w:val="007910D3"/>
    <w:rsid w:val="007922B4"/>
    <w:rsid w:val="0079336E"/>
    <w:rsid w:val="00796BE9"/>
    <w:rsid w:val="007A1087"/>
    <w:rsid w:val="007A2064"/>
    <w:rsid w:val="007A4AD8"/>
    <w:rsid w:val="007A5BD0"/>
    <w:rsid w:val="007A6BC4"/>
    <w:rsid w:val="007A7066"/>
    <w:rsid w:val="007B140A"/>
    <w:rsid w:val="007B351A"/>
    <w:rsid w:val="007B4B46"/>
    <w:rsid w:val="007B5E5F"/>
    <w:rsid w:val="007B6CA0"/>
    <w:rsid w:val="007B6F71"/>
    <w:rsid w:val="007C06F8"/>
    <w:rsid w:val="007C27E5"/>
    <w:rsid w:val="007C2E24"/>
    <w:rsid w:val="007C3AF1"/>
    <w:rsid w:val="007C3F36"/>
    <w:rsid w:val="007C3F78"/>
    <w:rsid w:val="007C4009"/>
    <w:rsid w:val="007C4B09"/>
    <w:rsid w:val="007C5B33"/>
    <w:rsid w:val="007C6167"/>
    <w:rsid w:val="007C6EB8"/>
    <w:rsid w:val="007C7048"/>
    <w:rsid w:val="007C7809"/>
    <w:rsid w:val="007D0393"/>
    <w:rsid w:val="007D13B9"/>
    <w:rsid w:val="007D2774"/>
    <w:rsid w:val="007D52C6"/>
    <w:rsid w:val="007D562C"/>
    <w:rsid w:val="007D5C97"/>
    <w:rsid w:val="007D71F7"/>
    <w:rsid w:val="007E024C"/>
    <w:rsid w:val="007E160E"/>
    <w:rsid w:val="007E1BDD"/>
    <w:rsid w:val="007E3B03"/>
    <w:rsid w:val="007E700C"/>
    <w:rsid w:val="007E7388"/>
    <w:rsid w:val="007E76AC"/>
    <w:rsid w:val="007F0C63"/>
    <w:rsid w:val="007F1BAF"/>
    <w:rsid w:val="007F1F1C"/>
    <w:rsid w:val="007F2277"/>
    <w:rsid w:val="007F3A9A"/>
    <w:rsid w:val="007F3B5A"/>
    <w:rsid w:val="007F433C"/>
    <w:rsid w:val="007F4428"/>
    <w:rsid w:val="007F63B8"/>
    <w:rsid w:val="007F77FD"/>
    <w:rsid w:val="008004B0"/>
    <w:rsid w:val="0080133F"/>
    <w:rsid w:val="00802D61"/>
    <w:rsid w:val="008045D9"/>
    <w:rsid w:val="00806791"/>
    <w:rsid w:val="00806C8A"/>
    <w:rsid w:val="0080702C"/>
    <w:rsid w:val="00807165"/>
    <w:rsid w:val="008077FF"/>
    <w:rsid w:val="00812094"/>
    <w:rsid w:val="008125BA"/>
    <w:rsid w:val="0081333B"/>
    <w:rsid w:val="008140D7"/>
    <w:rsid w:val="0081653B"/>
    <w:rsid w:val="00817117"/>
    <w:rsid w:val="00820CBE"/>
    <w:rsid w:val="00821DF6"/>
    <w:rsid w:val="008222F7"/>
    <w:rsid w:val="00823984"/>
    <w:rsid w:val="00823CCC"/>
    <w:rsid w:val="00827179"/>
    <w:rsid w:val="0083029A"/>
    <w:rsid w:val="00830426"/>
    <w:rsid w:val="00830E02"/>
    <w:rsid w:val="00831018"/>
    <w:rsid w:val="008310A5"/>
    <w:rsid w:val="0083129C"/>
    <w:rsid w:val="00831C83"/>
    <w:rsid w:val="00831E0A"/>
    <w:rsid w:val="00833EC8"/>
    <w:rsid w:val="008343C4"/>
    <w:rsid w:val="00834418"/>
    <w:rsid w:val="00835847"/>
    <w:rsid w:val="00835C6F"/>
    <w:rsid w:val="00837429"/>
    <w:rsid w:val="0083745B"/>
    <w:rsid w:val="00840252"/>
    <w:rsid w:val="00840420"/>
    <w:rsid w:val="00842DE3"/>
    <w:rsid w:val="00844F5E"/>
    <w:rsid w:val="00846701"/>
    <w:rsid w:val="0085122C"/>
    <w:rsid w:val="008516B3"/>
    <w:rsid w:val="0085232F"/>
    <w:rsid w:val="00853DFB"/>
    <w:rsid w:val="00854E2A"/>
    <w:rsid w:val="008550CD"/>
    <w:rsid w:val="00857E3A"/>
    <w:rsid w:val="00861135"/>
    <w:rsid w:val="00861C99"/>
    <w:rsid w:val="00862848"/>
    <w:rsid w:val="00863C12"/>
    <w:rsid w:val="00864495"/>
    <w:rsid w:val="0086449D"/>
    <w:rsid w:val="00864C3F"/>
    <w:rsid w:val="008651BC"/>
    <w:rsid w:val="0086586A"/>
    <w:rsid w:val="00867059"/>
    <w:rsid w:val="00867A5A"/>
    <w:rsid w:val="008711B1"/>
    <w:rsid w:val="00871D50"/>
    <w:rsid w:val="00871FBA"/>
    <w:rsid w:val="00872119"/>
    <w:rsid w:val="008722FB"/>
    <w:rsid w:val="00872906"/>
    <w:rsid w:val="0087703C"/>
    <w:rsid w:val="00877EA2"/>
    <w:rsid w:val="008808CA"/>
    <w:rsid w:val="0088251B"/>
    <w:rsid w:val="00887D93"/>
    <w:rsid w:val="00890912"/>
    <w:rsid w:val="00890D7D"/>
    <w:rsid w:val="00891548"/>
    <w:rsid w:val="008917B4"/>
    <w:rsid w:val="00892E7B"/>
    <w:rsid w:val="008933C7"/>
    <w:rsid w:val="008941B9"/>
    <w:rsid w:val="00894216"/>
    <w:rsid w:val="008959F9"/>
    <w:rsid w:val="00896786"/>
    <w:rsid w:val="00897413"/>
    <w:rsid w:val="008A05E7"/>
    <w:rsid w:val="008A08EB"/>
    <w:rsid w:val="008A118C"/>
    <w:rsid w:val="008A2972"/>
    <w:rsid w:val="008A3618"/>
    <w:rsid w:val="008A46DC"/>
    <w:rsid w:val="008A4806"/>
    <w:rsid w:val="008A4BF4"/>
    <w:rsid w:val="008A510D"/>
    <w:rsid w:val="008A5EDE"/>
    <w:rsid w:val="008A7A4E"/>
    <w:rsid w:val="008A7C4F"/>
    <w:rsid w:val="008B2FA8"/>
    <w:rsid w:val="008B3253"/>
    <w:rsid w:val="008B73BA"/>
    <w:rsid w:val="008C020E"/>
    <w:rsid w:val="008C0E80"/>
    <w:rsid w:val="008C109A"/>
    <w:rsid w:val="008C15B3"/>
    <w:rsid w:val="008C2F9E"/>
    <w:rsid w:val="008C5742"/>
    <w:rsid w:val="008D03EA"/>
    <w:rsid w:val="008D16BD"/>
    <w:rsid w:val="008D17A7"/>
    <w:rsid w:val="008D21ED"/>
    <w:rsid w:val="008D2C15"/>
    <w:rsid w:val="008D2E91"/>
    <w:rsid w:val="008D58E2"/>
    <w:rsid w:val="008D6283"/>
    <w:rsid w:val="008D7FB0"/>
    <w:rsid w:val="008E050B"/>
    <w:rsid w:val="008E1010"/>
    <w:rsid w:val="008E1E40"/>
    <w:rsid w:val="008E2C2E"/>
    <w:rsid w:val="008E2D9D"/>
    <w:rsid w:val="008E6A50"/>
    <w:rsid w:val="008E71A8"/>
    <w:rsid w:val="008E72A8"/>
    <w:rsid w:val="008F0627"/>
    <w:rsid w:val="008F1FF1"/>
    <w:rsid w:val="008F2498"/>
    <w:rsid w:val="008F41FB"/>
    <w:rsid w:val="008F4B49"/>
    <w:rsid w:val="008F5977"/>
    <w:rsid w:val="008F5C9B"/>
    <w:rsid w:val="00901C83"/>
    <w:rsid w:val="00902206"/>
    <w:rsid w:val="0090236B"/>
    <w:rsid w:val="0090330F"/>
    <w:rsid w:val="009039C8"/>
    <w:rsid w:val="0090481A"/>
    <w:rsid w:val="00904BCF"/>
    <w:rsid w:val="00905B4E"/>
    <w:rsid w:val="00905B77"/>
    <w:rsid w:val="00906522"/>
    <w:rsid w:val="00906FD6"/>
    <w:rsid w:val="00907383"/>
    <w:rsid w:val="009079D0"/>
    <w:rsid w:val="00907DCD"/>
    <w:rsid w:val="009104AA"/>
    <w:rsid w:val="00912F00"/>
    <w:rsid w:val="00914466"/>
    <w:rsid w:val="00915D8A"/>
    <w:rsid w:val="00917746"/>
    <w:rsid w:val="009209A5"/>
    <w:rsid w:val="00920F98"/>
    <w:rsid w:val="00922448"/>
    <w:rsid w:val="009228BB"/>
    <w:rsid w:val="00922FDA"/>
    <w:rsid w:val="009244DF"/>
    <w:rsid w:val="009258BB"/>
    <w:rsid w:val="00925CD0"/>
    <w:rsid w:val="00927EF6"/>
    <w:rsid w:val="00930D45"/>
    <w:rsid w:val="00930E14"/>
    <w:rsid w:val="009318CC"/>
    <w:rsid w:val="00933885"/>
    <w:rsid w:val="009338DA"/>
    <w:rsid w:val="009355D2"/>
    <w:rsid w:val="00935648"/>
    <w:rsid w:val="00936E93"/>
    <w:rsid w:val="00937FDA"/>
    <w:rsid w:val="00943E73"/>
    <w:rsid w:val="00947158"/>
    <w:rsid w:val="00947632"/>
    <w:rsid w:val="0094786C"/>
    <w:rsid w:val="00947B9F"/>
    <w:rsid w:val="00947FB4"/>
    <w:rsid w:val="00952D2F"/>
    <w:rsid w:val="00952D60"/>
    <w:rsid w:val="00952E44"/>
    <w:rsid w:val="00953733"/>
    <w:rsid w:val="00955447"/>
    <w:rsid w:val="00955A17"/>
    <w:rsid w:val="00957C50"/>
    <w:rsid w:val="00960E12"/>
    <w:rsid w:val="009613ED"/>
    <w:rsid w:val="00962E58"/>
    <w:rsid w:val="0096331F"/>
    <w:rsid w:val="00963914"/>
    <w:rsid w:val="00963A90"/>
    <w:rsid w:val="009679C3"/>
    <w:rsid w:val="009703AC"/>
    <w:rsid w:val="009729D8"/>
    <w:rsid w:val="0097453F"/>
    <w:rsid w:val="00974577"/>
    <w:rsid w:val="00975045"/>
    <w:rsid w:val="00976670"/>
    <w:rsid w:val="00976BC3"/>
    <w:rsid w:val="00976E64"/>
    <w:rsid w:val="00977929"/>
    <w:rsid w:val="00982CF4"/>
    <w:rsid w:val="0098410B"/>
    <w:rsid w:val="0098426D"/>
    <w:rsid w:val="00984927"/>
    <w:rsid w:val="0098690E"/>
    <w:rsid w:val="00987A84"/>
    <w:rsid w:val="0099016E"/>
    <w:rsid w:val="00992378"/>
    <w:rsid w:val="00993B1F"/>
    <w:rsid w:val="00993F70"/>
    <w:rsid w:val="0099428D"/>
    <w:rsid w:val="009942EF"/>
    <w:rsid w:val="00995932"/>
    <w:rsid w:val="00996586"/>
    <w:rsid w:val="00996D49"/>
    <w:rsid w:val="009A1C77"/>
    <w:rsid w:val="009A39FC"/>
    <w:rsid w:val="009A51E6"/>
    <w:rsid w:val="009A5BC5"/>
    <w:rsid w:val="009A5EA1"/>
    <w:rsid w:val="009A61AA"/>
    <w:rsid w:val="009A7153"/>
    <w:rsid w:val="009A747C"/>
    <w:rsid w:val="009A77EA"/>
    <w:rsid w:val="009A7807"/>
    <w:rsid w:val="009A7D91"/>
    <w:rsid w:val="009A7DAC"/>
    <w:rsid w:val="009B2B6E"/>
    <w:rsid w:val="009B3C1F"/>
    <w:rsid w:val="009B7D7E"/>
    <w:rsid w:val="009C0C71"/>
    <w:rsid w:val="009C10F7"/>
    <w:rsid w:val="009C11B1"/>
    <w:rsid w:val="009C1722"/>
    <w:rsid w:val="009C5448"/>
    <w:rsid w:val="009C6235"/>
    <w:rsid w:val="009C6482"/>
    <w:rsid w:val="009C6E76"/>
    <w:rsid w:val="009D00B8"/>
    <w:rsid w:val="009D3E42"/>
    <w:rsid w:val="009D5A4D"/>
    <w:rsid w:val="009D682E"/>
    <w:rsid w:val="009D724A"/>
    <w:rsid w:val="009D7FF6"/>
    <w:rsid w:val="009E039D"/>
    <w:rsid w:val="009E0D88"/>
    <w:rsid w:val="009E1067"/>
    <w:rsid w:val="009E40F9"/>
    <w:rsid w:val="009E5844"/>
    <w:rsid w:val="009E5E63"/>
    <w:rsid w:val="009E653F"/>
    <w:rsid w:val="009E7C9A"/>
    <w:rsid w:val="009F3EE2"/>
    <w:rsid w:val="009F4C6D"/>
    <w:rsid w:val="009F5062"/>
    <w:rsid w:val="009F51C8"/>
    <w:rsid w:val="009F7746"/>
    <w:rsid w:val="00A01D25"/>
    <w:rsid w:val="00A03158"/>
    <w:rsid w:val="00A0624A"/>
    <w:rsid w:val="00A06830"/>
    <w:rsid w:val="00A12892"/>
    <w:rsid w:val="00A14382"/>
    <w:rsid w:val="00A149DF"/>
    <w:rsid w:val="00A14F9A"/>
    <w:rsid w:val="00A157A1"/>
    <w:rsid w:val="00A1634D"/>
    <w:rsid w:val="00A1707B"/>
    <w:rsid w:val="00A3051B"/>
    <w:rsid w:val="00A30D9F"/>
    <w:rsid w:val="00A31E66"/>
    <w:rsid w:val="00A32694"/>
    <w:rsid w:val="00A32E5C"/>
    <w:rsid w:val="00A33A18"/>
    <w:rsid w:val="00A33FC7"/>
    <w:rsid w:val="00A3442B"/>
    <w:rsid w:val="00A348F9"/>
    <w:rsid w:val="00A350BE"/>
    <w:rsid w:val="00A35C8A"/>
    <w:rsid w:val="00A35E79"/>
    <w:rsid w:val="00A36343"/>
    <w:rsid w:val="00A36638"/>
    <w:rsid w:val="00A36B9A"/>
    <w:rsid w:val="00A409A9"/>
    <w:rsid w:val="00A4149B"/>
    <w:rsid w:val="00A50A4B"/>
    <w:rsid w:val="00A51ECF"/>
    <w:rsid w:val="00A5335D"/>
    <w:rsid w:val="00A5382E"/>
    <w:rsid w:val="00A56524"/>
    <w:rsid w:val="00A56BDD"/>
    <w:rsid w:val="00A610B8"/>
    <w:rsid w:val="00A61208"/>
    <w:rsid w:val="00A62660"/>
    <w:rsid w:val="00A62D2C"/>
    <w:rsid w:val="00A64D6A"/>
    <w:rsid w:val="00A66A0F"/>
    <w:rsid w:val="00A66F35"/>
    <w:rsid w:val="00A6721C"/>
    <w:rsid w:val="00A67FB0"/>
    <w:rsid w:val="00A700BE"/>
    <w:rsid w:val="00A7038D"/>
    <w:rsid w:val="00A73440"/>
    <w:rsid w:val="00A75908"/>
    <w:rsid w:val="00A75D01"/>
    <w:rsid w:val="00A76B01"/>
    <w:rsid w:val="00A813D7"/>
    <w:rsid w:val="00A83BB1"/>
    <w:rsid w:val="00A83EE4"/>
    <w:rsid w:val="00A87807"/>
    <w:rsid w:val="00A90332"/>
    <w:rsid w:val="00A94426"/>
    <w:rsid w:val="00A95DAC"/>
    <w:rsid w:val="00A9679A"/>
    <w:rsid w:val="00A9734B"/>
    <w:rsid w:val="00A97D26"/>
    <w:rsid w:val="00AA06C5"/>
    <w:rsid w:val="00AA1669"/>
    <w:rsid w:val="00AA2C92"/>
    <w:rsid w:val="00AA3400"/>
    <w:rsid w:val="00AA3A8E"/>
    <w:rsid w:val="00AA5BB8"/>
    <w:rsid w:val="00AA5D50"/>
    <w:rsid w:val="00AA6066"/>
    <w:rsid w:val="00AA6487"/>
    <w:rsid w:val="00AB001E"/>
    <w:rsid w:val="00AB0FDA"/>
    <w:rsid w:val="00AB1C79"/>
    <w:rsid w:val="00AB24DF"/>
    <w:rsid w:val="00AB27BA"/>
    <w:rsid w:val="00AB2D04"/>
    <w:rsid w:val="00AB318B"/>
    <w:rsid w:val="00AB3D07"/>
    <w:rsid w:val="00AB4C1F"/>
    <w:rsid w:val="00AB507F"/>
    <w:rsid w:val="00AB781D"/>
    <w:rsid w:val="00AB7D6A"/>
    <w:rsid w:val="00AC03BD"/>
    <w:rsid w:val="00AC0A22"/>
    <w:rsid w:val="00AC1A80"/>
    <w:rsid w:val="00AC2F2D"/>
    <w:rsid w:val="00AC3A3F"/>
    <w:rsid w:val="00AC3B0B"/>
    <w:rsid w:val="00AC3E34"/>
    <w:rsid w:val="00AC4D81"/>
    <w:rsid w:val="00AC57F1"/>
    <w:rsid w:val="00AD0A7D"/>
    <w:rsid w:val="00AD190D"/>
    <w:rsid w:val="00AD2DAB"/>
    <w:rsid w:val="00AD5CB1"/>
    <w:rsid w:val="00AD6726"/>
    <w:rsid w:val="00AD6AC1"/>
    <w:rsid w:val="00AD6C35"/>
    <w:rsid w:val="00AE18BE"/>
    <w:rsid w:val="00AE1BBB"/>
    <w:rsid w:val="00AE1C16"/>
    <w:rsid w:val="00AE2141"/>
    <w:rsid w:val="00AE2F4C"/>
    <w:rsid w:val="00AE3B4A"/>
    <w:rsid w:val="00AE3C07"/>
    <w:rsid w:val="00AE43F6"/>
    <w:rsid w:val="00AE4462"/>
    <w:rsid w:val="00AE4A87"/>
    <w:rsid w:val="00AE5591"/>
    <w:rsid w:val="00AE673D"/>
    <w:rsid w:val="00AE749B"/>
    <w:rsid w:val="00AF0629"/>
    <w:rsid w:val="00AF1BF1"/>
    <w:rsid w:val="00AF1C4A"/>
    <w:rsid w:val="00AF32B8"/>
    <w:rsid w:val="00AF3CB3"/>
    <w:rsid w:val="00AF531B"/>
    <w:rsid w:val="00AF5337"/>
    <w:rsid w:val="00AF53C2"/>
    <w:rsid w:val="00AF71F6"/>
    <w:rsid w:val="00AF7C60"/>
    <w:rsid w:val="00AF7EAF"/>
    <w:rsid w:val="00B005C5"/>
    <w:rsid w:val="00B007D6"/>
    <w:rsid w:val="00B01E5D"/>
    <w:rsid w:val="00B020D0"/>
    <w:rsid w:val="00B02305"/>
    <w:rsid w:val="00B02E23"/>
    <w:rsid w:val="00B060D5"/>
    <w:rsid w:val="00B1074A"/>
    <w:rsid w:val="00B1175D"/>
    <w:rsid w:val="00B1177C"/>
    <w:rsid w:val="00B12731"/>
    <w:rsid w:val="00B12AA5"/>
    <w:rsid w:val="00B13589"/>
    <w:rsid w:val="00B146BC"/>
    <w:rsid w:val="00B14DF1"/>
    <w:rsid w:val="00B153B3"/>
    <w:rsid w:val="00B1730C"/>
    <w:rsid w:val="00B17CBB"/>
    <w:rsid w:val="00B20BBF"/>
    <w:rsid w:val="00B21481"/>
    <w:rsid w:val="00B21672"/>
    <w:rsid w:val="00B217CC"/>
    <w:rsid w:val="00B24977"/>
    <w:rsid w:val="00B25447"/>
    <w:rsid w:val="00B26094"/>
    <w:rsid w:val="00B264D8"/>
    <w:rsid w:val="00B271C9"/>
    <w:rsid w:val="00B31C57"/>
    <w:rsid w:val="00B32F09"/>
    <w:rsid w:val="00B33D96"/>
    <w:rsid w:val="00B33E36"/>
    <w:rsid w:val="00B3465A"/>
    <w:rsid w:val="00B34F0E"/>
    <w:rsid w:val="00B35F5F"/>
    <w:rsid w:val="00B36F78"/>
    <w:rsid w:val="00B3755E"/>
    <w:rsid w:val="00B404A6"/>
    <w:rsid w:val="00B40A63"/>
    <w:rsid w:val="00B41C53"/>
    <w:rsid w:val="00B43FEA"/>
    <w:rsid w:val="00B45C45"/>
    <w:rsid w:val="00B47277"/>
    <w:rsid w:val="00B47899"/>
    <w:rsid w:val="00B51047"/>
    <w:rsid w:val="00B51D19"/>
    <w:rsid w:val="00B53D99"/>
    <w:rsid w:val="00B53FBF"/>
    <w:rsid w:val="00B56C35"/>
    <w:rsid w:val="00B56FB7"/>
    <w:rsid w:val="00B57221"/>
    <w:rsid w:val="00B57619"/>
    <w:rsid w:val="00B5764D"/>
    <w:rsid w:val="00B577A6"/>
    <w:rsid w:val="00B5792A"/>
    <w:rsid w:val="00B607BE"/>
    <w:rsid w:val="00B61E09"/>
    <w:rsid w:val="00B6274D"/>
    <w:rsid w:val="00B62B63"/>
    <w:rsid w:val="00B632E5"/>
    <w:rsid w:val="00B64D41"/>
    <w:rsid w:val="00B66CB3"/>
    <w:rsid w:val="00B66D6E"/>
    <w:rsid w:val="00B67351"/>
    <w:rsid w:val="00B67D20"/>
    <w:rsid w:val="00B706C6"/>
    <w:rsid w:val="00B739CF"/>
    <w:rsid w:val="00B73D3A"/>
    <w:rsid w:val="00B7475F"/>
    <w:rsid w:val="00B80B07"/>
    <w:rsid w:val="00B8178C"/>
    <w:rsid w:val="00B81BF0"/>
    <w:rsid w:val="00B82E33"/>
    <w:rsid w:val="00B82ECB"/>
    <w:rsid w:val="00B8310B"/>
    <w:rsid w:val="00B83C8B"/>
    <w:rsid w:val="00B85BAF"/>
    <w:rsid w:val="00B8653B"/>
    <w:rsid w:val="00B90874"/>
    <w:rsid w:val="00B90BFA"/>
    <w:rsid w:val="00B923AB"/>
    <w:rsid w:val="00B93044"/>
    <w:rsid w:val="00B931B0"/>
    <w:rsid w:val="00B932C9"/>
    <w:rsid w:val="00B93ED9"/>
    <w:rsid w:val="00B947D6"/>
    <w:rsid w:val="00B9524C"/>
    <w:rsid w:val="00B95E2C"/>
    <w:rsid w:val="00BA2C17"/>
    <w:rsid w:val="00BA2D53"/>
    <w:rsid w:val="00BA40F3"/>
    <w:rsid w:val="00BA5F6B"/>
    <w:rsid w:val="00BA6BD0"/>
    <w:rsid w:val="00BA72A8"/>
    <w:rsid w:val="00BA7ECF"/>
    <w:rsid w:val="00BB0589"/>
    <w:rsid w:val="00BB1AF8"/>
    <w:rsid w:val="00BB2458"/>
    <w:rsid w:val="00BB26B1"/>
    <w:rsid w:val="00BB2E2A"/>
    <w:rsid w:val="00BB4317"/>
    <w:rsid w:val="00BB4B39"/>
    <w:rsid w:val="00BB6F58"/>
    <w:rsid w:val="00BB7E40"/>
    <w:rsid w:val="00BC3515"/>
    <w:rsid w:val="00BC4A64"/>
    <w:rsid w:val="00BC59C2"/>
    <w:rsid w:val="00BC61E5"/>
    <w:rsid w:val="00BC6B2B"/>
    <w:rsid w:val="00BD02CC"/>
    <w:rsid w:val="00BD0985"/>
    <w:rsid w:val="00BD22C7"/>
    <w:rsid w:val="00BD277B"/>
    <w:rsid w:val="00BD530D"/>
    <w:rsid w:val="00BE205B"/>
    <w:rsid w:val="00BE264E"/>
    <w:rsid w:val="00BE27B1"/>
    <w:rsid w:val="00BE3868"/>
    <w:rsid w:val="00BE3D81"/>
    <w:rsid w:val="00BE4E80"/>
    <w:rsid w:val="00BE4FAF"/>
    <w:rsid w:val="00BE50EE"/>
    <w:rsid w:val="00BE5DDE"/>
    <w:rsid w:val="00BE63AC"/>
    <w:rsid w:val="00BE68B4"/>
    <w:rsid w:val="00BF3999"/>
    <w:rsid w:val="00BF6CBB"/>
    <w:rsid w:val="00C00497"/>
    <w:rsid w:val="00C029B6"/>
    <w:rsid w:val="00C03B0F"/>
    <w:rsid w:val="00C03E68"/>
    <w:rsid w:val="00C04BC5"/>
    <w:rsid w:val="00C05139"/>
    <w:rsid w:val="00C0571D"/>
    <w:rsid w:val="00C11FA4"/>
    <w:rsid w:val="00C124B7"/>
    <w:rsid w:val="00C12781"/>
    <w:rsid w:val="00C127A1"/>
    <w:rsid w:val="00C1309E"/>
    <w:rsid w:val="00C1327C"/>
    <w:rsid w:val="00C15812"/>
    <w:rsid w:val="00C15CE7"/>
    <w:rsid w:val="00C15F74"/>
    <w:rsid w:val="00C1660B"/>
    <w:rsid w:val="00C16AB3"/>
    <w:rsid w:val="00C17224"/>
    <w:rsid w:val="00C17685"/>
    <w:rsid w:val="00C177A4"/>
    <w:rsid w:val="00C20CBD"/>
    <w:rsid w:val="00C223A5"/>
    <w:rsid w:val="00C23A93"/>
    <w:rsid w:val="00C23BCF"/>
    <w:rsid w:val="00C2546E"/>
    <w:rsid w:val="00C262B5"/>
    <w:rsid w:val="00C2648A"/>
    <w:rsid w:val="00C2711D"/>
    <w:rsid w:val="00C275B4"/>
    <w:rsid w:val="00C27616"/>
    <w:rsid w:val="00C310A0"/>
    <w:rsid w:val="00C351DB"/>
    <w:rsid w:val="00C36A88"/>
    <w:rsid w:val="00C40C71"/>
    <w:rsid w:val="00C4111F"/>
    <w:rsid w:val="00C420E4"/>
    <w:rsid w:val="00C431E6"/>
    <w:rsid w:val="00C43DB8"/>
    <w:rsid w:val="00C44141"/>
    <w:rsid w:val="00C4482B"/>
    <w:rsid w:val="00C46039"/>
    <w:rsid w:val="00C47496"/>
    <w:rsid w:val="00C50B0E"/>
    <w:rsid w:val="00C53EEF"/>
    <w:rsid w:val="00C54389"/>
    <w:rsid w:val="00C55A01"/>
    <w:rsid w:val="00C56A39"/>
    <w:rsid w:val="00C57DD6"/>
    <w:rsid w:val="00C607D5"/>
    <w:rsid w:val="00C62A8F"/>
    <w:rsid w:val="00C63263"/>
    <w:rsid w:val="00C634E0"/>
    <w:rsid w:val="00C63692"/>
    <w:rsid w:val="00C671BC"/>
    <w:rsid w:val="00C70919"/>
    <w:rsid w:val="00C759E4"/>
    <w:rsid w:val="00C75BEC"/>
    <w:rsid w:val="00C808AA"/>
    <w:rsid w:val="00C80D96"/>
    <w:rsid w:val="00C83560"/>
    <w:rsid w:val="00C836E3"/>
    <w:rsid w:val="00C83A19"/>
    <w:rsid w:val="00C8527E"/>
    <w:rsid w:val="00C855D2"/>
    <w:rsid w:val="00C85E96"/>
    <w:rsid w:val="00C86FBD"/>
    <w:rsid w:val="00C87116"/>
    <w:rsid w:val="00C879C8"/>
    <w:rsid w:val="00C9128F"/>
    <w:rsid w:val="00C91666"/>
    <w:rsid w:val="00C91F93"/>
    <w:rsid w:val="00C9219D"/>
    <w:rsid w:val="00C923D5"/>
    <w:rsid w:val="00C94E84"/>
    <w:rsid w:val="00C9502B"/>
    <w:rsid w:val="00C95A94"/>
    <w:rsid w:val="00C96964"/>
    <w:rsid w:val="00CA00BB"/>
    <w:rsid w:val="00CA0D9F"/>
    <w:rsid w:val="00CA18FB"/>
    <w:rsid w:val="00CA1BD1"/>
    <w:rsid w:val="00CA1CEF"/>
    <w:rsid w:val="00CA2FDD"/>
    <w:rsid w:val="00CA4A45"/>
    <w:rsid w:val="00CA4DAA"/>
    <w:rsid w:val="00CA4DBD"/>
    <w:rsid w:val="00CA54AB"/>
    <w:rsid w:val="00CB030A"/>
    <w:rsid w:val="00CB125C"/>
    <w:rsid w:val="00CB26D4"/>
    <w:rsid w:val="00CB455B"/>
    <w:rsid w:val="00CB4D87"/>
    <w:rsid w:val="00CB53B6"/>
    <w:rsid w:val="00CC0EC9"/>
    <w:rsid w:val="00CC2188"/>
    <w:rsid w:val="00CC4E6E"/>
    <w:rsid w:val="00CC6E0A"/>
    <w:rsid w:val="00CC7617"/>
    <w:rsid w:val="00CC7935"/>
    <w:rsid w:val="00CC7EEB"/>
    <w:rsid w:val="00CD1286"/>
    <w:rsid w:val="00CD17D1"/>
    <w:rsid w:val="00CD20F9"/>
    <w:rsid w:val="00CD4AD4"/>
    <w:rsid w:val="00CD66FB"/>
    <w:rsid w:val="00CD67D5"/>
    <w:rsid w:val="00CD765B"/>
    <w:rsid w:val="00CE2A09"/>
    <w:rsid w:val="00CE2EED"/>
    <w:rsid w:val="00CE3E9B"/>
    <w:rsid w:val="00CE6927"/>
    <w:rsid w:val="00CE6D2A"/>
    <w:rsid w:val="00CE70E4"/>
    <w:rsid w:val="00CF075B"/>
    <w:rsid w:val="00CF0889"/>
    <w:rsid w:val="00CF0913"/>
    <w:rsid w:val="00CF0B35"/>
    <w:rsid w:val="00CF2156"/>
    <w:rsid w:val="00CF3A91"/>
    <w:rsid w:val="00CF41C5"/>
    <w:rsid w:val="00CF4D7B"/>
    <w:rsid w:val="00CF6914"/>
    <w:rsid w:val="00CF79D2"/>
    <w:rsid w:val="00CF7F30"/>
    <w:rsid w:val="00D003AF"/>
    <w:rsid w:val="00D049C3"/>
    <w:rsid w:val="00D06DBF"/>
    <w:rsid w:val="00D0747E"/>
    <w:rsid w:val="00D07715"/>
    <w:rsid w:val="00D106FE"/>
    <w:rsid w:val="00D10ED3"/>
    <w:rsid w:val="00D125E8"/>
    <w:rsid w:val="00D12D3B"/>
    <w:rsid w:val="00D12EA3"/>
    <w:rsid w:val="00D13C4B"/>
    <w:rsid w:val="00D141C8"/>
    <w:rsid w:val="00D14535"/>
    <w:rsid w:val="00D14AA5"/>
    <w:rsid w:val="00D15FDA"/>
    <w:rsid w:val="00D1605A"/>
    <w:rsid w:val="00D161B7"/>
    <w:rsid w:val="00D17118"/>
    <w:rsid w:val="00D172DF"/>
    <w:rsid w:val="00D20810"/>
    <w:rsid w:val="00D21ED8"/>
    <w:rsid w:val="00D22504"/>
    <w:rsid w:val="00D22A32"/>
    <w:rsid w:val="00D23012"/>
    <w:rsid w:val="00D23F3B"/>
    <w:rsid w:val="00D24589"/>
    <w:rsid w:val="00D26EC1"/>
    <w:rsid w:val="00D2709A"/>
    <w:rsid w:val="00D302D1"/>
    <w:rsid w:val="00D30569"/>
    <w:rsid w:val="00D31737"/>
    <w:rsid w:val="00D31F30"/>
    <w:rsid w:val="00D31F45"/>
    <w:rsid w:val="00D335BB"/>
    <w:rsid w:val="00D34B05"/>
    <w:rsid w:val="00D37504"/>
    <w:rsid w:val="00D37996"/>
    <w:rsid w:val="00D40E20"/>
    <w:rsid w:val="00D41D3D"/>
    <w:rsid w:val="00D42530"/>
    <w:rsid w:val="00D4725F"/>
    <w:rsid w:val="00D52913"/>
    <w:rsid w:val="00D54091"/>
    <w:rsid w:val="00D54B9A"/>
    <w:rsid w:val="00D54F2F"/>
    <w:rsid w:val="00D5558A"/>
    <w:rsid w:val="00D557F5"/>
    <w:rsid w:val="00D61100"/>
    <w:rsid w:val="00D6181A"/>
    <w:rsid w:val="00D61C45"/>
    <w:rsid w:val="00D62AEF"/>
    <w:rsid w:val="00D62CE1"/>
    <w:rsid w:val="00D64DD6"/>
    <w:rsid w:val="00D6587C"/>
    <w:rsid w:val="00D662D3"/>
    <w:rsid w:val="00D70B23"/>
    <w:rsid w:val="00D70D49"/>
    <w:rsid w:val="00D72563"/>
    <w:rsid w:val="00D72C4E"/>
    <w:rsid w:val="00D74B04"/>
    <w:rsid w:val="00D756CA"/>
    <w:rsid w:val="00D75C81"/>
    <w:rsid w:val="00D77713"/>
    <w:rsid w:val="00D7798A"/>
    <w:rsid w:val="00D80053"/>
    <w:rsid w:val="00D81DED"/>
    <w:rsid w:val="00D8307B"/>
    <w:rsid w:val="00D8327C"/>
    <w:rsid w:val="00D836F7"/>
    <w:rsid w:val="00D84645"/>
    <w:rsid w:val="00D84D32"/>
    <w:rsid w:val="00D864F8"/>
    <w:rsid w:val="00D86ACF"/>
    <w:rsid w:val="00D879A3"/>
    <w:rsid w:val="00D93123"/>
    <w:rsid w:val="00D9320C"/>
    <w:rsid w:val="00D93CC5"/>
    <w:rsid w:val="00D95878"/>
    <w:rsid w:val="00DA50A5"/>
    <w:rsid w:val="00DA527C"/>
    <w:rsid w:val="00DA5B6B"/>
    <w:rsid w:val="00DA5EEB"/>
    <w:rsid w:val="00DA603F"/>
    <w:rsid w:val="00DA6F0A"/>
    <w:rsid w:val="00DA700C"/>
    <w:rsid w:val="00DB2EF0"/>
    <w:rsid w:val="00DB4640"/>
    <w:rsid w:val="00DB5E25"/>
    <w:rsid w:val="00DB72D0"/>
    <w:rsid w:val="00DB7A68"/>
    <w:rsid w:val="00DC0B69"/>
    <w:rsid w:val="00DC350C"/>
    <w:rsid w:val="00DC3F6F"/>
    <w:rsid w:val="00DC44F4"/>
    <w:rsid w:val="00DC5D12"/>
    <w:rsid w:val="00DD027E"/>
    <w:rsid w:val="00DD0447"/>
    <w:rsid w:val="00DD3D16"/>
    <w:rsid w:val="00DD688C"/>
    <w:rsid w:val="00DE07A9"/>
    <w:rsid w:val="00DE07FB"/>
    <w:rsid w:val="00DE0DD9"/>
    <w:rsid w:val="00DE12ED"/>
    <w:rsid w:val="00DE2783"/>
    <w:rsid w:val="00DE27B8"/>
    <w:rsid w:val="00DE3D55"/>
    <w:rsid w:val="00DE5707"/>
    <w:rsid w:val="00DE70C6"/>
    <w:rsid w:val="00DF0DB1"/>
    <w:rsid w:val="00DF21A8"/>
    <w:rsid w:val="00DF3A84"/>
    <w:rsid w:val="00DF4EB7"/>
    <w:rsid w:val="00DF70F6"/>
    <w:rsid w:val="00DF7C6E"/>
    <w:rsid w:val="00E01663"/>
    <w:rsid w:val="00E01A46"/>
    <w:rsid w:val="00E03F1C"/>
    <w:rsid w:val="00E04FDE"/>
    <w:rsid w:val="00E070B6"/>
    <w:rsid w:val="00E07A39"/>
    <w:rsid w:val="00E104EF"/>
    <w:rsid w:val="00E125CB"/>
    <w:rsid w:val="00E134B0"/>
    <w:rsid w:val="00E13C7D"/>
    <w:rsid w:val="00E13EDF"/>
    <w:rsid w:val="00E146EE"/>
    <w:rsid w:val="00E14987"/>
    <w:rsid w:val="00E165C9"/>
    <w:rsid w:val="00E17165"/>
    <w:rsid w:val="00E20264"/>
    <w:rsid w:val="00E202E6"/>
    <w:rsid w:val="00E20691"/>
    <w:rsid w:val="00E21B3E"/>
    <w:rsid w:val="00E21F7E"/>
    <w:rsid w:val="00E224C3"/>
    <w:rsid w:val="00E23B83"/>
    <w:rsid w:val="00E23FD1"/>
    <w:rsid w:val="00E25D87"/>
    <w:rsid w:val="00E27377"/>
    <w:rsid w:val="00E27BEF"/>
    <w:rsid w:val="00E300EC"/>
    <w:rsid w:val="00E30D87"/>
    <w:rsid w:val="00E30DEA"/>
    <w:rsid w:val="00E31E46"/>
    <w:rsid w:val="00E332F5"/>
    <w:rsid w:val="00E34AE2"/>
    <w:rsid w:val="00E372FA"/>
    <w:rsid w:val="00E37601"/>
    <w:rsid w:val="00E42235"/>
    <w:rsid w:val="00E43B3E"/>
    <w:rsid w:val="00E4414C"/>
    <w:rsid w:val="00E443BA"/>
    <w:rsid w:val="00E45D5D"/>
    <w:rsid w:val="00E45FB7"/>
    <w:rsid w:val="00E470CE"/>
    <w:rsid w:val="00E50F94"/>
    <w:rsid w:val="00E528C9"/>
    <w:rsid w:val="00E53D40"/>
    <w:rsid w:val="00E5462E"/>
    <w:rsid w:val="00E55CD6"/>
    <w:rsid w:val="00E61A5B"/>
    <w:rsid w:val="00E63640"/>
    <w:rsid w:val="00E64BE9"/>
    <w:rsid w:val="00E64CB0"/>
    <w:rsid w:val="00E65605"/>
    <w:rsid w:val="00E65AFF"/>
    <w:rsid w:val="00E6767D"/>
    <w:rsid w:val="00E70E38"/>
    <w:rsid w:val="00E7411A"/>
    <w:rsid w:val="00E77994"/>
    <w:rsid w:val="00E77A83"/>
    <w:rsid w:val="00E80404"/>
    <w:rsid w:val="00E82087"/>
    <w:rsid w:val="00E8258E"/>
    <w:rsid w:val="00E83645"/>
    <w:rsid w:val="00E84E98"/>
    <w:rsid w:val="00E85972"/>
    <w:rsid w:val="00E90E9C"/>
    <w:rsid w:val="00E92C25"/>
    <w:rsid w:val="00E93CF9"/>
    <w:rsid w:val="00E94FB0"/>
    <w:rsid w:val="00E9512C"/>
    <w:rsid w:val="00EA0077"/>
    <w:rsid w:val="00EA0E38"/>
    <w:rsid w:val="00EA1872"/>
    <w:rsid w:val="00EA1DB8"/>
    <w:rsid w:val="00EA604E"/>
    <w:rsid w:val="00EA6536"/>
    <w:rsid w:val="00EA7167"/>
    <w:rsid w:val="00EA78D0"/>
    <w:rsid w:val="00EB0026"/>
    <w:rsid w:val="00EB0384"/>
    <w:rsid w:val="00EB31CC"/>
    <w:rsid w:val="00EB35C6"/>
    <w:rsid w:val="00EB39F8"/>
    <w:rsid w:val="00EB3AE8"/>
    <w:rsid w:val="00EB6192"/>
    <w:rsid w:val="00EB6196"/>
    <w:rsid w:val="00EB67F0"/>
    <w:rsid w:val="00EB6B0C"/>
    <w:rsid w:val="00EB6F46"/>
    <w:rsid w:val="00EB7AF8"/>
    <w:rsid w:val="00EB7C41"/>
    <w:rsid w:val="00EB7E08"/>
    <w:rsid w:val="00EC058C"/>
    <w:rsid w:val="00EC1BDE"/>
    <w:rsid w:val="00EC1F4B"/>
    <w:rsid w:val="00EC3F67"/>
    <w:rsid w:val="00EC4F0B"/>
    <w:rsid w:val="00ED1413"/>
    <w:rsid w:val="00ED1663"/>
    <w:rsid w:val="00ED353D"/>
    <w:rsid w:val="00ED3A2D"/>
    <w:rsid w:val="00ED4106"/>
    <w:rsid w:val="00ED4499"/>
    <w:rsid w:val="00ED50F5"/>
    <w:rsid w:val="00ED6BE1"/>
    <w:rsid w:val="00ED7099"/>
    <w:rsid w:val="00ED7757"/>
    <w:rsid w:val="00EE009A"/>
    <w:rsid w:val="00EE027B"/>
    <w:rsid w:val="00EE285F"/>
    <w:rsid w:val="00EE31DF"/>
    <w:rsid w:val="00EE335F"/>
    <w:rsid w:val="00EE5B77"/>
    <w:rsid w:val="00EE7702"/>
    <w:rsid w:val="00EE7916"/>
    <w:rsid w:val="00EF1C6E"/>
    <w:rsid w:val="00EF2AE5"/>
    <w:rsid w:val="00EF2B37"/>
    <w:rsid w:val="00EF2C80"/>
    <w:rsid w:val="00EF331E"/>
    <w:rsid w:val="00EF4D3B"/>
    <w:rsid w:val="00EF52FD"/>
    <w:rsid w:val="00EF6155"/>
    <w:rsid w:val="00EF6A34"/>
    <w:rsid w:val="00EF7579"/>
    <w:rsid w:val="00EF75D5"/>
    <w:rsid w:val="00F00BE0"/>
    <w:rsid w:val="00F016BD"/>
    <w:rsid w:val="00F026F0"/>
    <w:rsid w:val="00F03B81"/>
    <w:rsid w:val="00F05814"/>
    <w:rsid w:val="00F0680A"/>
    <w:rsid w:val="00F06ED0"/>
    <w:rsid w:val="00F112C7"/>
    <w:rsid w:val="00F12013"/>
    <w:rsid w:val="00F12999"/>
    <w:rsid w:val="00F12D6D"/>
    <w:rsid w:val="00F13822"/>
    <w:rsid w:val="00F143DC"/>
    <w:rsid w:val="00F14565"/>
    <w:rsid w:val="00F14A70"/>
    <w:rsid w:val="00F175A5"/>
    <w:rsid w:val="00F17CC1"/>
    <w:rsid w:val="00F226F7"/>
    <w:rsid w:val="00F230F1"/>
    <w:rsid w:val="00F275C3"/>
    <w:rsid w:val="00F27B8D"/>
    <w:rsid w:val="00F304FB"/>
    <w:rsid w:val="00F3095E"/>
    <w:rsid w:val="00F313F8"/>
    <w:rsid w:val="00F315AB"/>
    <w:rsid w:val="00F32432"/>
    <w:rsid w:val="00F33E41"/>
    <w:rsid w:val="00F33F07"/>
    <w:rsid w:val="00F35871"/>
    <w:rsid w:val="00F35D52"/>
    <w:rsid w:val="00F35F8C"/>
    <w:rsid w:val="00F36C93"/>
    <w:rsid w:val="00F373E1"/>
    <w:rsid w:val="00F42574"/>
    <w:rsid w:val="00F45257"/>
    <w:rsid w:val="00F45805"/>
    <w:rsid w:val="00F45CA2"/>
    <w:rsid w:val="00F45D78"/>
    <w:rsid w:val="00F46154"/>
    <w:rsid w:val="00F46569"/>
    <w:rsid w:val="00F46AD5"/>
    <w:rsid w:val="00F47598"/>
    <w:rsid w:val="00F47DCD"/>
    <w:rsid w:val="00F50AC7"/>
    <w:rsid w:val="00F50CA4"/>
    <w:rsid w:val="00F50CE7"/>
    <w:rsid w:val="00F51438"/>
    <w:rsid w:val="00F5301A"/>
    <w:rsid w:val="00F538BB"/>
    <w:rsid w:val="00F549E7"/>
    <w:rsid w:val="00F55237"/>
    <w:rsid w:val="00F5550D"/>
    <w:rsid w:val="00F55934"/>
    <w:rsid w:val="00F57CF3"/>
    <w:rsid w:val="00F60C92"/>
    <w:rsid w:val="00F618BB"/>
    <w:rsid w:val="00F62689"/>
    <w:rsid w:val="00F62FB3"/>
    <w:rsid w:val="00F6302F"/>
    <w:rsid w:val="00F64EF0"/>
    <w:rsid w:val="00F67625"/>
    <w:rsid w:val="00F70E76"/>
    <w:rsid w:val="00F725A5"/>
    <w:rsid w:val="00F73671"/>
    <w:rsid w:val="00F74906"/>
    <w:rsid w:val="00F76B14"/>
    <w:rsid w:val="00F81487"/>
    <w:rsid w:val="00F8366E"/>
    <w:rsid w:val="00F849F9"/>
    <w:rsid w:val="00F85F21"/>
    <w:rsid w:val="00F90134"/>
    <w:rsid w:val="00F90CF5"/>
    <w:rsid w:val="00F90E69"/>
    <w:rsid w:val="00F91AD8"/>
    <w:rsid w:val="00F922B1"/>
    <w:rsid w:val="00FA0173"/>
    <w:rsid w:val="00FA0E80"/>
    <w:rsid w:val="00FA1CBD"/>
    <w:rsid w:val="00FA204E"/>
    <w:rsid w:val="00FA31AF"/>
    <w:rsid w:val="00FA56EF"/>
    <w:rsid w:val="00FA5D99"/>
    <w:rsid w:val="00FA5F0B"/>
    <w:rsid w:val="00FA6505"/>
    <w:rsid w:val="00FA72F6"/>
    <w:rsid w:val="00FB0FB6"/>
    <w:rsid w:val="00FB10A3"/>
    <w:rsid w:val="00FB36D4"/>
    <w:rsid w:val="00FB3B0F"/>
    <w:rsid w:val="00FB510B"/>
    <w:rsid w:val="00FB5690"/>
    <w:rsid w:val="00FB5D1B"/>
    <w:rsid w:val="00FB68C8"/>
    <w:rsid w:val="00FB75F9"/>
    <w:rsid w:val="00FB76D2"/>
    <w:rsid w:val="00FB7C5A"/>
    <w:rsid w:val="00FC1C97"/>
    <w:rsid w:val="00FC26BF"/>
    <w:rsid w:val="00FC423E"/>
    <w:rsid w:val="00FC523E"/>
    <w:rsid w:val="00FC6CE0"/>
    <w:rsid w:val="00FC7232"/>
    <w:rsid w:val="00FC73C7"/>
    <w:rsid w:val="00FC7525"/>
    <w:rsid w:val="00FC771E"/>
    <w:rsid w:val="00FC790A"/>
    <w:rsid w:val="00FD02C5"/>
    <w:rsid w:val="00FD1A30"/>
    <w:rsid w:val="00FD2230"/>
    <w:rsid w:val="00FD418F"/>
    <w:rsid w:val="00FD4365"/>
    <w:rsid w:val="00FD4D39"/>
    <w:rsid w:val="00FD4F52"/>
    <w:rsid w:val="00FD532F"/>
    <w:rsid w:val="00FD6485"/>
    <w:rsid w:val="00FE1EF3"/>
    <w:rsid w:val="00FE315D"/>
    <w:rsid w:val="00FE3182"/>
    <w:rsid w:val="00FE41E1"/>
    <w:rsid w:val="00FE496B"/>
    <w:rsid w:val="00FE55F1"/>
    <w:rsid w:val="00FF07E9"/>
    <w:rsid w:val="00FF213C"/>
    <w:rsid w:val="00FF2C66"/>
    <w:rsid w:val="00FF4D81"/>
    <w:rsid w:val="00FF6CBD"/>
    <w:rsid w:val="00FF75F5"/>
    <w:rsid w:val="01011432"/>
    <w:rsid w:val="01592D24"/>
    <w:rsid w:val="01655E65"/>
    <w:rsid w:val="01775986"/>
    <w:rsid w:val="018E7ABF"/>
    <w:rsid w:val="0198796C"/>
    <w:rsid w:val="01C133B8"/>
    <w:rsid w:val="020F2171"/>
    <w:rsid w:val="023B2AFC"/>
    <w:rsid w:val="02A27E2B"/>
    <w:rsid w:val="02A3645B"/>
    <w:rsid w:val="02AA0FFA"/>
    <w:rsid w:val="02F778BD"/>
    <w:rsid w:val="03121468"/>
    <w:rsid w:val="03822C68"/>
    <w:rsid w:val="039F2BBC"/>
    <w:rsid w:val="03D01079"/>
    <w:rsid w:val="03D533B7"/>
    <w:rsid w:val="03D96AC5"/>
    <w:rsid w:val="041D6DE4"/>
    <w:rsid w:val="04883EB2"/>
    <w:rsid w:val="04AF3F3E"/>
    <w:rsid w:val="05071955"/>
    <w:rsid w:val="050B36B6"/>
    <w:rsid w:val="051E3875"/>
    <w:rsid w:val="0533125B"/>
    <w:rsid w:val="054F4EE9"/>
    <w:rsid w:val="05656433"/>
    <w:rsid w:val="056F1060"/>
    <w:rsid w:val="05D01809"/>
    <w:rsid w:val="06AB5586"/>
    <w:rsid w:val="06CB44B7"/>
    <w:rsid w:val="06EE20B1"/>
    <w:rsid w:val="075B63E2"/>
    <w:rsid w:val="078F7797"/>
    <w:rsid w:val="07A93C8C"/>
    <w:rsid w:val="07B1625B"/>
    <w:rsid w:val="07D96E9C"/>
    <w:rsid w:val="08534B88"/>
    <w:rsid w:val="08F062C2"/>
    <w:rsid w:val="08F81D17"/>
    <w:rsid w:val="090A2990"/>
    <w:rsid w:val="090B19E1"/>
    <w:rsid w:val="0910646C"/>
    <w:rsid w:val="09391BDB"/>
    <w:rsid w:val="097157CC"/>
    <w:rsid w:val="09AC6517"/>
    <w:rsid w:val="09E15530"/>
    <w:rsid w:val="0A1B58FF"/>
    <w:rsid w:val="0A406893"/>
    <w:rsid w:val="0A45223C"/>
    <w:rsid w:val="0A6D7B49"/>
    <w:rsid w:val="0AD11D45"/>
    <w:rsid w:val="0AE903B8"/>
    <w:rsid w:val="0B176704"/>
    <w:rsid w:val="0B1873A5"/>
    <w:rsid w:val="0B7462A1"/>
    <w:rsid w:val="0BA16641"/>
    <w:rsid w:val="0BE849B8"/>
    <w:rsid w:val="0BF978D5"/>
    <w:rsid w:val="0C2B3ED1"/>
    <w:rsid w:val="0C336218"/>
    <w:rsid w:val="0CAC6BB6"/>
    <w:rsid w:val="0CC34F37"/>
    <w:rsid w:val="0CEA1C84"/>
    <w:rsid w:val="0D43731A"/>
    <w:rsid w:val="0D703BC7"/>
    <w:rsid w:val="0D7041A5"/>
    <w:rsid w:val="0D784644"/>
    <w:rsid w:val="0D864353"/>
    <w:rsid w:val="0DB461AA"/>
    <w:rsid w:val="0DD505F0"/>
    <w:rsid w:val="0DEA5E6A"/>
    <w:rsid w:val="0DFC36FB"/>
    <w:rsid w:val="0E6A6868"/>
    <w:rsid w:val="0E7025B3"/>
    <w:rsid w:val="0E820056"/>
    <w:rsid w:val="0E8A76E7"/>
    <w:rsid w:val="0E9F1187"/>
    <w:rsid w:val="0EB37705"/>
    <w:rsid w:val="0F0D26CC"/>
    <w:rsid w:val="0F1113DA"/>
    <w:rsid w:val="0F184ADA"/>
    <w:rsid w:val="0F5D63CD"/>
    <w:rsid w:val="0F64266D"/>
    <w:rsid w:val="0F7200CA"/>
    <w:rsid w:val="0FA1669B"/>
    <w:rsid w:val="0FE64614"/>
    <w:rsid w:val="0FF334F9"/>
    <w:rsid w:val="100A432B"/>
    <w:rsid w:val="104844AE"/>
    <w:rsid w:val="108958F5"/>
    <w:rsid w:val="10EF538B"/>
    <w:rsid w:val="11186A50"/>
    <w:rsid w:val="11312DC0"/>
    <w:rsid w:val="114701EB"/>
    <w:rsid w:val="116F23E8"/>
    <w:rsid w:val="118848CF"/>
    <w:rsid w:val="11AB1672"/>
    <w:rsid w:val="11C11380"/>
    <w:rsid w:val="12092462"/>
    <w:rsid w:val="120F2891"/>
    <w:rsid w:val="121D403F"/>
    <w:rsid w:val="125F38A8"/>
    <w:rsid w:val="12955E7E"/>
    <w:rsid w:val="129F7C67"/>
    <w:rsid w:val="1309386A"/>
    <w:rsid w:val="13380DD8"/>
    <w:rsid w:val="1344521A"/>
    <w:rsid w:val="13645ACB"/>
    <w:rsid w:val="13927349"/>
    <w:rsid w:val="13E957B5"/>
    <w:rsid w:val="13F54664"/>
    <w:rsid w:val="14412BB2"/>
    <w:rsid w:val="144713D0"/>
    <w:rsid w:val="14665D24"/>
    <w:rsid w:val="146F2D0E"/>
    <w:rsid w:val="148461AA"/>
    <w:rsid w:val="14EB6B40"/>
    <w:rsid w:val="15542020"/>
    <w:rsid w:val="156B5F7D"/>
    <w:rsid w:val="15761F97"/>
    <w:rsid w:val="158E6E68"/>
    <w:rsid w:val="15A078BC"/>
    <w:rsid w:val="15AE34DE"/>
    <w:rsid w:val="15AE733A"/>
    <w:rsid w:val="162C08A7"/>
    <w:rsid w:val="167263BB"/>
    <w:rsid w:val="16CF48C3"/>
    <w:rsid w:val="16F93153"/>
    <w:rsid w:val="17283764"/>
    <w:rsid w:val="172A1253"/>
    <w:rsid w:val="17581A88"/>
    <w:rsid w:val="1777230E"/>
    <w:rsid w:val="17AD5A18"/>
    <w:rsid w:val="17D42FA4"/>
    <w:rsid w:val="18904498"/>
    <w:rsid w:val="18A3471E"/>
    <w:rsid w:val="192B4DF7"/>
    <w:rsid w:val="194440D5"/>
    <w:rsid w:val="19BA6371"/>
    <w:rsid w:val="19E33973"/>
    <w:rsid w:val="19F90D7B"/>
    <w:rsid w:val="1A2521DD"/>
    <w:rsid w:val="1A4964D8"/>
    <w:rsid w:val="1A9B5FFB"/>
    <w:rsid w:val="1AF6583C"/>
    <w:rsid w:val="1B746F91"/>
    <w:rsid w:val="1B7B66B5"/>
    <w:rsid w:val="1B990FB2"/>
    <w:rsid w:val="1BCF3F41"/>
    <w:rsid w:val="1C225F98"/>
    <w:rsid w:val="1C272EF4"/>
    <w:rsid w:val="1D320A97"/>
    <w:rsid w:val="1D3541D9"/>
    <w:rsid w:val="1D3E6FE0"/>
    <w:rsid w:val="1D4F2685"/>
    <w:rsid w:val="1DE30A61"/>
    <w:rsid w:val="1DFD14A7"/>
    <w:rsid w:val="1E3E2D25"/>
    <w:rsid w:val="1E4507E4"/>
    <w:rsid w:val="1E5D0198"/>
    <w:rsid w:val="1E6210B8"/>
    <w:rsid w:val="1EBF39E5"/>
    <w:rsid w:val="1EC014EF"/>
    <w:rsid w:val="1EC664F8"/>
    <w:rsid w:val="1EDA6951"/>
    <w:rsid w:val="1EF45F00"/>
    <w:rsid w:val="1F0829B6"/>
    <w:rsid w:val="1FA3607E"/>
    <w:rsid w:val="1FF91559"/>
    <w:rsid w:val="20336F4F"/>
    <w:rsid w:val="20613037"/>
    <w:rsid w:val="20CA13E8"/>
    <w:rsid w:val="21A1039B"/>
    <w:rsid w:val="21A3266E"/>
    <w:rsid w:val="21C76D7B"/>
    <w:rsid w:val="22155EFF"/>
    <w:rsid w:val="224B3570"/>
    <w:rsid w:val="226006F6"/>
    <w:rsid w:val="22665141"/>
    <w:rsid w:val="22702C63"/>
    <w:rsid w:val="22BB548D"/>
    <w:rsid w:val="22D60519"/>
    <w:rsid w:val="22FB2D4B"/>
    <w:rsid w:val="23130E25"/>
    <w:rsid w:val="23207452"/>
    <w:rsid w:val="2324721C"/>
    <w:rsid w:val="23337719"/>
    <w:rsid w:val="234D07AC"/>
    <w:rsid w:val="2364528E"/>
    <w:rsid w:val="2395665B"/>
    <w:rsid w:val="23D356E8"/>
    <w:rsid w:val="24633955"/>
    <w:rsid w:val="24686E21"/>
    <w:rsid w:val="24F36825"/>
    <w:rsid w:val="252C4420"/>
    <w:rsid w:val="25445D9E"/>
    <w:rsid w:val="255B3411"/>
    <w:rsid w:val="25E544E7"/>
    <w:rsid w:val="25F75BCF"/>
    <w:rsid w:val="263D4A6F"/>
    <w:rsid w:val="26CF57CC"/>
    <w:rsid w:val="27022042"/>
    <w:rsid w:val="276C29FF"/>
    <w:rsid w:val="27913988"/>
    <w:rsid w:val="2795721C"/>
    <w:rsid w:val="27B13177"/>
    <w:rsid w:val="28816318"/>
    <w:rsid w:val="28855A7D"/>
    <w:rsid w:val="28C62208"/>
    <w:rsid w:val="29CE3CF8"/>
    <w:rsid w:val="29E7462F"/>
    <w:rsid w:val="29EB624B"/>
    <w:rsid w:val="2A2D4EC2"/>
    <w:rsid w:val="2A472991"/>
    <w:rsid w:val="2AA2341D"/>
    <w:rsid w:val="2ABF25ED"/>
    <w:rsid w:val="2B2A3917"/>
    <w:rsid w:val="2B4D6E9E"/>
    <w:rsid w:val="2B7F799F"/>
    <w:rsid w:val="2BE95450"/>
    <w:rsid w:val="2BEE1837"/>
    <w:rsid w:val="2BFE7ED3"/>
    <w:rsid w:val="2C0440A1"/>
    <w:rsid w:val="2C2643AF"/>
    <w:rsid w:val="2CC76232"/>
    <w:rsid w:val="2CF271A5"/>
    <w:rsid w:val="2D395076"/>
    <w:rsid w:val="2D426A09"/>
    <w:rsid w:val="2D69305E"/>
    <w:rsid w:val="2D7A12FE"/>
    <w:rsid w:val="2D8400D7"/>
    <w:rsid w:val="2D851D9A"/>
    <w:rsid w:val="2DCF73D0"/>
    <w:rsid w:val="2DF018E0"/>
    <w:rsid w:val="2E5464B5"/>
    <w:rsid w:val="2E7035CF"/>
    <w:rsid w:val="2E960B5C"/>
    <w:rsid w:val="2E9F5A29"/>
    <w:rsid w:val="2ED1238B"/>
    <w:rsid w:val="2EDE0726"/>
    <w:rsid w:val="2F16402E"/>
    <w:rsid w:val="2F7B10A8"/>
    <w:rsid w:val="2FD70D8C"/>
    <w:rsid w:val="2FE7396B"/>
    <w:rsid w:val="300D7D4A"/>
    <w:rsid w:val="30FE2A72"/>
    <w:rsid w:val="314407FC"/>
    <w:rsid w:val="314C4795"/>
    <w:rsid w:val="317A6513"/>
    <w:rsid w:val="319A211B"/>
    <w:rsid w:val="31FE7C49"/>
    <w:rsid w:val="32011F47"/>
    <w:rsid w:val="324463DD"/>
    <w:rsid w:val="32CC7242"/>
    <w:rsid w:val="32DE2D05"/>
    <w:rsid w:val="3388729F"/>
    <w:rsid w:val="33EB1E03"/>
    <w:rsid w:val="346644D8"/>
    <w:rsid w:val="34CC4AF9"/>
    <w:rsid w:val="34D84DA0"/>
    <w:rsid w:val="35354D7C"/>
    <w:rsid w:val="3592207D"/>
    <w:rsid w:val="35A828B5"/>
    <w:rsid w:val="35B6520A"/>
    <w:rsid w:val="35FB1672"/>
    <w:rsid w:val="360607D9"/>
    <w:rsid w:val="36190C5C"/>
    <w:rsid w:val="363D616D"/>
    <w:rsid w:val="364B2ECB"/>
    <w:rsid w:val="3680580C"/>
    <w:rsid w:val="371B2CB9"/>
    <w:rsid w:val="37497E2D"/>
    <w:rsid w:val="377669AF"/>
    <w:rsid w:val="37B254F5"/>
    <w:rsid w:val="385A07E5"/>
    <w:rsid w:val="389E008F"/>
    <w:rsid w:val="38A94C99"/>
    <w:rsid w:val="38B9056E"/>
    <w:rsid w:val="38D17A25"/>
    <w:rsid w:val="38D6246F"/>
    <w:rsid w:val="38F00189"/>
    <w:rsid w:val="39135500"/>
    <w:rsid w:val="39396CB4"/>
    <w:rsid w:val="396E1053"/>
    <w:rsid w:val="39DD3BEB"/>
    <w:rsid w:val="39F97CAF"/>
    <w:rsid w:val="3A3C70DA"/>
    <w:rsid w:val="3A6442C7"/>
    <w:rsid w:val="3A8E5D10"/>
    <w:rsid w:val="3AE11A4E"/>
    <w:rsid w:val="3B082DE1"/>
    <w:rsid w:val="3B10495E"/>
    <w:rsid w:val="3B2A4FB6"/>
    <w:rsid w:val="3B7E7441"/>
    <w:rsid w:val="3B932D9C"/>
    <w:rsid w:val="3BC51EA3"/>
    <w:rsid w:val="3BD26834"/>
    <w:rsid w:val="3BD93263"/>
    <w:rsid w:val="3C19288C"/>
    <w:rsid w:val="3CBA43FC"/>
    <w:rsid w:val="3CCE5FE8"/>
    <w:rsid w:val="3CF4361D"/>
    <w:rsid w:val="3D1916E3"/>
    <w:rsid w:val="3D573AAE"/>
    <w:rsid w:val="3D6F62E7"/>
    <w:rsid w:val="3D9B4DA3"/>
    <w:rsid w:val="3DDC6AF7"/>
    <w:rsid w:val="3E0B1A8B"/>
    <w:rsid w:val="3E2919ED"/>
    <w:rsid w:val="3E567FE5"/>
    <w:rsid w:val="3E5F1E94"/>
    <w:rsid w:val="3EF70654"/>
    <w:rsid w:val="3EFE0737"/>
    <w:rsid w:val="3F022944"/>
    <w:rsid w:val="3F125943"/>
    <w:rsid w:val="3F176DFF"/>
    <w:rsid w:val="3F817D6A"/>
    <w:rsid w:val="3FAF4912"/>
    <w:rsid w:val="40167D4F"/>
    <w:rsid w:val="406A72FF"/>
    <w:rsid w:val="40CD787E"/>
    <w:rsid w:val="40D53766"/>
    <w:rsid w:val="415F13B8"/>
    <w:rsid w:val="41B84BA0"/>
    <w:rsid w:val="421B7832"/>
    <w:rsid w:val="42254A34"/>
    <w:rsid w:val="423157A6"/>
    <w:rsid w:val="427D2701"/>
    <w:rsid w:val="429462ED"/>
    <w:rsid w:val="42A41642"/>
    <w:rsid w:val="42BC7DDF"/>
    <w:rsid w:val="43076C51"/>
    <w:rsid w:val="43095C54"/>
    <w:rsid w:val="431E13F4"/>
    <w:rsid w:val="437E2698"/>
    <w:rsid w:val="4391606A"/>
    <w:rsid w:val="43AD43B9"/>
    <w:rsid w:val="43DD305D"/>
    <w:rsid w:val="43FA1FCE"/>
    <w:rsid w:val="44201AAB"/>
    <w:rsid w:val="447F4114"/>
    <w:rsid w:val="448A72D9"/>
    <w:rsid w:val="44EF1B82"/>
    <w:rsid w:val="450E6A6C"/>
    <w:rsid w:val="455E01CE"/>
    <w:rsid w:val="45797C51"/>
    <w:rsid w:val="45A168B6"/>
    <w:rsid w:val="45BE6EBE"/>
    <w:rsid w:val="45EE4E64"/>
    <w:rsid w:val="45FF375F"/>
    <w:rsid w:val="461B2714"/>
    <w:rsid w:val="464C6278"/>
    <w:rsid w:val="46D428E4"/>
    <w:rsid w:val="46E14C12"/>
    <w:rsid w:val="46F41301"/>
    <w:rsid w:val="46FC6C97"/>
    <w:rsid w:val="47182221"/>
    <w:rsid w:val="473D2DF8"/>
    <w:rsid w:val="477C493B"/>
    <w:rsid w:val="47CB7671"/>
    <w:rsid w:val="47F66832"/>
    <w:rsid w:val="4800731A"/>
    <w:rsid w:val="4819672D"/>
    <w:rsid w:val="48303D17"/>
    <w:rsid w:val="487023A6"/>
    <w:rsid w:val="48E22EC4"/>
    <w:rsid w:val="49305AA5"/>
    <w:rsid w:val="498679DE"/>
    <w:rsid w:val="4A6D67E8"/>
    <w:rsid w:val="4A7C7D7F"/>
    <w:rsid w:val="4A841995"/>
    <w:rsid w:val="4AD4683C"/>
    <w:rsid w:val="4AFC601F"/>
    <w:rsid w:val="4B807D59"/>
    <w:rsid w:val="4BA72EF2"/>
    <w:rsid w:val="4BCF14A0"/>
    <w:rsid w:val="4BFC189F"/>
    <w:rsid w:val="4C2130F3"/>
    <w:rsid w:val="4C3E203F"/>
    <w:rsid w:val="4C4A2448"/>
    <w:rsid w:val="4C92075D"/>
    <w:rsid w:val="4CF6285E"/>
    <w:rsid w:val="4D2302FD"/>
    <w:rsid w:val="4D720271"/>
    <w:rsid w:val="4DA954F8"/>
    <w:rsid w:val="4DED52D5"/>
    <w:rsid w:val="4E0C363C"/>
    <w:rsid w:val="4E130ED5"/>
    <w:rsid w:val="4E3B2540"/>
    <w:rsid w:val="4E4837C9"/>
    <w:rsid w:val="4ECF17A1"/>
    <w:rsid w:val="4EFB6A8D"/>
    <w:rsid w:val="4F1A65F1"/>
    <w:rsid w:val="4F73779A"/>
    <w:rsid w:val="4F81240C"/>
    <w:rsid w:val="4FB97DFA"/>
    <w:rsid w:val="504D144E"/>
    <w:rsid w:val="50902684"/>
    <w:rsid w:val="50DF56DA"/>
    <w:rsid w:val="5107369E"/>
    <w:rsid w:val="516A1F01"/>
    <w:rsid w:val="51A3771B"/>
    <w:rsid w:val="51B27751"/>
    <w:rsid w:val="51D1065E"/>
    <w:rsid w:val="522B1438"/>
    <w:rsid w:val="523209F0"/>
    <w:rsid w:val="52693681"/>
    <w:rsid w:val="527103FC"/>
    <w:rsid w:val="529A792F"/>
    <w:rsid w:val="52A4759B"/>
    <w:rsid w:val="52B35629"/>
    <w:rsid w:val="52D32AFD"/>
    <w:rsid w:val="53277E51"/>
    <w:rsid w:val="533C3528"/>
    <w:rsid w:val="53481136"/>
    <w:rsid w:val="535449BE"/>
    <w:rsid w:val="539F3171"/>
    <w:rsid w:val="53F8121B"/>
    <w:rsid w:val="54203E93"/>
    <w:rsid w:val="542E5537"/>
    <w:rsid w:val="54BD3C94"/>
    <w:rsid w:val="55992337"/>
    <w:rsid w:val="55E510BF"/>
    <w:rsid w:val="561F1F50"/>
    <w:rsid w:val="56262AA1"/>
    <w:rsid w:val="562E2336"/>
    <w:rsid w:val="565F1615"/>
    <w:rsid w:val="569109A2"/>
    <w:rsid w:val="56CE4F89"/>
    <w:rsid w:val="56E2228A"/>
    <w:rsid w:val="57B343A9"/>
    <w:rsid w:val="58452527"/>
    <w:rsid w:val="589F29CB"/>
    <w:rsid w:val="58DF6CF4"/>
    <w:rsid w:val="58F63137"/>
    <w:rsid w:val="5904132B"/>
    <w:rsid w:val="59157827"/>
    <w:rsid w:val="594400A5"/>
    <w:rsid w:val="59460EC7"/>
    <w:rsid w:val="59624ECB"/>
    <w:rsid w:val="59880110"/>
    <w:rsid w:val="59961D8E"/>
    <w:rsid w:val="59C90F05"/>
    <w:rsid w:val="59D32AE1"/>
    <w:rsid w:val="5A9410D3"/>
    <w:rsid w:val="5AB23A35"/>
    <w:rsid w:val="5AF26F96"/>
    <w:rsid w:val="5AF413B3"/>
    <w:rsid w:val="5AF96577"/>
    <w:rsid w:val="5B4F7AA0"/>
    <w:rsid w:val="5BF14D7E"/>
    <w:rsid w:val="5C3914B8"/>
    <w:rsid w:val="5C6D68F5"/>
    <w:rsid w:val="5C85755D"/>
    <w:rsid w:val="5C9F6826"/>
    <w:rsid w:val="5CC92CE5"/>
    <w:rsid w:val="5D7647EC"/>
    <w:rsid w:val="5DBA1FF8"/>
    <w:rsid w:val="5E1D3725"/>
    <w:rsid w:val="5E37668B"/>
    <w:rsid w:val="5E7E5FA2"/>
    <w:rsid w:val="5E9C51FA"/>
    <w:rsid w:val="5EB804F7"/>
    <w:rsid w:val="5EC42D73"/>
    <w:rsid w:val="5ED54C52"/>
    <w:rsid w:val="5EF27BD4"/>
    <w:rsid w:val="5F03403F"/>
    <w:rsid w:val="5F1849E5"/>
    <w:rsid w:val="5F2B37D8"/>
    <w:rsid w:val="5F355783"/>
    <w:rsid w:val="5F92436A"/>
    <w:rsid w:val="60C346C6"/>
    <w:rsid w:val="60C73328"/>
    <w:rsid w:val="60DC0072"/>
    <w:rsid w:val="61141727"/>
    <w:rsid w:val="61D41829"/>
    <w:rsid w:val="625E1FC6"/>
    <w:rsid w:val="626C53FB"/>
    <w:rsid w:val="626F7363"/>
    <w:rsid w:val="62A24303"/>
    <w:rsid w:val="62C84A81"/>
    <w:rsid w:val="62E0001C"/>
    <w:rsid w:val="62EB763E"/>
    <w:rsid w:val="630048F7"/>
    <w:rsid w:val="6309501A"/>
    <w:rsid w:val="63215DB8"/>
    <w:rsid w:val="632757F0"/>
    <w:rsid w:val="634525D5"/>
    <w:rsid w:val="63593F32"/>
    <w:rsid w:val="638C6ADC"/>
    <w:rsid w:val="63AB687C"/>
    <w:rsid w:val="63B77B8E"/>
    <w:rsid w:val="63EB3658"/>
    <w:rsid w:val="640F6E0B"/>
    <w:rsid w:val="645079A9"/>
    <w:rsid w:val="64BE130D"/>
    <w:rsid w:val="64C33752"/>
    <w:rsid w:val="64DD334F"/>
    <w:rsid w:val="650A4AEB"/>
    <w:rsid w:val="652F5490"/>
    <w:rsid w:val="65FC516D"/>
    <w:rsid w:val="665946A0"/>
    <w:rsid w:val="66617E19"/>
    <w:rsid w:val="666E595E"/>
    <w:rsid w:val="668D2269"/>
    <w:rsid w:val="668F7750"/>
    <w:rsid w:val="671107CB"/>
    <w:rsid w:val="6753700F"/>
    <w:rsid w:val="67907B2C"/>
    <w:rsid w:val="67AB0BF9"/>
    <w:rsid w:val="67FA2386"/>
    <w:rsid w:val="67FF7197"/>
    <w:rsid w:val="68707450"/>
    <w:rsid w:val="6878082B"/>
    <w:rsid w:val="68AA2D7F"/>
    <w:rsid w:val="68BD20E4"/>
    <w:rsid w:val="68F10571"/>
    <w:rsid w:val="69210067"/>
    <w:rsid w:val="692B0CE1"/>
    <w:rsid w:val="693B5FAC"/>
    <w:rsid w:val="69443884"/>
    <w:rsid w:val="69937B96"/>
    <w:rsid w:val="69EC0EE7"/>
    <w:rsid w:val="69FB3DEF"/>
    <w:rsid w:val="6A160FCF"/>
    <w:rsid w:val="6A296146"/>
    <w:rsid w:val="6A346D9F"/>
    <w:rsid w:val="6A8F72B9"/>
    <w:rsid w:val="6AAB7F50"/>
    <w:rsid w:val="6AAC6745"/>
    <w:rsid w:val="6AF20FCD"/>
    <w:rsid w:val="6B5259F4"/>
    <w:rsid w:val="6B580621"/>
    <w:rsid w:val="6B735ED1"/>
    <w:rsid w:val="6BB46349"/>
    <w:rsid w:val="6C310293"/>
    <w:rsid w:val="6C577543"/>
    <w:rsid w:val="6C5D7FE5"/>
    <w:rsid w:val="6CC90D79"/>
    <w:rsid w:val="6CFD2224"/>
    <w:rsid w:val="6D9956BA"/>
    <w:rsid w:val="6DB342B6"/>
    <w:rsid w:val="6DB765E4"/>
    <w:rsid w:val="6DFC351E"/>
    <w:rsid w:val="6E3556C0"/>
    <w:rsid w:val="6E625129"/>
    <w:rsid w:val="6EA16987"/>
    <w:rsid w:val="6F484143"/>
    <w:rsid w:val="6F574271"/>
    <w:rsid w:val="6F750F26"/>
    <w:rsid w:val="6F7B72E9"/>
    <w:rsid w:val="6F8445D4"/>
    <w:rsid w:val="6F8D5C1A"/>
    <w:rsid w:val="6F8E342E"/>
    <w:rsid w:val="6FA8133A"/>
    <w:rsid w:val="6FD27139"/>
    <w:rsid w:val="70086198"/>
    <w:rsid w:val="707B3B7E"/>
    <w:rsid w:val="70C46D11"/>
    <w:rsid w:val="70CD2B48"/>
    <w:rsid w:val="71126EE7"/>
    <w:rsid w:val="711D637A"/>
    <w:rsid w:val="711F2F6E"/>
    <w:rsid w:val="712612F0"/>
    <w:rsid w:val="71654E27"/>
    <w:rsid w:val="719E73CE"/>
    <w:rsid w:val="71CC633B"/>
    <w:rsid w:val="71F6500C"/>
    <w:rsid w:val="72353457"/>
    <w:rsid w:val="7242215A"/>
    <w:rsid w:val="724D23DE"/>
    <w:rsid w:val="728E5E02"/>
    <w:rsid w:val="72A97CC2"/>
    <w:rsid w:val="72AB1549"/>
    <w:rsid w:val="72C74D55"/>
    <w:rsid w:val="72E07D87"/>
    <w:rsid w:val="737E24ED"/>
    <w:rsid w:val="73D72776"/>
    <w:rsid w:val="742025C2"/>
    <w:rsid w:val="74203020"/>
    <w:rsid w:val="744D11B3"/>
    <w:rsid w:val="74640AAD"/>
    <w:rsid w:val="7474684A"/>
    <w:rsid w:val="74B17A6A"/>
    <w:rsid w:val="757C043C"/>
    <w:rsid w:val="75A60C51"/>
    <w:rsid w:val="76134845"/>
    <w:rsid w:val="763922F4"/>
    <w:rsid w:val="763E70DC"/>
    <w:rsid w:val="76537204"/>
    <w:rsid w:val="766308F1"/>
    <w:rsid w:val="76852F5D"/>
    <w:rsid w:val="76D96E05"/>
    <w:rsid w:val="770C0020"/>
    <w:rsid w:val="774B075C"/>
    <w:rsid w:val="77896DD2"/>
    <w:rsid w:val="77C74082"/>
    <w:rsid w:val="782A7F03"/>
    <w:rsid w:val="78434E7D"/>
    <w:rsid w:val="789F1B5A"/>
    <w:rsid w:val="78BB0EB8"/>
    <w:rsid w:val="795F7A95"/>
    <w:rsid w:val="79616DC4"/>
    <w:rsid w:val="79A05E1A"/>
    <w:rsid w:val="79E820BE"/>
    <w:rsid w:val="7A3E76AA"/>
    <w:rsid w:val="7A5A0B8E"/>
    <w:rsid w:val="7A767877"/>
    <w:rsid w:val="7A862644"/>
    <w:rsid w:val="7B055F1A"/>
    <w:rsid w:val="7B4128F5"/>
    <w:rsid w:val="7B4E7DC1"/>
    <w:rsid w:val="7B5B445D"/>
    <w:rsid w:val="7B681A01"/>
    <w:rsid w:val="7B86410F"/>
    <w:rsid w:val="7BBD6CF5"/>
    <w:rsid w:val="7BD3539E"/>
    <w:rsid w:val="7C2B0102"/>
    <w:rsid w:val="7C47478B"/>
    <w:rsid w:val="7C741AA9"/>
    <w:rsid w:val="7CA10B8B"/>
    <w:rsid w:val="7CAA31BE"/>
    <w:rsid w:val="7CB42860"/>
    <w:rsid w:val="7D021F92"/>
    <w:rsid w:val="7DD45D16"/>
    <w:rsid w:val="7DE26D93"/>
    <w:rsid w:val="7E495242"/>
    <w:rsid w:val="7E6E2E4D"/>
    <w:rsid w:val="7EBE6F11"/>
    <w:rsid w:val="7EC40A46"/>
    <w:rsid w:val="7ECF2FC7"/>
    <w:rsid w:val="7EE30DF1"/>
    <w:rsid w:val="7EE845C0"/>
    <w:rsid w:val="7F3177DE"/>
    <w:rsid w:val="7F587460"/>
    <w:rsid w:val="7F64033C"/>
    <w:rsid w:val="7F833D8D"/>
    <w:rsid w:val="7FA0304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44"/>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45"/>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paragraph" w:styleId="5">
    <w:name w:val="heading 4"/>
    <w:basedOn w:val="1"/>
    <w:next w:val="1"/>
    <w:unhideWhenUsed/>
    <w:qFormat/>
    <w:uiPriority w:val="9"/>
    <w:pPr>
      <w:numPr>
        <w:ilvl w:val="3"/>
        <w:numId w:val="1"/>
      </w:numPr>
      <w:tabs>
        <w:tab w:val="left" w:pos="0"/>
      </w:tabs>
      <w:adjustRightInd w:val="0"/>
      <w:snapToGrid w:val="0"/>
      <w:spacing w:before="50" w:beforeLines="50" w:after="20" w:afterLines="20" w:line="288" w:lineRule="auto"/>
      <w:ind w:left="0" w:firstLine="0"/>
      <w:outlineLvl w:val="3"/>
    </w:pPr>
    <w:rPr>
      <w:rFonts w:ascii="微软雅黑" w:hAnsi="微软雅黑" w:eastAsia="微软雅黑" w:cstheme="minorBidi"/>
      <w:b/>
      <w:bCs/>
      <w:sz w:val="28"/>
      <w:szCs w:val="28"/>
    </w:rPr>
  </w:style>
  <w:style w:type="paragraph" w:styleId="6">
    <w:name w:val="heading 5"/>
    <w:basedOn w:val="1"/>
    <w:next w:val="7"/>
    <w:unhideWhenUsed/>
    <w:qFormat/>
    <w:uiPriority w:val="9"/>
    <w:pPr>
      <w:numPr>
        <w:ilvl w:val="4"/>
        <w:numId w:val="1"/>
      </w:numPr>
      <w:tabs>
        <w:tab w:val="left" w:pos="312"/>
      </w:tabs>
      <w:spacing w:before="50" w:beforeLines="50" w:after="20" w:afterLines="20"/>
      <w:ind w:left="0" w:firstLine="0"/>
      <w:jc w:val="left"/>
      <w:outlineLvl w:val="4"/>
    </w:pPr>
    <w:rPr>
      <w:rFonts w:ascii="Arial" w:hAnsi="Arial"/>
      <w:b/>
      <w:sz w:val="24"/>
      <w:szCs w:val="22"/>
    </w:rPr>
  </w:style>
  <w:style w:type="character" w:default="1" w:styleId="35">
    <w:name w:val="Default Paragraph Font"/>
    <w:autoRedefine/>
    <w:semiHidden/>
    <w:qFormat/>
    <w:uiPriority w:val="0"/>
  </w:style>
  <w:style w:type="table" w:default="1" w:styleId="33">
    <w:name w:val="Normal Table"/>
    <w:autoRedefine/>
    <w:semiHidden/>
    <w:qFormat/>
    <w:uiPriority w:val="0"/>
    <w:tblPr>
      <w:tblCellMar>
        <w:top w:w="0" w:type="dxa"/>
        <w:left w:w="108" w:type="dxa"/>
        <w:bottom w:w="0" w:type="dxa"/>
        <w:right w:w="108" w:type="dxa"/>
      </w:tblCellMar>
    </w:tblPr>
  </w:style>
  <w:style w:type="paragraph" w:styleId="7">
    <w:name w:val="Body Text"/>
    <w:basedOn w:val="1"/>
    <w:link w:val="47"/>
    <w:qFormat/>
    <w:uiPriority w:val="0"/>
    <w:pPr>
      <w:tabs>
        <w:tab w:val="left" w:pos="567"/>
      </w:tabs>
      <w:spacing w:before="120" w:line="22" w:lineRule="atLeast"/>
    </w:pPr>
    <w:rPr>
      <w:rFonts w:ascii="宋体" w:hAnsi="宋体"/>
      <w:sz w:val="24"/>
    </w:rPr>
  </w:style>
  <w:style w:type="paragraph" w:styleId="8">
    <w:name w:val="toc 7"/>
    <w:basedOn w:val="1"/>
    <w:next w:val="1"/>
    <w:qFormat/>
    <w:uiPriority w:val="39"/>
    <w:pPr>
      <w:ind w:left="2520" w:leftChars="1200"/>
    </w:pPr>
  </w:style>
  <w:style w:type="paragraph" w:styleId="9">
    <w:name w:val="table of authorities"/>
    <w:basedOn w:val="1"/>
    <w:next w:val="1"/>
    <w:autoRedefine/>
    <w:qFormat/>
    <w:uiPriority w:val="0"/>
    <w:pPr>
      <w:numPr>
        <w:ilvl w:val="0"/>
        <w:numId w:val="2"/>
      </w:numPr>
      <w:ind w:left="200" w:leftChars="200"/>
    </w:pPr>
    <w:rPr>
      <w:rFonts w:ascii="Times New Roman" w:hAnsi="Times New Roman"/>
      <w:sz w:val="18"/>
      <w:szCs w:val="24"/>
    </w:rPr>
  </w:style>
  <w:style w:type="paragraph" w:styleId="10">
    <w:name w:val="Normal Indent"/>
    <w:basedOn w:val="1"/>
    <w:qFormat/>
    <w:uiPriority w:val="0"/>
    <w:pPr>
      <w:autoSpaceDE w:val="0"/>
      <w:autoSpaceDN w:val="0"/>
      <w:adjustRightInd w:val="0"/>
      <w:ind w:firstLine="420"/>
      <w:jc w:val="left"/>
    </w:pPr>
    <w:rPr>
      <w:rFonts w:ascii="宋体"/>
      <w:kern w:val="0"/>
      <w:sz w:val="24"/>
      <w:szCs w:val="20"/>
    </w:rPr>
  </w:style>
  <w:style w:type="paragraph" w:styleId="11">
    <w:name w:val="caption"/>
    <w:basedOn w:val="1"/>
    <w:next w:val="1"/>
    <w:autoRedefine/>
    <w:qFormat/>
    <w:uiPriority w:val="0"/>
    <w:pPr>
      <w:spacing w:before="152" w:after="160"/>
    </w:pPr>
    <w:rPr>
      <w:rFonts w:ascii="Arial" w:hAnsi="Arial" w:eastAsia="黑体"/>
      <w:sz w:val="20"/>
      <w:szCs w:val="20"/>
    </w:rPr>
  </w:style>
  <w:style w:type="paragraph" w:styleId="12">
    <w:name w:val="toa heading"/>
    <w:basedOn w:val="1"/>
    <w:next w:val="1"/>
    <w:qFormat/>
    <w:uiPriority w:val="0"/>
    <w:pPr>
      <w:widowControl w:val="0"/>
      <w:spacing w:before="120" w:after="0"/>
      <w:ind w:left="0" w:right="0"/>
      <w:jc w:val="both"/>
    </w:pPr>
    <w:rPr>
      <w:rFonts w:ascii="Arial" w:hAnsi="Arial" w:eastAsia="宋体" w:cs="Arial"/>
      <w:kern w:val="2"/>
      <w:sz w:val="24"/>
      <w:szCs w:val="24"/>
      <w:lang w:val="en-US" w:eastAsia="zh-CN" w:bidi="ar-SA"/>
    </w:rPr>
  </w:style>
  <w:style w:type="paragraph" w:styleId="13">
    <w:name w:val="annotation text"/>
    <w:basedOn w:val="1"/>
    <w:link w:val="46"/>
    <w:autoRedefine/>
    <w:qFormat/>
    <w:uiPriority w:val="99"/>
    <w:pPr>
      <w:jc w:val="left"/>
    </w:pPr>
  </w:style>
  <w:style w:type="paragraph" w:styleId="14">
    <w:name w:val="Body Text Indent"/>
    <w:basedOn w:val="1"/>
    <w:autoRedefine/>
    <w:qFormat/>
    <w:uiPriority w:val="0"/>
    <w:pPr>
      <w:spacing w:line="360" w:lineRule="auto"/>
      <w:ind w:firstLine="570"/>
    </w:pPr>
    <w:rPr>
      <w:sz w:val="24"/>
    </w:rPr>
  </w:style>
  <w:style w:type="paragraph" w:styleId="15">
    <w:name w:val="toc 5"/>
    <w:basedOn w:val="1"/>
    <w:next w:val="1"/>
    <w:autoRedefine/>
    <w:qFormat/>
    <w:uiPriority w:val="39"/>
    <w:pPr>
      <w:ind w:left="1680" w:leftChars="800"/>
    </w:pPr>
  </w:style>
  <w:style w:type="paragraph" w:styleId="16">
    <w:name w:val="toc 3"/>
    <w:basedOn w:val="1"/>
    <w:next w:val="1"/>
    <w:autoRedefine/>
    <w:qFormat/>
    <w:uiPriority w:val="39"/>
    <w:pPr>
      <w:tabs>
        <w:tab w:val="left" w:pos="1260"/>
        <w:tab w:val="right" w:leader="dot" w:pos="8630"/>
      </w:tabs>
      <w:ind w:left="840" w:leftChars="400"/>
    </w:pPr>
  </w:style>
  <w:style w:type="paragraph" w:styleId="17">
    <w:name w:val="Plain Text"/>
    <w:basedOn w:val="1"/>
    <w:link w:val="48"/>
    <w:autoRedefine/>
    <w:qFormat/>
    <w:uiPriority w:val="0"/>
    <w:rPr>
      <w:rFonts w:ascii="宋体" w:hAnsi="Courier New"/>
      <w:szCs w:val="20"/>
    </w:rPr>
  </w:style>
  <w:style w:type="paragraph" w:styleId="18">
    <w:name w:val="toc 8"/>
    <w:basedOn w:val="1"/>
    <w:next w:val="1"/>
    <w:autoRedefine/>
    <w:qFormat/>
    <w:uiPriority w:val="39"/>
    <w:pPr>
      <w:ind w:left="2940" w:leftChars="1400"/>
    </w:pPr>
  </w:style>
  <w:style w:type="paragraph" w:styleId="19">
    <w:name w:val="Date"/>
    <w:basedOn w:val="1"/>
    <w:next w:val="1"/>
    <w:link w:val="49"/>
    <w:autoRedefine/>
    <w:qFormat/>
    <w:uiPriority w:val="0"/>
    <w:pPr>
      <w:ind w:left="100" w:leftChars="2500"/>
    </w:pPr>
    <w:rPr>
      <w:rFonts w:ascii="仿宋_GB2312" w:hAnsi="宋体" w:eastAsia="仿宋_GB2312"/>
      <w:color w:val="000000"/>
      <w:sz w:val="24"/>
    </w:rPr>
  </w:style>
  <w:style w:type="paragraph" w:styleId="20">
    <w:name w:val="Body Text Indent 2"/>
    <w:basedOn w:val="1"/>
    <w:autoRedefine/>
    <w:qFormat/>
    <w:uiPriority w:val="0"/>
    <w:pPr>
      <w:ind w:firstLine="480" w:firstLineChars="200"/>
    </w:pPr>
    <w:rPr>
      <w:rFonts w:ascii="仿宋_GB2312" w:eastAsia="仿宋_GB2312"/>
      <w:sz w:val="24"/>
    </w:rPr>
  </w:style>
  <w:style w:type="paragraph" w:styleId="21">
    <w:name w:val="Balloon Text"/>
    <w:basedOn w:val="1"/>
    <w:link w:val="50"/>
    <w:autoRedefine/>
    <w:qFormat/>
    <w:uiPriority w:val="0"/>
    <w:rPr>
      <w:sz w:val="18"/>
      <w:szCs w:val="18"/>
    </w:rPr>
  </w:style>
  <w:style w:type="paragraph" w:styleId="22">
    <w:name w:val="footer"/>
    <w:basedOn w:val="1"/>
    <w:link w:val="51"/>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3">
    <w:name w:val="header"/>
    <w:basedOn w:val="1"/>
    <w:link w:val="52"/>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style>
  <w:style w:type="paragraph" w:styleId="25">
    <w:name w:val="toc 4"/>
    <w:basedOn w:val="1"/>
    <w:next w:val="1"/>
    <w:autoRedefine/>
    <w:qFormat/>
    <w:uiPriority w:val="39"/>
    <w:pPr>
      <w:ind w:left="1260" w:leftChars="600"/>
    </w:pPr>
  </w:style>
  <w:style w:type="paragraph" w:styleId="26">
    <w:name w:val="toc 6"/>
    <w:basedOn w:val="1"/>
    <w:next w:val="1"/>
    <w:autoRedefine/>
    <w:qFormat/>
    <w:uiPriority w:val="39"/>
    <w:pPr>
      <w:ind w:left="2100" w:leftChars="1000"/>
    </w:pPr>
  </w:style>
  <w:style w:type="paragraph" w:styleId="27">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8">
    <w:name w:val="toc 2"/>
    <w:basedOn w:val="1"/>
    <w:next w:val="1"/>
    <w:autoRedefine/>
    <w:qFormat/>
    <w:uiPriority w:val="39"/>
    <w:pPr>
      <w:ind w:left="420" w:leftChars="200"/>
    </w:pPr>
  </w:style>
  <w:style w:type="paragraph" w:styleId="29">
    <w:name w:val="toc 9"/>
    <w:basedOn w:val="1"/>
    <w:next w:val="1"/>
    <w:autoRedefine/>
    <w:qFormat/>
    <w:uiPriority w:val="39"/>
    <w:pPr>
      <w:ind w:left="3360" w:leftChars="1600"/>
    </w:pPr>
  </w:style>
  <w:style w:type="paragraph" w:styleId="30">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31">
    <w:name w:val="index 1"/>
    <w:basedOn w:val="1"/>
    <w:next w:val="1"/>
    <w:autoRedefine/>
    <w:semiHidden/>
    <w:qFormat/>
    <w:uiPriority w:val="0"/>
    <w:rPr>
      <w:szCs w:val="20"/>
    </w:rPr>
  </w:style>
  <w:style w:type="paragraph" w:styleId="32">
    <w:name w:val="annotation subject"/>
    <w:basedOn w:val="13"/>
    <w:next w:val="13"/>
    <w:link w:val="53"/>
    <w:autoRedefine/>
    <w:qFormat/>
    <w:uiPriority w:val="0"/>
    <w:rPr>
      <w:b/>
      <w:bCs/>
    </w:rPr>
  </w:style>
  <w:style w:type="table" w:styleId="34">
    <w:name w:val="Table Grid"/>
    <w:basedOn w:val="3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autoRedefine/>
    <w:qFormat/>
    <w:uiPriority w:val="0"/>
  </w:style>
  <w:style w:type="character" w:styleId="37">
    <w:name w:val="FollowedHyperlink"/>
    <w:autoRedefine/>
    <w:unhideWhenUsed/>
    <w:qFormat/>
    <w:uiPriority w:val="99"/>
    <w:rPr>
      <w:color w:val="7E1FAD"/>
      <w:u w:val="single"/>
    </w:rPr>
  </w:style>
  <w:style w:type="character" w:styleId="38">
    <w:name w:val="Hyperlink"/>
    <w:basedOn w:val="35"/>
    <w:autoRedefine/>
    <w:qFormat/>
    <w:uiPriority w:val="99"/>
    <w:rPr>
      <w:color w:val="0000FF"/>
      <w:u w:val="single"/>
    </w:rPr>
  </w:style>
  <w:style w:type="character" w:styleId="39">
    <w:name w:val="annotation reference"/>
    <w:autoRedefine/>
    <w:qFormat/>
    <w:uiPriority w:val="99"/>
    <w:rPr>
      <w:sz w:val="21"/>
      <w:szCs w:val="21"/>
    </w:rPr>
  </w:style>
  <w:style w:type="paragraph" w:customStyle="1" w:styleId="40">
    <w:name w:val="Cn Heading3"/>
    <w:basedOn w:val="41"/>
    <w:qFormat/>
    <w:uiPriority w:val="0"/>
    <w:pPr>
      <w:spacing w:line="480" w:lineRule="auto"/>
      <w:ind w:firstLine="0" w:firstLineChars="0"/>
      <w:outlineLvl w:val="2"/>
    </w:pPr>
    <w:rPr>
      <w:rFonts w:ascii="微软雅黑" w:hAnsi="微软雅黑" w:eastAsia="微软雅黑"/>
      <w:b/>
      <w:sz w:val="28"/>
      <w:szCs w:val="28"/>
      <w:lang w:eastAsia="ja-JP"/>
    </w:rPr>
  </w:style>
  <w:style w:type="paragraph" w:customStyle="1" w:styleId="41">
    <w:name w:val="列出段落1"/>
    <w:basedOn w:val="1"/>
    <w:qFormat/>
    <w:uiPriority w:val="0"/>
    <w:pPr>
      <w:ind w:firstLine="420" w:firstLineChars="200"/>
    </w:pPr>
    <w:rPr>
      <w:szCs w:val="21"/>
    </w:rPr>
  </w:style>
  <w:style w:type="paragraph" w:customStyle="1" w:styleId="42">
    <w:name w:val="首行缩进"/>
    <w:basedOn w:val="1"/>
    <w:autoRedefine/>
    <w:qFormat/>
    <w:uiPriority w:val="0"/>
    <w:pPr>
      <w:ind w:firstLine="480" w:firstLineChars="200"/>
    </w:pPr>
    <w:rPr>
      <w:sz w:val="24"/>
      <w:szCs w:val="20"/>
      <w:lang w:val="zh-CN"/>
    </w:rPr>
  </w:style>
  <w:style w:type="character" w:customStyle="1" w:styleId="43">
    <w:name w:val="标题 1 字符"/>
    <w:link w:val="2"/>
    <w:autoRedefine/>
    <w:qFormat/>
    <w:uiPriority w:val="0"/>
    <w:rPr>
      <w:rFonts w:ascii="宋体"/>
      <w:b/>
      <w:kern w:val="44"/>
      <w:sz w:val="32"/>
    </w:rPr>
  </w:style>
  <w:style w:type="character" w:customStyle="1" w:styleId="44">
    <w:name w:val="标题 2 字符1"/>
    <w:link w:val="3"/>
    <w:autoRedefine/>
    <w:qFormat/>
    <w:uiPriority w:val="0"/>
    <w:rPr>
      <w:rFonts w:ascii="Arial" w:hAnsi="Arial" w:eastAsia="黑体"/>
      <w:b/>
      <w:sz w:val="30"/>
    </w:rPr>
  </w:style>
  <w:style w:type="character" w:customStyle="1" w:styleId="45">
    <w:name w:val="标题 3 字符1"/>
    <w:link w:val="4"/>
    <w:autoRedefine/>
    <w:qFormat/>
    <w:uiPriority w:val="0"/>
    <w:rPr>
      <w:rFonts w:ascii="宋体"/>
      <w:b/>
      <w:sz w:val="24"/>
      <w:u w:val="single"/>
    </w:rPr>
  </w:style>
  <w:style w:type="character" w:customStyle="1" w:styleId="46">
    <w:name w:val="批注文字 字符"/>
    <w:link w:val="13"/>
    <w:qFormat/>
    <w:uiPriority w:val="99"/>
    <w:rPr>
      <w:kern w:val="2"/>
      <w:sz w:val="21"/>
      <w:szCs w:val="24"/>
    </w:rPr>
  </w:style>
  <w:style w:type="character" w:customStyle="1" w:styleId="47">
    <w:name w:val="正文文本 字符1"/>
    <w:link w:val="7"/>
    <w:autoRedefine/>
    <w:qFormat/>
    <w:uiPriority w:val="0"/>
    <w:rPr>
      <w:rFonts w:ascii="宋体" w:hAnsi="宋体"/>
      <w:kern w:val="2"/>
      <w:sz w:val="24"/>
      <w:szCs w:val="24"/>
    </w:rPr>
  </w:style>
  <w:style w:type="character" w:customStyle="1" w:styleId="48">
    <w:name w:val="纯文本 字符1"/>
    <w:link w:val="17"/>
    <w:qFormat/>
    <w:uiPriority w:val="0"/>
    <w:rPr>
      <w:rFonts w:ascii="宋体" w:hAnsi="Courier New"/>
      <w:kern w:val="2"/>
      <w:sz w:val="21"/>
    </w:rPr>
  </w:style>
  <w:style w:type="character" w:customStyle="1" w:styleId="49">
    <w:name w:val="日期 字符"/>
    <w:link w:val="19"/>
    <w:autoRedefine/>
    <w:qFormat/>
    <w:uiPriority w:val="0"/>
    <w:rPr>
      <w:rFonts w:ascii="仿宋_GB2312" w:hAnsi="宋体" w:eastAsia="仿宋_GB2312"/>
      <w:color w:val="000000"/>
      <w:kern w:val="2"/>
      <w:sz w:val="24"/>
      <w:szCs w:val="24"/>
    </w:rPr>
  </w:style>
  <w:style w:type="character" w:customStyle="1" w:styleId="50">
    <w:name w:val="批注框文本 字符"/>
    <w:link w:val="21"/>
    <w:autoRedefine/>
    <w:qFormat/>
    <w:uiPriority w:val="0"/>
    <w:rPr>
      <w:kern w:val="2"/>
      <w:sz w:val="18"/>
      <w:szCs w:val="18"/>
    </w:rPr>
  </w:style>
  <w:style w:type="character" w:customStyle="1" w:styleId="51">
    <w:name w:val="页脚 字符"/>
    <w:link w:val="22"/>
    <w:autoRedefine/>
    <w:qFormat/>
    <w:uiPriority w:val="99"/>
    <w:rPr>
      <w:rFonts w:ascii="宋体"/>
      <w:sz w:val="18"/>
    </w:rPr>
  </w:style>
  <w:style w:type="character" w:customStyle="1" w:styleId="52">
    <w:name w:val="页眉 字符"/>
    <w:link w:val="23"/>
    <w:qFormat/>
    <w:uiPriority w:val="0"/>
    <w:rPr>
      <w:kern w:val="2"/>
      <w:sz w:val="18"/>
      <w:szCs w:val="18"/>
    </w:rPr>
  </w:style>
  <w:style w:type="character" w:customStyle="1" w:styleId="53">
    <w:name w:val="批注主题 字符"/>
    <w:link w:val="32"/>
    <w:qFormat/>
    <w:uiPriority w:val="0"/>
    <w:rPr>
      <w:b/>
      <w:bCs/>
      <w:kern w:val="2"/>
      <w:sz w:val="21"/>
      <w:szCs w:val="24"/>
    </w:rPr>
  </w:style>
  <w:style w:type="character" w:customStyle="1" w:styleId="54">
    <w:name w:val="批注框文本 Char1"/>
    <w:semiHidden/>
    <w:qFormat/>
    <w:uiPriority w:val="99"/>
    <w:rPr>
      <w:kern w:val="2"/>
      <w:sz w:val="18"/>
      <w:szCs w:val="18"/>
    </w:rPr>
  </w:style>
  <w:style w:type="character" w:customStyle="1" w:styleId="55">
    <w:name w:val="标题 3 字符"/>
    <w:qFormat/>
    <w:uiPriority w:val="0"/>
    <w:rPr>
      <w:rFonts w:ascii="宋体"/>
      <w:b/>
      <w:sz w:val="24"/>
      <w:u w:val="single"/>
    </w:rPr>
  </w:style>
  <w:style w:type="character" w:customStyle="1" w:styleId="56">
    <w:name w:val="纯文本 Char1"/>
    <w:link w:val="57"/>
    <w:qFormat/>
    <w:uiPriority w:val="0"/>
    <w:rPr>
      <w:rFonts w:ascii="宋体" w:hAnsi="Courier New"/>
    </w:rPr>
  </w:style>
  <w:style w:type="paragraph" w:customStyle="1" w:styleId="57">
    <w:name w:val="纯文本1"/>
    <w:basedOn w:val="1"/>
    <w:link w:val="56"/>
    <w:qFormat/>
    <w:uiPriority w:val="0"/>
    <w:rPr>
      <w:rFonts w:ascii="宋体" w:hAnsi="Courier New"/>
      <w:kern w:val="0"/>
      <w:sz w:val="20"/>
      <w:szCs w:val="20"/>
    </w:rPr>
  </w:style>
  <w:style w:type="character" w:customStyle="1" w:styleId="58">
    <w:name w:val="正文文本 字符"/>
    <w:qFormat/>
    <w:uiPriority w:val="0"/>
    <w:rPr>
      <w:rFonts w:ascii="宋体" w:hAnsi="宋体"/>
      <w:kern w:val="2"/>
      <w:sz w:val="24"/>
      <w:szCs w:val="24"/>
    </w:rPr>
  </w:style>
  <w:style w:type="character" w:customStyle="1" w:styleId="59">
    <w:name w:val="纯文本 字符"/>
    <w:qFormat/>
    <w:uiPriority w:val="0"/>
    <w:rPr>
      <w:rFonts w:ascii="宋体" w:hAnsi="Courier New"/>
      <w:kern w:val="2"/>
      <w:sz w:val="21"/>
    </w:rPr>
  </w:style>
  <w:style w:type="character" w:customStyle="1" w:styleId="60">
    <w:name w:val="正文缩进 Char1"/>
    <w:link w:val="61"/>
    <w:autoRedefine/>
    <w:qFormat/>
    <w:uiPriority w:val="0"/>
    <w:rPr>
      <w:rFonts w:ascii="宋体"/>
      <w:sz w:val="24"/>
    </w:rPr>
  </w:style>
  <w:style w:type="paragraph" w:customStyle="1" w:styleId="61">
    <w:name w:val="正文缩进1"/>
    <w:basedOn w:val="1"/>
    <w:link w:val="60"/>
    <w:autoRedefine/>
    <w:qFormat/>
    <w:uiPriority w:val="0"/>
    <w:pPr>
      <w:autoSpaceDE w:val="0"/>
      <w:autoSpaceDN w:val="0"/>
      <w:adjustRightInd w:val="0"/>
      <w:ind w:firstLine="420"/>
      <w:jc w:val="left"/>
    </w:pPr>
    <w:rPr>
      <w:rFonts w:ascii="宋体"/>
      <w:kern w:val="0"/>
      <w:sz w:val="24"/>
      <w:szCs w:val="20"/>
    </w:rPr>
  </w:style>
  <w:style w:type="character" w:customStyle="1" w:styleId="62">
    <w:name w:val="批注主题 Char1"/>
    <w:semiHidden/>
    <w:qFormat/>
    <w:uiPriority w:val="99"/>
    <w:rPr>
      <w:b/>
      <w:bCs/>
      <w:kern w:val="2"/>
      <w:sz w:val="21"/>
      <w:szCs w:val="24"/>
    </w:rPr>
  </w:style>
  <w:style w:type="character" w:customStyle="1" w:styleId="63">
    <w:name w:val="批注文字 Char1"/>
    <w:semiHidden/>
    <w:qFormat/>
    <w:uiPriority w:val="99"/>
    <w:rPr>
      <w:kern w:val="2"/>
      <w:sz w:val="21"/>
      <w:szCs w:val="24"/>
    </w:rPr>
  </w:style>
  <w:style w:type="character" w:customStyle="1" w:styleId="64">
    <w:name w:val="页眉 Char1"/>
    <w:semiHidden/>
    <w:qFormat/>
    <w:uiPriority w:val="99"/>
    <w:rPr>
      <w:kern w:val="2"/>
      <w:sz w:val="18"/>
      <w:szCs w:val="18"/>
    </w:rPr>
  </w:style>
  <w:style w:type="character" w:customStyle="1" w:styleId="65">
    <w:name w:val="标题 2 字符"/>
    <w:qFormat/>
    <w:uiPriority w:val="0"/>
    <w:rPr>
      <w:rFonts w:ascii="Arial" w:hAnsi="Arial" w:eastAsia="黑体"/>
      <w:b/>
      <w:sz w:val="30"/>
    </w:rPr>
  </w:style>
  <w:style w:type="paragraph" w:styleId="66">
    <w:name w:val="List Paragraph"/>
    <w:basedOn w:val="1"/>
    <w:autoRedefine/>
    <w:qFormat/>
    <w:uiPriority w:val="34"/>
    <w:pPr>
      <w:widowControl/>
      <w:ind w:firstLine="420" w:firstLineChars="200"/>
      <w:jc w:val="left"/>
    </w:pPr>
    <w:rPr>
      <w:kern w:val="0"/>
      <w:sz w:val="24"/>
    </w:rPr>
  </w:style>
  <w:style w:type="paragraph" w:customStyle="1" w:styleId="67">
    <w:name w:val="_Style 62"/>
    <w:basedOn w:val="2"/>
    <w:next w:val="1"/>
    <w:autoRedefine/>
    <w:qFormat/>
    <w:uiPriority w:val="39"/>
    <w:pPr>
      <w:widowControl/>
      <w:autoSpaceDE/>
      <w:autoSpaceDN/>
      <w:adjustRightInd/>
      <w:spacing w:after="0" w:line="259" w:lineRule="auto"/>
      <w:jc w:val="left"/>
      <w:outlineLvl w:val="9"/>
    </w:pPr>
    <w:rPr>
      <w:rFonts w:ascii="等线 Light" w:hAnsi="等线 Light" w:eastAsia="等线 Light" w:cs="Times New Roman"/>
      <w:b w:val="0"/>
      <w:color w:val="2F5496"/>
      <w:kern w:val="0"/>
      <w:szCs w:val="32"/>
    </w:rPr>
  </w:style>
  <w:style w:type="paragraph" w:customStyle="1" w:styleId="68">
    <w:name w:val="Char"/>
    <w:basedOn w:val="1"/>
    <w:qFormat/>
    <w:uiPriority w:val="0"/>
    <w:pPr>
      <w:tabs>
        <w:tab w:val="left" w:pos="360"/>
      </w:tabs>
    </w:pPr>
    <w:rPr>
      <w:sz w:val="24"/>
    </w:rPr>
  </w:style>
  <w:style w:type="paragraph" w:customStyle="1" w:styleId="69">
    <w:name w:val="索引 11"/>
    <w:basedOn w:val="1"/>
    <w:next w:val="1"/>
    <w:qFormat/>
    <w:uiPriority w:val="0"/>
    <w:pPr>
      <w:spacing w:line="360" w:lineRule="auto"/>
    </w:pPr>
    <w:rPr>
      <w:rFonts w:ascii="仿宋_GB2312" w:eastAsia="仿宋_GB2312"/>
      <w:sz w:val="24"/>
      <w:szCs w:val="20"/>
    </w:rPr>
  </w:style>
  <w:style w:type="paragraph" w:customStyle="1" w:styleId="7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71">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72">
    <w:name w:val="xl6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32"/>
      <w:szCs w:val="32"/>
    </w:rPr>
  </w:style>
  <w:style w:type="paragraph" w:customStyle="1" w:styleId="73">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32"/>
      <w:szCs w:val="32"/>
    </w:rPr>
  </w:style>
  <w:style w:type="paragraph" w:customStyle="1" w:styleId="74">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32"/>
      <w:szCs w:val="32"/>
    </w:rPr>
  </w:style>
  <w:style w:type="paragraph" w:customStyle="1" w:styleId="75">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32"/>
      <w:szCs w:val="32"/>
    </w:rPr>
  </w:style>
  <w:style w:type="paragraph" w:customStyle="1" w:styleId="7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7">
    <w:name w:val="xl67"/>
    <w:basedOn w:val="1"/>
    <w:qFormat/>
    <w:uiPriority w:val="0"/>
    <w:pPr>
      <w:widowControl/>
      <w:shd w:val="clear" w:color="000000" w:fill="FFFF00"/>
      <w:spacing w:before="100" w:beforeAutospacing="1" w:after="100" w:afterAutospacing="1"/>
      <w:jc w:val="left"/>
    </w:pPr>
    <w:rPr>
      <w:rFonts w:ascii="宋体" w:hAnsi="宋体" w:cs="宋体"/>
      <w:kern w:val="0"/>
      <w:sz w:val="24"/>
    </w:rPr>
  </w:style>
  <w:style w:type="paragraph" w:customStyle="1" w:styleId="78">
    <w:name w:val="xl6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79">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222222"/>
      <w:kern w:val="0"/>
      <w:szCs w:val="21"/>
    </w:rPr>
  </w:style>
  <w:style w:type="paragraph" w:customStyle="1" w:styleId="80">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color w:val="222222"/>
      <w:kern w:val="0"/>
      <w:szCs w:val="21"/>
    </w:rPr>
  </w:style>
  <w:style w:type="paragraph" w:customStyle="1" w:styleId="8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222222"/>
      <w:kern w:val="0"/>
      <w:szCs w:val="21"/>
    </w:rPr>
  </w:style>
  <w:style w:type="paragraph" w:customStyle="1" w:styleId="8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222222"/>
      <w:kern w:val="0"/>
      <w:szCs w:val="21"/>
    </w:rPr>
  </w:style>
  <w:style w:type="paragraph" w:customStyle="1" w:styleId="83">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222222"/>
      <w:kern w:val="0"/>
      <w:szCs w:val="21"/>
    </w:rPr>
  </w:style>
  <w:style w:type="paragraph" w:customStyle="1" w:styleId="8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222222"/>
      <w:kern w:val="0"/>
      <w:szCs w:val="21"/>
    </w:rPr>
  </w:style>
  <w:style w:type="paragraph" w:customStyle="1" w:styleId="85">
    <w:name w:val="font7"/>
    <w:basedOn w:val="1"/>
    <w:qFormat/>
    <w:uiPriority w:val="0"/>
    <w:pPr>
      <w:widowControl/>
      <w:spacing w:before="100" w:beforeAutospacing="1" w:after="100" w:afterAutospacing="1"/>
      <w:jc w:val="left"/>
    </w:pPr>
    <w:rPr>
      <w:color w:val="222222"/>
      <w:kern w:val="0"/>
      <w:szCs w:val="21"/>
    </w:rPr>
  </w:style>
  <w:style w:type="paragraph" w:customStyle="1" w:styleId="86">
    <w:name w:val="font8"/>
    <w:basedOn w:val="1"/>
    <w:qFormat/>
    <w:uiPriority w:val="0"/>
    <w:pPr>
      <w:widowControl/>
      <w:spacing w:before="100" w:beforeAutospacing="1" w:after="100" w:afterAutospacing="1"/>
      <w:jc w:val="left"/>
    </w:pPr>
    <w:rPr>
      <w:rFonts w:ascii="宋体" w:hAnsi="宋体" w:cs="宋体"/>
      <w:color w:val="222222"/>
      <w:kern w:val="0"/>
      <w:szCs w:val="21"/>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222222"/>
      <w:kern w:val="0"/>
      <w:szCs w:val="21"/>
    </w:rPr>
  </w:style>
  <w:style w:type="character" w:customStyle="1" w:styleId="88">
    <w:name w:val="font11"/>
    <w:qFormat/>
    <w:uiPriority w:val="0"/>
    <w:rPr>
      <w:rFonts w:hint="eastAsia" w:ascii="宋体" w:hAnsi="宋体" w:eastAsia="宋体" w:cs="宋体"/>
      <w:color w:val="222222"/>
      <w:sz w:val="21"/>
      <w:szCs w:val="21"/>
      <w:u w:val="none"/>
    </w:rPr>
  </w:style>
  <w:style w:type="paragraph" w:customStyle="1" w:styleId="89">
    <w:name w:val="四级标题"/>
    <w:basedOn w:val="19"/>
    <w:qFormat/>
    <w:uiPriority w:val="0"/>
    <w:rPr>
      <w:rFonts w:eastAsia="黑体"/>
      <w:szCs w:val="22"/>
    </w:rPr>
  </w:style>
  <w:style w:type="paragraph" w:customStyle="1" w:styleId="90">
    <w:name w:val="无间隔1"/>
    <w:next w:val="11"/>
    <w:qFormat/>
    <w:uiPriority w:val="0"/>
    <w:rPr>
      <w:rFonts w:ascii="Times New Roman" w:hAnsi="Times New Roman" w:eastAsia="Times New Roman" w:cs="Times New Roman"/>
      <w:sz w:val="22"/>
      <w:lang w:val="en-US" w:eastAsia="zh-CN" w:bidi="ar-SA"/>
    </w:rPr>
  </w:style>
  <w:style w:type="paragraph" w:customStyle="1" w:styleId="91">
    <w:name w:val="Default"/>
    <w:qFormat/>
    <w:uiPriority w:val="99"/>
    <w:pPr>
      <w:widowControl w:val="0"/>
      <w:autoSpaceDE w:val="0"/>
      <w:autoSpaceDN w:val="0"/>
      <w:adjustRightInd w:val="0"/>
    </w:pPr>
    <w:rPr>
      <w:rFonts w:ascii="楷体" w:hAnsi="Calibri" w:eastAsia="楷体" w:cs="楷体"/>
      <w:color w:val="000000"/>
      <w:sz w:val="24"/>
      <w:szCs w:val="24"/>
      <w:lang w:val="en-US" w:eastAsia="zh-CN" w:bidi="ar-SA"/>
    </w:rPr>
  </w:style>
  <w:style w:type="paragraph" w:customStyle="1" w:styleId="92">
    <w:name w:val="Bullet2"/>
    <w:basedOn w:val="1"/>
    <w:qFormat/>
    <w:uiPriority w:val="0"/>
    <w:pPr>
      <w:spacing w:afterLines="50"/>
      <w:ind w:left="1440" w:hanging="360"/>
      <w:jc w:val="left"/>
    </w:pPr>
    <w:rPr>
      <w:rFonts w:ascii="宋体" w:hAnsi="Times New Roman"/>
      <w:snapToGrid w:val="0"/>
      <w:color w:val="000080"/>
      <w:kern w:val="0"/>
      <w:szCs w:val="20"/>
    </w:rPr>
  </w:style>
  <w:style w:type="paragraph" w:customStyle="1" w:styleId="93">
    <w:name w:val="样式1"/>
    <w:basedOn w:val="1"/>
    <w:qFormat/>
    <w:uiPriority w:val="99"/>
    <w:pPr>
      <w:adjustRightInd w:val="0"/>
      <w:textAlignment w:val="baseline"/>
    </w:pPr>
    <w:rPr>
      <w:rFonts w:ascii="宋体" w:hAnsi="宋体"/>
      <w:kern w:val="0"/>
      <w:szCs w:val="21"/>
    </w:rPr>
  </w:style>
  <w:style w:type="paragraph" w:customStyle="1" w:styleId="94">
    <w:name w:val="Table Text"/>
    <w:basedOn w:val="1"/>
    <w:semiHidden/>
    <w:qFormat/>
    <w:uiPriority w:val="0"/>
    <w:rPr>
      <w:rFonts w:ascii="宋体" w:hAnsi="宋体" w:eastAsia="宋体" w:cs="宋体"/>
      <w:sz w:val="21"/>
      <w:szCs w:val="21"/>
      <w:lang w:val="en-US" w:eastAsia="en-US" w:bidi="ar-SA"/>
    </w:rPr>
  </w:style>
  <w:style w:type="table" w:customStyle="1" w:styleId="95">
    <w:name w:val="Table Normal"/>
    <w:unhideWhenUsed/>
    <w:qFormat/>
    <w:uiPriority w:val="0"/>
    <w:tblPr>
      <w:tblCellMar>
        <w:top w:w="0" w:type="dxa"/>
        <w:left w:w="0" w:type="dxa"/>
        <w:bottom w:w="0" w:type="dxa"/>
        <w:right w:w="0" w:type="dxa"/>
      </w:tblCellMar>
    </w:tblPr>
  </w:style>
  <w:style w:type="paragraph" w:customStyle="1" w:styleId="9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97">
    <w:name w:val="15"/>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67</Pages>
  <Words>1722</Words>
  <Characters>2003</Characters>
  <Lines>2759</Lines>
  <Paragraphs>776</Paragraphs>
  <TotalTime>39</TotalTime>
  <ScaleCrop>false</ScaleCrop>
  <LinksUpToDate>false</LinksUpToDate>
  <CharactersWithSpaces>2270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2022-10-14T03:52:00Z</dcterms:created>
  <dc:creator>USER-</dc:creator>
  <cp:lastModifiedBy>WPS_1729098298</cp:lastModifiedBy>
  <cp:lastPrinted>2024-06-20T07:52:00Z</cp:lastPrinted>
  <dcterms:modified xsi:type="dcterms:W3CDTF">2026-03-08T17:48:31Z</dcterms:modified>
  <dc:title>02年杜范本稿</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BB613E49A9DF42039E623B9B5C086982_13</vt:lpwstr>
  </property>
  <property fmtid="{D5CDD505-2E9C-101B-9397-08002B2CF9AE}" pid="4" name="KSOTemplateDocerSaveRecord">
    <vt:lpwstr>eyJoZGlkIjoiOTg5ODRlNTNmMzRmMmIyOGFlNjEyMWQxNmVkYmQ4ZjYiLCJ1c2VySWQiOiIxNjQ1MDQwODkyIn0=</vt:lpwstr>
  </property>
</Properties>
</file>