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AF9622">
      <w:pPr>
        <w:rPr>
          <w:rFonts w:hint="eastAsia" w:ascii="黑体" w:eastAsia="黑体"/>
          <w:b/>
          <w:color w:val="000000" w:themeColor="text1"/>
          <w:sz w:val="28"/>
          <w:szCs w:val="28"/>
          <w14:textFill>
            <w14:solidFill>
              <w14:schemeClr w14:val="tx1"/>
            </w14:solidFill>
          </w14:textFill>
        </w:rPr>
      </w:pPr>
      <w:bookmarkStart w:id="0" w:name="_Toc62551528"/>
      <w:bookmarkStart w:id="1" w:name="_Toc7051"/>
      <w:bookmarkStart w:id="2" w:name="_Toc5823"/>
      <w:bookmarkStart w:id="3" w:name="_Toc22863"/>
    </w:p>
    <w:p w14:paraId="74FC666F">
      <w:pPr>
        <w:adjustRightInd w:val="0"/>
        <w:snapToGrid w:val="0"/>
        <w:ind w:left="0" w:leftChars="0" w:firstLine="0" w:firstLineChars="0"/>
        <w:jc w:val="center"/>
        <w:outlineLvl w:val="0"/>
        <w:rPr>
          <w:rFonts w:ascii="黑体" w:eastAsia="黑体"/>
          <w:b/>
          <w:color w:val="000000" w:themeColor="text1"/>
          <w:sz w:val="28"/>
          <w:szCs w:val="28"/>
          <w14:textFill>
            <w14:solidFill>
              <w14:schemeClr w14:val="tx1"/>
            </w14:solidFill>
          </w14:textFill>
        </w:rPr>
      </w:pPr>
      <w:r>
        <w:rPr>
          <w:rFonts w:hint="eastAsia" w:ascii="黑体" w:eastAsia="黑体"/>
          <w:b/>
          <w:color w:val="000000" w:themeColor="text1"/>
          <w:sz w:val="28"/>
          <w:szCs w:val="28"/>
          <w14:textFill>
            <w14:solidFill>
              <w14:schemeClr w14:val="tx1"/>
            </w14:solidFill>
          </w14:textFill>
        </w:rPr>
        <w:t>第一章 招标公告</w:t>
      </w:r>
      <w:bookmarkEnd w:id="0"/>
      <w:bookmarkEnd w:id="1"/>
      <w:bookmarkEnd w:id="2"/>
      <w:bookmarkEnd w:id="3"/>
    </w:p>
    <w:p w14:paraId="3D5D6B52">
      <w:pPr>
        <w:pStyle w:val="34"/>
        <w:ind w:left="0" w:leftChars="0" w:firstLine="0" w:firstLineChars="0"/>
        <w:jc w:val="center"/>
        <w:rPr>
          <w:rFonts w:eastAsia="楷体"/>
          <w:szCs w:val="32"/>
          <w:highlight w:val="none"/>
        </w:rPr>
      </w:pPr>
      <w:r>
        <w:rPr>
          <w:rFonts w:ascii="宋体" w:hAnsi="宋体" w:eastAsia="楷体"/>
          <w:szCs w:val="32"/>
          <w:highlight w:val="none"/>
        </w:rPr>
        <w:t>特别注意事项</w:t>
      </w:r>
    </w:p>
    <w:p w14:paraId="132BC73C">
      <w:pPr>
        <w:pStyle w:val="82"/>
        <w:spacing w:line="580" w:lineRule="exact"/>
        <w:ind w:firstLine="522" w:firstLineChars="200"/>
        <w:rPr>
          <w:rFonts w:hAnsi="宋体"/>
          <w:b/>
          <w:bCs/>
          <w:sz w:val="24"/>
          <w:szCs w:val="24"/>
          <w:highlight w:val="none"/>
        </w:rPr>
      </w:pPr>
      <w:r>
        <w:rPr>
          <w:rFonts w:hAnsi="宋体" w:cs="仿宋_GB2312"/>
          <w:b/>
          <w:bCs/>
          <w:sz w:val="24"/>
          <w:szCs w:val="24"/>
          <w:highlight w:val="none"/>
        </w:rPr>
        <w:t>1、在同一包内，不同投标人在“ECP2.0</w:t>
      </w:r>
      <w:r>
        <w:rPr>
          <w:rFonts w:hint="eastAsia" w:hAnsi="宋体" w:cs="仿宋_GB2312"/>
          <w:b/>
          <w:bCs/>
          <w:sz w:val="24"/>
          <w:szCs w:val="24"/>
          <w:highlight w:val="none"/>
        </w:rPr>
        <w:t>-电工交易专区</w:t>
      </w:r>
      <w:r>
        <w:rPr>
          <w:rFonts w:hAnsi="宋体" w:cs="仿宋_GB2312"/>
          <w:b/>
          <w:bCs/>
          <w:sz w:val="24"/>
          <w:szCs w:val="24"/>
          <w:highlight w:val="none"/>
        </w:rPr>
        <w:t>”生成任意一类投标文件</w:t>
      </w:r>
      <w:r>
        <w:rPr>
          <w:rFonts w:hint="eastAsia" w:hAnsi="宋体" w:cs="仿宋_GB2312"/>
          <w:b/>
          <w:bCs/>
          <w:sz w:val="24"/>
          <w:szCs w:val="24"/>
          <w:highlight w:val="none"/>
        </w:rPr>
        <w:t>（</w:t>
      </w:r>
      <w:r>
        <w:rPr>
          <w:rFonts w:hAnsi="宋体" w:cs="仿宋_GB2312"/>
          <w:b/>
          <w:bCs/>
          <w:sz w:val="24"/>
          <w:szCs w:val="24"/>
          <w:highlight w:val="none"/>
        </w:rPr>
        <w:t>技术、商务、价格</w:t>
      </w:r>
      <w:r>
        <w:rPr>
          <w:rFonts w:hint="eastAsia" w:hAnsi="宋体" w:cs="仿宋_GB2312"/>
          <w:b/>
          <w:bCs/>
          <w:sz w:val="24"/>
          <w:szCs w:val="24"/>
          <w:highlight w:val="none"/>
        </w:rPr>
        <w:t>）</w:t>
      </w:r>
      <w:r>
        <w:rPr>
          <w:rFonts w:hAnsi="宋体" w:cs="仿宋_GB2312"/>
          <w:b/>
          <w:bCs/>
          <w:sz w:val="24"/>
          <w:szCs w:val="24"/>
          <w:highlight w:val="none"/>
        </w:rPr>
        <w:t>的计算机MAC地址、CPU序列号、硬盘序列号信息全部一致，则视为投标人之间串通投标，经评委会审议后，予以否决 ，</w:t>
      </w:r>
      <w:r>
        <w:rPr>
          <w:rFonts w:hAnsi="宋体" w:cs="Arial"/>
          <w:b/>
          <w:bCs/>
          <w:sz w:val="24"/>
          <w:szCs w:val="24"/>
          <w:highlight w:val="none"/>
        </w:rPr>
        <w:t>并根据《国家电网有限公司供应商不良行为处理管理细则》进行相应处理。</w:t>
      </w:r>
    </w:p>
    <w:p w14:paraId="0D6042CB">
      <w:pPr>
        <w:pStyle w:val="82"/>
        <w:spacing w:line="580" w:lineRule="exact"/>
        <w:ind w:firstLine="522" w:firstLineChars="200"/>
        <w:rPr>
          <w:rFonts w:hAnsi="宋体" w:cs="黑体"/>
          <w:b/>
          <w:bCs/>
          <w:sz w:val="24"/>
          <w:szCs w:val="24"/>
          <w:highlight w:val="none"/>
        </w:rPr>
      </w:pPr>
      <w:r>
        <w:rPr>
          <w:rFonts w:hAnsi="宋体" w:cs="Arial"/>
          <w:b/>
          <w:bCs/>
          <w:sz w:val="24"/>
          <w:szCs w:val="24"/>
          <w:highlight w:val="none"/>
        </w:rPr>
        <w:t>2、</w:t>
      </w:r>
      <w:r>
        <w:rPr>
          <w:rFonts w:hAnsi="宋体" w:cs="黑体"/>
          <w:b/>
          <w:bCs/>
          <w:sz w:val="24"/>
          <w:szCs w:val="24"/>
          <w:highlight w:val="none"/>
        </w:rPr>
        <w:t>投标人存在控股、管理等关联关系，</w:t>
      </w:r>
      <w:r>
        <w:rPr>
          <w:rFonts w:hAnsi="宋体" w:cs="仿宋_GB2312"/>
          <w:b/>
          <w:bCs/>
          <w:sz w:val="24"/>
          <w:szCs w:val="24"/>
          <w:highlight w:val="none"/>
        </w:rPr>
        <w:t>表现形式包括母子公司投同一包；存在间接控股关系的爷孙公司投同一包；法定代表人或单位负责人为同一人的不同投标人投同一包，经评委会审议后，予以否决。同时若其投标文件存在异常一致等六种法定视为串</w:t>
      </w:r>
      <w:r>
        <w:rPr>
          <w:rFonts w:hAnsi="宋体" w:cs="黑体"/>
          <w:b/>
          <w:bCs/>
          <w:sz w:val="24"/>
          <w:szCs w:val="24"/>
          <w:highlight w:val="none"/>
        </w:rPr>
        <w:t>通投标情形，将根据《国家电网有限公司供应商不良行为处理管理细则》进行相应处理。</w:t>
      </w:r>
    </w:p>
    <w:p w14:paraId="15742BBF">
      <w:pPr>
        <w:pStyle w:val="82"/>
        <w:spacing w:line="580" w:lineRule="exact"/>
        <w:ind w:firstLine="522" w:firstLineChars="200"/>
        <w:rPr>
          <w:rFonts w:hAnsi="宋体" w:cs="黑体"/>
          <w:b/>
          <w:bCs/>
          <w:sz w:val="24"/>
          <w:szCs w:val="24"/>
          <w:highlight w:val="none"/>
        </w:rPr>
      </w:pPr>
      <w:r>
        <w:rPr>
          <w:rFonts w:hAnsi="宋体" w:cs="黑体"/>
          <w:b/>
          <w:bCs/>
          <w:sz w:val="24"/>
          <w:szCs w:val="24"/>
          <w:highlight w:val="none"/>
        </w:rPr>
        <w:t>3、同一标包不同投标人的投标文件异常一致，行为表现形式包括投标文件错误表述、错误计算或者笔误雷同；投标文件内容整段内容一致；试验报告、生产许可证等文件混装；投标报价呈规律性差异；投标文件载明的项目管理成员为同一人。经评委会审议后，视为串通投标予以否决 ，并根据《国家电网有限公司供应商不良行为处理管理细则》进行相应处理。</w:t>
      </w:r>
    </w:p>
    <w:p w14:paraId="51E7C921">
      <w:pPr>
        <w:pStyle w:val="82"/>
        <w:spacing w:line="580" w:lineRule="exact"/>
        <w:ind w:firstLine="261" w:firstLineChars="100"/>
        <w:rPr>
          <w:rFonts w:hAnsi="宋体" w:cs="黑体"/>
          <w:b/>
          <w:bCs/>
          <w:sz w:val="24"/>
          <w:szCs w:val="24"/>
          <w:highlight w:val="none"/>
        </w:rPr>
      </w:pPr>
      <w:r>
        <w:rPr>
          <w:rFonts w:hAnsi="宋体" w:cs="黑体"/>
          <w:b/>
          <w:bCs/>
          <w:sz w:val="24"/>
          <w:szCs w:val="24"/>
          <w:highlight w:val="none"/>
        </w:rPr>
        <w:t xml:space="preserve">  4、不同投标人的投标保证金从同一单位或者个人的账户转出。表现形式包括投同一包的不同投标人，年度和批次现金保证金由同一银行账号转出；投同一包的不同投标人，年度和批次保证保险费用由同一银行账号支付。对于投同一包的不同投标人，现金保证金从同一银行账号转出、保证保险费用由同一银行账号支付的，经评委会审议后，视为串通投标予以否决，并根据《国家电网有限公司供应商不良行为处理管理细则》进行相应处理。</w:t>
      </w:r>
    </w:p>
    <w:p w14:paraId="12F06D0E">
      <w:pPr>
        <w:pStyle w:val="82"/>
        <w:spacing w:line="580" w:lineRule="exact"/>
        <w:ind w:firstLine="522" w:firstLineChars="200"/>
        <w:rPr>
          <w:rFonts w:hAnsi="宋体" w:cs="黑体"/>
          <w:b/>
          <w:bCs/>
          <w:sz w:val="24"/>
          <w:szCs w:val="24"/>
          <w:highlight w:val="none"/>
        </w:rPr>
      </w:pPr>
      <w:r>
        <w:rPr>
          <w:rFonts w:hAnsi="宋体" w:cs="黑体"/>
          <w:b/>
          <w:bCs/>
          <w:sz w:val="24"/>
          <w:szCs w:val="24"/>
          <w:highlight w:val="none"/>
        </w:rPr>
        <w:t>5</w:t>
      </w:r>
      <w:r>
        <w:rPr>
          <w:rFonts w:hint="eastAsia" w:hAnsi="宋体" w:cs="黑体"/>
          <w:b/>
          <w:bCs/>
          <w:sz w:val="24"/>
          <w:szCs w:val="24"/>
          <w:highlight w:val="none"/>
        </w:rPr>
        <w:t>、为严格贯彻落实国家相关法律法规要求，防范投标人围串标风险，营造公平、公正、公开的招投标环境，国家电网有限公司将对系统内开展的相关招标采购活动中以投标保证保险形式提交投标保证金的投标人，新增以下要求：“保险保费应从投标人基本账户转出，提交的保险保单上应体现保费是否由投标人基本账户支付的相关信息；对于保单上未标注保费是否从基本账户支付或标注保费未从基本账户支付的，其投标将被否决”。</w:t>
      </w:r>
    </w:p>
    <w:p w14:paraId="43DCC369">
      <w:pPr>
        <w:pStyle w:val="82"/>
        <w:spacing w:line="580" w:lineRule="exact"/>
        <w:ind w:firstLine="522" w:firstLineChars="200"/>
        <w:rPr>
          <w:rFonts w:hAnsi="宋体" w:cs="黑体"/>
          <w:b/>
          <w:bCs/>
          <w:sz w:val="24"/>
          <w:szCs w:val="24"/>
          <w:highlight w:val="none"/>
        </w:rPr>
      </w:pPr>
      <w:r>
        <w:rPr>
          <w:rFonts w:hint="eastAsia" w:hAnsi="宋体" w:cs="黑体"/>
          <w:b/>
          <w:bCs/>
          <w:sz w:val="24"/>
          <w:szCs w:val="24"/>
          <w:highlight w:val="none"/>
        </w:rPr>
        <w:t>对于已办理年度投标保证金保险的潜在投标人，请及时联系保险公司申请更换满足要求的投标保证金保险保单。对于非基本账户支付的，请向保险公司申请退保并重新办理新保单（新保单起保日期、终止日期应分别与原保单的退保日期、终止日期一致）。对于基本账户支付的，请投标人向保险公司提供基本账户存款证明（需加盖投标人公章），获取保险公司出具的保单批件，以明确“本保单保费是从投标人基本账户支付”。</w:t>
      </w:r>
    </w:p>
    <w:p w14:paraId="1FF09380">
      <w:pPr>
        <w:pStyle w:val="82"/>
        <w:spacing w:line="580" w:lineRule="exact"/>
        <w:ind w:firstLine="522" w:firstLineChars="200"/>
        <w:rPr>
          <w:rFonts w:hAnsi="宋体" w:cs="黑体"/>
          <w:b/>
          <w:bCs/>
          <w:sz w:val="24"/>
          <w:szCs w:val="24"/>
          <w:highlight w:val="none"/>
        </w:rPr>
      </w:pPr>
      <w:r>
        <w:rPr>
          <w:rFonts w:hint="eastAsia" w:hAnsi="宋体" w:cs="黑体"/>
          <w:b/>
          <w:bCs/>
          <w:sz w:val="24"/>
          <w:szCs w:val="24"/>
          <w:highlight w:val="none"/>
        </w:rPr>
        <w:t>请有意向选择应用投标保证金保险的投标人知悉以上要求，在投标过程中提供满足招标文件要求的保险保单，避免造成投标失误。</w:t>
      </w:r>
    </w:p>
    <w:p w14:paraId="09669924">
      <w:pPr>
        <w:jc w:val="center"/>
        <w:rPr>
          <w:rFonts w:hint="default" w:ascii="黑体" w:eastAsia="黑体"/>
          <w:sz w:val="28"/>
          <w:szCs w:val="28"/>
          <w:highlight w:val="none"/>
          <w:lang w:val="en-US" w:eastAsia="zh-CN"/>
        </w:rPr>
        <w:sectPr>
          <w:headerReference r:id="rId5" w:type="default"/>
          <w:footerReference r:id="rId6" w:type="default"/>
          <w:pgSz w:w="11906" w:h="16838"/>
          <w:pgMar w:top="1417" w:right="1701" w:bottom="1417" w:left="1701" w:header="851" w:footer="992" w:gutter="0"/>
          <w:cols w:space="0" w:num="1"/>
          <w:rtlGutter w:val="0"/>
          <w:docGrid w:linePitch="312" w:charSpace="0"/>
        </w:sectPr>
      </w:pPr>
      <w:r>
        <w:rPr>
          <w:rFonts w:hint="eastAsia" w:ascii="黑体" w:eastAsia="黑体"/>
          <w:sz w:val="28"/>
          <w:szCs w:val="28"/>
          <w:highlight w:val="none"/>
          <w:lang w:val="en-US" w:eastAsia="zh-CN"/>
        </w:rPr>
        <w:t xml:space="preserve">                                      </w:t>
      </w:r>
    </w:p>
    <w:p w14:paraId="6C3384A9">
      <w:pPr>
        <w:jc w:val="center"/>
        <w:rPr>
          <w:rFonts w:hint="eastAsia" w:ascii="黑体" w:hAnsi="黑体" w:eastAsia="黑体"/>
          <w:bCs/>
          <w:color w:val="auto"/>
          <w:sz w:val="28"/>
          <w:szCs w:val="28"/>
          <w:highlight w:val="none"/>
          <w:lang w:eastAsia="zh-CN"/>
        </w:rPr>
      </w:pPr>
      <w:bookmarkStart w:id="4" w:name="_bookmark2"/>
      <w:bookmarkEnd w:id="4"/>
      <w:bookmarkStart w:id="5" w:name="_Toc10816"/>
      <w:bookmarkStart w:id="6" w:name="_Toc62551529"/>
      <w:bookmarkStart w:id="7" w:name="_Toc26742"/>
      <w:bookmarkStart w:id="8" w:name="_Toc12492"/>
      <w:r>
        <w:rPr>
          <w:rFonts w:hint="eastAsia" w:ascii="黑体" w:hAnsi="黑体" w:eastAsia="黑体"/>
          <w:bCs/>
          <w:color w:val="auto"/>
          <w:sz w:val="28"/>
          <w:szCs w:val="28"/>
          <w:highlight w:val="none"/>
          <w:lang w:eastAsia="zh-CN"/>
        </w:rPr>
        <w:t>国网山西电力太原供电公司</w:t>
      </w:r>
    </w:p>
    <w:p w14:paraId="2118EBD0">
      <w:pPr>
        <w:jc w:val="center"/>
        <w:rPr>
          <w:rFonts w:hint="eastAsia" w:ascii="黑体" w:hAnsi="黑体" w:eastAsia="黑体"/>
          <w:bCs/>
          <w:color w:val="auto"/>
          <w:sz w:val="28"/>
          <w:szCs w:val="28"/>
          <w:highlight w:val="none"/>
          <w:lang w:eastAsia="zh-CN"/>
        </w:rPr>
      </w:pPr>
      <w:r>
        <w:rPr>
          <w:rFonts w:hint="eastAsia" w:ascii="黑体" w:hAnsi="黑体" w:eastAsia="黑体"/>
          <w:bCs/>
          <w:color w:val="auto"/>
          <w:sz w:val="28"/>
          <w:szCs w:val="28"/>
          <w:highlight w:val="none"/>
          <w:lang w:eastAsia="zh-CN"/>
        </w:rPr>
        <w:t>2025年原集体企业第七次服务类授权公开招标项目</w:t>
      </w:r>
    </w:p>
    <w:p w14:paraId="0D173DB4">
      <w:pPr>
        <w:jc w:val="center"/>
        <w:rPr>
          <w:rFonts w:ascii="黑体" w:hAnsi="黑体" w:eastAsia="黑体"/>
          <w:bCs/>
          <w:color w:val="auto"/>
          <w:sz w:val="28"/>
          <w:szCs w:val="28"/>
          <w:highlight w:val="none"/>
        </w:rPr>
      </w:pPr>
      <w:bookmarkStart w:id="9" w:name="_Toc12766"/>
      <w:bookmarkStart w:id="10" w:name="_Toc1901"/>
      <w:bookmarkStart w:id="11" w:name="_Toc24661"/>
      <w:bookmarkStart w:id="12" w:name="_Toc18789"/>
      <w:bookmarkStart w:id="13" w:name="_Toc7870"/>
      <w:bookmarkStart w:id="14" w:name="_Toc8584"/>
      <w:bookmarkStart w:id="15" w:name="_Toc3173"/>
      <w:bookmarkStart w:id="16" w:name="_Toc12970"/>
      <w:bookmarkStart w:id="17" w:name="_Toc1540"/>
      <w:bookmarkStart w:id="18" w:name="_Toc6743"/>
      <w:bookmarkStart w:id="19" w:name="_Toc7560"/>
      <w:bookmarkStart w:id="20" w:name="_Toc18179"/>
      <w:bookmarkStart w:id="21" w:name="_Toc3331"/>
      <w:bookmarkStart w:id="22" w:name="_Toc25789"/>
      <w:bookmarkStart w:id="23" w:name="_Toc7053"/>
      <w:bookmarkStart w:id="24" w:name="_Toc7563"/>
      <w:bookmarkStart w:id="25" w:name="_Toc21954"/>
      <w:bookmarkStart w:id="26" w:name="_Toc24199"/>
      <w:bookmarkStart w:id="27" w:name="_Toc6951"/>
      <w:bookmarkStart w:id="28" w:name="_Toc30735"/>
      <w:r>
        <w:rPr>
          <w:rFonts w:hint="eastAsia" w:ascii="黑体" w:hAnsi="黑体" w:eastAsia="黑体"/>
          <w:bCs/>
          <w:color w:val="auto"/>
          <w:sz w:val="28"/>
          <w:szCs w:val="28"/>
          <w:highlight w:val="none"/>
        </w:rPr>
        <w:t>招标公告</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5A970606">
      <w:pPr>
        <w:adjustRightInd w:val="0"/>
        <w:snapToGrid w:val="0"/>
        <w:jc w:val="center"/>
        <w:rPr>
          <w:rFonts w:hint="eastAsia" w:ascii="黑体" w:eastAsia="黑体"/>
          <w:color w:val="auto"/>
          <w:sz w:val="24"/>
          <w:highlight w:val="none"/>
          <w:lang w:eastAsia="zh-CN"/>
        </w:rPr>
      </w:pPr>
      <w:r>
        <w:rPr>
          <w:rFonts w:hint="eastAsia" w:ascii="黑体" w:hAnsi="黑体" w:eastAsia="黑体"/>
          <w:bCs/>
          <w:color w:val="auto"/>
          <w:sz w:val="24"/>
          <w:highlight w:val="none"/>
        </w:rPr>
        <w:t>招标编号：</w:t>
      </w:r>
      <w:r>
        <w:rPr>
          <w:rFonts w:hint="eastAsia" w:ascii="黑体" w:hAnsi="黑体" w:eastAsia="黑体"/>
          <w:bCs/>
          <w:color w:val="auto"/>
          <w:sz w:val="24"/>
          <w:highlight w:val="none"/>
          <w:lang w:val="en-US" w:eastAsia="zh-CN"/>
        </w:rPr>
        <w:t>CY0525SAC47-TY-F06A</w:t>
      </w:r>
    </w:p>
    <w:p w14:paraId="4C885624">
      <w:pPr>
        <w:keepNext w:val="0"/>
        <w:keepLines w:val="0"/>
        <w:pageBreakBefore w:val="0"/>
        <w:widowControl w:val="0"/>
        <w:kinsoku/>
        <w:overflowPunct/>
        <w:topLinePunct w:val="0"/>
        <w:bidi w:val="0"/>
        <w:adjustRightInd w:val="0"/>
        <w:snapToGrid w:val="0"/>
        <w:spacing w:before="116" w:beforeLines="30" w:line="440" w:lineRule="exact"/>
        <w:ind w:left="0" w:leftChars="0" w:firstLine="0" w:firstLineChars="0"/>
        <w:textAlignment w:val="auto"/>
        <w:outlineLvl w:val="1"/>
        <w:rPr>
          <w:rFonts w:ascii="黑体" w:eastAsia="黑体"/>
          <w:b/>
          <w:color w:val="000000" w:themeColor="text1"/>
          <w:sz w:val="24"/>
          <w14:textFill>
            <w14:solidFill>
              <w14:schemeClr w14:val="tx1"/>
            </w14:solidFill>
          </w14:textFill>
        </w:rPr>
      </w:pPr>
      <w:r>
        <w:rPr>
          <w:rFonts w:hint="eastAsia" w:ascii="黑体" w:eastAsia="黑体"/>
          <w:b/>
          <w:color w:val="000000" w:themeColor="text1"/>
          <w:sz w:val="24"/>
          <w14:textFill>
            <w14:solidFill>
              <w14:schemeClr w14:val="tx1"/>
            </w14:solidFill>
          </w14:textFill>
        </w:rPr>
        <w:t>1.</w:t>
      </w:r>
      <w:r>
        <w:rPr>
          <w:rFonts w:ascii="黑体" w:eastAsia="黑体"/>
          <w:b/>
          <w:color w:val="000000" w:themeColor="text1"/>
          <w:sz w:val="24"/>
          <w14:textFill>
            <w14:solidFill>
              <w14:schemeClr w14:val="tx1"/>
            </w14:solidFill>
          </w14:textFill>
        </w:rPr>
        <w:t>招标条件</w:t>
      </w:r>
      <w:bookmarkEnd w:id="5"/>
      <w:bookmarkEnd w:id="6"/>
      <w:bookmarkEnd w:id="7"/>
      <w:bookmarkEnd w:id="8"/>
    </w:p>
    <w:p w14:paraId="6DA9C078">
      <w:pPr>
        <w:pStyle w:val="71"/>
        <w:keepNext w:val="0"/>
        <w:keepLines w:val="0"/>
        <w:pageBreakBefore w:val="0"/>
        <w:widowControl w:val="0"/>
        <w:tabs>
          <w:tab w:val="left" w:pos="0"/>
        </w:tabs>
        <w:kinsoku/>
        <w:wordWrap/>
        <w:overflowPunct/>
        <w:topLinePunct w:val="0"/>
        <w:autoSpaceDE w:val="0"/>
        <w:autoSpaceDN w:val="0"/>
        <w:bidi w:val="0"/>
        <w:adjustRightInd w:val="0"/>
        <w:snapToGrid w:val="0"/>
        <w:spacing w:before="116" w:beforeLines="30" w:line="440" w:lineRule="exact"/>
        <w:ind w:firstLine="420" w:firstLineChars="200"/>
        <w:jc w:val="both"/>
        <w:textAlignment w:val="auto"/>
        <w:rPr>
          <w:color w:val="000000" w:themeColor="text1"/>
          <w:kern w:val="2"/>
          <w:sz w:val="21"/>
          <w:szCs w:val="21"/>
          <w14:textFill>
            <w14:solidFill>
              <w14:schemeClr w14:val="tx1"/>
            </w14:solidFill>
          </w14:textFill>
        </w:rPr>
      </w:pPr>
      <w:r>
        <w:rPr>
          <w:rFonts w:hint="eastAsia"/>
          <w:sz w:val="21"/>
          <w:szCs w:val="21"/>
          <w:highlight w:val="none"/>
        </w:rPr>
        <w:t>项目建设单位为</w:t>
      </w:r>
      <w:r>
        <w:rPr>
          <w:rFonts w:hint="eastAsia"/>
          <w:b w:val="0"/>
          <w:bCs w:val="0"/>
          <w:color w:val="auto"/>
          <w:sz w:val="21"/>
          <w:szCs w:val="21"/>
          <w:highlight w:val="none"/>
          <w:u w:val="single"/>
          <w:lang w:eastAsia="zh-CN"/>
        </w:rPr>
        <w:t>山西明业电力工程有限公司或其下属子分公司</w:t>
      </w:r>
      <w:r>
        <w:rPr>
          <w:rFonts w:hint="eastAsia"/>
          <w:sz w:val="21"/>
          <w:szCs w:val="21"/>
          <w:highlight w:val="none"/>
        </w:rPr>
        <w:t>（以下简称“项目单位”），项目资金来自企业自有资金，出资比例为100%，资金来源已落实，</w:t>
      </w:r>
      <w:r>
        <w:rPr>
          <w:rFonts w:hint="eastAsia" w:cs="宋体"/>
          <w:b/>
          <w:bCs/>
          <w:color w:val="auto"/>
          <w:sz w:val="21"/>
          <w:szCs w:val="21"/>
          <w:highlight w:val="none"/>
          <w:lang w:eastAsia="zh-CN"/>
        </w:rPr>
        <w:t>国网山西省电力公司</w:t>
      </w:r>
      <w:r>
        <w:rPr>
          <w:rFonts w:hint="eastAsia" w:cs="宋体"/>
          <w:b/>
          <w:bCs/>
          <w:color w:val="auto"/>
          <w:sz w:val="21"/>
          <w:szCs w:val="21"/>
          <w:highlight w:val="none"/>
          <w:lang w:val="en-US" w:eastAsia="zh-CN"/>
        </w:rPr>
        <w:t>太原</w:t>
      </w:r>
      <w:r>
        <w:rPr>
          <w:rFonts w:hint="eastAsia" w:cs="宋体"/>
          <w:b/>
          <w:bCs/>
          <w:color w:val="auto"/>
          <w:sz w:val="21"/>
          <w:szCs w:val="21"/>
          <w:highlight w:val="none"/>
          <w:lang w:eastAsia="zh-CN"/>
        </w:rPr>
        <w:t>供电公司</w:t>
      </w:r>
      <w:r>
        <w:rPr>
          <w:rFonts w:hint="eastAsia" w:ascii="宋体" w:hAnsi="宋体" w:eastAsia="宋体" w:cs="宋体"/>
          <w:b/>
          <w:bCs/>
          <w:color w:val="auto"/>
          <w:sz w:val="21"/>
          <w:szCs w:val="21"/>
          <w:highlight w:val="none"/>
          <w:lang w:val="en-US" w:eastAsia="zh-CN"/>
        </w:rPr>
        <w:t>受省公司委托，对</w:t>
      </w:r>
      <w:r>
        <w:rPr>
          <w:rFonts w:hint="eastAsia" w:cs="宋体"/>
          <w:b/>
          <w:bCs/>
          <w:color w:val="auto"/>
          <w:sz w:val="21"/>
          <w:szCs w:val="21"/>
          <w:highlight w:val="none"/>
          <w:lang w:eastAsia="zh-CN"/>
        </w:rPr>
        <w:t>国网山西省电力公司</w:t>
      </w:r>
      <w:r>
        <w:rPr>
          <w:rFonts w:hint="eastAsia" w:cs="宋体"/>
          <w:b/>
          <w:bCs/>
          <w:color w:val="auto"/>
          <w:sz w:val="21"/>
          <w:szCs w:val="21"/>
          <w:highlight w:val="none"/>
          <w:lang w:val="en-US" w:eastAsia="zh-CN"/>
        </w:rPr>
        <w:t>太原</w:t>
      </w:r>
      <w:r>
        <w:rPr>
          <w:rFonts w:hint="eastAsia" w:cs="宋体"/>
          <w:b/>
          <w:bCs/>
          <w:color w:val="auto"/>
          <w:sz w:val="21"/>
          <w:szCs w:val="21"/>
          <w:highlight w:val="none"/>
          <w:lang w:eastAsia="zh-CN"/>
        </w:rPr>
        <w:t>供电公司</w:t>
      </w:r>
      <w:r>
        <w:rPr>
          <w:rFonts w:hint="eastAsia" w:ascii="宋体" w:hAnsi="宋体" w:eastAsia="宋体" w:cs="宋体"/>
          <w:b/>
          <w:bCs/>
          <w:color w:val="auto"/>
          <w:sz w:val="21"/>
          <w:szCs w:val="21"/>
          <w:highlight w:val="none"/>
          <w:lang w:val="en-US" w:eastAsia="zh-CN"/>
        </w:rPr>
        <w:t>所属原集体企业所需的服务进行采购</w:t>
      </w:r>
      <w:r>
        <w:rPr>
          <w:rFonts w:hint="eastAsia" w:eastAsia="宋体" w:cs="宋体"/>
          <w:b/>
          <w:bCs/>
          <w:color w:val="auto"/>
          <w:sz w:val="21"/>
          <w:szCs w:val="21"/>
          <w:highlight w:val="none"/>
          <w:lang w:val="en-US" w:eastAsia="zh-CN"/>
        </w:rPr>
        <w:t>，</w:t>
      </w:r>
      <w:r>
        <w:rPr>
          <w:rFonts w:hint="eastAsia"/>
          <w:sz w:val="21"/>
          <w:szCs w:val="21"/>
          <w:highlight w:val="none"/>
        </w:rPr>
        <w:t>招标人为</w:t>
      </w:r>
      <w:r>
        <w:rPr>
          <w:rFonts w:hint="eastAsia" w:cs="宋体"/>
          <w:b w:val="0"/>
          <w:bCs w:val="0"/>
          <w:color w:val="auto"/>
          <w:sz w:val="21"/>
          <w:szCs w:val="21"/>
          <w:highlight w:val="none"/>
          <w:u w:val="single"/>
          <w:lang w:eastAsia="zh-CN"/>
        </w:rPr>
        <w:t>国网山西省电力公司</w:t>
      </w:r>
      <w:r>
        <w:rPr>
          <w:rFonts w:hint="eastAsia" w:cs="宋体"/>
          <w:b w:val="0"/>
          <w:bCs w:val="0"/>
          <w:color w:val="auto"/>
          <w:sz w:val="21"/>
          <w:szCs w:val="21"/>
          <w:highlight w:val="none"/>
          <w:u w:val="single"/>
          <w:lang w:val="en-US" w:eastAsia="zh-CN"/>
        </w:rPr>
        <w:t>太原</w:t>
      </w:r>
      <w:r>
        <w:rPr>
          <w:rFonts w:hint="eastAsia" w:cs="宋体"/>
          <w:b w:val="0"/>
          <w:bCs w:val="0"/>
          <w:color w:val="auto"/>
          <w:sz w:val="21"/>
          <w:szCs w:val="21"/>
          <w:highlight w:val="none"/>
          <w:u w:val="single"/>
          <w:lang w:eastAsia="zh-CN"/>
        </w:rPr>
        <w:t>供电公司</w:t>
      </w:r>
      <w:r>
        <w:rPr>
          <w:rFonts w:hint="eastAsia"/>
          <w:sz w:val="21"/>
          <w:szCs w:val="21"/>
          <w:highlight w:val="none"/>
        </w:rPr>
        <w:t>，并委托</w:t>
      </w:r>
      <w:r>
        <w:rPr>
          <w:rFonts w:hint="eastAsia" w:ascii="宋体" w:hAnsi="宋体" w:eastAsia="宋体" w:cs="宋体"/>
          <w:sz w:val="21"/>
          <w:szCs w:val="21"/>
          <w:highlight w:val="none"/>
          <w:u w:val="single"/>
          <w:lang w:val="en-US"/>
        </w:rPr>
        <w:t>山西晋电电力科技有限公司众业分公司</w:t>
      </w:r>
      <w:r>
        <w:rPr>
          <w:rFonts w:hint="eastAsia"/>
          <w:sz w:val="21"/>
          <w:szCs w:val="21"/>
          <w:highlight w:val="none"/>
        </w:rPr>
        <w:t>为招标代理机构。</w:t>
      </w:r>
      <w:r>
        <w:rPr>
          <w:rFonts w:hint="eastAsia"/>
          <w:sz w:val="21"/>
          <w:szCs w:val="21"/>
        </w:rPr>
        <w:t>项目已具备招标条件，现对该项目进行公开招标。</w:t>
      </w:r>
    </w:p>
    <w:p w14:paraId="37990841">
      <w:pPr>
        <w:pStyle w:val="71"/>
        <w:keepNext w:val="0"/>
        <w:keepLines w:val="0"/>
        <w:pageBreakBefore w:val="0"/>
        <w:widowControl w:val="0"/>
        <w:tabs>
          <w:tab w:val="left" w:pos="0"/>
        </w:tabs>
        <w:kinsoku/>
        <w:wordWrap/>
        <w:overflowPunct/>
        <w:topLinePunct w:val="0"/>
        <w:autoSpaceDE w:val="0"/>
        <w:autoSpaceDN w:val="0"/>
        <w:bidi w:val="0"/>
        <w:adjustRightInd w:val="0"/>
        <w:snapToGrid w:val="0"/>
        <w:spacing w:before="116" w:beforeLines="30" w:line="440" w:lineRule="exact"/>
        <w:ind w:firstLine="420" w:firstLineChars="200"/>
        <w:jc w:val="both"/>
        <w:textAlignment w:val="auto"/>
        <w:rPr>
          <w:color w:val="000000" w:themeColor="text1"/>
          <w:kern w:val="2"/>
          <w:sz w:val="21"/>
          <w14:textFill>
            <w14:solidFill>
              <w14:schemeClr w14:val="tx1"/>
            </w14:solidFill>
          </w14:textFill>
        </w:rPr>
      </w:pPr>
      <w:r>
        <w:rPr>
          <w:rFonts w:hint="eastAsia"/>
          <w:kern w:val="0"/>
          <w:sz w:val="21"/>
          <w:szCs w:val="21"/>
        </w:rPr>
        <w:t>本项目积极响应《中共中央国务院关于开展质量提升行动的指导意见》，倡导潜在投标人用先进标准引领服务质量提升，有效治理质量突出问题，推动形成优质优价的采购机制</w:t>
      </w:r>
      <w:r>
        <w:rPr>
          <w:rFonts w:hint="eastAsia"/>
          <w:kern w:val="0"/>
          <w:sz w:val="21"/>
        </w:rPr>
        <w:t>。</w:t>
      </w:r>
    </w:p>
    <w:p w14:paraId="7F58372D">
      <w:pPr>
        <w:keepNext w:val="0"/>
        <w:keepLines w:val="0"/>
        <w:pageBreakBefore w:val="0"/>
        <w:widowControl w:val="0"/>
        <w:numPr>
          <w:ilvl w:val="255"/>
          <w:numId w:val="0"/>
        </w:numPr>
        <w:kinsoku/>
        <w:wordWrap/>
        <w:overflowPunct/>
        <w:topLinePunct w:val="0"/>
        <w:autoSpaceDE/>
        <w:autoSpaceDN/>
        <w:bidi w:val="0"/>
        <w:adjustRightInd w:val="0"/>
        <w:snapToGrid w:val="0"/>
        <w:spacing w:before="116" w:beforeLines="30" w:line="440" w:lineRule="exact"/>
        <w:textAlignment w:val="auto"/>
        <w:outlineLvl w:val="1"/>
        <w:rPr>
          <w:rFonts w:ascii="黑体" w:eastAsia="黑体"/>
          <w:b/>
          <w:color w:val="000000" w:themeColor="text1"/>
          <w:sz w:val="24"/>
          <w14:textFill>
            <w14:solidFill>
              <w14:schemeClr w14:val="tx1"/>
            </w14:solidFill>
          </w14:textFill>
        </w:rPr>
      </w:pPr>
      <w:bookmarkStart w:id="29" w:name="_bookmark3"/>
      <w:bookmarkEnd w:id="29"/>
      <w:bookmarkStart w:id="30" w:name="_bookmark4"/>
      <w:bookmarkEnd w:id="30"/>
      <w:bookmarkStart w:id="31" w:name="_Toc9444"/>
      <w:bookmarkStart w:id="32" w:name="_Toc62551530"/>
      <w:bookmarkStart w:id="33" w:name="_Toc21896"/>
      <w:bookmarkStart w:id="34" w:name="_Toc25148"/>
      <w:bookmarkStart w:id="35" w:name="_Toc10766"/>
      <w:bookmarkStart w:id="36" w:name="_Toc31535"/>
      <w:bookmarkStart w:id="37" w:name="_Toc11363"/>
      <w:bookmarkStart w:id="38" w:name="_Toc62551531"/>
      <w:r>
        <w:rPr>
          <w:rFonts w:hint="eastAsia" w:ascii="黑体" w:eastAsia="黑体"/>
          <w:b/>
          <w:color w:val="000000" w:themeColor="text1"/>
          <w:sz w:val="24"/>
          <w14:textFill>
            <w14:solidFill>
              <w14:schemeClr w14:val="tx1"/>
            </w14:solidFill>
          </w14:textFill>
        </w:rPr>
        <w:t>2.</w:t>
      </w:r>
      <w:r>
        <w:rPr>
          <w:rFonts w:ascii="黑体" w:eastAsia="黑体"/>
          <w:b/>
          <w:color w:val="000000" w:themeColor="text1"/>
          <w:sz w:val="24"/>
          <w14:textFill>
            <w14:solidFill>
              <w14:schemeClr w14:val="tx1"/>
            </w14:solidFill>
          </w14:textFill>
        </w:rPr>
        <w:t>项目概况与招标范围</w:t>
      </w:r>
      <w:bookmarkEnd w:id="31"/>
      <w:bookmarkEnd w:id="32"/>
      <w:bookmarkEnd w:id="33"/>
      <w:bookmarkEnd w:id="34"/>
    </w:p>
    <w:p w14:paraId="5FC11CBB">
      <w:pPr>
        <w:pStyle w:val="36"/>
        <w:keepNext w:val="0"/>
        <w:keepLines w:val="0"/>
        <w:pageBreakBefore w:val="0"/>
        <w:widowControl w:val="0"/>
        <w:kinsoku/>
        <w:overflowPunct/>
        <w:topLinePunct w:val="0"/>
        <w:bidi w:val="0"/>
        <w:adjustRightInd w:val="0"/>
        <w:snapToGrid w:val="0"/>
        <w:spacing w:before="116" w:beforeLines="30" w:line="440" w:lineRule="exact"/>
        <w:ind w:left="0" w:firstLine="440" w:firstLineChars="200"/>
        <w:textAlignment w:val="auto"/>
        <w:rPr>
          <w:rFonts w:hint="eastAsia"/>
          <w:sz w:val="21"/>
          <w:szCs w:val="21"/>
          <w:highlight w:val="none"/>
        </w:rPr>
      </w:pPr>
      <w:r>
        <w:rPr>
          <w:rFonts w:ascii="Times New Roman" w:hAnsi="Times New Roman"/>
          <w:szCs w:val="21"/>
          <w:highlight w:val="none"/>
        </w:rPr>
        <w:t>详见</w:t>
      </w:r>
      <w:r>
        <w:rPr>
          <w:rFonts w:hint="eastAsia" w:ascii="Times New Roman" w:hAnsi="Times New Roman"/>
          <w:szCs w:val="21"/>
          <w:highlight w:val="none"/>
        </w:rPr>
        <w:t>招标公告</w:t>
      </w:r>
      <w:r>
        <w:rPr>
          <w:rFonts w:ascii="Times New Roman" w:hAnsi="Times New Roman"/>
          <w:szCs w:val="21"/>
          <w:highlight w:val="none"/>
        </w:rPr>
        <w:t>附件</w:t>
      </w:r>
      <w:r>
        <w:rPr>
          <w:rFonts w:hint="eastAsia" w:ascii="Times New Roman" w:hAnsi="Times New Roman"/>
          <w:szCs w:val="21"/>
          <w:highlight w:val="none"/>
        </w:rPr>
        <w:t>一“需求一览表”。</w:t>
      </w:r>
    </w:p>
    <w:p w14:paraId="63A4D2E7">
      <w:pPr>
        <w:keepNext w:val="0"/>
        <w:keepLines w:val="0"/>
        <w:pageBreakBefore w:val="0"/>
        <w:widowControl w:val="0"/>
        <w:kinsoku/>
        <w:wordWrap/>
        <w:overflowPunct/>
        <w:topLinePunct w:val="0"/>
        <w:autoSpaceDE/>
        <w:autoSpaceDN/>
        <w:bidi w:val="0"/>
        <w:adjustRightInd w:val="0"/>
        <w:snapToGrid w:val="0"/>
        <w:spacing w:before="116" w:beforeLines="30" w:line="440" w:lineRule="exact"/>
        <w:ind w:left="0" w:leftChars="0" w:firstLine="0" w:firstLineChars="0"/>
        <w:textAlignment w:val="auto"/>
        <w:outlineLvl w:val="1"/>
        <w:rPr>
          <w:rFonts w:ascii="黑体" w:eastAsia="黑体"/>
          <w:b/>
          <w:color w:val="000000" w:themeColor="text1"/>
          <w:sz w:val="24"/>
          <w14:textFill>
            <w14:solidFill>
              <w14:schemeClr w14:val="tx1"/>
            </w14:solidFill>
          </w14:textFill>
        </w:rPr>
      </w:pPr>
      <w:r>
        <w:rPr>
          <w:rFonts w:hint="eastAsia" w:ascii="黑体" w:eastAsia="黑体"/>
          <w:b/>
          <w:color w:val="000000" w:themeColor="text1"/>
          <w:sz w:val="24"/>
          <w14:textFill>
            <w14:solidFill>
              <w14:schemeClr w14:val="tx1"/>
            </w14:solidFill>
          </w14:textFill>
        </w:rPr>
        <w:t>3.投标人资格要求</w:t>
      </w:r>
      <w:bookmarkEnd w:id="35"/>
      <w:bookmarkEnd w:id="36"/>
      <w:bookmarkEnd w:id="37"/>
      <w:bookmarkEnd w:id="38"/>
    </w:p>
    <w:p w14:paraId="37151E33">
      <w:pPr>
        <w:keepNext w:val="0"/>
        <w:keepLines w:val="0"/>
        <w:pageBreakBefore w:val="0"/>
        <w:widowControl w:val="0"/>
        <w:tabs>
          <w:tab w:val="left" w:pos="1200"/>
          <w:tab w:val="left" w:pos="3112"/>
          <w:tab w:val="left" w:pos="4600"/>
        </w:tabs>
        <w:kinsoku/>
        <w:overflowPunct/>
        <w:topLinePunct w:val="0"/>
        <w:bidi w:val="0"/>
        <w:adjustRightInd w:val="0"/>
        <w:snapToGrid w:val="0"/>
        <w:spacing w:before="116" w:beforeLines="30" w:line="440" w:lineRule="exact"/>
        <w:ind w:firstLine="450" w:firstLineChars="200"/>
        <w:textAlignment w:val="auto"/>
        <w:rPr>
          <w:color w:val="000000" w:themeColor="text1"/>
          <w:spacing w:val="7"/>
          <w:sz w:val="21"/>
          <w:szCs w:val="21"/>
          <w14:textFill>
            <w14:solidFill>
              <w14:schemeClr w14:val="tx1"/>
            </w14:solidFill>
          </w14:textFill>
        </w:rPr>
      </w:pPr>
      <w:r>
        <w:rPr>
          <w:rFonts w:hint="eastAsia" w:ascii="宋体" w:hAnsi="宋体" w:eastAsia="宋体" w:cs="宋体"/>
          <w:b/>
          <w:bCs/>
          <w:color w:val="000000" w:themeColor="text1"/>
          <w:spacing w:val="7"/>
          <w:sz w:val="21"/>
          <w:szCs w:val="21"/>
          <w14:textFill>
            <w14:solidFill>
              <w14:schemeClr w14:val="tx1"/>
            </w14:solidFill>
          </w14:textFill>
        </w:rPr>
        <w:t>3.1</w:t>
      </w:r>
      <w:r>
        <w:rPr>
          <w:rFonts w:hint="eastAsia"/>
          <w:b/>
          <w:bCs/>
          <w:color w:val="000000" w:themeColor="text1"/>
          <w:spacing w:val="7"/>
          <w:sz w:val="21"/>
          <w:szCs w:val="21"/>
          <w14:textFill>
            <w14:solidFill>
              <w14:schemeClr w14:val="tx1"/>
            </w14:solidFill>
          </w14:textFill>
        </w:rPr>
        <w:t xml:space="preserve"> 投标人须满足如下通用资格要求：</w:t>
      </w:r>
    </w:p>
    <w:p w14:paraId="79A4BC5F">
      <w:pPr>
        <w:pStyle w:val="71"/>
        <w:keepNext w:val="0"/>
        <w:keepLines w:val="0"/>
        <w:pageBreakBefore w:val="0"/>
        <w:widowControl w:val="0"/>
        <w:tabs>
          <w:tab w:val="left" w:pos="0"/>
        </w:tabs>
        <w:kinsoku/>
        <w:overflowPunct/>
        <w:topLinePunct w:val="0"/>
        <w:bidi w:val="0"/>
        <w:adjustRightInd w:val="0"/>
        <w:snapToGrid w:val="0"/>
        <w:spacing w:before="116" w:beforeLines="30" w:line="440" w:lineRule="exact"/>
        <w:ind w:firstLine="420" w:firstLineChars="200"/>
        <w:jc w:val="both"/>
        <w:textAlignment w:val="auto"/>
        <w:rPr>
          <w:rFonts w:hint="eastAsia" w:ascii="宋体" w:hAnsi="宋体" w:eastAsia="宋体" w:cs="宋体"/>
          <w:color w:val="000000" w:themeColor="text1"/>
          <w:kern w:val="2"/>
          <w:sz w:val="21"/>
          <w14:textFill>
            <w14:solidFill>
              <w14:schemeClr w14:val="tx1"/>
            </w14:solidFill>
          </w14:textFill>
        </w:rPr>
      </w:pPr>
      <w:r>
        <w:rPr>
          <w:rFonts w:hint="eastAsia" w:ascii="宋体" w:hAnsi="宋体" w:eastAsia="宋体" w:cs="宋体"/>
          <w:color w:val="000000" w:themeColor="text1"/>
          <w:kern w:val="2"/>
          <w:sz w:val="21"/>
          <w14:textFill>
            <w14:solidFill>
              <w14:schemeClr w14:val="tx1"/>
            </w14:solidFill>
          </w14:textFill>
        </w:rPr>
        <w:t>（1）本次招标要求投标人须为中华人民共和</w:t>
      </w:r>
      <w:r>
        <w:rPr>
          <w:rFonts w:hint="eastAsia" w:ascii="宋体" w:hAnsi="宋体" w:eastAsia="宋体" w:cs="宋体"/>
          <w:color w:val="000000" w:themeColor="text1"/>
          <w:kern w:val="2"/>
          <w:sz w:val="21"/>
          <w:highlight w:val="none"/>
          <w14:textFill>
            <w14:solidFill>
              <w14:schemeClr w14:val="tx1"/>
            </w14:solidFill>
          </w14:textFill>
        </w:rPr>
        <w:t>国境内依法</w:t>
      </w:r>
      <w:r>
        <w:rPr>
          <w:rFonts w:hint="eastAsia" w:ascii="宋体" w:hAnsi="宋体" w:eastAsia="宋体" w:cs="宋体"/>
          <w:color w:val="000000" w:themeColor="text1"/>
          <w:kern w:val="2"/>
          <w:sz w:val="21"/>
          <w14:textFill>
            <w14:solidFill>
              <w14:schemeClr w14:val="tx1"/>
            </w14:solidFill>
          </w14:textFill>
        </w:rPr>
        <w:t>注册的法人或</w:t>
      </w:r>
      <w:r>
        <w:rPr>
          <w:rFonts w:hint="eastAsia" w:ascii="宋体" w:hAnsi="宋体" w:eastAsia="宋体" w:cs="宋体"/>
          <w:color w:val="000000" w:themeColor="text1"/>
          <w:kern w:val="2"/>
          <w:sz w:val="21"/>
          <w:lang w:val="en-US" w:eastAsia="zh-CN"/>
          <w14:textFill>
            <w14:solidFill>
              <w14:schemeClr w14:val="tx1"/>
            </w14:solidFill>
          </w14:textFill>
        </w:rPr>
        <w:t>其他</w:t>
      </w:r>
      <w:r>
        <w:rPr>
          <w:rFonts w:hint="eastAsia" w:ascii="宋体" w:hAnsi="宋体" w:eastAsia="宋体" w:cs="宋体"/>
          <w:color w:val="000000"/>
          <w:kern w:val="2"/>
          <w:sz w:val="21"/>
          <w:lang w:val="en-US"/>
        </w:rPr>
        <w:t>组织</w:t>
      </w:r>
      <w:r>
        <w:rPr>
          <w:rFonts w:hint="eastAsia" w:ascii="宋体" w:hAnsi="宋体" w:eastAsia="宋体" w:cs="宋体"/>
          <w:color w:val="000000" w:themeColor="text1"/>
          <w:kern w:val="2"/>
          <w:sz w:val="21"/>
          <w14:textFill>
            <w14:solidFill>
              <w14:schemeClr w14:val="tx1"/>
            </w14:solidFill>
          </w14:textFill>
        </w:rPr>
        <w:t>，须具备承担所投项目的资格条件；并在人员、设备、资金等方面具有保障如期完成中标项目的能力。</w:t>
      </w:r>
    </w:p>
    <w:p w14:paraId="57974276">
      <w:pPr>
        <w:pStyle w:val="71"/>
        <w:keepNext w:val="0"/>
        <w:keepLines w:val="0"/>
        <w:pageBreakBefore w:val="0"/>
        <w:widowControl w:val="0"/>
        <w:tabs>
          <w:tab w:val="left" w:pos="0"/>
        </w:tabs>
        <w:kinsoku/>
        <w:overflowPunct/>
        <w:topLinePunct w:val="0"/>
        <w:bidi w:val="0"/>
        <w:adjustRightInd w:val="0"/>
        <w:snapToGrid w:val="0"/>
        <w:spacing w:before="116" w:beforeLines="30" w:line="440" w:lineRule="exact"/>
        <w:ind w:firstLine="420" w:firstLineChars="200"/>
        <w:jc w:val="both"/>
        <w:textAlignment w:val="auto"/>
        <w:rPr>
          <w:rFonts w:hint="eastAsia" w:ascii="宋体" w:hAnsi="宋体" w:eastAsia="宋体" w:cs="宋体"/>
          <w:color w:val="000000" w:themeColor="text1"/>
          <w:kern w:val="2"/>
          <w:sz w:val="21"/>
          <w14:textFill>
            <w14:solidFill>
              <w14:schemeClr w14:val="tx1"/>
            </w14:solidFill>
          </w14:textFill>
        </w:rPr>
      </w:pPr>
      <w:r>
        <w:rPr>
          <w:rFonts w:hint="eastAsia" w:ascii="宋体" w:hAnsi="宋体" w:eastAsia="宋体" w:cs="宋体"/>
          <w:color w:val="000000" w:themeColor="text1"/>
          <w:kern w:val="2"/>
          <w:sz w:val="21"/>
          <w14:textFill>
            <w14:solidFill>
              <w14:schemeClr w14:val="tx1"/>
            </w14:solidFill>
          </w14:textFill>
        </w:rPr>
        <w:t>（2）法定代表人（单位负责人）为同一人或者存在控股、管理关系的不同单位，不得参加同一标包投标或者未划分标包的同一</w:t>
      </w:r>
      <w:r>
        <w:rPr>
          <w:rFonts w:hint="eastAsia" w:cs="宋体"/>
          <w:color w:val="000000" w:themeColor="text1"/>
          <w:kern w:val="2"/>
          <w:sz w:val="21"/>
          <w:lang w:val="en-US" w:eastAsia="zh-CN"/>
          <w14:textFill>
            <w14:solidFill>
              <w14:schemeClr w14:val="tx1"/>
            </w14:solidFill>
          </w14:textFill>
        </w:rPr>
        <w:t>招标</w:t>
      </w:r>
      <w:r>
        <w:rPr>
          <w:rFonts w:hint="eastAsia" w:ascii="宋体" w:hAnsi="宋体" w:eastAsia="宋体" w:cs="宋体"/>
          <w:color w:val="000000" w:themeColor="text1"/>
          <w:kern w:val="2"/>
          <w:sz w:val="21"/>
          <w14:textFill>
            <w14:solidFill>
              <w14:schemeClr w14:val="tx1"/>
            </w14:solidFill>
          </w14:textFill>
        </w:rPr>
        <w:t>项目投标。</w:t>
      </w:r>
    </w:p>
    <w:p w14:paraId="31651A46">
      <w:pPr>
        <w:pStyle w:val="71"/>
        <w:keepNext w:val="0"/>
        <w:keepLines w:val="0"/>
        <w:pageBreakBefore w:val="0"/>
        <w:widowControl w:val="0"/>
        <w:tabs>
          <w:tab w:val="left" w:pos="0"/>
        </w:tabs>
        <w:kinsoku/>
        <w:overflowPunct/>
        <w:topLinePunct w:val="0"/>
        <w:bidi w:val="0"/>
        <w:adjustRightInd w:val="0"/>
        <w:snapToGrid w:val="0"/>
        <w:spacing w:before="116" w:beforeLines="30" w:line="440" w:lineRule="exact"/>
        <w:ind w:firstLine="420" w:firstLineChars="200"/>
        <w:jc w:val="both"/>
        <w:textAlignment w:val="auto"/>
        <w:rPr>
          <w:rFonts w:hint="eastAsia" w:ascii="宋体" w:hAnsi="宋体" w:eastAsia="宋体" w:cs="宋体"/>
          <w:kern w:val="2"/>
          <w:sz w:val="21"/>
        </w:rPr>
      </w:pPr>
      <w:r>
        <w:rPr>
          <w:rFonts w:hint="eastAsia" w:ascii="宋体" w:hAnsi="宋体" w:eastAsia="宋体" w:cs="宋体"/>
          <w:color w:val="000000" w:themeColor="text1"/>
          <w:kern w:val="2"/>
          <w:sz w:val="21"/>
          <w14:textFill>
            <w14:solidFill>
              <w14:schemeClr w14:val="tx1"/>
            </w14:solidFill>
          </w14:textFill>
        </w:rPr>
        <w:t>（3）取得国家法律、法规、规章规定的有效许可证。取得招标文件要求的国家强制认证证书。</w:t>
      </w:r>
    </w:p>
    <w:p w14:paraId="075964CA">
      <w:pPr>
        <w:pStyle w:val="71"/>
        <w:keepNext w:val="0"/>
        <w:keepLines w:val="0"/>
        <w:pageBreakBefore w:val="0"/>
        <w:widowControl w:val="0"/>
        <w:tabs>
          <w:tab w:val="left" w:pos="0"/>
        </w:tabs>
        <w:kinsoku/>
        <w:overflowPunct/>
        <w:topLinePunct w:val="0"/>
        <w:bidi w:val="0"/>
        <w:adjustRightInd w:val="0"/>
        <w:snapToGrid w:val="0"/>
        <w:spacing w:before="116" w:beforeLines="30" w:line="440" w:lineRule="exact"/>
        <w:ind w:firstLine="420" w:firstLineChars="200"/>
        <w:jc w:val="both"/>
        <w:textAlignment w:val="auto"/>
        <w:rPr>
          <w:rFonts w:hint="eastAsia" w:ascii="宋体" w:hAnsi="宋体" w:eastAsia="宋体" w:cs="宋体"/>
          <w:color w:val="auto"/>
          <w:kern w:val="2"/>
          <w:sz w:val="21"/>
          <w:highlight w:val="none"/>
          <w:lang w:eastAsia="zh-CN"/>
        </w:rPr>
      </w:pPr>
      <w:r>
        <w:rPr>
          <w:rFonts w:hint="eastAsia" w:ascii="宋体" w:hAnsi="宋体" w:eastAsia="宋体" w:cs="宋体"/>
          <w:color w:val="auto"/>
          <w:kern w:val="2"/>
          <w:sz w:val="21"/>
          <w:highlight w:val="none"/>
          <w:lang w:eastAsia="zh-CN"/>
        </w:rPr>
        <w:t>（</w:t>
      </w:r>
      <w:r>
        <w:rPr>
          <w:rFonts w:hint="eastAsia" w:ascii="宋体" w:hAnsi="宋体" w:eastAsia="宋体" w:cs="宋体"/>
          <w:color w:val="auto"/>
          <w:kern w:val="2"/>
          <w:sz w:val="21"/>
          <w:highlight w:val="none"/>
          <w:lang w:val="en-US" w:eastAsia="zh-CN"/>
        </w:rPr>
        <w:t>4</w:t>
      </w:r>
      <w:r>
        <w:rPr>
          <w:rFonts w:hint="eastAsia" w:ascii="宋体" w:hAnsi="宋体" w:eastAsia="宋体" w:cs="宋体"/>
          <w:color w:val="auto"/>
          <w:kern w:val="2"/>
          <w:sz w:val="21"/>
          <w:highlight w:val="none"/>
          <w:lang w:eastAsia="zh-CN"/>
        </w:rPr>
        <w:t>）应有良好的财务状况和商业信用。</w:t>
      </w:r>
    </w:p>
    <w:p w14:paraId="03597726">
      <w:pPr>
        <w:pStyle w:val="71"/>
        <w:keepNext w:val="0"/>
        <w:keepLines w:val="0"/>
        <w:pageBreakBefore w:val="0"/>
        <w:widowControl w:val="0"/>
        <w:tabs>
          <w:tab w:val="left" w:pos="0"/>
        </w:tabs>
        <w:kinsoku/>
        <w:overflowPunct/>
        <w:topLinePunct w:val="0"/>
        <w:bidi w:val="0"/>
        <w:adjustRightInd w:val="0"/>
        <w:snapToGrid w:val="0"/>
        <w:spacing w:before="116" w:beforeLines="30" w:line="440" w:lineRule="exact"/>
        <w:ind w:firstLine="420" w:firstLineChars="200"/>
        <w:jc w:val="both"/>
        <w:textAlignment w:val="auto"/>
        <w:rPr>
          <w:rFonts w:hint="eastAsia" w:ascii="宋体" w:hAnsi="宋体" w:eastAsia="宋体" w:cs="宋体"/>
          <w:color w:val="000000" w:themeColor="text1"/>
          <w:kern w:val="2"/>
          <w:sz w:val="21"/>
          <w:highlight w:val="none"/>
          <w14:textFill>
            <w14:solidFill>
              <w14:schemeClr w14:val="tx1"/>
            </w14:solidFill>
          </w14:textFill>
        </w:rPr>
      </w:pPr>
      <w:r>
        <w:rPr>
          <w:rFonts w:hint="eastAsia" w:ascii="宋体" w:hAnsi="宋体" w:eastAsia="宋体" w:cs="宋体"/>
          <w:color w:val="000000" w:themeColor="text1"/>
          <w:kern w:val="2"/>
          <w:sz w:val="21"/>
          <w14:textFill>
            <w14:solidFill>
              <w14:schemeClr w14:val="tx1"/>
            </w14:solidFill>
          </w14:textFill>
        </w:rPr>
        <w:t>（</w:t>
      </w:r>
      <w:r>
        <w:rPr>
          <w:rFonts w:hint="eastAsia" w:ascii="宋体" w:hAnsi="宋体" w:eastAsia="宋体" w:cs="宋体"/>
          <w:color w:val="000000" w:themeColor="text1"/>
          <w:kern w:val="2"/>
          <w:sz w:val="21"/>
          <w:lang w:val="en-US" w:eastAsia="zh-CN"/>
          <w14:textFill>
            <w14:solidFill>
              <w14:schemeClr w14:val="tx1"/>
            </w14:solidFill>
          </w14:textFill>
        </w:rPr>
        <w:t>5</w:t>
      </w:r>
      <w:r>
        <w:rPr>
          <w:rFonts w:hint="eastAsia" w:ascii="宋体" w:hAnsi="宋体" w:eastAsia="宋体" w:cs="宋体"/>
          <w:color w:val="000000" w:themeColor="text1"/>
          <w:kern w:val="2"/>
          <w:sz w:val="21"/>
          <w14:textFill>
            <w14:solidFill>
              <w14:schemeClr w14:val="tx1"/>
            </w14:solidFill>
          </w14:textFill>
        </w:rPr>
        <w:t>）</w:t>
      </w:r>
      <w:r>
        <w:rPr>
          <w:rFonts w:hint="eastAsia" w:ascii="宋体" w:hAnsi="宋体" w:eastAsia="宋体" w:cs="宋体"/>
          <w:color w:val="000000" w:themeColor="text1"/>
          <w:kern w:val="2"/>
          <w:sz w:val="21"/>
          <w:lang w:val="en-US"/>
          <w14:textFill>
            <w14:solidFill>
              <w14:schemeClr w14:val="tx1"/>
            </w14:solidFill>
          </w14:textFill>
        </w:rPr>
        <w:t>根据《国家电网有限公司供应商关系管理办法》的规定，投标人存在导致其被暂停中标资格或取消中标资格的不良行为且在处理有效期内的，投标人在投标截止之日至</w:t>
      </w:r>
      <w:r>
        <w:rPr>
          <w:rFonts w:hint="eastAsia" w:asciiTheme="minorEastAsia" w:hAnsiTheme="minorEastAsia" w:eastAsiaTheme="minorEastAsia" w:cstheme="minorEastAsia"/>
          <w:color w:val="000000"/>
          <w:sz w:val="21"/>
          <w:szCs w:val="22"/>
          <w:highlight w:val="none"/>
        </w:rPr>
        <w:t>中标通知书到达之日前，任一日在《国家电网有限公司关于供应商不良行为处理情况的通报》处理期内的均适用不良行为处理结果</w:t>
      </w:r>
      <w:r>
        <w:rPr>
          <w:rFonts w:hint="eastAsia" w:ascii="宋体" w:hAnsi="宋体" w:eastAsia="宋体" w:cs="宋体"/>
          <w:color w:val="000000" w:themeColor="text1"/>
          <w:kern w:val="2"/>
          <w:sz w:val="21"/>
          <w:highlight w:val="none"/>
          <w:lang w:val="en-US"/>
          <w14:textFill>
            <w14:solidFill>
              <w14:schemeClr w14:val="tx1"/>
            </w14:solidFill>
          </w14:textFill>
        </w:rPr>
        <w:t>。或投标人存在触发《国家电网有限公司供应商关系管理办法》第</w:t>
      </w:r>
      <w:r>
        <w:rPr>
          <w:rFonts w:hint="eastAsia" w:ascii="宋体" w:hAnsi="宋体" w:eastAsia="宋体" w:cs="宋体"/>
          <w:color w:val="000000" w:themeColor="text1"/>
          <w:kern w:val="2"/>
          <w:sz w:val="21"/>
          <w:highlight w:val="none"/>
          <w:lang w:val="en-US" w:eastAsia="zh-CN"/>
          <w14:textFill>
            <w14:solidFill>
              <w14:schemeClr w14:val="tx1"/>
            </w14:solidFill>
          </w14:textFill>
        </w:rPr>
        <w:t>六</w:t>
      </w:r>
      <w:r>
        <w:rPr>
          <w:rFonts w:hint="eastAsia" w:ascii="宋体" w:hAnsi="宋体" w:eastAsia="宋体" w:cs="宋体"/>
          <w:color w:val="000000" w:themeColor="text1"/>
          <w:kern w:val="2"/>
          <w:sz w:val="21"/>
          <w:highlight w:val="none"/>
          <w:lang w:val="en-US"/>
          <w14:textFill>
            <w14:solidFill>
              <w14:schemeClr w14:val="tx1"/>
            </w14:solidFill>
          </w14:textFill>
        </w:rPr>
        <w:t>十三条安全及质量重大问题“熔断机制”情形的，其投标将被否决。</w:t>
      </w:r>
      <w:r>
        <w:rPr>
          <w:rFonts w:hint="eastAsia" w:asciiTheme="minorEastAsia" w:hAnsiTheme="minorEastAsia" w:eastAsiaTheme="minorEastAsia" w:cstheme="minorEastAsia"/>
          <w:color w:val="000000"/>
          <w:sz w:val="21"/>
          <w:szCs w:val="22"/>
          <w:highlight w:val="none"/>
        </w:rPr>
        <w:t>即使投标人在投标截止日尚不存在上述情况，但在中标通知书到达之日前，出现上述情况的，招标人亦有权取消其中标资格。</w:t>
      </w:r>
    </w:p>
    <w:p w14:paraId="043B9738">
      <w:pPr>
        <w:keepNext w:val="0"/>
        <w:keepLines w:val="0"/>
        <w:pageBreakBefore w:val="0"/>
        <w:widowControl w:val="0"/>
        <w:tabs>
          <w:tab w:val="left" w:pos="1134"/>
        </w:tabs>
        <w:kinsoku/>
        <w:wordWrap w:val="0"/>
        <w:overflowPunct/>
        <w:topLinePunct w:val="0"/>
        <w:bidi w:val="0"/>
        <w:adjustRightInd w:val="0"/>
        <w:snapToGrid w:val="0"/>
        <w:spacing w:before="116" w:beforeLines="30" w:line="440" w:lineRule="exact"/>
        <w:ind w:firstLine="420" w:firstLineChars="200"/>
        <w:textAlignment w:val="auto"/>
        <w:rPr>
          <w:rFonts w:hint="eastAsia" w:ascii="宋体" w:hAnsi="宋体" w:eastAsia="宋体" w:cs="宋体"/>
          <w:b/>
          <w:bCs/>
          <w:color w:val="000000" w:themeColor="text1"/>
          <w:highlight w:val="none"/>
          <w:shd w:val="clear" w:color="FFFFFF" w:fill="D9D9D9"/>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w:t>
      </w:r>
      <w:r>
        <w:rPr>
          <w:rFonts w:hint="eastAsia" w:ascii="宋体" w:hAnsi="宋体" w:eastAsia="宋体" w:cs="宋体"/>
          <w:color w:val="000000" w:themeColor="text1"/>
          <w:sz w:val="21"/>
          <w:szCs w:val="21"/>
          <w:lang w:val="en-US" w:eastAsia="zh-CN"/>
          <w14:textFill>
            <w14:solidFill>
              <w14:schemeClr w14:val="tx1"/>
            </w14:solidFill>
          </w14:textFill>
        </w:rPr>
        <w:t>6</w:t>
      </w:r>
      <w:r>
        <w:rPr>
          <w:rFonts w:hint="eastAsia" w:ascii="宋体" w:hAnsi="宋体" w:eastAsia="宋体" w:cs="宋体"/>
          <w:color w:val="000000" w:themeColor="text1"/>
          <w:sz w:val="21"/>
          <w:szCs w:val="21"/>
          <w14:textFill>
            <w14:solidFill>
              <w14:schemeClr w14:val="tx1"/>
            </w14:solidFill>
          </w14:textFill>
        </w:rPr>
        <w:t>）</w:t>
      </w:r>
      <w:r>
        <w:rPr>
          <w:rFonts w:hint="eastAsia" w:asciiTheme="minorEastAsia" w:hAnsiTheme="minorEastAsia" w:eastAsiaTheme="minorEastAsia" w:cstheme="minorEastAsia"/>
          <w:color w:val="000000"/>
          <w:sz w:val="21"/>
          <w:szCs w:val="22"/>
        </w:rPr>
        <w:t>根据最高人民法院、国家发展改革委、国家铁路局等九部门联合印发的《关于在招标投标活动中对失信被执行人实施联合惩戒的通知》（法〔2016〕285号），投标人不得被人民法院列为失信被执行人。</w:t>
      </w:r>
      <w:r>
        <w:rPr>
          <w:rFonts w:hint="eastAsia" w:asciiTheme="minorEastAsia" w:hAnsiTheme="minorEastAsia" w:eastAsiaTheme="minorEastAsia" w:cstheme="minorEastAsia"/>
          <w:color w:val="000000"/>
          <w:sz w:val="21"/>
          <w:szCs w:val="22"/>
          <w:highlight w:val="none"/>
        </w:rPr>
        <w:t>投标人不得存在违法失信行为，不得被“信用中国”网站（www.creditchina.gov.cn）列入严重失信主体名单。</w:t>
      </w:r>
      <w:r>
        <w:rPr>
          <w:rFonts w:hint="eastAsia" w:asciiTheme="minorEastAsia" w:hAnsiTheme="minorEastAsia" w:eastAsiaTheme="minorEastAsia" w:cstheme="minorEastAsia"/>
          <w:b/>
          <w:bCs/>
          <w:color w:val="000000"/>
          <w:sz w:val="21"/>
          <w:szCs w:val="22"/>
          <w:highlight w:val="none"/>
          <w:shd w:val="clear" w:color="auto" w:fill="auto"/>
        </w:rPr>
        <w:t>即使投标人在开标当日未出现被列入失信被执行人或严重失信主体名单的情形，但在中标通知书到达之日前，存在上述情形的，招标人有权取消其中标资格。</w:t>
      </w:r>
    </w:p>
    <w:p w14:paraId="588F740F">
      <w:pPr>
        <w:keepNext w:val="0"/>
        <w:keepLines w:val="0"/>
        <w:pageBreakBefore w:val="0"/>
        <w:widowControl w:val="0"/>
        <w:tabs>
          <w:tab w:val="left" w:pos="1134"/>
        </w:tabs>
        <w:kinsoku/>
        <w:overflowPunct/>
        <w:topLinePunct w:val="0"/>
        <w:bidi w:val="0"/>
        <w:adjustRightInd w:val="0"/>
        <w:snapToGrid w:val="0"/>
        <w:spacing w:before="116" w:beforeLines="30" w:line="440" w:lineRule="exact"/>
        <w:ind w:firstLine="420" w:firstLineChars="200"/>
        <w:textAlignment w:val="auto"/>
        <w:rPr>
          <w:rFonts w:hint="eastAsia" w:ascii="宋体" w:hAnsi="宋体" w:eastAsia="宋体" w:cs="宋体"/>
          <w:color w:val="000000"/>
          <w:sz w:val="21"/>
          <w:szCs w:val="21"/>
          <w:highlight w:val="none"/>
          <w:shd w:val="clear" w:color="FFFFFF" w:fill="D9D9D9"/>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投标人不得被市场监督管理机关在国家企业信用信息公示系统中列入严重违法失信企业名单或列入经营异常名录信息。投标人需同时在商务文件中提供在国家企业信用信息公示系统（www.gsxt.gov.cn）查询的，包含“营业执照信息”、“列入严重违法失信企业名单（黑名单）”、“列入经营异常名录信息”、“行政处罚信息”、“清算信息”的查询结果（查询日期应在投标截止日前20天内，查询结果应为网站自动生成的PDF文件的电子版）。如投标人未提供企业信用信息公示报告，或提供的报告不符合招标文件规定的格式与内容，或报告内容被评标委员会认定有异议的，投标人的“列入经营异常名录信息”和“列入严重违法失信企业名单（黑名单）信息”以评标委员会在国家企业信用信息公示系统（www.gsxt.gov.cn）查询的结果为准。投标人未提供或提供的企业信用信息公示报告不符合招标文件规定的格式与内容的，评标委员会将会对投标人进行不利评价。投标人提供虚假企业信用信息公示报告的，按照虚假投标进行否决，并根据《国家电网有限公司供应商关系管理办法》进行相应处理</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b/>
          <w:bCs/>
          <w:color w:val="000000" w:themeColor="text1"/>
          <w:sz w:val="21"/>
          <w:szCs w:val="21"/>
          <w:highlight w:val="none"/>
          <w:shd w:val="clear" w:color="auto" w:fill="auto"/>
          <w:lang w:eastAsia="zh-CN"/>
          <w14:textFill>
            <w14:solidFill>
              <w14:schemeClr w14:val="tx1"/>
            </w14:solidFill>
          </w14:textFill>
        </w:rPr>
        <w:t>即使投标人在开标当日未出现被市场监督管理机关列入经营异常名录或严重违法失信企业名单的情形，但在中标通知书到达之日前，存在上述情形的，招标人有权取消其中标资格。</w:t>
      </w:r>
    </w:p>
    <w:p w14:paraId="79C5CB1D">
      <w:pPr>
        <w:keepNext w:val="0"/>
        <w:keepLines w:val="0"/>
        <w:pageBreakBefore w:val="0"/>
        <w:widowControl w:val="0"/>
        <w:tabs>
          <w:tab w:val="left" w:pos="1134"/>
        </w:tabs>
        <w:kinsoku/>
        <w:overflowPunct/>
        <w:topLinePunct w:val="0"/>
        <w:bidi w:val="0"/>
        <w:adjustRightInd w:val="0"/>
        <w:snapToGrid w:val="0"/>
        <w:spacing w:before="116" w:beforeLines="30" w:line="440" w:lineRule="exact"/>
        <w:ind w:firstLine="420" w:firstLineChars="200"/>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8</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highlight w:val="none"/>
          <w14:textFill>
            <w14:solidFill>
              <w14:schemeClr w14:val="tx1"/>
            </w14:solidFill>
          </w14:textFill>
        </w:rPr>
        <w:t>其他</w:t>
      </w:r>
    </w:p>
    <w:p w14:paraId="5C2C1AEF">
      <w:pPr>
        <w:pStyle w:val="36"/>
        <w:keepNext w:val="0"/>
        <w:keepLines w:val="0"/>
        <w:pageBreakBefore w:val="0"/>
        <w:widowControl w:val="0"/>
        <w:kinsoku/>
        <w:wordWrap/>
        <w:overflowPunct/>
        <w:topLinePunct w:val="0"/>
        <w:autoSpaceDE/>
        <w:autoSpaceDN/>
        <w:bidi w:val="0"/>
        <w:adjustRightInd w:val="0"/>
        <w:snapToGrid w:val="0"/>
        <w:spacing w:before="116" w:beforeLines="30" w:line="440" w:lineRule="exact"/>
        <w:textAlignment w:val="auto"/>
        <w:rPr>
          <w:rFonts w:hint="default"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t xml:space="preserve"> 8.1参与投标的分支机构应同时具备以下三个条件：分支机构营业执照、以分支机构名义取得的相应资质证书和履约业绩证明材料。</w:t>
      </w:r>
    </w:p>
    <w:p w14:paraId="3B63376C">
      <w:pPr>
        <w:keepNext w:val="0"/>
        <w:keepLines w:val="0"/>
        <w:pageBreakBefore w:val="0"/>
        <w:widowControl w:val="0"/>
        <w:tabs>
          <w:tab w:val="left" w:pos="1134"/>
        </w:tabs>
        <w:kinsoku/>
        <w:overflowPunct/>
        <w:topLinePunct w:val="0"/>
        <w:bidi w:val="0"/>
        <w:adjustRightInd w:val="0"/>
        <w:snapToGrid w:val="0"/>
        <w:spacing w:before="116" w:beforeLines="30" w:line="440" w:lineRule="exact"/>
        <w:ind w:left="0" w:leftChars="0" w:firstLine="420" w:firstLineChars="200"/>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8.2</w:t>
      </w:r>
      <w:r>
        <w:rPr>
          <w:rFonts w:hint="eastAsia" w:ascii="宋体" w:hAnsi="宋体" w:eastAsia="宋体" w:cs="宋体"/>
          <w:color w:val="000000" w:themeColor="text1"/>
          <w:sz w:val="21"/>
          <w:szCs w:val="21"/>
          <w:highlight w:val="none"/>
          <w:lang w:val="en-US" w:eastAsia="zh-CN"/>
          <w14:textFill>
            <w14:solidFill>
              <w14:schemeClr w14:val="tx1"/>
            </w14:solidFill>
          </w14:textFill>
        </w:rPr>
        <w:t>国家电网有限公司认定串通投标的八种情形</w:t>
      </w:r>
    </w:p>
    <w:p w14:paraId="13F64B25">
      <w:pPr>
        <w:keepNext w:val="0"/>
        <w:keepLines w:val="0"/>
        <w:pageBreakBefore w:val="0"/>
        <w:widowControl w:val="0"/>
        <w:tabs>
          <w:tab w:val="left" w:pos="1134"/>
        </w:tabs>
        <w:kinsoku/>
        <w:overflowPunct/>
        <w:topLinePunct w:val="0"/>
        <w:bidi w:val="0"/>
        <w:adjustRightInd w:val="0"/>
        <w:snapToGrid w:val="0"/>
        <w:spacing w:before="116" w:beforeLines="30" w:line="440" w:lineRule="exact"/>
        <w:ind w:left="0" w:leftChars="0" w:firstLine="420" w:firstLineChars="200"/>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（1）不同投标人的投标文件由同一单位或者个人编制，不同电子投标文件通过同一台电脑制作、上传。</w:t>
      </w:r>
    </w:p>
    <w:p w14:paraId="6B5579C9">
      <w:pPr>
        <w:keepNext w:val="0"/>
        <w:keepLines w:val="0"/>
        <w:pageBreakBefore w:val="0"/>
        <w:widowControl w:val="0"/>
        <w:tabs>
          <w:tab w:val="left" w:pos="1134"/>
        </w:tabs>
        <w:kinsoku/>
        <w:overflowPunct/>
        <w:topLinePunct w:val="0"/>
        <w:bidi w:val="0"/>
        <w:adjustRightInd w:val="0"/>
        <w:snapToGrid w:val="0"/>
        <w:spacing w:before="116" w:beforeLines="30" w:line="440" w:lineRule="exact"/>
        <w:ind w:left="0" w:leftChars="0" w:firstLine="420" w:firstLineChars="200"/>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不同投标人委托同一单位或者个人办理投标事宜，如同一个单位派人或者同一个人代表不同投标人购买招标文件、递交投标文件、踏勘现场、提出异议、澄清答复、领取中标通知书等；通过邮件、快递形式寄出投标文件或收取中标通知书的，如不同投标人寄出、收件地址或人员相同的。</w:t>
      </w:r>
    </w:p>
    <w:p w14:paraId="30A45D60">
      <w:pPr>
        <w:keepNext w:val="0"/>
        <w:keepLines w:val="0"/>
        <w:pageBreakBefore w:val="0"/>
        <w:widowControl w:val="0"/>
        <w:tabs>
          <w:tab w:val="left" w:pos="1134"/>
        </w:tabs>
        <w:kinsoku/>
        <w:overflowPunct/>
        <w:topLinePunct w:val="0"/>
        <w:bidi w:val="0"/>
        <w:adjustRightInd w:val="0"/>
        <w:snapToGrid w:val="0"/>
        <w:spacing w:before="116" w:beforeLines="30" w:line="440" w:lineRule="exact"/>
        <w:ind w:left="0" w:leftChars="0" w:firstLine="420" w:firstLineChars="200"/>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（3）不同投标人的投标文件载明的项目管理成员为同一人，其存在串通投标的可能性极大，应当先行给予认定，除非投标人能够证明其不存在串通投标的行为。</w:t>
      </w:r>
    </w:p>
    <w:p w14:paraId="1659D424">
      <w:pPr>
        <w:keepNext w:val="0"/>
        <w:keepLines w:val="0"/>
        <w:pageBreakBefore w:val="0"/>
        <w:widowControl w:val="0"/>
        <w:tabs>
          <w:tab w:val="left" w:pos="1134"/>
        </w:tabs>
        <w:kinsoku/>
        <w:overflowPunct/>
        <w:topLinePunct w:val="0"/>
        <w:bidi w:val="0"/>
        <w:adjustRightInd w:val="0"/>
        <w:snapToGrid w:val="0"/>
        <w:spacing w:before="116" w:beforeLines="30" w:line="440" w:lineRule="exact"/>
        <w:ind w:left="0" w:leftChars="0" w:firstLine="420" w:firstLineChars="200"/>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不同投标人的投标文件异常一致或者投标报价呈规律性差异，主要表现为投标文件错误表述、错误计算或者笔误雷同，投标文件内容整段内容一致，投标文件排版格式一致，投标报价呈等差数列或有规律性的百分比等。</w:t>
      </w:r>
    </w:p>
    <w:p w14:paraId="0FF3E622">
      <w:pPr>
        <w:keepNext w:val="0"/>
        <w:keepLines w:val="0"/>
        <w:pageBreakBefore w:val="0"/>
        <w:widowControl w:val="0"/>
        <w:tabs>
          <w:tab w:val="left" w:pos="1134"/>
        </w:tabs>
        <w:kinsoku/>
        <w:overflowPunct/>
        <w:topLinePunct w:val="0"/>
        <w:bidi w:val="0"/>
        <w:adjustRightInd w:val="0"/>
        <w:snapToGrid w:val="0"/>
        <w:spacing w:before="116" w:beforeLines="30" w:line="440" w:lineRule="exact"/>
        <w:ind w:left="0" w:leftChars="0" w:firstLine="420" w:firstLineChars="200"/>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（5）不同投标人的投标文件上所加盖印章、签字相同的，不同投标人的投标文件相互混装，“你中有我，我中有你”。</w:t>
      </w:r>
    </w:p>
    <w:p w14:paraId="43E64EE4">
      <w:pPr>
        <w:keepNext w:val="0"/>
        <w:keepLines w:val="0"/>
        <w:pageBreakBefore w:val="0"/>
        <w:widowControl w:val="0"/>
        <w:tabs>
          <w:tab w:val="left" w:pos="1134"/>
        </w:tabs>
        <w:kinsoku/>
        <w:overflowPunct/>
        <w:topLinePunct w:val="0"/>
        <w:bidi w:val="0"/>
        <w:adjustRightInd w:val="0"/>
        <w:snapToGrid w:val="0"/>
        <w:spacing w:before="116" w:beforeLines="30" w:line="440" w:lineRule="exact"/>
        <w:ind w:left="0" w:leftChars="0" w:firstLine="420" w:firstLineChars="200"/>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（6）不同投标人的投标保证金从同一单位或者个人的账户转出，包括虽然经由投标人自己的基本账户转出但所需资金均是来自同一投标人或者个人的账户的。</w:t>
      </w:r>
    </w:p>
    <w:p w14:paraId="5B244506">
      <w:pPr>
        <w:keepNext w:val="0"/>
        <w:keepLines w:val="0"/>
        <w:pageBreakBefore w:val="0"/>
        <w:widowControl w:val="0"/>
        <w:tabs>
          <w:tab w:val="left" w:pos="1134"/>
        </w:tabs>
        <w:kinsoku/>
        <w:overflowPunct/>
        <w:topLinePunct w:val="0"/>
        <w:bidi w:val="0"/>
        <w:adjustRightInd w:val="0"/>
        <w:snapToGrid w:val="0"/>
        <w:spacing w:before="116" w:beforeLines="30" w:line="440" w:lineRule="exact"/>
        <w:ind w:left="0" w:leftChars="0" w:firstLine="420" w:firstLineChars="200"/>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7）招投标实现电子化的情形下，不同投标人从同一个投标单位或者同一个自然人的IP地址下载招标文件或者上传投标文件；不同投标人的电子投标文件编制时的计算机硬件信息中存在一条及以上的计算机网卡MAC地址(如有）、CPU序列号和硬盘序列号均相同的；不同投标人的电子投标文件上传计算机的网卡MAC地址、CPU序列号和硬盘序列号等硬件信息均相同的(开标现场上传电子投标文件的除外）。</w:t>
      </w:r>
    </w:p>
    <w:p w14:paraId="28742468">
      <w:pPr>
        <w:keepNext w:val="0"/>
        <w:keepLines w:val="0"/>
        <w:pageBreakBefore w:val="0"/>
        <w:widowControl w:val="0"/>
        <w:tabs>
          <w:tab w:val="left" w:pos="1134"/>
        </w:tabs>
        <w:kinsoku/>
        <w:overflowPunct/>
        <w:topLinePunct w:val="0"/>
        <w:bidi w:val="0"/>
        <w:adjustRightInd w:val="0"/>
        <w:snapToGrid w:val="0"/>
        <w:spacing w:before="116" w:beforeLines="30" w:line="440" w:lineRule="exact"/>
        <w:ind w:left="0" w:leftChars="0" w:firstLine="420" w:firstLineChars="200"/>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（8）举报人提供的投标人串通投标证据，经相关部门核实属实的。</w:t>
      </w:r>
    </w:p>
    <w:p w14:paraId="1F88ACCB">
      <w:pPr>
        <w:keepNext w:val="0"/>
        <w:keepLines w:val="0"/>
        <w:pageBreakBefore w:val="0"/>
        <w:widowControl w:val="0"/>
        <w:tabs>
          <w:tab w:val="left" w:pos="1134"/>
        </w:tabs>
        <w:kinsoku/>
        <w:overflowPunct/>
        <w:topLinePunct w:val="0"/>
        <w:bidi w:val="0"/>
        <w:adjustRightInd w:val="0"/>
        <w:snapToGrid w:val="0"/>
        <w:spacing w:before="116" w:beforeLines="30" w:line="440" w:lineRule="exact"/>
        <w:ind w:left="0" w:leftChars="0" w:firstLine="420" w:firstLineChars="200"/>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8.3</w:t>
      </w:r>
      <w:r>
        <w:rPr>
          <w:rFonts w:hint="eastAsia" w:ascii="宋体" w:hAnsi="宋体" w:eastAsia="宋体" w:cs="宋体"/>
          <w:color w:val="000000" w:themeColor="text1"/>
          <w:sz w:val="21"/>
          <w:szCs w:val="21"/>
          <w:highlight w:val="none"/>
          <w:lang w:val="en-US" w:eastAsia="zh-CN"/>
          <w14:textFill>
            <w14:solidFill>
              <w14:schemeClr w14:val="tx1"/>
            </w14:solidFill>
          </w14:textFill>
        </w:rPr>
        <w:t>根据国网公司管理要求，电网工程设计、施工、监理供应商需参加国网公司组织的资质能力信息核实工作，如中标单位未参加资质能力信息核实，中标后仍需补充核实。</w:t>
      </w:r>
    </w:p>
    <w:p w14:paraId="3A839219">
      <w:pPr>
        <w:keepNext w:val="0"/>
        <w:keepLines w:val="0"/>
        <w:pageBreakBefore w:val="0"/>
        <w:widowControl w:val="0"/>
        <w:tabs>
          <w:tab w:val="left" w:pos="1200"/>
          <w:tab w:val="left" w:pos="3112"/>
          <w:tab w:val="left" w:pos="4600"/>
        </w:tabs>
        <w:kinsoku/>
        <w:overflowPunct/>
        <w:topLinePunct w:val="0"/>
        <w:bidi w:val="0"/>
        <w:adjustRightInd w:val="0"/>
        <w:snapToGrid w:val="0"/>
        <w:spacing w:before="116" w:beforeLines="30" w:line="440" w:lineRule="exact"/>
        <w:ind w:firstLine="450" w:firstLineChars="200"/>
        <w:textAlignment w:val="auto"/>
        <w:rPr>
          <w:b/>
          <w:bCs/>
          <w:color w:val="000000" w:themeColor="text1"/>
          <w:spacing w:val="7"/>
          <w:sz w:val="21"/>
          <w:szCs w:val="21"/>
          <w14:textFill>
            <w14:solidFill>
              <w14:schemeClr w14:val="tx1"/>
            </w14:solidFill>
          </w14:textFill>
        </w:rPr>
      </w:pPr>
      <w:r>
        <w:rPr>
          <w:rFonts w:hint="eastAsia" w:ascii="宋体" w:hAnsi="宋体" w:eastAsia="宋体" w:cs="宋体"/>
          <w:b/>
          <w:bCs/>
          <w:color w:val="000000" w:themeColor="text1"/>
          <w:spacing w:val="7"/>
          <w:sz w:val="21"/>
          <w:szCs w:val="21"/>
          <w14:textFill>
            <w14:solidFill>
              <w14:schemeClr w14:val="tx1"/>
            </w14:solidFill>
          </w14:textFill>
        </w:rPr>
        <w:t>3.2投标人须满足相应招标项目的专用资格要求</w:t>
      </w:r>
      <w:r>
        <w:rPr>
          <w:rFonts w:hint="eastAsia"/>
          <w:b/>
          <w:bCs/>
          <w:color w:val="000000" w:themeColor="text1"/>
          <w:spacing w:val="7"/>
          <w:sz w:val="21"/>
          <w:szCs w:val="21"/>
          <w14:textFill>
            <w14:solidFill>
              <w14:schemeClr w14:val="tx1"/>
            </w14:solidFill>
          </w14:textFill>
        </w:rPr>
        <w:t>:</w:t>
      </w:r>
    </w:p>
    <w:p w14:paraId="1F4CE939">
      <w:pPr>
        <w:keepNext w:val="0"/>
        <w:keepLines w:val="0"/>
        <w:pageBreakBefore w:val="0"/>
        <w:widowControl w:val="0"/>
        <w:tabs>
          <w:tab w:val="left" w:pos="1200"/>
          <w:tab w:val="left" w:pos="3112"/>
          <w:tab w:val="left" w:pos="4600"/>
        </w:tabs>
        <w:kinsoku/>
        <w:wordWrap/>
        <w:overflowPunct/>
        <w:topLinePunct w:val="0"/>
        <w:autoSpaceDE/>
        <w:autoSpaceDN/>
        <w:bidi w:val="0"/>
        <w:adjustRightInd w:val="0"/>
        <w:snapToGrid w:val="0"/>
        <w:spacing w:before="116" w:beforeLines="30" w:line="440" w:lineRule="exact"/>
        <w:ind w:firstLine="630" w:firstLineChars="300"/>
        <w:textAlignment w:val="auto"/>
        <w:rPr>
          <w:rFonts w:ascii="宋体" w:hAnsi="宋体"/>
          <w:color w:val="000000" w:themeColor="text1"/>
          <w:sz w:val="21"/>
          <w:szCs w:val="21"/>
          <w:lang w:val="zh-CN"/>
          <w14:textFill>
            <w14:solidFill>
              <w14:schemeClr w14:val="tx1"/>
            </w14:solidFill>
          </w14:textFill>
        </w:rPr>
      </w:pPr>
      <w:r>
        <w:rPr>
          <w:rFonts w:hint="eastAsia" w:ascii="宋体" w:hAnsi="宋体"/>
          <w:color w:val="000000" w:themeColor="text1"/>
          <w:sz w:val="21"/>
          <w:szCs w:val="21"/>
          <w:lang w:val="zh-CN"/>
          <w14:textFill>
            <w14:solidFill>
              <w14:schemeClr w14:val="tx1"/>
            </w14:solidFill>
          </w14:textFill>
        </w:rPr>
        <w:t>详见招标公</w:t>
      </w:r>
      <w:r>
        <w:rPr>
          <w:rFonts w:hint="eastAsia" w:ascii="宋体" w:hAnsi="宋体"/>
          <w:color w:val="000000" w:themeColor="text1"/>
          <w:sz w:val="21"/>
          <w:szCs w:val="21"/>
          <w:highlight w:val="none"/>
          <w:lang w:val="zh-CN"/>
          <w14:textFill>
            <w14:solidFill>
              <w14:schemeClr w14:val="tx1"/>
            </w14:solidFill>
          </w14:textFill>
        </w:rPr>
        <w:t>告附件</w:t>
      </w:r>
      <w:r>
        <w:rPr>
          <w:rFonts w:hint="eastAsia" w:ascii="宋体" w:hAnsi="宋体"/>
          <w:color w:val="000000" w:themeColor="text1"/>
          <w:sz w:val="21"/>
          <w:szCs w:val="21"/>
          <w:highlight w:val="none"/>
          <w:lang w:val="en-US" w:eastAsia="zh-CN"/>
          <w14:textFill>
            <w14:solidFill>
              <w14:schemeClr w14:val="tx1"/>
            </w14:solidFill>
          </w14:textFill>
        </w:rPr>
        <w:t>一</w:t>
      </w:r>
      <w:r>
        <w:rPr>
          <w:rFonts w:hint="eastAsia" w:ascii="宋体" w:hAnsi="宋体"/>
          <w:color w:val="000000" w:themeColor="text1"/>
          <w:sz w:val="21"/>
          <w:szCs w:val="21"/>
          <w:highlight w:val="none"/>
          <w:lang w:val="zh-CN"/>
          <w14:textFill>
            <w14:solidFill>
              <w14:schemeClr w14:val="tx1"/>
            </w14:solidFill>
          </w14:textFill>
        </w:rPr>
        <w:t>“需求一览表”。</w:t>
      </w:r>
    </w:p>
    <w:p w14:paraId="468EC928">
      <w:pPr>
        <w:keepNext w:val="0"/>
        <w:keepLines w:val="0"/>
        <w:pageBreakBefore w:val="0"/>
        <w:widowControl w:val="0"/>
        <w:tabs>
          <w:tab w:val="left" w:pos="1200"/>
          <w:tab w:val="left" w:pos="3112"/>
          <w:tab w:val="left" w:pos="4600"/>
        </w:tabs>
        <w:kinsoku/>
        <w:overflowPunct/>
        <w:topLinePunct w:val="0"/>
        <w:bidi w:val="0"/>
        <w:adjustRightInd w:val="0"/>
        <w:snapToGrid w:val="0"/>
        <w:spacing w:before="116" w:beforeLines="30" w:line="440" w:lineRule="exact"/>
        <w:ind w:firstLine="450" w:firstLineChars="200"/>
        <w:textAlignment w:val="auto"/>
        <w:rPr>
          <w:rFonts w:hint="eastAsia" w:ascii="宋体" w:hAnsi="宋体" w:cs="宋体"/>
          <w:b/>
          <w:bCs/>
          <w:color w:val="000000" w:themeColor="text1"/>
          <w:spacing w:val="7"/>
          <w:sz w:val="21"/>
          <w:szCs w:val="21"/>
          <w14:textFill>
            <w14:solidFill>
              <w14:schemeClr w14:val="tx1"/>
            </w14:solidFill>
          </w14:textFill>
        </w:rPr>
      </w:pPr>
      <w:r>
        <w:rPr>
          <w:rFonts w:hint="eastAsia" w:ascii="宋体" w:hAnsi="宋体" w:cs="宋体"/>
          <w:b/>
          <w:bCs/>
          <w:color w:val="000000" w:themeColor="text1"/>
          <w:spacing w:val="7"/>
          <w:sz w:val="21"/>
          <w:szCs w:val="21"/>
          <w14:textFill>
            <w14:solidFill>
              <w14:schemeClr w14:val="tx1"/>
            </w14:solidFill>
          </w14:textFill>
        </w:rPr>
        <w:t>3.3除专用资格要求中明确接受联合体投标的项目外，不接受联合体投标。</w:t>
      </w:r>
    </w:p>
    <w:p w14:paraId="628BAA4A">
      <w:pPr>
        <w:keepNext w:val="0"/>
        <w:keepLines w:val="0"/>
        <w:pageBreakBefore w:val="0"/>
        <w:widowControl w:val="0"/>
        <w:tabs>
          <w:tab w:val="left" w:pos="1200"/>
          <w:tab w:val="left" w:pos="3112"/>
          <w:tab w:val="left" w:pos="4600"/>
        </w:tabs>
        <w:kinsoku/>
        <w:overflowPunct/>
        <w:topLinePunct w:val="0"/>
        <w:bidi w:val="0"/>
        <w:adjustRightInd w:val="0"/>
        <w:snapToGrid w:val="0"/>
        <w:spacing w:before="116" w:beforeLines="30" w:line="440" w:lineRule="exact"/>
        <w:ind w:firstLine="450" w:firstLineChars="200"/>
        <w:textAlignment w:val="auto"/>
        <w:rPr>
          <w:color w:val="000000" w:themeColor="text1"/>
          <w:spacing w:val="7"/>
          <w:sz w:val="21"/>
          <w:szCs w:val="21"/>
          <w14:textFill>
            <w14:solidFill>
              <w14:schemeClr w14:val="tx1"/>
            </w14:solidFill>
          </w14:textFill>
        </w:rPr>
      </w:pPr>
      <w:r>
        <w:rPr>
          <w:rFonts w:hint="eastAsia" w:ascii="宋体" w:hAnsi="宋体" w:cs="宋体"/>
          <w:b/>
          <w:bCs/>
          <w:color w:val="000000" w:themeColor="text1"/>
          <w:spacing w:val="7"/>
          <w:sz w:val="21"/>
          <w:szCs w:val="21"/>
          <w14:textFill>
            <w14:solidFill>
              <w14:schemeClr w14:val="tx1"/>
            </w14:solidFill>
          </w14:textFill>
        </w:rPr>
        <w:t>3.4</w:t>
      </w:r>
      <w:r>
        <w:rPr>
          <w:rFonts w:hint="eastAsia"/>
          <w:b/>
          <w:bCs/>
          <w:color w:val="000000" w:themeColor="text1"/>
          <w:spacing w:val="7"/>
          <w:sz w:val="21"/>
          <w:szCs w:val="21"/>
          <w14:textFill>
            <w14:solidFill>
              <w14:schemeClr w14:val="tx1"/>
            </w14:solidFill>
          </w14:textFill>
        </w:rPr>
        <w:t>如接受联合体投标的，投标人还应遵守以下规定：</w:t>
      </w:r>
    </w:p>
    <w:p w14:paraId="296E312E">
      <w:pPr>
        <w:pStyle w:val="71"/>
        <w:keepNext w:val="0"/>
        <w:keepLines w:val="0"/>
        <w:pageBreakBefore w:val="0"/>
        <w:widowControl w:val="0"/>
        <w:tabs>
          <w:tab w:val="left" w:pos="0"/>
        </w:tabs>
        <w:kinsoku/>
        <w:overflowPunct/>
        <w:topLinePunct w:val="0"/>
        <w:bidi w:val="0"/>
        <w:adjustRightInd w:val="0"/>
        <w:snapToGrid w:val="0"/>
        <w:spacing w:before="116" w:beforeLines="30" w:line="440" w:lineRule="exact"/>
        <w:ind w:firstLine="420" w:firstLineChars="200"/>
        <w:jc w:val="both"/>
        <w:textAlignment w:val="auto"/>
        <w:rPr>
          <w:color w:val="000000" w:themeColor="text1"/>
          <w:kern w:val="2"/>
          <w:sz w:val="21"/>
          <w14:textFill>
            <w14:solidFill>
              <w14:schemeClr w14:val="tx1"/>
            </w14:solidFill>
          </w14:textFill>
        </w:rPr>
      </w:pPr>
      <w:r>
        <w:rPr>
          <w:rFonts w:hint="eastAsia"/>
          <w:color w:val="000000" w:themeColor="text1"/>
          <w:kern w:val="2"/>
          <w:sz w:val="21"/>
          <w14:textFill>
            <w14:solidFill>
              <w14:schemeClr w14:val="tx1"/>
            </w14:solidFill>
          </w14:textFill>
        </w:rPr>
        <w:t>（1）联合体各方均应满足</w:t>
      </w:r>
      <w:r>
        <w:rPr>
          <w:color w:val="000000" w:themeColor="text1"/>
          <w:kern w:val="2"/>
          <w:sz w:val="21"/>
          <w14:textFill>
            <w14:solidFill>
              <w14:schemeClr w14:val="tx1"/>
            </w14:solidFill>
          </w14:textFill>
        </w:rPr>
        <w:t>3.1款和3.2款的规定。</w:t>
      </w:r>
    </w:p>
    <w:p w14:paraId="0E359378">
      <w:pPr>
        <w:pStyle w:val="71"/>
        <w:keepNext w:val="0"/>
        <w:keepLines w:val="0"/>
        <w:pageBreakBefore w:val="0"/>
        <w:widowControl w:val="0"/>
        <w:tabs>
          <w:tab w:val="left" w:pos="0"/>
        </w:tabs>
        <w:kinsoku/>
        <w:overflowPunct/>
        <w:topLinePunct w:val="0"/>
        <w:bidi w:val="0"/>
        <w:adjustRightInd w:val="0"/>
        <w:snapToGrid w:val="0"/>
        <w:spacing w:before="116" w:beforeLines="30" w:line="440" w:lineRule="exact"/>
        <w:ind w:firstLine="420" w:firstLineChars="200"/>
        <w:jc w:val="both"/>
        <w:textAlignment w:val="auto"/>
        <w:rPr>
          <w:color w:val="000000" w:themeColor="text1"/>
          <w:kern w:val="2"/>
          <w:sz w:val="21"/>
          <w14:textFill>
            <w14:solidFill>
              <w14:schemeClr w14:val="tx1"/>
            </w14:solidFill>
          </w14:textFill>
        </w:rPr>
      </w:pPr>
      <w:r>
        <w:rPr>
          <w:rFonts w:hint="eastAsia"/>
          <w:color w:val="000000" w:themeColor="text1"/>
          <w:kern w:val="2"/>
          <w:sz w:val="21"/>
          <w14:textFill>
            <w14:solidFill>
              <w14:schemeClr w14:val="tx1"/>
            </w14:solidFill>
          </w14:textFill>
        </w:rPr>
        <w:t>（</w:t>
      </w:r>
      <w:r>
        <w:rPr>
          <w:color w:val="000000" w:themeColor="text1"/>
          <w:kern w:val="2"/>
          <w:sz w:val="21"/>
          <w14:textFill>
            <w14:solidFill>
              <w14:schemeClr w14:val="tx1"/>
            </w14:solidFill>
          </w14:textFill>
        </w:rPr>
        <w:t>2</w:t>
      </w:r>
      <w:r>
        <w:rPr>
          <w:rFonts w:hint="eastAsia"/>
          <w:color w:val="000000" w:themeColor="text1"/>
          <w:kern w:val="2"/>
          <w:sz w:val="21"/>
          <w14:textFill>
            <w14:solidFill>
              <w14:schemeClr w14:val="tx1"/>
            </w14:solidFill>
          </w14:textFill>
        </w:rPr>
        <w:t>）</w:t>
      </w:r>
      <w:r>
        <w:rPr>
          <w:color w:val="000000" w:themeColor="text1"/>
          <w:kern w:val="2"/>
          <w:sz w:val="21"/>
          <w14:textFill>
            <w14:solidFill>
              <w14:schemeClr w14:val="tx1"/>
            </w14:solidFill>
          </w14:textFill>
        </w:rPr>
        <w:t>联合体各方应按照招标文件提供的格式签订联合体协议书，明确联合体牵头人和各方的权利义务</w:t>
      </w:r>
      <w:r>
        <w:rPr>
          <w:rFonts w:hint="eastAsia"/>
          <w:color w:val="000000" w:themeColor="text1"/>
          <w:kern w:val="2"/>
          <w:sz w:val="21"/>
          <w14:textFill>
            <w14:solidFill>
              <w14:schemeClr w14:val="tx1"/>
            </w14:solidFill>
          </w14:textFill>
        </w:rPr>
        <w:t>。</w:t>
      </w:r>
    </w:p>
    <w:p w14:paraId="3143FE08">
      <w:pPr>
        <w:pStyle w:val="71"/>
        <w:keepNext w:val="0"/>
        <w:keepLines w:val="0"/>
        <w:pageBreakBefore w:val="0"/>
        <w:widowControl w:val="0"/>
        <w:tabs>
          <w:tab w:val="left" w:pos="0"/>
        </w:tabs>
        <w:kinsoku/>
        <w:overflowPunct/>
        <w:topLinePunct w:val="0"/>
        <w:bidi w:val="0"/>
        <w:adjustRightInd w:val="0"/>
        <w:snapToGrid w:val="0"/>
        <w:spacing w:before="116" w:beforeLines="30" w:line="440" w:lineRule="exact"/>
        <w:ind w:firstLine="420" w:firstLineChars="200"/>
        <w:jc w:val="both"/>
        <w:textAlignment w:val="auto"/>
        <w:rPr>
          <w:color w:val="000000" w:themeColor="text1"/>
          <w:kern w:val="2"/>
          <w:sz w:val="21"/>
          <w14:textFill>
            <w14:solidFill>
              <w14:schemeClr w14:val="tx1"/>
            </w14:solidFill>
          </w14:textFill>
        </w:rPr>
      </w:pPr>
      <w:r>
        <w:rPr>
          <w:rFonts w:hint="eastAsia"/>
          <w:color w:val="000000" w:themeColor="text1"/>
          <w:kern w:val="2"/>
          <w:sz w:val="21"/>
          <w14:textFill>
            <w14:solidFill>
              <w14:schemeClr w14:val="tx1"/>
            </w14:solidFill>
          </w14:textFill>
        </w:rPr>
        <w:t>（</w:t>
      </w:r>
      <w:r>
        <w:rPr>
          <w:color w:val="000000" w:themeColor="text1"/>
          <w:kern w:val="2"/>
          <w:sz w:val="21"/>
          <w14:textFill>
            <w14:solidFill>
              <w14:schemeClr w14:val="tx1"/>
            </w14:solidFill>
          </w14:textFill>
        </w:rPr>
        <w:t>3</w:t>
      </w:r>
      <w:r>
        <w:rPr>
          <w:rFonts w:hint="eastAsia"/>
          <w:color w:val="000000" w:themeColor="text1"/>
          <w:kern w:val="2"/>
          <w:sz w:val="21"/>
          <w14:textFill>
            <w14:solidFill>
              <w14:schemeClr w14:val="tx1"/>
            </w14:solidFill>
          </w14:textFill>
        </w:rPr>
        <w:t>）联合体牵头人代表联合体各方负责获取本项目的招标文件及投标工作。</w:t>
      </w:r>
    </w:p>
    <w:p w14:paraId="3C6020C6">
      <w:pPr>
        <w:pStyle w:val="71"/>
        <w:keepNext w:val="0"/>
        <w:keepLines w:val="0"/>
        <w:pageBreakBefore w:val="0"/>
        <w:widowControl w:val="0"/>
        <w:tabs>
          <w:tab w:val="left" w:pos="0"/>
        </w:tabs>
        <w:kinsoku/>
        <w:overflowPunct/>
        <w:topLinePunct w:val="0"/>
        <w:bidi w:val="0"/>
        <w:adjustRightInd w:val="0"/>
        <w:snapToGrid w:val="0"/>
        <w:spacing w:before="116" w:beforeLines="30" w:line="440" w:lineRule="exact"/>
        <w:ind w:firstLine="420" w:firstLineChars="200"/>
        <w:jc w:val="both"/>
        <w:textAlignment w:val="auto"/>
        <w:rPr>
          <w:color w:val="000000" w:themeColor="text1"/>
          <w:kern w:val="2"/>
          <w:sz w:val="21"/>
          <w14:textFill>
            <w14:solidFill>
              <w14:schemeClr w14:val="tx1"/>
            </w14:solidFill>
          </w14:textFill>
        </w:rPr>
      </w:pPr>
      <w:r>
        <w:rPr>
          <w:color w:val="000000" w:themeColor="text1"/>
          <w:kern w:val="2"/>
          <w:sz w:val="21"/>
          <w14:textFill>
            <w14:solidFill>
              <w14:schemeClr w14:val="tx1"/>
            </w14:solidFill>
          </w14:textFill>
        </w:rPr>
        <w:t>（4）</w:t>
      </w:r>
      <w:r>
        <w:rPr>
          <w:rFonts w:hint="eastAsia"/>
          <w:color w:val="000000" w:themeColor="text1"/>
          <w:kern w:val="2"/>
          <w:sz w:val="21"/>
          <w14:textFill>
            <w14:solidFill>
              <w14:schemeClr w14:val="tx1"/>
            </w14:solidFill>
          </w14:textFill>
        </w:rPr>
        <w:t>由同一专业的单位组成的联合体，按照资质等级较低的单位确定资质等级；不同专业分工由不同单位分别承担的，按照各自的专业资质确定联合体的资质。</w:t>
      </w:r>
    </w:p>
    <w:p w14:paraId="1AFB595D">
      <w:pPr>
        <w:pStyle w:val="71"/>
        <w:keepNext w:val="0"/>
        <w:keepLines w:val="0"/>
        <w:pageBreakBefore w:val="0"/>
        <w:widowControl w:val="0"/>
        <w:tabs>
          <w:tab w:val="left" w:pos="0"/>
        </w:tabs>
        <w:kinsoku/>
        <w:overflowPunct/>
        <w:topLinePunct w:val="0"/>
        <w:bidi w:val="0"/>
        <w:adjustRightInd w:val="0"/>
        <w:snapToGrid w:val="0"/>
        <w:spacing w:before="116" w:beforeLines="30" w:line="440" w:lineRule="exact"/>
        <w:ind w:firstLine="420" w:firstLineChars="200"/>
        <w:jc w:val="both"/>
        <w:textAlignment w:val="auto"/>
        <w:rPr>
          <w:color w:val="000000" w:themeColor="text1"/>
          <w:kern w:val="2"/>
          <w:sz w:val="21"/>
          <w14:textFill>
            <w14:solidFill>
              <w14:schemeClr w14:val="tx1"/>
            </w14:solidFill>
          </w14:textFill>
        </w:rPr>
      </w:pPr>
      <w:r>
        <w:rPr>
          <w:color w:val="000000" w:themeColor="text1"/>
          <w:kern w:val="2"/>
          <w:sz w:val="21"/>
          <w14:textFill>
            <w14:solidFill>
              <w14:schemeClr w14:val="tx1"/>
            </w14:solidFill>
          </w14:textFill>
        </w:rPr>
        <w:t>（5）联合体各方不得再以自己名义单独或参加其他联合体在同一标包中投标。</w:t>
      </w:r>
    </w:p>
    <w:p w14:paraId="629A41A2">
      <w:pPr>
        <w:keepNext w:val="0"/>
        <w:keepLines w:val="0"/>
        <w:pageBreakBefore w:val="0"/>
        <w:widowControl w:val="0"/>
        <w:tabs>
          <w:tab w:val="left" w:pos="1200"/>
          <w:tab w:val="left" w:pos="3112"/>
          <w:tab w:val="left" w:pos="4600"/>
        </w:tabs>
        <w:kinsoku/>
        <w:overflowPunct/>
        <w:topLinePunct w:val="0"/>
        <w:bidi w:val="0"/>
        <w:adjustRightInd w:val="0"/>
        <w:snapToGrid w:val="0"/>
        <w:spacing w:before="116" w:beforeLines="30" w:line="440" w:lineRule="exact"/>
        <w:ind w:firstLine="450" w:firstLineChars="200"/>
        <w:textAlignment w:val="auto"/>
        <w:rPr>
          <w:rFonts w:hint="eastAsia" w:ascii="宋体" w:hAnsi="宋体" w:cs="宋体"/>
          <w:b/>
          <w:bCs/>
          <w:color w:val="000000" w:themeColor="text1"/>
          <w:spacing w:val="7"/>
          <w:sz w:val="21"/>
          <w:szCs w:val="21"/>
          <w14:textFill>
            <w14:solidFill>
              <w14:schemeClr w14:val="tx1"/>
            </w14:solidFill>
          </w14:textFill>
        </w:rPr>
      </w:pPr>
      <w:r>
        <w:rPr>
          <w:rFonts w:hint="eastAsia" w:ascii="宋体" w:hAnsi="宋体" w:cs="宋体"/>
          <w:b/>
          <w:bCs/>
          <w:color w:val="000000" w:themeColor="text1"/>
          <w:spacing w:val="7"/>
          <w:sz w:val="21"/>
          <w:szCs w:val="21"/>
          <w14:textFill>
            <w14:solidFill>
              <w14:schemeClr w14:val="tx1"/>
            </w14:solidFill>
          </w14:textFill>
        </w:rPr>
        <w:t>3.5 除专用资格要求中明确接受代理商投标的项目外，不接受代理商投标。</w:t>
      </w:r>
    </w:p>
    <w:p w14:paraId="70351FD9">
      <w:pPr>
        <w:keepNext w:val="0"/>
        <w:keepLines w:val="0"/>
        <w:pageBreakBefore w:val="0"/>
        <w:widowControl w:val="0"/>
        <w:tabs>
          <w:tab w:val="left" w:pos="1200"/>
          <w:tab w:val="left" w:pos="3112"/>
          <w:tab w:val="left" w:pos="4600"/>
        </w:tabs>
        <w:kinsoku/>
        <w:overflowPunct/>
        <w:topLinePunct w:val="0"/>
        <w:bidi w:val="0"/>
        <w:adjustRightInd w:val="0"/>
        <w:snapToGrid w:val="0"/>
        <w:spacing w:before="116" w:beforeLines="30" w:line="440" w:lineRule="exact"/>
        <w:ind w:firstLine="450" w:firstLineChars="200"/>
        <w:textAlignment w:val="auto"/>
        <w:rPr>
          <w:rFonts w:hint="eastAsia" w:ascii="宋体" w:hAnsi="宋体" w:cs="宋体"/>
          <w:b/>
          <w:bCs/>
          <w:color w:val="000000" w:themeColor="text1"/>
          <w:spacing w:val="7"/>
          <w:sz w:val="21"/>
          <w:szCs w:val="21"/>
          <w14:textFill>
            <w14:solidFill>
              <w14:schemeClr w14:val="tx1"/>
            </w14:solidFill>
          </w14:textFill>
        </w:rPr>
      </w:pPr>
      <w:r>
        <w:rPr>
          <w:rFonts w:hint="eastAsia" w:ascii="宋体" w:hAnsi="宋体" w:cs="宋体"/>
          <w:b/>
          <w:bCs/>
          <w:color w:val="000000" w:themeColor="text1"/>
          <w:spacing w:val="7"/>
          <w:sz w:val="21"/>
          <w:szCs w:val="21"/>
          <w14:textFill>
            <w14:solidFill>
              <w14:schemeClr w14:val="tx1"/>
            </w14:solidFill>
          </w14:textFill>
        </w:rPr>
        <w:t>3.6 本次</w:t>
      </w:r>
      <w:r>
        <w:rPr>
          <w:rFonts w:hint="eastAsia" w:ascii="宋体" w:hAnsi="宋体" w:cs="宋体"/>
          <w:b/>
          <w:bCs/>
          <w:color w:val="000000" w:themeColor="text1"/>
          <w:spacing w:val="7"/>
          <w:sz w:val="21"/>
          <w:szCs w:val="21"/>
          <w:lang w:val="en-US" w:eastAsia="zh-CN"/>
          <w14:textFill>
            <w14:solidFill>
              <w14:schemeClr w14:val="tx1"/>
            </w14:solidFill>
          </w14:textFill>
        </w:rPr>
        <w:t>招标</w:t>
      </w:r>
      <w:r>
        <w:rPr>
          <w:rFonts w:hint="eastAsia" w:ascii="宋体" w:hAnsi="宋体" w:cs="宋体"/>
          <w:b/>
          <w:bCs/>
          <w:color w:val="000000" w:themeColor="text1"/>
          <w:spacing w:val="7"/>
          <w:sz w:val="21"/>
          <w:szCs w:val="21"/>
          <w14:textFill>
            <w14:solidFill>
              <w14:schemeClr w14:val="tx1"/>
            </w14:solidFill>
          </w14:textFill>
        </w:rPr>
        <w:t>不接受投标人委托中介机构或者中间人编制投标文件或代行办理投标事宜。</w:t>
      </w:r>
    </w:p>
    <w:p w14:paraId="28201F20">
      <w:pPr>
        <w:keepNext w:val="0"/>
        <w:keepLines w:val="0"/>
        <w:pageBreakBefore w:val="0"/>
        <w:widowControl w:val="0"/>
        <w:tabs>
          <w:tab w:val="left" w:pos="1200"/>
          <w:tab w:val="left" w:pos="3112"/>
          <w:tab w:val="left" w:pos="4600"/>
        </w:tabs>
        <w:kinsoku/>
        <w:overflowPunct/>
        <w:topLinePunct w:val="0"/>
        <w:bidi w:val="0"/>
        <w:adjustRightInd w:val="0"/>
        <w:snapToGrid w:val="0"/>
        <w:spacing w:before="116" w:beforeLines="30" w:line="440" w:lineRule="exact"/>
        <w:ind w:firstLine="450" w:firstLineChars="200"/>
        <w:textAlignment w:val="auto"/>
        <w:rPr>
          <w:rFonts w:hint="eastAsia"/>
          <w:b/>
          <w:bCs/>
          <w:color w:val="000000" w:themeColor="text1"/>
          <w:spacing w:val="7"/>
          <w:sz w:val="21"/>
          <w:szCs w:val="21"/>
          <w14:textFill>
            <w14:solidFill>
              <w14:schemeClr w14:val="tx1"/>
            </w14:solidFill>
          </w14:textFill>
        </w:rPr>
      </w:pPr>
      <w:r>
        <w:rPr>
          <w:rFonts w:hint="eastAsia" w:ascii="宋体" w:hAnsi="宋体" w:cs="宋体"/>
          <w:b/>
          <w:bCs/>
          <w:color w:val="000000" w:themeColor="text1"/>
          <w:spacing w:val="7"/>
          <w:sz w:val="21"/>
          <w:szCs w:val="21"/>
          <w14:textFill>
            <w14:solidFill>
              <w14:schemeClr w14:val="tx1"/>
            </w14:solidFill>
          </w14:textFill>
        </w:rPr>
        <w:t xml:space="preserve">3.7 </w:t>
      </w:r>
      <w:r>
        <w:rPr>
          <w:rFonts w:hint="eastAsia"/>
          <w:b/>
          <w:bCs/>
          <w:color w:val="000000" w:themeColor="text1"/>
          <w:spacing w:val="7"/>
          <w:sz w:val="21"/>
          <w:szCs w:val="21"/>
          <w14:textFill>
            <w14:solidFill>
              <w14:schemeClr w14:val="tx1"/>
            </w14:solidFill>
          </w14:textFill>
        </w:rPr>
        <w:t>各投标人均可就本次招标的部分或全部标包投标。</w:t>
      </w:r>
    </w:p>
    <w:p w14:paraId="4DDCB9A7">
      <w:pPr>
        <w:keepNext w:val="0"/>
        <w:keepLines w:val="0"/>
        <w:pageBreakBefore w:val="0"/>
        <w:widowControl w:val="0"/>
        <w:kinsoku/>
        <w:wordWrap/>
        <w:overflowPunct/>
        <w:topLinePunct w:val="0"/>
        <w:autoSpaceDE/>
        <w:autoSpaceDN/>
        <w:bidi w:val="0"/>
        <w:adjustRightInd w:val="0"/>
        <w:snapToGrid w:val="0"/>
        <w:spacing w:before="116" w:beforeLines="30" w:line="440" w:lineRule="exact"/>
        <w:textAlignment w:val="auto"/>
        <w:outlineLvl w:val="1"/>
        <w:rPr>
          <w:rFonts w:hint="eastAsia" w:ascii="黑体" w:hAnsi="黑体" w:eastAsia="黑体" w:cs="黑体"/>
          <w:b/>
          <w:color w:val="000000" w:themeColor="text1"/>
          <w:sz w:val="24"/>
          <w14:textFill>
            <w14:solidFill>
              <w14:schemeClr w14:val="tx1"/>
            </w14:solidFill>
          </w14:textFill>
        </w:rPr>
      </w:pPr>
      <w:bookmarkStart w:id="39" w:name="_bookmark5"/>
      <w:bookmarkEnd w:id="39"/>
      <w:bookmarkStart w:id="40" w:name="_Toc12413"/>
      <w:bookmarkStart w:id="41" w:name="_Toc18436"/>
      <w:bookmarkStart w:id="42" w:name="_Toc62551532"/>
      <w:bookmarkStart w:id="43" w:name="_Toc19223"/>
      <w:r>
        <w:rPr>
          <w:rFonts w:hint="eastAsia" w:ascii="黑体" w:hAnsi="黑体" w:eastAsia="黑体" w:cs="黑体"/>
          <w:b/>
          <w:color w:val="000000" w:themeColor="text1"/>
          <w:sz w:val="24"/>
          <w14:textFill>
            <w14:solidFill>
              <w14:schemeClr w14:val="tx1"/>
            </w14:solidFill>
          </w14:textFill>
        </w:rPr>
        <w:t>4.招标文件的获取</w:t>
      </w:r>
      <w:bookmarkEnd w:id="40"/>
      <w:bookmarkEnd w:id="41"/>
      <w:bookmarkEnd w:id="42"/>
      <w:bookmarkEnd w:id="43"/>
    </w:p>
    <w:p w14:paraId="3D729077">
      <w:pPr>
        <w:keepNext w:val="0"/>
        <w:keepLines w:val="0"/>
        <w:pageBreakBefore w:val="0"/>
        <w:widowControl w:val="0"/>
        <w:tabs>
          <w:tab w:val="left" w:pos="1200"/>
          <w:tab w:val="left" w:pos="3112"/>
          <w:tab w:val="left" w:pos="4600"/>
        </w:tabs>
        <w:kinsoku/>
        <w:overflowPunct/>
        <w:topLinePunct w:val="0"/>
        <w:bidi w:val="0"/>
        <w:adjustRightInd w:val="0"/>
        <w:snapToGrid w:val="0"/>
        <w:spacing w:before="116" w:beforeLines="30" w:line="440" w:lineRule="exact"/>
        <w:ind w:firstLine="450" w:firstLineChars="200"/>
        <w:textAlignment w:val="auto"/>
        <w:rPr>
          <w:b/>
          <w:bCs/>
          <w:color w:val="000000" w:themeColor="text1"/>
          <w:spacing w:val="7"/>
          <w:sz w:val="21"/>
          <w:szCs w:val="21"/>
          <w14:textFill>
            <w14:solidFill>
              <w14:schemeClr w14:val="tx1"/>
            </w14:solidFill>
          </w14:textFill>
        </w:rPr>
      </w:pPr>
      <w:r>
        <w:rPr>
          <w:rFonts w:hint="eastAsia" w:ascii="宋体" w:hAnsi="宋体" w:cs="宋体"/>
          <w:b/>
          <w:bCs/>
          <w:color w:val="000000" w:themeColor="text1"/>
          <w:spacing w:val="7"/>
          <w:sz w:val="21"/>
          <w:szCs w:val="21"/>
          <w14:textFill>
            <w14:solidFill>
              <w14:schemeClr w14:val="tx1"/>
            </w14:solidFill>
          </w14:textFill>
        </w:rPr>
        <w:t>4.1</w:t>
      </w:r>
      <w:r>
        <w:rPr>
          <w:rFonts w:hint="eastAsia"/>
          <w:b/>
          <w:bCs/>
          <w:color w:val="000000" w:themeColor="text1"/>
          <w:spacing w:val="7"/>
          <w:sz w:val="21"/>
          <w:szCs w:val="21"/>
          <w14:textFill>
            <w14:solidFill>
              <w14:schemeClr w14:val="tx1"/>
            </w14:solidFill>
          </w14:textFill>
        </w:rPr>
        <w:t xml:space="preserve"> 招标文件（电子文件）免费获取。</w:t>
      </w:r>
    </w:p>
    <w:p w14:paraId="11A107E6">
      <w:pPr>
        <w:pStyle w:val="14"/>
        <w:keepNext w:val="0"/>
        <w:keepLines w:val="0"/>
        <w:pageBreakBefore w:val="0"/>
        <w:widowControl w:val="0"/>
        <w:kinsoku/>
        <w:overflowPunct/>
        <w:topLinePunct w:val="0"/>
        <w:bidi w:val="0"/>
        <w:adjustRightInd w:val="0"/>
        <w:snapToGrid w:val="0"/>
        <w:spacing w:before="116" w:beforeLines="30" w:line="440" w:lineRule="exact"/>
        <w:textAlignment w:val="auto"/>
        <w:rPr>
          <w:color w:val="000000" w:themeColor="text1"/>
          <w:kern w:val="2"/>
          <w:sz w:val="21"/>
          <w14:textFill>
            <w14:solidFill>
              <w14:schemeClr w14:val="tx1"/>
            </w14:solidFill>
          </w14:textFill>
        </w:rPr>
      </w:pPr>
      <w:r>
        <w:rPr>
          <w:color w:val="000000" w:themeColor="text1"/>
          <w:kern w:val="2"/>
          <w:sz w:val="21"/>
          <w:lang w:val="en-US"/>
          <w14:textFill>
            <w14:solidFill>
              <w14:schemeClr w14:val="tx1"/>
            </w14:solidFill>
          </w14:textFill>
        </w:rPr>
        <w:t>4.</w:t>
      </w:r>
      <w:r>
        <w:rPr>
          <w:rFonts w:hint="eastAsia"/>
          <w:color w:val="000000" w:themeColor="text1"/>
          <w:kern w:val="2"/>
          <w:sz w:val="21"/>
          <w:lang w:val="en-US"/>
          <w14:textFill>
            <w14:solidFill>
              <w14:schemeClr w14:val="tx1"/>
            </w14:solidFill>
          </w14:textFill>
        </w:rPr>
        <w:t xml:space="preserve">2 </w:t>
      </w:r>
      <w:r>
        <w:rPr>
          <w:color w:val="000000" w:themeColor="text1"/>
          <w:kern w:val="2"/>
          <w:sz w:val="21"/>
          <w14:textFill>
            <w14:solidFill>
              <w14:schemeClr w14:val="tx1"/>
            </w14:solidFill>
          </w14:textFill>
        </w:rPr>
        <w:t>凡有意参加投标者</w:t>
      </w:r>
      <w:r>
        <w:rPr>
          <w:color w:val="000000" w:themeColor="text1"/>
          <w:kern w:val="2"/>
          <w:sz w:val="21"/>
          <w:lang w:val="en-US"/>
          <w14:textFill>
            <w14:solidFill>
              <w14:schemeClr w14:val="tx1"/>
            </w14:solidFill>
          </w14:textFill>
        </w:rPr>
        <w:t>，</w:t>
      </w:r>
      <w:r>
        <w:rPr>
          <w:color w:val="000000" w:themeColor="text1"/>
          <w:kern w:val="2"/>
          <w:sz w:val="21"/>
          <w14:textFill>
            <w14:solidFill>
              <w14:schemeClr w14:val="tx1"/>
            </w14:solidFill>
          </w14:textFill>
        </w:rPr>
        <w:t>请于</w:t>
      </w:r>
      <w:r>
        <w:rPr>
          <w:rFonts w:hint="eastAsia" w:ascii="宋体" w:hAnsi="宋体" w:eastAsia="宋体" w:cs="宋体"/>
          <w:b/>
          <w:bCs/>
          <w:color w:val="000000" w:themeColor="text1"/>
          <w:sz w:val="24"/>
          <w:szCs w:val="24"/>
          <w:highlight w:val="yellow"/>
          <w:lang w:val="en-US" w:eastAsia="zh-CN"/>
          <w14:textFill>
            <w14:solidFill>
              <w14:schemeClr w14:val="tx1"/>
            </w14:solidFill>
          </w14:textFill>
        </w:rPr>
        <w:t>2025年</w:t>
      </w:r>
      <w:r>
        <w:rPr>
          <w:rFonts w:hint="eastAsia" w:ascii="宋体" w:hAnsi="宋体" w:cs="宋体"/>
          <w:b/>
          <w:bCs/>
          <w:color w:val="000000" w:themeColor="text1"/>
          <w:sz w:val="24"/>
          <w:szCs w:val="24"/>
          <w:highlight w:val="yellow"/>
          <w:lang w:val="en-US" w:eastAsia="zh-CN"/>
          <w14:textFill>
            <w14:solidFill>
              <w14:schemeClr w14:val="tx1"/>
            </w14:solidFill>
          </w14:textFill>
        </w:rPr>
        <w:t>07</w:t>
      </w:r>
      <w:r>
        <w:rPr>
          <w:rFonts w:hint="eastAsia" w:ascii="宋体" w:hAnsi="宋体" w:eastAsia="宋体" w:cs="宋体"/>
          <w:b/>
          <w:bCs/>
          <w:color w:val="000000" w:themeColor="text1"/>
          <w:sz w:val="24"/>
          <w:szCs w:val="24"/>
          <w:highlight w:val="yellow"/>
          <w:lang w:val="en-US" w:eastAsia="zh-CN"/>
          <w14:textFill>
            <w14:solidFill>
              <w14:schemeClr w14:val="tx1"/>
            </w14:solidFill>
          </w14:textFill>
        </w:rPr>
        <w:t>月</w:t>
      </w:r>
      <w:r>
        <w:rPr>
          <w:rFonts w:hint="eastAsia" w:ascii="宋体" w:hAnsi="宋体" w:cs="宋体"/>
          <w:b/>
          <w:bCs/>
          <w:color w:val="000000" w:themeColor="text1"/>
          <w:sz w:val="24"/>
          <w:szCs w:val="24"/>
          <w:highlight w:val="yellow"/>
          <w:lang w:val="en-US" w:eastAsia="zh-CN"/>
          <w14:textFill>
            <w14:solidFill>
              <w14:schemeClr w14:val="tx1"/>
            </w14:solidFill>
          </w14:textFill>
        </w:rPr>
        <w:t>20</w:t>
      </w:r>
      <w:r>
        <w:rPr>
          <w:rFonts w:hint="eastAsia" w:ascii="宋体" w:hAnsi="宋体" w:eastAsia="宋体" w:cs="宋体"/>
          <w:b/>
          <w:bCs/>
          <w:color w:val="000000" w:themeColor="text1"/>
          <w:sz w:val="24"/>
          <w:szCs w:val="24"/>
          <w:highlight w:val="yellow"/>
          <w:lang w:val="en-US" w:eastAsia="zh-CN"/>
          <w14:textFill>
            <w14:solidFill>
              <w14:schemeClr w14:val="tx1"/>
            </w14:solidFill>
          </w14:textFill>
        </w:rPr>
        <w:t>日至2025年0</w:t>
      </w:r>
      <w:r>
        <w:rPr>
          <w:rFonts w:hint="eastAsia" w:ascii="宋体" w:hAnsi="宋体" w:cs="宋体"/>
          <w:b/>
          <w:bCs/>
          <w:color w:val="000000" w:themeColor="text1"/>
          <w:sz w:val="24"/>
          <w:szCs w:val="24"/>
          <w:highlight w:val="yellow"/>
          <w:lang w:val="en-US" w:eastAsia="zh-CN"/>
          <w14:textFill>
            <w14:solidFill>
              <w14:schemeClr w14:val="tx1"/>
            </w14:solidFill>
          </w14:textFill>
        </w:rPr>
        <w:t>7</w:t>
      </w:r>
      <w:r>
        <w:rPr>
          <w:rFonts w:hint="eastAsia" w:ascii="宋体" w:hAnsi="宋体" w:eastAsia="宋体" w:cs="宋体"/>
          <w:b/>
          <w:bCs/>
          <w:color w:val="000000" w:themeColor="text1"/>
          <w:sz w:val="24"/>
          <w:szCs w:val="24"/>
          <w:highlight w:val="yellow"/>
          <w:lang w:val="en-US" w:eastAsia="zh-CN"/>
          <w14:textFill>
            <w14:solidFill>
              <w14:schemeClr w14:val="tx1"/>
            </w14:solidFill>
          </w14:textFill>
        </w:rPr>
        <w:t>月</w:t>
      </w:r>
      <w:r>
        <w:rPr>
          <w:rFonts w:hint="eastAsia" w:ascii="宋体" w:hAnsi="宋体" w:cs="宋体"/>
          <w:b/>
          <w:bCs/>
          <w:color w:val="000000" w:themeColor="text1"/>
          <w:sz w:val="24"/>
          <w:szCs w:val="24"/>
          <w:highlight w:val="yellow"/>
          <w:lang w:val="en-US" w:eastAsia="zh-CN"/>
          <w14:textFill>
            <w14:solidFill>
              <w14:schemeClr w14:val="tx1"/>
            </w14:solidFill>
          </w14:textFill>
        </w:rPr>
        <w:t>29</w:t>
      </w:r>
      <w:r>
        <w:rPr>
          <w:rFonts w:hint="eastAsia" w:ascii="宋体" w:hAnsi="宋体" w:eastAsia="宋体" w:cs="宋体"/>
          <w:b/>
          <w:bCs/>
          <w:color w:val="000000" w:themeColor="text1"/>
          <w:sz w:val="24"/>
          <w:szCs w:val="24"/>
          <w:highlight w:val="yellow"/>
          <w:lang w:val="en-US" w:eastAsia="zh-CN"/>
          <w14:textFill>
            <w14:solidFill>
              <w14:schemeClr w14:val="tx1"/>
            </w14:solidFill>
          </w14:textFill>
        </w:rPr>
        <w:t>日23时59分</w:t>
      </w:r>
      <w:r>
        <w:rPr>
          <w:color w:val="000000" w:themeColor="text1"/>
          <w:kern w:val="2"/>
          <w:sz w:val="21"/>
          <w:highlight w:val="none"/>
          <w:lang w:val="en-US"/>
          <w14:textFill>
            <w14:solidFill>
              <w14:schemeClr w14:val="tx1"/>
            </w14:solidFill>
          </w14:textFill>
        </w:rPr>
        <w:t xml:space="preserve"> </w:t>
      </w:r>
      <w:r>
        <w:rPr>
          <w:color w:val="000000" w:themeColor="text1"/>
          <w:kern w:val="2"/>
          <w:sz w:val="21"/>
          <w:lang w:val="en-US"/>
          <w14:textFill>
            <w14:solidFill>
              <w14:schemeClr w14:val="tx1"/>
            </w14:solidFill>
          </w14:textFill>
        </w:rPr>
        <w:t>（</w:t>
      </w:r>
      <w:r>
        <w:rPr>
          <w:color w:val="000000" w:themeColor="text1"/>
          <w:kern w:val="2"/>
          <w:sz w:val="21"/>
          <w14:textFill>
            <w14:solidFill>
              <w14:schemeClr w14:val="tx1"/>
            </w14:solidFill>
          </w14:textFill>
        </w:rPr>
        <w:t>北京时间</w:t>
      </w:r>
      <w:r>
        <w:rPr>
          <w:color w:val="000000" w:themeColor="text1"/>
          <w:kern w:val="2"/>
          <w:sz w:val="21"/>
          <w:lang w:val="en-US"/>
          <w14:textFill>
            <w14:solidFill>
              <w14:schemeClr w14:val="tx1"/>
            </w14:solidFill>
          </w14:textFill>
        </w:rPr>
        <w:t>，</w:t>
      </w:r>
      <w:r>
        <w:rPr>
          <w:color w:val="000000" w:themeColor="text1"/>
          <w:kern w:val="2"/>
          <w:sz w:val="21"/>
          <w14:textFill>
            <w14:solidFill>
              <w14:schemeClr w14:val="tx1"/>
            </w14:solidFill>
          </w14:textFill>
        </w:rPr>
        <w:t>下同</w:t>
      </w:r>
      <w:r>
        <w:rPr>
          <w:color w:val="000000" w:themeColor="text1"/>
          <w:kern w:val="2"/>
          <w:sz w:val="21"/>
          <w:lang w:val="en-US"/>
          <w14:textFill>
            <w14:solidFill>
              <w14:schemeClr w14:val="tx1"/>
            </w14:solidFill>
          </w14:textFill>
        </w:rPr>
        <w:t>），</w:t>
      </w:r>
      <w:r>
        <w:rPr>
          <w:rFonts w:hint="eastAsia"/>
          <w:color w:val="000000" w:themeColor="text1"/>
          <w:kern w:val="2"/>
          <w:sz w:val="21"/>
          <w14:textFill>
            <w14:solidFill>
              <w14:schemeClr w14:val="tx1"/>
            </w14:solidFill>
          </w14:textFill>
        </w:rPr>
        <w:t>登录招标人招投标交易平台信息系统</w:t>
      </w:r>
      <w:r>
        <w:rPr>
          <w:rFonts w:hint="eastAsia"/>
          <w:b/>
          <w:color w:val="000000" w:themeColor="text1"/>
          <w:kern w:val="2"/>
          <w:sz w:val="21"/>
          <w:lang w:val="en-US"/>
          <w14:textFill>
            <w14:solidFill>
              <w14:schemeClr w14:val="tx1"/>
            </w14:solidFill>
          </w14:textFill>
        </w:rPr>
        <w:t>（</w:t>
      </w:r>
      <w:r>
        <w:rPr>
          <w:rFonts w:hint="eastAsia"/>
          <w:b/>
          <w:color w:val="000000" w:themeColor="text1"/>
          <w:kern w:val="2"/>
          <w:sz w:val="21"/>
          <w14:textFill>
            <w14:solidFill>
              <w14:schemeClr w14:val="tx1"/>
            </w14:solidFill>
          </w14:textFill>
        </w:rPr>
        <w:t>国家电网有限公司电子商务平台</w:t>
      </w:r>
      <w:r>
        <w:rPr>
          <w:rFonts w:hint="eastAsia"/>
          <w:color w:val="000000" w:themeColor="text1"/>
          <w:sz w:val="21"/>
          <w:szCs w:val="21"/>
          <w:highlight w:val="none"/>
          <w:lang w:val="en-US" w:eastAsia="zh-CN"/>
          <w14:textFill>
            <w14:solidFill>
              <w14:schemeClr w14:val="tx1"/>
            </w14:solidFill>
          </w14:textFill>
        </w:rPr>
        <w:t>□</w:t>
      </w:r>
      <w:r>
        <w:rPr>
          <w:rFonts w:hint="eastAsia" w:ascii="宋体" w:hAnsi="宋体"/>
          <w:b/>
          <w:color w:val="000000" w:themeColor="text1"/>
          <w:sz w:val="24"/>
          <w:szCs w:val="24"/>
          <w:highlight w:val="none"/>
          <w14:textFill>
            <w14:solidFill>
              <w14:schemeClr w14:val="tx1"/>
            </w14:solidFill>
          </w14:textFill>
        </w:rPr>
        <w:t>https://ecp.sgcc.com.cn</w:t>
      </w:r>
      <w:r>
        <w:rPr>
          <w:rFonts w:hint="eastAsia"/>
          <w:b/>
          <w:color w:val="000000" w:themeColor="text1"/>
          <w:sz w:val="24"/>
          <w:szCs w:val="24"/>
          <w:highlight w:val="none"/>
          <w:lang w:val="en-US" w:eastAsia="zh-CN"/>
          <w14:textFill>
            <w14:solidFill>
              <w14:schemeClr w14:val="tx1"/>
            </w14:solidFill>
          </w14:textFill>
        </w:rPr>
        <w:t xml:space="preserve"> </w:t>
      </w:r>
      <w:r>
        <w:rPr>
          <w:rFonts w:hint="eastAsia"/>
          <w:b/>
          <w:color w:val="000000" w:themeColor="text1"/>
          <w:highlight w:val="none"/>
          <w:lang w:val="en-US" w:eastAsia="zh-CN"/>
          <w14:textFill>
            <w14:solidFill>
              <w14:schemeClr w14:val="tx1"/>
            </w14:solidFill>
          </w14:textFill>
        </w:rPr>
        <w:t xml:space="preserve"> </w:t>
      </w:r>
      <w:r>
        <w:rPr>
          <w:rFonts w:hint="eastAsia"/>
          <w:color w:val="000000" w:themeColor="text1"/>
          <w:sz w:val="21"/>
          <w:szCs w:val="21"/>
          <w:highlight w:val="none"/>
          <w:lang w:val="en-US" w:eastAsia="zh-CN"/>
          <w14:textFill>
            <w14:solidFill>
              <w14:schemeClr w14:val="tx1"/>
            </w14:solidFill>
          </w14:textFill>
        </w:rPr>
        <w:t>☑</w:t>
      </w:r>
      <w:r>
        <w:rPr>
          <w:rFonts w:hint="eastAsia" w:ascii="宋体" w:hAnsi="宋体"/>
          <w:b/>
          <w:color w:val="000000" w:themeColor="text1"/>
          <w:sz w:val="24"/>
          <w:szCs w:val="24"/>
          <w:highlight w:val="none"/>
          <w14:textFill>
            <w14:solidFill>
              <w14:schemeClr w14:val="tx1"/>
            </w14:solidFill>
          </w14:textFill>
        </w:rPr>
        <w:t>http</w:t>
      </w:r>
      <w:r>
        <w:rPr>
          <w:rFonts w:hint="eastAsia" w:ascii="宋体" w:hAnsi="宋体"/>
          <w:b/>
          <w:color w:val="000000" w:themeColor="text1"/>
          <w:sz w:val="24"/>
          <w:szCs w:val="24"/>
          <w14:textFill>
            <w14:solidFill>
              <w14:schemeClr w14:val="tx1"/>
            </w14:solidFill>
          </w14:textFill>
        </w:rPr>
        <w:t>s://sgccetp.com.cn</w:t>
      </w:r>
      <w:r>
        <w:rPr>
          <w:rFonts w:hint="eastAsia"/>
          <w:color w:val="000000" w:themeColor="text1"/>
          <w:kern w:val="2"/>
          <w:sz w:val="24"/>
          <w:szCs w:val="24"/>
          <w:lang w:val="en-US"/>
          <w14:textFill>
            <w14:solidFill>
              <w14:schemeClr w14:val="tx1"/>
            </w14:solidFill>
          </w14:textFill>
        </w:rPr>
        <w:t>）</w:t>
      </w:r>
      <w:r>
        <w:rPr>
          <w:rFonts w:hint="eastAsia"/>
          <w:color w:val="000000" w:themeColor="text1"/>
          <w:kern w:val="2"/>
          <w:sz w:val="21"/>
          <w14:textFill>
            <w14:solidFill>
              <w14:schemeClr w14:val="tx1"/>
            </w14:solidFill>
          </w14:textFill>
        </w:rPr>
        <w:t>获取招标文件</w:t>
      </w:r>
      <w:r>
        <w:rPr>
          <w:rFonts w:hint="eastAsia"/>
          <w:color w:val="000000" w:themeColor="text1"/>
          <w:kern w:val="2"/>
          <w:sz w:val="21"/>
          <w:lang w:val="en-US"/>
          <w14:textFill>
            <w14:solidFill>
              <w14:schemeClr w14:val="tx1"/>
            </w14:solidFill>
          </w14:textFill>
        </w:rPr>
        <w:t>，</w:t>
      </w:r>
      <w:r>
        <w:rPr>
          <w:rFonts w:hint="eastAsia"/>
          <w:color w:val="000000" w:themeColor="text1"/>
          <w:kern w:val="2"/>
          <w:sz w:val="21"/>
          <w14:textFill>
            <w14:solidFill>
              <w14:schemeClr w14:val="tx1"/>
            </w14:solidFill>
          </w14:textFill>
        </w:rPr>
        <w:t>并按《电子招标投标办法》等国家法律法规要求</w:t>
      </w:r>
      <w:r>
        <w:rPr>
          <w:rFonts w:hint="eastAsia"/>
          <w:color w:val="000000" w:themeColor="text1"/>
          <w:kern w:val="2"/>
          <w:sz w:val="21"/>
          <w:lang w:val="en-US"/>
          <w14:textFill>
            <w14:solidFill>
              <w14:schemeClr w14:val="tx1"/>
            </w14:solidFill>
          </w14:textFill>
        </w:rPr>
        <w:t>，</w:t>
      </w:r>
      <w:r>
        <w:rPr>
          <w:rFonts w:hint="eastAsia"/>
          <w:color w:val="000000" w:themeColor="text1"/>
          <w:kern w:val="2"/>
          <w:sz w:val="21"/>
          <w14:textFill>
            <w14:solidFill>
              <w14:schemeClr w14:val="tx1"/>
            </w14:solidFill>
          </w14:textFill>
        </w:rPr>
        <w:t>到第三方认证机构办理</w:t>
      </w:r>
      <w:r>
        <w:rPr>
          <w:rFonts w:hint="eastAsia"/>
          <w:color w:val="000000" w:themeColor="text1"/>
          <w:kern w:val="2"/>
          <w:sz w:val="21"/>
          <w:lang w:val="en-US"/>
          <w14:textFill>
            <w14:solidFill>
              <w14:schemeClr w14:val="tx1"/>
            </w14:solidFill>
          </w14:textFill>
        </w:rPr>
        <w:t>CA</w:t>
      </w:r>
      <w:r>
        <w:rPr>
          <w:rFonts w:hint="eastAsia"/>
          <w:color w:val="000000" w:themeColor="text1"/>
          <w:kern w:val="2"/>
          <w:sz w:val="21"/>
          <w14:textFill>
            <w14:solidFill>
              <w14:schemeClr w14:val="tx1"/>
            </w14:solidFill>
          </w14:textFill>
        </w:rPr>
        <w:t>证书电子钥匙。投标人应妥善保管招标人招投标交易平台信息系统账号和密码，以及CA数字证书和密码，因上述账号、数字证书或密码保管不当造成的损失，由投标人自行承担。</w:t>
      </w:r>
    </w:p>
    <w:p w14:paraId="55782E54">
      <w:pPr>
        <w:pStyle w:val="71"/>
        <w:keepNext w:val="0"/>
        <w:keepLines w:val="0"/>
        <w:pageBreakBefore w:val="0"/>
        <w:widowControl w:val="0"/>
        <w:tabs>
          <w:tab w:val="left" w:pos="0"/>
        </w:tabs>
        <w:kinsoku/>
        <w:overflowPunct/>
        <w:topLinePunct w:val="0"/>
        <w:bidi w:val="0"/>
        <w:adjustRightInd w:val="0"/>
        <w:snapToGrid w:val="0"/>
        <w:spacing w:before="116" w:beforeLines="30" w:line="440" w:lineRule="exact"/>
        <w:ind w:firstLine="420" w:firstLineChars="200"/>
        <w:jc w:val="both"/>
        <w:textAlignment w:val="auto"/>
        <w:rPr>
          <w:color w:val="000000" w:themeColor="text1"/>
          <w:kern w:val="2"/>
          <w:sz w:val="21"/>
          <w14:textFill>
            <w14:solidFill>
              <w14:schemeClr w14:val="tx1"/>
            </w14:solidFill>
          </w14:textFill>
        </w:rPr>
      </w:pPr>
      <w:r>
        <w:rPr>
          <w:rFonts w:hint="eastAsia"/>
          <w:color w:val="000000" w:themeColor="text1"/>
          <w:kern w:val="2"/>
          <w:sz w:val="21"/>
          <w14:textFill>
            <w14:solidFill>
              <w14:schemeClr w14:val="tx1"/>
            </w14:solidFill>
          </w14:textFill>
        </w:rPr>
        <w:t>投标人应在招标人招投标交易平台信息系统注册并办理</w:t>
      </w:r>
      <w:r>
        <w:rPr>
          <w:color w:val="000000" w:themeColor="text1"/>
          <w:kern w:val="2"/>
          <w:sz w:val="21"/>
          <w14:textFill>
            <w14:solidFill>
              <w14:schemeClr w14:val="tx1"/>
            </w14:solidFill>
          </w14:textFill>
        </w:rPr>
        <w:t>CA</w:t>
      </w:r>
      <w:r>
        <w:rPr>
          <w:rFonts w:hint="eastAsia"/>
          <w:color w:val="000000" w:themeColor="text1"/>
          <w:kern w:val="2"/>
          <w:sz w:val="21"/>
          <w14:textFill>
            <w14:solidFill>
              <w14:schemeClr w14:val="tx1"/>
            </w14:solidFill>
          </w14:textFill>
        </w:rPr>
        <w:t>证书电子钥匙方可获取招标文件，电子钥匙的办理流程请登录招标人招投标交易平台信息系统首页“新手指引”→“电子钥匙办理须知及电子钥匙安装包”下载所有文件仔细阅读。电子钥匙的办理需要一定的时间，请潜在投标人高度重视。由于没有及时办理电子钥匙导致获取招标文件失败，由投标人自行承担相关责任。支持电话为：4009915500</w:t>
      </w:r>
    </w:p>
    <w:p w14:paraId="4E01C533">
      <w:pPr>
        <w:pStyle w:val="71"/>
        <w:keepNext w:val="0"/>
        <w:keepLines w:val="0"/>
        <w:pageBreakBefore w:val="0"/>
        <w:widowControl w:val="0"/>
        <w:tabs>
          <w:tab w:val="left" w:pos="0"/>
        </w:tabs>
        <w:kinsoku/>
        <w:overflowPunct/>
        <w:topLinePunct w:val="0"/>
        <w:bidi w:val="0"/>
        <w:adjustRightInd w:val="0"/>
        <w:snapToGrid w:val="0"/>
        <w:spacing w:before="116" w:beforeLines="30" w:line="440" w:lineRule="exact"/>
        <w:ind w:firstLine="420" w:firstLineChars="200"/>
        <w:jc w:val="both"/>
        <w:textAlignment w:val="auto"/>
        <w:rPr>
          <w:rFonts w:hint="eastAsia"/>
          <w:color w:val="000000" w:themeColor="text1"/>
          <w:kern w:val="2"/>
          <w:sz w:val="21"/>
          <w14:textFill>
            <w14:solidFill>
              <w14:schemeClr w14:val="tx1"/>
            </w14:solidFill>
          </w14:textFill>
        </w:rPr>
      </w:pPr>
      <w:r>
        <w:rPr>
          <w:color w:val="000000" w:themeColor="text1"/>
          <w:kern w:val="2"/>
          <w:sz w:val="21"/>
          <w14:textFill>
            <w14:solidFill>
              <w14:schemeClr w14:val="tx1"/>
            </w14:solidFill>
          </w14:textFill>
        </w:rPr>
        <w:t>4.3</w:t>
      </w:r>
      <w:r>
        <w:rPr>
          <w:rFonts w:hint="eastAsia"/>
          <w:color w:val="000000" w:themeColor="text1"/>
          <w:kern w:val="2"/>
          <w:sz w:val="21"/>
          <w:lang w:val="en-US" w:eastAsia="zh-CN"/>
          <w14:textFill>
            <w14:solidFill>
              <w14:schemeClr w14:val="tx1"/>
            </w14:solidFill>
          </w14:textFill>
        </w:rPr>
        <w:t xml:space="preserve"> </w:t>
      </w:r>
      <w:r>
        <w:rPr>
          <w:rFonts w:hint="eastAsia"/>
          <w:color w:val="000000" w:themeColor="text1"/>
          <w:kern w:val="2"/>
          <w:sz w:val="21"/>
          <w14:textFill>
            <w14:solidFill>
              <w14:schemeClr w14:val="tx1"/>
            </w14:solidFill>
          </w14:textFill>
        </w:rPr>
        <w:t>投标人需利用投标工具进行电子投标文件编制。投标工具下载方式：请各</w:t>
      </w:r>
      <w:r>
        <w:rPr>
          <w:rFonts w:hint="eastAsia"/>
          <w:color w:val="000000" w:themeColor="text1"/>
          <w:kern w:val="2"/>
          <w:sz w:val="21"/>
          <w:lang w:val="en-US" w:eastAsia="zh-CN"/>
          <w14:textFill>
            <w14:solidFill>
              <w14:schemeClr w14:val="tx1"/>
            </w14:solidFill>
          </w14:textFill>
        </w:rPr>
        <w:t>投标</w:t>
      </w:r>
      <w:r>
        <w:rPr>
          <w:rFonts w:hint="eastAsia"/>
          <w:color w:val="000000" w:themeColor="text1"/>
          <w:kern w:val="2"/>
          <w:sz w:val="21"/>
          <w14:textFill>
            <w14:solidFill>
              <w14:schemeClr w14:val="tx1"/>
            </w14:solidFill>
          </w14:textFill>
        </w:rPr>
        <w:t>人在</w:t>
      </w:r>
      <w:r>
        <w:rPr>
          <w:rFonts w:hint="eastAsia"/>
          <w:color w:val="000000" w:themeColor="text1"/>
          <w:kern w:val="2"/>
          <w:sz w:val="21"/>
          <w:lang w:val="en-US" w:eastAsia="zh-CN"/>
          <w14:textFill>
            <w14:solidFill>
              <w14:schemeClr w14:val="tx1"/>
            </w14:solidFill>
          </w14:textFill>
        </w:rPr>
        <w:t>招标</w:t>
      </w:r>
      <w:r>
        <w:rPr>
          <w:rFonts w:hint="eastAsia"/>
          <w:color w:val="000000" w:themeColor="text1"/>
          <w:kern w:val="2"/>
          <w:sz w:val="21"/>
          <w14:textFill>
            <w14:solidFill>
              <w14:schemeClr w14:val="tx1"/>
            </w14:solidFill>
          </w14:textFill>
        </w:rPr>
        <w:t>人招投标交易平台信息系统首页“供应商应用指南→投标工具安装”下载并安装。操作手册及注意事项见供应商应用指南→参与投标→ECP2.0(电工交易专区)供应商投标操作手册和ECP2.0(电工交易专区)供应商投标工具U+操作手册。投标工具操作问题联系采购人招投标交易平台信息系统支持服务电话：010-63411000转2。使用投标工具电脑配置要求：内存大于8GB，64位操作系统。</w:t>
      </w:r>
    </w:p>
    <w:p w14:paraId="236ED6EE">
      <w:pPr>
        <w:keepNext w:val="0"/>
        <w:keepLines w:val="0"/>
        <w:pageBreakBefore w:val="0"/>
        <w:widowControl w:val="0"/>
        <w:tabs>
          <w:tab w:val="left" w:pos="1200"/>
          <w:tab w:val="left" w:pos="3112"/>
          <w:tab w:val="left" w:pos="4600"/>
        </w:tabs>
        <w:kinsoku/>
        <w:overflowPunct/>
        <w:topLinePunct w:val="0"/>
        <w:bidi w:val="0"/>
        <w:adjustRightInd w:val="0"/>
        <w:snapToGrid w:val="0"/>
        <w:spacing w:before="116" w:beforeLines="30" w:line="440" w:lineRule="exact"/>
        <w:ind w:firstLine="450" w:firstLineChars="200"/>
        <w:textAlignment w:val="auto"/>
        <w:rPr>
          <w:rFonts w:hint="eastAsia" w:ascii="宋体" w:hAnsi="宋体" w:eastAsia="宋体" w:cs="宋体"/>
          <w:b/>
          <w:bCs/>
          <w:color w:val="000000" w:themeColor="text1"/>
          <w:spacing w:val="7"/>
          <w:sz w:val="21"/>
          <w:szCs w:val="21"/>
          <w:highlight w:val="none"/>
          <w14:textFill>
            <w14:solidFill>
              <w14:schemeClr w14:val="tx1"/>
            </w14:solidFill>
          </w14:textFill>
        </w:rPr>
      </w:pPr>
      <w:r>
        <w:rPr>
          <w:rFonts w:hint="eastAsia" w:ascii="宋体" w:hAnsi="宋体" w:eastAsia="宋体" w:cs="宋体"/>
          <w:b/>
          <w:bCs/>
          <w:color w:val="000000" w:themeColor="text1"/>
          <w:spacing w:val="7"/>
          <w:sz w:val="21"/>
          <w:szCs w:val="21"/>
          <w:highlight w:val="none"/>
          <w14:textFill>
            <w14:solidFill>
              <w14:schemeClr w14:val="tx1"/>
            </w14:solidFill>
          </w14:textFill>
        </w:rPr>
        <w:t>4.4注意事项</w:t>
      </w:r>
    </w:p>
    <w:p w14:paraId="65F924C9">
      <w:pPr>
        <w:keepNext w:val="0"/>
        <w:keepLines w:val="0"/>
        <w:pageBreakBefore w:val="0"/>
        <w:widowControl w:val="0"/>
        <w:tabs>
          <w:tab w:val="left" w:pos="1200"/>
          <w:tab w:val="left" w:pos="3112"/>
          <w:tab w:val="left" w:pos="4600"/>
        </w:tabs>
        <w:kinsoku/>
        <w:overflowPunct/>
        <w:topLinePunct w:val="0"/>
        <w:bidi w:val="0"/>
        <w:adjustRightInd w:val="0"/>
        <w:snapToGrid w:val="0"/>
        <w:spacing w:before="116" w:beforeLines="30" w:line="440" w:lineRule="exact"/>
        <w:ind w:firstLine="448" w:firstLineChars="200"/>
        <w:textAlignment w:val="auto"/>
        <w:rPr>
          <w:spacing w:val="7"/>
          <w:sz w:val="21"/>
          <w:szCs w:val="21"/>
          <w:highlight w:val="none"/>
        </w:rPr>
      </w:pPr>
      <w:r>
        <w:rPr>
          <w:rFonts w:hint="eastAsia"/>
          <w:spacing w:val="7"/>
          <w:sz w:val="21"/>
          <w:szCs w:val="21"/>
          <w:highlight w:val="none"/>
        </w:rPr>
        <w:t>4.4.1请投标人完成国家电网有限公司电子商务平台-电工交易专区供应商注册操作，见该网站页面附件“国家电网有限公司电子商务平台-电工交易专区供应商注册操作说明”。</w:t>
      </w:r>
    </w:p>
    <w:p w14:paraId="5C460A5E">
      <w:pPr>
        <w:keepNext w:val="0"/>
        <w:keepLines w:val="0"/>
        <w:pageBreakBefore w:val="0"/>
        <w:widowControl w:val="0"/>
        <w:tabs>
          <w:tab w:val="left" w:pos="1200"/>
          <w:tab w:val="left" w:pos="3112"/>
          <w:tab w:val="left" w:pos="4600"/>
        </w:tabs>
        <w:kinsoku/>
        <w:overflowPunct/>
        <w:topLinePunct w:val="0"/>
        <w:bidi w:val="0"/>
        <w:adjustRightInd w:val="0"/>
        <w:snapToGrid w:val="0"/>
        <w:spacing w:before="116" w:beforeLines="30" w:line="440" w:lineRule="exact"/>
        <w:ind w:firstLine="448" w:firstLineChars="200"/>
        <w:textAlignment w:val="auto"/>
        <w:rPr>
          <w:b/>
          <w:bCs/>
          <w:spacing w:val="7"/>
          <w:sz w:val="21"/>
          <w:szCs w:val="21"/>
          <w:highlight w:val="none"/>
        </w:rPr>
      </w:pPr>
      <w:r>
        <w:rPr>
          <w:rFonts w:hint="eastAsia"/>
          <w:spacing w:val="7"/>
          <w:sz w:val="21"/>
          <w:szCs w:val="21"/>
          <w:highlight w:val="none"/>
        </w:rPr>
        <w:t>4.4.2请投标人下载供应商操作手册，见该网站页面附件“国家电网有限公司电子商务平台-电工交易专区供应商操作手册（采购管理）”，具体操作流程请见该手册。</w:t>
      </w:r>
    </w:p>
    <w:p w14:paraId="436EECC1">
      <w:pPr>
        <w:keepNext w:val="0"/>
        <w:keepLines w:val="0"/>
        <w:pageBreakBefore w:val="0"/>
        <w:widowControl w:val="0"/>
        <w:tabs>
          <w:tab w:val="left" w:pos="1200"/>
          <w:tab w:val="left" w:pos="3112"/>
          <w:tab w:val="left" w:pos="4600"/>
        </w:tabs>
        <w:kinsoku/>
        <w:overflowPunct/>
        <w:topLinePunct w:val="0"/>
        <w:bidi w:val="0"/>
        <w:adjustRightInd w:val="0"/>
        <w:snapToGrid w:val="0"/>
        <w:spacing w:before="116" w:beforeLines="30" w:line="440" w:lineRule="exact"/>
        <w:ind w:firstLine="448" w:firstLineChars="200"/>
        <w:textAlignment w:val="auto"/>
        <w:rPr>
          <w:rFonts w:hint="eastAsia"/>
          <w:spacing w:val="7"/>
          <w:sz w:val="21"/>
          <w:szCs w:val="21"/>
          <w:highlight w:val="none"/>
        </w:rPr>
      </w:pPr>
      <w:r>
        <w:rPr>
          <w:rFonts w:hint="eastAsia"/>
          <w:spacing w:val="7"/>
          <w:sz w:val="21"/>
          <w:szCs w:val="21"/>
          <w:highlight w:val="none"/>
          <w:lang w:val="en-US" w:eastAsia="zh-CN"/>
        </w:rPr>
        <w:t>4.4.3</w:t>
      </w:r>
      <w:r>
        <w:rPr>
          <w:rFonts w:hint="eastAsia"/>
          <w:spacing w:val="7"/>
          <w:sz w:val="21"/>
          <w:szCs w:val="21"/>
          <w:highlight w:val="none"/>
        </w:rPr>
        <w:t>国家电网有限公司电子商务平台-电工交易专区址推荐使用谷歌浏览器访问，操作手册请见国家电网有限公司电子商务平台-电工交易专区中下载“操作手册”。供应商注册登录“国家电网有限公司电子商务平台-电工交易专区”后，亦可进入“首页-下载专区-操作手册及视频-招标（非招标）项目供应商操作手册”，最新版手册以“国家电网有限公司电子商务平台-电工交易专区”上发布的为准。</w:t>
      </w:r>
    </w:p>
    <w:p w14:paraId="11A22087">
      <w:pPr>
        <w:keepNext w:val="0"/>
        <w:keepLines w:val="0"/>
        <w:pageBreakBefore w:val="0"/>
        <w:widowControl w:val="0"/>
        <w:tabs>
          <w:tab w:val="left" w:pos="1200"/>
          <w:tab w:val="left" w:pos="3112"/>
          <w:tab w:val="left" w:pos="4600"/>
        </w:tabs>
        <w:kinsoku/>
        <w:wordWrap/>
        <w:overflowPunct/>
        <w:topLinePunct w:val="0"/>
        <w:autoSpaceDE/>
        <w:autoSpaceDN/>
        <w:bidi w:val="0"/>
        <w:adjustRightInd w:val="0"/>
        <w:snapToGrid w:val="0"/>
        <w:spacing w:before="116" w:beforeLines="30" w:line="440" w:lineRule="exact"/>
        <w:ind w:firstLine="448" w:firstLineChars="200"/>
        <w:textAlignment w:val="auto"/>
        <w:rPr>
          <w:rFonts w:hint="eastAsia"/>
          <w:spacing w:val="7"/>
          <w:sz w:val="21"/>
          <w:szCs w:val="21"/>
          <w:highlight w:val="none"/>
        </w:rPr>
      </w:pPr>
      <w:r>
        <w:rPr>
          <w:rFonts w:hint="eastAsia"/>
          <w:spacing w:val="7"/>
          <w:sz w:val="21"/>
          <w:szCs w:val="21"/>
          <w:highlight w:val="none"/>
          <w:lang w:val="en-US" w:eastAsia="zh-CN"/>
        </w:rPr>
        <w:t>4.4.4</w:t>
      </w:r>
      <w:r>
        <w:rPr>
          <w:rFonts w:hint="eastAsia"/>
          <w:spacing w:val="7"/>
          <w:sz w:val="21"/>
          <w:szCs w:val="21"/>
          <w:highlight w:val="none"/>
        </w:rPr>
        <w:t>如招标文件中其他章节内容与本章内容有不一致的，以本章内容为准。</w:t>
      </w:r>
    </w:p>
    <w:p w14:paraId="2FF7E0B2">
      <w:pPr>
        <w:pStyle w:val="36"/>
        <w:keepNext w:val="0"/>
        <w:keepLines w:val="0"/>
        <w:pageBreakBefore w:val="0"/>
        <w:widowControl w:val="0"/>
        <w:kinsoku/>
        <w:wordWrap/>
        <w:overflowPunct/>
        <w:topLinePunct w:val="0"/>
        <w:autoSpaceDE/>
        <w:autoSpaceDN/>
        <w:bidi w:val="0"/>
        <w:adjustRightInd w:val="0"/>
        <w:snapToGrid w:val="0"/>
        <w:spacing w:before="116" w:beforeLines="30" w:line="440" w:lineRule="exact"/>
        <w:textAlignment w:val="auto"/>
        <w:rPr>
          <w:rFonts w:hint="eastAsia"/>
          <w:b/>
          <w:bCs/>
          <w:spacing w:val="7"/>
          <w:sz w:val="21"/>
          <w:szCs w:val="21"/>
          <w:highlight w:val="none"/>
          <w:lang w:val="en-US" w:eastAsia="zh-CN"/>
        </w:rPr>
      </w:pPr>
      <w:r>
        <w:rPr>
          <w:rFonts w:hint="eastAsia"/>
          <w:spacing w:val="7"/>
          <w:sz w:val="21"/>
          <w:szCs w:val="21"/>
          <w:highlight w:val="none"/>
          <w:lang w:val="en-US" w:eastAsia="zh-CN"/>
        </w:rPr>
        <w:t>4.4.5</w:t>
      </w:r>
      <w:r>
        <w:rPr>
          <w:rFonts w:hint="eastAsia"/>
          <w:b/>
          <w:bCs/>
          <w:spacing w:val="7"/>
          <w:sz w:val="21"/>
          <w:szCs w:val="21"/>
          <w:highlight w:val="none"/>
          <w:lang w:val="en-US" w:eastAsia="zh-CN"/>
        </w:rPr>
        <w:t>电子钥匙、投标工具、操作手册的获取</w:t>
      </w:r>
    </w:p>
    <w:p w14:paraId="49DFB1BC">
      <w:pPr>
        <w:pStyle w:val="36"/>
        <w:keepNext w:val="0"/>
        <w:keepLines w:val="0"/>
        <w:pageBreakBefore w:val="0"/>
        <w:widowControl w:val="0"/>
        <w:kinsoku/>
        <w:wordWrap/>
        <w:overflowPunct/>
        <w:topLinePunct w:val="0"/>
        <w:autoSpaceDE/>
        <w:autoSpaceDN/>
        <w:bidi w:val="0"/>
        <w:adjustRightInd w:val="0"/>
        <w:snapToGrid w:val="0"/>
        <w:spacing w:before="116" w:beforeLines="30" w:line="440" w:lineRule="exact"/>
        <w:textAlignment w:val="auto"/>
        <w:rPr>
          <w:rFonts w:hint="eastAsia"/>
          <w:b/>
          <w:bCs/>
          <w:spacing w:val="7"/>
          <w:sz w:val="21"/>
          <w:szCs w:val="21"/>
          <w:highlight w:val="none"/>
          <w:lang w:val="en-US" w:eastAsia="zh-CN"/>
        </w:rPr>
      </w:pPr>
      <w:r>
        <w:rPr>
          <w:highlight w:val="none"/>
        </w:rPr>
        <w:drawing>
          <wp:anchor distT="0" distB="0" distL="114300" distR="114300" simplePos="0" relativeHeight="251660288" behindDoc="1" locked="0" layoutInCell="1" allowOverlap="1">
            <wp:simplePos x="0" y="0"/>
            <wp:positionH relativeFrom="column">
              <wp:posOffset>-233045</wp:posOffset>
            </wp:positionH>
            <wp:positionV relativeFrom="paragraph">
              <wp:posOffset>60960</wp:posOffset>
            </wp:positionV>
            <wp:extent cx="5527675" cy="3084195"/>
            <wp:effectExtent l="0" t="0" r="15875" b="1905"/>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5527675" cy="3084195"/>
                    </a:xfrm>
                    <a:prstGeom prst="rect">
                      <a:avLst/>
                    </a:prstGeom>
                    <a:noFill/>
                    <a:ln>
                      <a:noFill/>
                    </a:ln>
                  </pic:spPr>
                </pic:pic>
              </a:graphicData>
            </a:graphic>
          </wp:anchor>
        </w:drawing>
      </w:r>
    </w:p>
    <w:p w14:paraId="5D6E68B2">
      <w:pPr>
        <w:pStyle w:val="36"/>
        <w:keepNext w:val="0"/>
        <w:keepLines w:val="0"/>
        <w:pageBreakBefore w:val="0"/>
        <w:widowControl w:val="0"/>
        <w:kinsoku/>
        <w:overflowPunct/>
        <w:topLinePunct w:val="0"/>
        <w:bidi w:val="0"/>
        <w:adjustRightInd w:val="0"/>
        <w:snapToGrid w:val="0"/>
        <w:spacing w:before="116" w:beforeLines="30" w:line="440" w:lineRule="exact"/>
        <w:textAlignment w:val="auto"/>
        <w:rPr>
          <w:rFonts w:hint="default"/>
          <w:spacing w:val="7"/>
          <w:sz w:val="21"/>
          <w:szCs w:val="21"/>
          <w:highlight w:val="cyan"/>
          <w:lang w:val="en-US" w:eastAsia="zh-CN"/>
        </w:rPr>
      </w:pPr>
    </w:p>
    <w:p w14:paraId="2BBC2716">
      <w:pPr>
        <w:pStyle w:val="36"/>
        <w:keepNext w:val="0"/>
        <w:keepLines w:val="0"/>
        <w:pageBreakBefore w:val="0"/>
        <w:widowControl w:val="0"/>
        <w:kinsoku/>
        <w:overflowPunct/>
        <w:topLinePunct w:val="0"/>
        <w:bidi w:val="0"/>
        <w:adjustRightInd w:val="0"/>
        <w:snapToGrid w:val="0"/>
        <w:spacing w:before="116" w:beforeLines="30" w:line="440" w:lineRule="exact"/>
        <w:textAlignment w:val="auto"/>
        <w:rPr>
          <w:rFonts w:hint="default"/>
          <w:spacing w:val="7"/>
          <w:sz w:val="21"/>
          <w:szCs w:val="21"/>
          <w:highlight w:val="cyan"/>
          <w:lang w:val="en-US" w:eastAsia="zh-CN"/>
        </w:rPr>
      </w:pPr>
    </w:p>
    <w:p w14:paraId="4D813F60">
      <w:pPr>
        <w:pStyle w:val="36"/>
        <w:keepNext w:val="0"/>
        <w:keepLines w:val="0"/>
        <w:pageBreakBefore w:val="0"/>
        <w:widowControl w:val="0"/>
        <w:kinsoku/>
        <w:overflowPunct/>
        <w:topLinePunct w:val="0"/>
        <w:bidi w:val="0"/>
        <w:adjustRightInd w:val="0"/>
        <w:snapToGrid w:val="0"/>
        <w:spacing w:before="116" w:beforeLines="30" w:line="440" w:lineRule="exact"/>
        <w:textAlignment w:val="auto"/>
        <w:rPr>
          <w:rFonts w:hint="default"/>
          <w:spacing w:val="7"/>
          <w:sz w:val="21"/>
          <w:szCs w:val="21"/>
          <w:highlight w:val="cyan"/>
          <w:lang w:val="en-US" w:eastAsia="zh-CN"/>
        </w:rPr>
      </w:pPr>
    </w:p>
    <w:p w14:paraId="42A5337F">
      <w:pPr>
        <w:pStyle w:val="36"/>
        <w:keepNext w:val="0"/>
        <w:keepLines w:val="0"/>
        <w:pageBreakBefore w:val="0"/>
        <w:widowControl w:val="0"/>
        <w:kinsoku/>
        <w:overflowPunct/>
        <w:topLinePunct w:val="0"/>
        <w:bidi w:val="0"/>
        <w:adjustRightInd w:val="0"/>
        <w:snapToGrid w:val="0"/>
        <w:spacing w:before="116" w:beforeLines="30" w:line="440" w:lineRule="exact"/>
        <w:textAlignment w:val="auto"/>
        <w:rPr>
          <w:rFonts w:hint="default"/>
          <w:spacing w:val="7"/>
          <w:sz w:val="21"/>
          <w:szCs w:val="21"/>
          <w:highlight w:val="cyan"/>
          <w:lang w:val="en-US" w:eastAsia="zh-CN"/>
        </w:rPr>
      </w:pPr>
    </w:p>
    <w:p w14:paraId="59223EA5">
      <w:pPr>
        <w:pStyle w:val="36"/>
        <w:keepNext w:val="0"/>
        <w:keepLines w:val="0"/>
        <w:pageBreakBefore w:val="0"/>
        <w:widowControl w:val="0"/>
        <w:kinsoku/>
        <w:overflowPunct/>
        <w:topLinePunct w:val="0"/>
        <w:bidi w:val="0"/>
        <w:adjustRightInd w:val="0"/>
        <w:snapToGrid w:val="0"/>
        <w:spacing w:before="116" w:beforeLines="30" w:line="440" w:lineRule="exact"/>
        <w:textAlignment w:val="auto"/>
        <w:rPr>
          <w:rFonts w:hint="default"/>
          <w:spacing w:val="7"/>
          <w:sz w:val="21"/>
          <w:szCs w:val="21"/>
          <w:highlight w:val="cyan"/>
          <w:lang w:val="en-US" w:eastAsia="zh-CN"/>
        </w:rPr>
      </w:pPr>
    </w:p>
    <w:p w14:paraId="7ED9E1AE">
      <w:pPr>
        <w:pStyle w:val="36"/>
        <w:keepNext w:val="0"/>
        <w:keepLines w:val="0"/>
        <w:pageBreakBefore w:val="0"/>
        <w:widowControl w:val="0"/>
        <w:kinsoku/>
        <w:overflowPunct/>
        <w:topLinePunct w:val="0"/>
        <w:bidi w:val="0"/>
        <w:adjustRightInd w:val="0"/>
        <w:snapToGrid w:val="0"/>
        <w:spacing w:before="116" w:beforeLines="30" w:line="440" w:lineRule="exact"/>
        <w:textAlignment w:val="auto"/>
        <w:rPr>
          <w:rFonts w:hint="default"/>
          <w:spacing w:val="7"/>
          <w:sz w:val="21"/>
          <w:szCs w:val="21"/>
          <w:highlight w:val="cyan"/>
          <w:lang w:val="en-US" w:eastAsia="zh-CN"/>
        </w:rPr>
      </w:pPr>
    </w:p>
    <w:p w14:paraId="1874D9F3">
      <w:pPr>
        <w:pStyle w:val="36"/>
        <w:keepNext w:val="0"/>
        <w:keepLines w:val="0"/>
        <w:pageBreakBefore w:val="0"/>
        <w:widowControl w:val="0"/>
        <w:kinsoku/>
        <w:overflowPunct/>
        <w:topLinePunct w:val="0"/>
        <w:bidi w:val="0"/>
        <w:adjustRightInd w:val="0"/>
        <w:snapToGrid w:val="0"/>
        <w:spacing w:before="116" w:beforeLines="30" w:line="440" w:lineRule="exact"/>
        <w:textAlignment w:val="auto"/>
        <w:rPr>
          <w:rFonts w:hint="default"/>
          <w:spacing w:val="7"/>
          <w:sz w:val="21"/>
          <w:szCs w:val="21"/>
          <w:highlight w:val="cyan"/>
          <w:lang w:val="en-US" w:eastAsia="zh-CN"/>
        </w:rPr>
      </w:pPr>
    </w:p>
    <w:p w14:paraId="2F529DCE">
      <w:pPr>
        <w:pStyle w:val="36"/>
        <w:keepNext w:val="0"/>
        <w:keepLines w:val="0"/>
        <w:pageBreakBefore w:val="0"/>
        <w:widowControl w:val="0"/>
        <w:kinsoku/>
        <w:overflowPunct/>
        <w:topLinePunct w:val="0"/>
        <w:bidi w:val="0"/>
        <w:adjustRightInd w:val="0"/>
        <w:snapToGrid w:val="0"/>
        <w:spacing w:before="116" w:beforeLines="30" w:line="440" w:lineRule="exact"/>
        <w:textAlignment w:val="auto"/>
        <w:rPr>
          <w:rFonts w:hint="default"/>
          <w:spacing w:val="7"/>
          <w:sz w:val="21"/>
          <w:szCs w:val="21"/>
          <w:highlight w:val="cyan"/>
          <w:lang w:val="en-US" w:eastAsia="zh-CN"/>
        </w:rPr>
      </w:pPr>
    </w:p>
    <w:p w14:paraId="2476563B">
      <w:pPr>
        <w:keepNext w:val="0"/>
        <w:keepLines w:val="0"/>
        <w:pageBreakBefore w:val="0"/>
        <w:widowControl w:val="0"/>
        <w:kinsoku/>
        <w:overflowPunct/>
        <w:topLinePunct w:val="0"/>
        <w:bidi w:val="0"/>
        <w:adjustRightInd w:val="0"/>
        <w:snapToGrid w:val="0"/>
        <w:spacing w:before="116" w:beforeLines="30" w:line="440" w:lineRule="exact"/>
        <w:textAlignment w:val="auto"/>
        <w:outlineLvl w:val="1"/>
        <w:rPr>
          <w:rFonts w:ascii="黑体" w:eastAsia="黑体"/>
          <w:b/>
          <w:color w:val="000000" w:themeColor="text1"/>
          <w:sz w:val="24"/>
          <w14:textFill>
            <w14:solidFill>
              <w14:schemeClr w14:val="tx1"/>
            </w14:solidFill>
          </w14:textFill>
        </w:rPr>
      </w:pPr>
      <w:bookmarkStart w:id="44" w:name="_bookmark6"/>
      <w:bookmarkEnd w:id="44"/>
      <w:bookmarkStart w:id="45" w:name="_Toc30381"/>
      <w:bookmarkStart w:id="46" w:name="_Toc15733"/>
      <w:bookmarkStart w:id="47" w:name="_Toc62551533"/>
      <w:bookmarkStart w:id="48" w:name="_Toc31762"/>
      <w:r>
        <w:rPr>
          <w:rFonts w:hint="eastAsia" w:ascii="黑体" w:eastAsia="黑体"/>
          <w:b/>
          <w:color w:val="000000" w:themeColor="text1"/>
          <w:sz w:val="24"/>
          <w14:textFill>
            <w14:solidFill>
              <w14:schemeClr w14:val="tx1"/>
            </w14:solidFill>
          </w14:textFill>
        </w:rPr>
        <w:t>5.</w:t>
      </w:r>
      <w:r>
        <w:rPr>
          <w:rFonts w:ascii="黑体" w:eastAsia="黑体"/>
          <w:b/>
          <w:color w:val="000000" w:themeColor="text1"/>
          <w:sz w:val="24"/>
          <w14:textFill>
            <w14:solidFill>
              <w14:schemeClr w14:val="tx1"/>
            </w14:solidFill>
          </w14:textFill>
        </w:rPr>
        <w:t>投标文件的</w:t>
      </w:r>
      <w:bookmarkEnd w:id="45"/>
      <w:bookmarkEnd w:id="46"/>
      <w:bookmarkEnd w:id="47"/>
      <w:bookmarkEnd w:id="48"/>
      <w:r>
        <w:rPr>
          <w:rFonts w:hint="eastAsia" w:ascii="黑体" w:eastAsia="黑体"/>
          <w:b/>
          <w:color w:val="000000" w:themeColor="text1"/>
          <w:sz w:val="24"/>
          <w14:textFill>
            <w14:solidFill>
              <w14:schemeClr w14:val="tx1"/>
            </w14:solidFill>
          </w14:textFill>
        </w:rPr>
        <w:t>提交</w:t>
      </w:r>
    </w:p>
    <w:p w14:paraId="526E675C">
      <w:pPr>
        <w:pStyle w:val="14"/>
        <w:keepNext w:val="0"/>
        <w:keepLines w:val="0"/>
        <w:pageBreakBefore w:val="0"/>
        <w:widowControl w:val="0"/>
        <w:kinsoku/>
        <w:overflowPunct/>
        <w:topLinePunct w:val="0"/>
        <w:bidi w:val="0"/>
        <w:adjustRightInd w:val="0"/>
        <w:snapToGrid w:val="0"/>
        <w:spacing w:before="116" w:beforeLines="30" w:line="440" w:lineRule="exact"/>
        <w:textAlignment w:val="auto"/>
        <w:rPr>
          <w:rFonts w:hint="default" w:eastAsia="宋体"/>
          <w:color w:val="000000" w:themeColor="text1"/>
          <w:spacing w:val="7"/>
          <w:sz w:val="21"/>
          <w:szCs w:val="21"/>
          <w:lang w:val="en-US" w:eastAsia="zh-CN"/>
          <w14:textFill>
            <w14:solidFill>
              <w14:schemeClr w14:val="tx1"/>
            </w14:solidFill>
          </w14:textFill>
        </w:rPr>
      </w:pPr>
      <w:bookmarkStart w:id="49" w:name="_bookmark7"/>
      <w:bookmarkEnd w:id="49"/>
      <w:r>
        <w:rPr>
          <w:rFonts w:hint="eastAsia" w:ascii="宋体" w:hAnsi="宋体" w:eastAsia="宋体" w:cs="宋体"/>
          <w:color w:val="000000" w:themeColor="text1"/>
          <w:spacing w:val="7"/>
          <w:sz w:val="21"/>
          <w:szCs w:val="21"/>
          <w14:textFill>
            <w14:solidFill>
              <w14:schemeClr w14:val="tx1"/>
            </w14:solidFill>
          </w14:textFill>
        </w:rPr>
        <w:t>5.1</w:t>
      </w:r>
      <w:r>
        <w:rPr>
          <w:b/>
          <w:bCs/>
          <w:color w:val="000000" w:themeColor="text1"/>
          <w:spacing w:val="7"/>
          <w:sz w:val="21"/>
          <w:szCs w:val="21"/>
          <w14:textFill>
            <w14:solidFill>
              <w14:schemeClr w14:val="tx1"/>
            </w14:solidFill>
          </w14:textFill>
        </w:rPr>
        <w:t>投标文件提交的截止时间（投标截止时间，下同）</w:t>
      </w:r>
      <w:r>
        <w:rPr>
          <w:rFonts w:hint="eastAsia"/>
          <w:b/>
          <w:bCs/>
          <w:color w:val="000000" w:themeColor="text1"/>
          <w:spacing w:val="7"/>
          <w:sz w:val="21"/>
          <w:szCs w:val="21"/>
          <w14:textFill>
            <w14:solidFill>
              <w14:schemeClr w14:val="tx1"/>
            </w14:solidFill>
          </w14:textFill>
        </w:rPr>
        <w:t>为</w:t>
      </w:r>
      <w:r>
        <w:rPr>
          <w:rFonts w:hint="eastAsia"/>
          <w:b/>
          <w:bCs/>
          <w:color w:val="000000" w:themeColor="text1"/>
          <w:spacing w:val="7"/>
          <w:sz w:val="21"/>
          <w:szCs w:val="21"/>
          <w:highlight w:val="yellow"/>
          <w14:textFill>
            <w14:solidFill>
              <w14:schemeClr w14:val="tx1"/>
            </w14:solidFill>
          </w14:textFill>
        </w:rPr>
        <w:t>202</w:t>
      </w:r>
      <w:r>
        <w:rPr>
          <w:rFonts w:hint="eastAsia"/>
          <w:b/>
          <w:bCs/>
          <w:color w:val="000000" w:themeColor="text1"/>
          <w:spacing w:val="7"/>
          <w:sz w:val="21"/>
          <w:szCs w:val="21"/>
          <w:highlight w:val="yellow"/>
          <w:lang w:val="en-US" w:eastAsia="zh-CN"/>
          <w14:textFill>
            <w14:solidFill>
              <w14:schemeClr w14:val="tx1"/>
            </w14:solidFill>
          </w14:textFill>
        </w:rPr>
        <w:t>5</w:t>
      </w:r>
      <w:r>
        <w:rPr>
          <w:rFonts w:hint="eastAsia"/>
          <w:b/>
          <w:bCs/>
          <w:color w:val="000000" w:themeColor="text1"/>
          <w:spacing w:val="7"/>
          <w:sz w:val="21"/>
          <w:szCs w:val="21"/>
          <w:highlight w:val="yellow"/>
          <w14:textFill>
            <w14:solidFill>
              <w14:schemeClr w14:val="tx1"/>
            </w14:solidFill>
          </w14:textFill>
        </w:rPr>
        <w:t>年</w:t>
      </w:r>
      <w:r>
        <w:rPr>
          <w:rFonts w:hint="eastAsia"/>
          <w:b/>
          <w:bCs/>
          <w:color w:val="000000" w:themeColor="text1"/>
          <w:spacing w:val="7"/>
          <w:sz w:val="21"/>
          <w:szCs w:val="21"/>
          <w:highlight w:val="yellow"/>
          <w:lang w:val="en-US" w:eastAsia="zh-CN"/>
          <w14:textFill>
            <w14:solidFill>
              <w14:schemeClr w14:val="tx1"/>
            </w14:solidFill>
          </w14:textFill>
        </w:rPr>
        <w:t>08</w:t>
      </w:r>
      <w:r>
        <w:rPr>
          <w:rFonts w:hint="eastAsia"/>
          <w:b/>
          <w:bCs/>
          <w:color w:val="000000" w:themeColor="text1"/>
          <w:spacing w:val="7"/>
          <w:sz w:val="21"/>
          <w:szCs w:val="21"/>
          <w:highlight w:val="yellow"/>
          <w14:textFill>
            <w14:solidFill>
              <w14:schemeClr w14:val="tx1"/>
            </w14:solidFill>
          </w14:textFill>
        </w:rPr>
        <w:t>月</w:t>
      </w:r>
      <w:r>
        <w:rPr>
          <w:rFonts w:hint="eastAsia"/>
          <w:b/>
          <w:bCs/>
          <w:color w:val="000000" w:themeColor="text1"/>
          <w:spacing w:val="7"/>
          <w:sz w:val="21"/>
          <w:szCs w:val="21"/>
          <w:highlight w:val="yellow"/>
          <w:lang w:val="en-US" w:eastAsia="zh-CN"/>
          <w14:textFill>
            <w14:solidFill>
              <w14:schemeClr w14:val="tx1"/>
            </w14:solidFill>
          </w14:textFill>
        </w:rPr>
        <w:t>11</w:t>
      </w:r>
      <w:r>
        <w:rPr>
          <w:rFonts w:hint="eastAsia"/>
          <w:b/>
          <w:bCs/>
          <w:color w:val="000000" w:themeColor="text1"/>
          <w:spacing w:val="7"/>
          <w:sz w:val="21"/>
          <w:szCs w:val="21"/>
          <w:highlight w:val="yellow"/>
          <w14:textFill>
            <w14:solidFill>
              <w14:schemeClr w14:val="tx1"/>
            </w14:solidFill>
          </w14:textFill>
        </w:rPr>
        <w:t>日</w:t>
      </w:r>
      <w:r>
        <w:rPr>
          <w:rFonts w:hint="eastAsia"/>
          <w:b/>
          <w:bCs/>
          <w:color w:val="000000" w:themeColor="text1"/>
          <w:spacing w:val="7"/>
          <w:sz w:val="21"/>
          <w:szCs w:val="21"/>
          <w:highlight w:val="yellow"/>
          <w:lang w:val="en-US" w:eastAsia="zh-CN"/>
          <w14:textFill>
            <w14:solidFill>
              <w14:schemeClr w14:val="tx1"/>
            </w14:solidFill>
          </w14:textFill>
        </w:rPr>
        <w:t>16</w:t>
      </w:r>
      <w:r>
        <w:rPr>
          <w:rFonts w:hint="eastAsia"/>
          <w:b/>
          <w:bCs/>
          <w:color w:val="000000" w:themeColor="text1"/>
          <w:spacing w:val="7"/>
          <w:sz w:val="21"/>
          <w:szCs w:val="21"/>
          <w:highlight w:val="yellow"/>
          <w14:textFill>
            <w14:solidFill>
              <w14:schemeClr w14:val="tx1"/>
            </w14:solidFill>
          </w14:textFill>
        </w:rPr>
        <w:t>：00时</w:t>
      </w:r>
      <w:r>
        <w:rPr>
          <w:rFonts w:hint="eastAsia"/>
          <w:b/>
          <w:bCs/>
          <w:color w:val="000000" w:themeColor="text1"/>
          <w:spacing w:val="7"/>
          <w:sz w:val="21"/>
          <w:szCs w:val="21"/>
          <w14:textFill>
            <w14:solidFill>
              <w14:schemeClr w14:val="tx1"/>
            </w14:solidFill>
          </w14:textFill>
        </w:rPr>
        <w:t>（北京时间）</w:t>
      </w:r>
      <w:r>
        <w:rPr>
          <w:rFonts w:hint="eastAsia"/>
          <w:color w:val="000000" w:themeColor="text1"/>
          <w:sz w:val="21"/>
          <w:szCs w:val="21"/>
          <w14:textFill>
            <w14:solidFill>
              <w14:schemeClr w14:val="tx1"/>
            </w14:solidFill>
          </w14:textFill>
        </w:rPr>
        <w:t>。</w:t>
      </w:r>
      <w:r>
        <w:rPr>
          <w:rFonts w:hint="eastAsia"/>
          <w:color w:val="000000" w:themeColor="text1"/>
          <w:sz w:val="21"/>
          <w:szCs w:val="21"/>
          <w:lang w:val="en-US" w:eastAsia="zh-CN"/>
          <w14:textFill>
            <w14:solidFill>
              <w14:schemeClr w14:val="tx1"/>
            </w14:solidFill>
          </w14:textFill>
        </w:rPr>
        <w:t>同开标时间。</w:t>
      </w:r>
    </w:p>
    <w:p w14:paraId="763A25D6">
      <w:pPr>
        <w:keepNext w:val="0"/>
        <w:keepLines w:val="0"/>
        <w:pageBreakBefore w:val="0"/>
        <w:widowControl w:val="0"/>
        <w:tabs>
          <w:tab w:val="left" w:pos="1200"/>
          <w:tab w:val="left" w:pos="3112"/>
          <w:tab w:val="left" w:pos="4600"/>
        </w:tabs>
        <w:kinsoku/>
        <w:overflowPunct/>
        <w:topLinePunct w:val="0"/>
        <w:bidi w:val="0"/>
        <w:adjustRightInd w:val="0"/>
        <w:snapToGrid w:val="0"/>
        <w:spacing w:before="116" w:beforeLines="30" w:line="440" w:lineRule="exact"/>
        <w:ind w:firstLine="422" w:firstLineChars="200"/>
        <w:textAlignment w:val="auto"/>
        <w:rPr>
          <w:rFonts w:ascii="宋体" w:hAnsi="宋体" w:cs="宋体"/>
          <w:bCs/>
          <w:color w:val="000000" w:themeColor="text1"/>
          <w:sz w:val="21"/>
          <w:szCs w:val="21"/>
          <w14:textFill>
            <w14:solidFill>
              <w14:schemeClr w14:val="tx1"/>
            </w14:solidFill>
          </w14:textFill>
        </w:rPr>
      </w:pPr>
      <w:r>
        <w:rPr>
          <w:rFonts w:hint="eastAsia" w:ascii="宋体" w:hAnsi="宋体" w:cs="宋体"/>
          <w:b/>
          <w:color w:val="000000" w:themeColor="text1"/>
          <w:sz w:val="21"/>
          <w:szCs w:val="21"/>
          <w14:textFill>
            <w14:solidFill>
              <w14:schemeClr w14:val="tx1"/>
            </w14:solidFill>
          </w14:textFill>
        </w:rPr>
        <w:t>投标文件提交时间：</w:t>
      </w:r>
      <w:r>
        <w:rPr>
          <w:rFonts w:hint="eastAsia" w:ascii="宋体" w:hAnsi="宋体" w:cs="宋体"/>
          <w:bCs/>
          <w:color w:val="000000" w:themeColor="text1"/>
          <w:sz w:val="21"/>
          <w:szCs w:val="21"/>
          <w14:textFill>
            <w14:solidFill>
              <w14:schemeClr w14:val="tx1"/>
            </w14:solidFill>
          </w14:textFill>
        </w:rPr>
        <w:t>所有投标文件应当在投标截止时间前递交（提交）招标人。</w:t>
      </w:r>
    </w:p>
    <w:p w14:paraId="3773E43D">
      <w:pPr>
        <w:keepNext w:val="0"/>
        <w:keepLines w:val="0"/>
        <w:pageBreakBefore w:val="0"/>
        <w:widowControl w:val="0"/>
        <w:kinsoku/>
        <w:overflowPunct/>
        <w:topLinePunct w:val="0"/>
        <w:bidi w:val="0"/>
        <w:adjustRightInd w:val="0"/>
        <w:snapToGrid w:val="0"/>
        <w:spacing w:before="116" w:beforeLines="30" w:line="440" w:lineRule="exact"/>
        <w:ind w:firstLine="422" w:firstLineChars="200"/>
        <w:textAlignment w:val="auto"/>
        <w:rPr>
          <w:b/>
          <w:color w:val="000000"/>
        </w:rPr>
      </w:pPr>
      <w:r>
        <w:rPr>
          <w:rFonts w:hint="eastAsia" w:ascii="宋体" w:hAnsi="宋体" w:cs="宋体"/>
          <w:b/>
          <w:color w:val="000000" w:themeColor="text1"/>
          <w:sz w:val="21"/>
          <w:szCs w:val="21"/>
          <w14:textFill>
            <w14:solidFill>
              <w14:schemeClr w14:val="tx1"/>
            </w14:solidFill>
          </w14:textFill>
        </w:rPr>
        <w:t>投标文件提交地点：</w:t>
      </w:r>
      <w:r>
        <w:rPr>
          <w:rFonts w:hint="eastAsia"/>
          <w:bCs/>
          <w:color w:val="000000"/>
          <w:sz w:val="21"/>
          <w:szCs w:val="21"/>
        </w:rPr>
        <w:t>电子投标文件提交招标人招投标交易平台信息系统</w:t>
      </w:r>
      <w:r>
        <w:rPr>
          <w:rFonts w:hint="eastAsia"/>
          <w:bCs/>
          <w:color w:val="000000"/>
          <w:sz w:val="21"/>
          <w:szCs w:val="21"/>
          <w:lang w:val="en-US" w:eastAsia="zh-CN"/>
        </w:rPr>
        <w:t>及智慧招投标云平台</w:t>
      </w:r>
      <w:r>
        <w:rPr>
          <w:rFonts w:hint="eastAsia"/>
          <w:bCs/>
          <w:color w:val="000000"/>
        </w:rPr>
        <w:t>。</w:t>
      </w:r>
    </w:p>
    <w:p w14:paraId="6FBEA4D8">
      <w:pPr>
        <w:keepNext w:val="0"/>
        <w:keepLines w:val="0"/>
        <w:pageBreakBefore w:val="0"/>
        <w:widowControl w:val="0"/>
        <w:kinsoku/>
        <w:overflowPunct/>
        <w:topLinePunct w:val="0"/>
        <w:bidi w:val="0"/>
        <w:adjustRightInd w:val="0"/>
        <w:snapToGrid w:val="0"/>
        <w:spacing w:before="116" w:beforeLines="30" w:line="440" w:lineRule="exact"/>
        <w:ind w:firstLine="420" w:firstLineChars="200"/>
        <w:textAlignment w:val="auto"/>
        <w:rPr>
          <w:rFonts w:hint="eastAsia" w:ascii="宋体" w:hAnsi="宋体" w:eastAsia="宋体" w:cs="宋体"/>
          <w:color w:val="000000" w:themeColor="text1"/>
          <w:sz w:val="21"/>
          <w:szCs w:val="21"/>
          <w:highlight w:val="cyan"/>
          <w:lang w:val="zh-CN"/>
          <w14:textFill>
            <w14:solidFill>
              <w14:schemeClr w14:val="tx1"/>
            </w14:solidFill>
          </w14:textFill>
        </w:rPr>
      </w:pPr>
      <w:r>
        <w:rPr>
          <w:rFonts w:hint="eastAsia" w:ascii="宋体" w:hAnsi="宋体" w:eastAsia="宋体" w:cs="宋体"/>
          <w:color w:val="000000" w:themeColor="text1"/>
          <w:sz w:val="21"/>
          <w:szCs w:val="21"/>
          <w:lang w:val="zh-CN"/>
          <w14:textFill>
            <w14:solidFill>
              <w14:schemeClr w14:val="tx1"/>
            </w14:solidFill>
          </w14:textFill>
        </w:rPr>
        <w:t>5.2 投标截止时间之前未成功提交至招标人招投标交易平台信息系统的电子投标文件，招标人不予受理。不接受未按规定加密的投标文件及投标文件的修改文件</w:t>
      </w:r>
      <w:r>
        <w:rPr>
          <w:rFonts w:hint="eastAsia" w:ascii="宋体" w:hAnsi="宋体" w:eastAsia="宋体" w:cs="宋体"/>
          <w:color w:val="000000" w:themeColor="text1"/>
          <w:sz w:val="21"/>
          <w:szCs w:val="21"/>
          <w:highlight w:val="none"/>
          <w:lang w:val="zh-CN"/>
          <w14:textFill>
            <w14:solidFill>
              <w14:schemeClr w14:val="tx1"/>
            </w14:solidFill>
          </w14:textFill>
        </w:rPr>
        <w:t>。</w:t>
      </w:r>
      <w:r>
        <w:rPr>
          <w:rFonts w:hint="eastAsia" w:ascii="宋体" w:hAnsi="宋体" w:eastAsia="宋体" w:cs="宋体"/>
          <w:color w:val="000000"/>
          <w:sz w:val="21"/>
          <w:szCs w:val="21"/>
          <w:highlight w:val="none"/>
          <w:lang w:val="zh-CN"/>
        </w:rPr>
        <w:t>不接受邮寄、现场提交等电子提交方式以外的其他方式提交投标文件及投标文件的修改文件。</w:t>
      </w:r>
    </w:p>
    <w:p w14:paraId="0D9969AF">
      <w:pPr>
        <w:keepNext w:val="0"/>
        <w:keepLines w:val="0"/>
        <w:pageBreakBefore w:val="0"/>
        <w:widowControl w:val="0"/>
        <w:tabs>
          <w:tab w:val="left" w:pos="1200"/>
          <w:tab w:val="left" w:pos="3112"/>
          <w:tab w:val="left" w:pos="4600"/>
        </w:tabs>
        <w:kinsoku/>
        <w:overflowPunct/>
        <w:topLinePunct w:val="0"/>
        <w:bidi w:val="0"/>
        <w:adjustRightInd w:val="0"/>
        <w:snapToGrid w:val="0"/>
        <w:spacing w:before="116" w:beforeLines="30" w:line="440" w:lineRule="exact"/>
        <w:ind w:firstLine="420" w:firstLineChars="200"/>
        <w:textAlignment w:val="auto"/>
        <w:rPr>
          <w:rFonts w:hint="eastAsia" w:ascii="宋体" w:hAnsi="宋体"/>
          <w:color w:val="000000" w:themeColor="text1"/>
          <w:sz w:val="21"/>
          <w:szCs w:val="21"/>
          <w:lang w:val="zh-CN"/>
          <w14:textFill>
            <w14:solidFill>
              <w14:schemeClr w14:val="tx1"/>
            </w14:solidFill>
          </w14:textFill>
        </w:rPr>
      </w:pPr>
      <w:bookmarkStart w:id="50" w:name="_MON_1697628392"/>
      <w:bookmarkEnd w:id="50"/>
      <w:r>
        <w:rPr>
          <w:rFonts w:hint="eastAsia" w:ascii="宋体" w:hAnsi="宋体" w:eastAsia="宋体" w:cs="宋体"/>
          <w:color w:val="000000" w:themeColor="text1"/>
          <w:sz w:val="21"/>
          <w:szCs w:val="21"/>
          <w:lang w:val="zh-CN"/>
          <w14:textFill>
            <w14:solidFill>
              <w14:schemeClr w14:val="tx1"/>
            </w14:solidFill>
          </w14:textFill>
        </w:rPr>
        <w:t>5.3未按招标公告</w:t>
      </w:r>
      <w:r>
        <w:rPr>
          <w:rFonts w:hint="eastAsia" w:ascii="宋体" w:hAnsi="宋体" w:eastAsia="宋体" w:cs="宋体"/>
          <w:color w:val="000000" w:themeColor="text1"/>
          <w:sz w:val="21"/>
          <w:szCs w:val="21"/>
          <w14:textFill>
            <w14:solidFill>
              <w14:schemeClr w14:val="tx1"/>
            </w14:solidFill>
          </w14:textFill>
        </w:rPr>
        <w:t>规定的时间和方式获取并下载招标文件的投标</w:t>
      </w:r>
      <w:r>
        <w:rPr>
          <w:rFonts w:hint="eastAsia" w:ascii="宋体" w:hAnsi="宋体" w:eastAsia="宋体" w:cs="宋体"/>
          <w:color w:val="000000" w:themeColor="text1"/>
          <w:sz w:val="21"/>
          <w:szCs w:val="21"/>
          <w:lang w:val="zh-CN"/>
          <w14:textFill>
            <w14:solidFill>
              <w14:schemeClr w14:val="tx1"/>
            </w14:solidFill>
          </w14:textFill>
        </w:rPr>
        <w:t>，招标人将不予受理</w:t>
      </w:r>
      <w:r>
        <w:rPr>
          <w:rFonts w:hint="eastAsia" w:ascii="宋体" w:hAnsi="宋体"/>
          <w:color w:val="000000" w:themeColor="text1"/>
          <w:sz w:val="21"/>
          <w:szCs w:val="21"/>
          <w:lang w:val="zh-CN"/>
          <w14:textFill>
            <w14:solidFill>
              <w14:schemeClr w14:val="tx1"/>
            </w14:solidFill>
          </w14:textFill>
        </w:rPr>
        <w:t>。</w:t>
      </w:r>
    </w:p>
    <w:p w14:paraId="525FB3FA">
      <w:pPr>
        <w:pStyle w:val="36"/>
        <w:keepNext w:val="0"/>
        <w:keepLines w:val="0"/>
        <w:pageBreakBefore w:val="0"/>
        <w:widowControl w:val="0"/>
        <w:kinsoku/>
        <w:overflowPunct/>
        <w:topLinePunct w:val="0"/>
        <w:bidi w:val="0"/>
        <w:adjustRightInd w:val="0"/>
        <w:snapToGrid w:val="0"/>
        <w:spacing w:before="116" w:beforeLines="30" w:line="440" w:lineRule="exact"/>
        <w:textAlignment w:val="auto"/>
        <w:rPr>
          <w:rFonts w:hint="eastAsia" w:ascii="黑体" w:eastAsia="黑体"/>
          <w:b/>
          <w:color w:val="000000" w:themeColor="text1"/>
          <w:sz w:val="24"/>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5.4</w:t>
      </w:r>
      <w:r>
        <w:rPr>
          <w:rFonts w:hint="eastAsia" w:ascii="宋体" w:hAnsi="宋体" w:eastAsia="宋体" w:cs="宋体"/>
          <w:b/>
          <w:color w:val="000000" w:themeColor="text1"/>
          <w:sz w:val="24"/>
          <w14:textFill>
            <w14:solidFill>
              <w14:schemeClr w14:val="tx1"/>
            </w14:solidFill>
          </w14:textFill>
        </w:rPr>
        <w:t>投标文件的</w:t>
      </w:r>
      <w:r>
        <w:rPr>
          <w:rFonts w:hint="eastAsia" w:ascii="宋体" w:hAnsi="宋体" w:cs="宋体"/>
          <w:b/>
          <w:color w:val="000000" w:themeColor="text1"/>
          <w:sz w:val="24"/>
          <w:lang w:val="en-US" w:eastAsia="zh-CN"/>
          <w14:textFill>
            <w14:solidFill>
              <w14:schemeClr w14:val="tx1"/>
            </w14:solidFill>
          </w14:textFill>
        </w:rPr>
        <w:t>递交</w:t>
      </w:r>
    </w:p>
    <w:p w14:paraId="74F79F4E">
      <w:pPr>
        <w:pStyle w:val="36"/>
        <w:keepNext w:val="0"/>
        <w:keepLines w:val="0"/>
        <w:pageBreakBefore w:val="0"/>
        <w:widowControl w:val="0"/>
        <w:kinsoku/>
        <w:overflowPunct/>
        <w:topLinePunct w:val="0"/>
        <w:bidi w:val="0"/>
        <w:adjustRightInd w:val="0"/>
        <w:snapToGrid w:val="0"/>
        <w:spacing w:before="116" w:beforeLines="30" w:line="440" w:lineRule="exact"/>
        <w:ind w:firstLine="840" w:firstLineChars="400"/>
        <w:textAlignment w:val="auto"/>
        <w:rPr>
          <w:rFonts w:hint="eastAsia" w:ascii="黑体" w:eastAsia="宋体"/>
          <w:b/>
          <w:color w:val="000000" w:themeColor="text1"/>
          <w:sz w:val="24"/>
          <w:lang w:eastAsia="zh-CN"/>
          <w14:textFill>
            <w14:solidFill>
              <w14:schemeClr w14:val="tx1"/>
            </w14:solidFill>
          </w14:textFill>
        </w:rPr>
      </w:pPr>
      <w:r>
        <w:rPr>
          <w:rFonts w:hint="eastAsia" w:ascii="宋体" w:hAnsi="宋体"/>
          <w:color w:val="000000" w:themeColor="text1"/>
          <w:sz w:val="21"/>
          <w:szCs w:val="21"/>
          <w:lang w:val="zh-CN"/>
          <w14:textFill>
            <w14:solidFill>
              <w14:schemeClr w14:val="tx1"/>
            </w14:solidFill>
          </w14:textFill>
        </w:rPr>
        <w:t>详见招标公告附件</w:t>
      </w:r>
      <w:r>
        <w:rPr>
          <w:rFonts w:hint="eastAsia"/>
          <w:lang w:val="en-US" w:eastAsia="zh-CN"/>
        </w:rPr>
        <w:t>二“</w:t>
      </w:r>
      <w:r>
        <w:rPr>
          <w:rFonts w:hint="eastAsia" w:ascii="宋体" w:hAnsi="宋体"/>
          <w:color w:val="000000" w:themeColor="text1"/>
          <w:sz w:val="21"/>
          <w:szCs w:val="21"/>
          <w:lang w:val="zh-CN"/>
          <w14:textFill>
            <w14:solidFill>
              <w14:schemeClr w14:val="tx1"/>
            </w14:solidFill>
          </w14:textFill>
        </w:rPr>
        <w:t>投标文件的</w:t>
      </w:r>
      <w:r>
        <w:rPr>
          <w:rFonts w:hint="eastAsia" w:ascii="宋体" w:hAnsi="宋体"/>
          <w:color w:val="000000" w:themeColor="text1"/>
          <w:sz w:val="21"/>
          <w:szCs w:val="21"/>
          <w:lang w:val="en-US" w:eastAsia="zh-CN"/>
          <w14:textFill>
            <w14:solidFill>
              <w14:schemeClr w14:val="tx1"/>
            </w14:solidFill>
          </w14:textFill>
        </w:rPr>
        <w:t>递</w:t>
      </w:r>
      <w:r>
        <w:rPr>
          <w:rFonts w:hint="eastAsia" w:ascii="宋体" w:hAnsi="宋体"/>
          <w:color w:val="000000" w:themeColor="text1"/>
          <w:sz w:val="21"/>
          <w:szCs w:val="21"/>
          <w:lang w:val="zh-CN"/>
          <w14:textFill>
            <w14:solidFill>
              <w14:schemeClr w14:val="tx1"/>
            </w14:solidFill>
          </w14:textFill>
        </w:rPr>
        <w:t>交</w:t>
      </w:r>
      <w:r>
        <w:rPr>
          <w:rFonts w:hint="eastAsia"/>
          <w:lang w:val="en-US" w:eastAsia="zh-CN"/>
        </w:rPr>
        <w:t>”</w:t>
      </w:r>
    </w:p>
    <w:p w14:paraId="72AAF45D">
      <w:pPr>
        <w:keepNext w:val="0"/>
        <w:keepLines w:val="0"/>
        <w:pageBreakBefore w:val="0"/>
        <w:widowControl w:val="0"/>
        <w:kinsoku/>
        <w:wordWrap/>
        <w:overflowPunct/>
        <w:topLinePunct w:val="0"/>
        <w:autoSpaceDE/>
        <w:autoSpaceDN/>
        <w:bidi w:val="0"/>
        <w:adjustRightInd w:val="0"/>
        <w:snapToGrid w:val="0"/>
        <w:spacing w:before="116" w:beforeLines="30" w:line="440" w:lineRule="exact"/>
        <w:textAlignment w:val="auto"/>
        <w:outlineLvl w:val="1"/>
        <w:rPr>
          <w:rFonts w:ascii="黑体" w:eastAsia="黑体"/>
          <w:b/>
          <w:color w:val="000000" w:themeColor="text1"/>
          <w:sz w:val="24"/>
          <w14:textFill>
            <w14:solidFill>
              <w14:schemeClr w14:val="tx1"/>
            </w14:solidFill>
          </w14:textFill>
        </w:rPr>
      </w:pPr>
      <w:bookmarkStart w:id="51" w:name="_Toc13110"/>
      <w:bookmarkStart w:id="52" w:name="_Toc6640"/>
      <w:bookmarkStart w:id="53" w:name="_Toc62551534"/>
      <w:bookmarkStart w:id="54" w:name="_Toc8013"/>
      <w:r>
        <w:rPr>
          <w:rFonts w:hint="eastAsia" w:ascii="黑体" w:eastAsia="黑体"/>
          <w:b/>
          <w:color w:val="000000" w:themeColor="text1"/>
          <w:sz w:val="24"/>
          <w14:textFill>
            <w14:solidFill>
              <w14:schemeClr w14:val="tx1"/>
            </w14:solidFill>
          </w14:textFill>
        </w:rPr>
        <w:t>6.</w:t>
      </w:r>
      <w:r>
        <w:rPr>
          <w:rFonts w:ascii="黑体" w:eastAsia="黑体"/>
          <w:b/>
          <w:color w:val="000000" w:themeColor="text1"/>
          <w:sz w:val="24"/>
          <w14:textFill>
            <w14:solidFill>
              <w14:schemeClr w14:val="tx1"/>
            </w14:solidFill>
          </w14:textFill>
        </w:rPr>
        <w:t>发布公告的媒介</w:t>
      </w:r>
      <w:bookmarkEnd w:id="51"/>
      <w:bookmarkEnd w:id="52"/>
      <w:bookmarkEnd w:id="53"/>
      <w:bookmarkEnd w:id="54"/>
    </w:p>
    <w:p w14:paraId="3EB939AC">
      <w:pPr>
        <w:pStyle w:val="71"/>
        <w:keepNext w:val="0"/>
        <w:keepLines w:val="0"/>
        <w:pageBreakBefore w:val="0"/>
        <w:widowControl w:val="0"/>
        <w:tabs>
          <w:tab w:val="left" w:pos="0"/>
        </w:tabs>
        <w:kinsoku/>
        <w:overflowPunct/>
        <w:topLinePunct w:val="0"/>
        <w:bidi w:val="0"/>
        <w:adjustRightInd w:val="0"/>
        <w:snapToGrid w:val="0"/>
        <w:spacing w:before="116" w:beforeLines="30" w:line="440" w:lineRule="exact"/>
        <w:ind w:firstLine="420" w:firstLineChars="200"/>
        <w:jc w:val="both"/>
        <w:textAlignment w:val="auto"/>
        <w:rPr>
          <w:rFonts w:hint="eastAsia"/>
          <w:color w:val="000000" w:themeColor="text1"/>
          <w:kern w:val="2"/>
          <w:sz w:val="21"/>
          <w14:textFill>
            <w14:solidFill>
              <w14:schemeClr w14:val="tx1"/>
            </w14:solidFill>
          </w14:textFill>
        </w:rPr>
      </w:pPr>
      <w:bookmarkStart w:id="55" w:name="_bookmark8"/>
      <w:bookmarkEnd w:id="55"/>
      <w:bookmarkStart w:id="56" w:name="_Toc62551535"/>
      <w:bookmarkStart w:id="57" w:name="_Toc27414"/>
      <w:bookmarkStart w:id="58" w:name="_Toc9290"/>
      <w:bookmarkStart w:id="59" w:name="_Toc23797"/>
      <w:r>
        <w:rPr>
          <w:rFonts w:hint="eastAsia"/>
          <w:color w:val="000000" w:themeColor="text1"/>
          <w:kern w:val="2"/>
          <w:sz w:val="21"/>
          <w14:textFill>
            <w14:solidFill>
              <w14:schemeClr w14:val="tx1"/>
            </w14:solidFill>
          </w14:textFill>
        </w:rPr>
        <w:t>本次招标公告在招标人招投标交易平台信息系统、中国招标投标公共服务平台</w:t>
      </w:r>
      <w:r>
        <w:rPr>
          <w:rFonts w:hint="eastAsia"/>
          <w:color w:val="000000" w:themeColor="text1"/>
          <w:kern w:val="2"/>
          <w:sz w:val="21"/>
          <w:lang w:val="en-US"/>
          <w14:textFill>
            <w14:solidFill>
              <w14:schemeClr w14:val="tx1"/>
            </w14:solidFill>
          </w14:textFill>
        </w:rPr>
        <w:t>（</w:t>
      </w:r>
      <w:bookmarkStart w:id="60" w:name="_Hlk511312026"/>
      <w:r>
        <w:rPr>
          <w:color w:val="000000" w:themeColor="text1"/>
          <w:kern w:val="2"/>
          <w:sz w:val="21"/>
          <w:lang w:val="en-US"/>
          <w14:textFill>
            <w14:solidFill>
              <w14:schemeClr w14:val="tx1"/>
            </w14:solidFill>
          </w14:textFill>
        </w:rPr>
        <w:t>http://www.cebpubservice.com</w:t>
      </w:r>
      <w:bookmarkEnd w:id="60"/>
      <w:r>
        <w:rPr>
          <w:rFonts w:hint="eastAsia"/>
          <w:color w:val="000000" w:themeColor="text1"/>
          <w:kern w:val="2"/>
          <w:sz w:val="21"/>
          <w:lang w:val="en-US"/>
          <w14:textFill>
            <w14:solidFill>
              <w14:schemeClr w14:val="tx1"/>
            </w14:solidFill>
          </w14:textFill>
        </w:rPr>
        <w:t>）</w:t>
      </w:r>
      <w:r>
        <w:rPr>
          <w:rFonts w:hint="eastAsia"/>
          <w:color w:val="000000" w:themeColor="text1"/>
          <w:kern w:val="2"/>
          <w:sz w:val="21"/>
          <w14:textFill>
            <w14:solidFill>
              <w14:schemeClr w14:val="tx1"/>
            </w14:solidFill>
          </w14:textFill>
        </w:rPr>
        <w:t>上发布。</w:t>
      </w:r>
    </w:p>
    <w:p w14:paraId="26A44D4F">
      <w:pPr>
        <w:keepNext w:val="0"/>
        <w:keepLines w:val="0"/>
        <w:pageBreakBefore w:val="0"/>
        <w:widowControl w:val="0"/>
        <w:kinsoku/>
        <w:overflowPunct/>
        <w:topLinePunct w:val="0"/>
        <w:bidi w:val="0"/>
        <w:adjustRightInd w:val="0"/>
        <w:snapToGrid w:val="0"/>
        <w:spacing w:before="116" w:beforeLines="30" w:line="440" w:lineRule="exact"/>
        <w:textAlignment w:val="auto"/>
        <w:outlineLvl w:val="1"/>
        <w:rPr>
          <w:rFonts w:ascii="黑体" w:eastAsia="黑体"/>
          <w:b/>
          <w:color w:val="000000" w:themeColor="text1"/>
          <w:sz w:val="24"/>
          <w14:textFill>
            <w14:solidFill>
              <w14:schemeClr w14:val="tx1"/>
            </w14:solidFill>
          </w14:textFill>
        </w:rPr>
      </w:pPr>
      <w:r>
        <w:rPr>
          <w:rFonts w:hint="eastAsia" w:ascii="黑体" w:eastAsia="黑体"/>
          <w:b/>
          <w:color w:val="000000" w:themeColor="text1"/>
          <w:sz w:val="24"/>
          <w14:textFill>
            <w14:solidFill>
              <w14:schemeClr w14:val="tx1"/>
            </w14:solidFill>
          </w14:textFill>
        </w:rPr>
        <w:t>7.</w:t>
      </w:r>
      <w:r>
        <w:rPr>
          <w:rFonts w:ascii="黑体" w:eastAsia="黑体"/>
          <w:b/>
          <w:color w:val="000000" w:themeColor="text1"/>
          <w:sz w:val="24"/>
          <w14:textFill>
            <w14:solidFill>
              <w14:schemeClr w14:val="tx1"/>
            </w14:solidFill>
          </w14:textFill>
        </w:rPr>
        <w:t>联系方式</w:t>
      </w:r>
      <w:bookmarkEnd w:id="56"/>
      <w:bookmarkEnd w:id="57"/>
      <w:bookmarkEnd w:id="58"/>
      <w:bookmarkEnd w:id="59"/>
    </w:p>
    <w:p w14:paraId="3C592892">
      <w:pPr>
        <w:keepNext w:val="0"/>
        <w:keepLines w:val="0"/>
        <w:pageBreakBefore w:val="0"/>
        <w:widowControl w:val="0"/>
        <w:tabs>
          <w:tab w:val="left" w:pos="1134"/>
        </w:tabs>
        <w:kinsoku/>
        <w:overflowPunct/>
        <w:topLinePunct w:val="0"/>
        <w:bidi w:val="0"/>
        <w:adjustRightInd w:val="0"/>
        <w:snapToGrid w:val="0"/>
        <w:spacing w:before="116" w:beforeLines="30" w:line="440" w:lineRule="exact"/>
        <w:ind w:firstLine="420" w:firstLineChars="200"/>
        <w:textAlignment w:val="auto"/>
        <w:rPr>
          <w:rFonts w:hint="eastAsia"/>
          <w:color w:val="000000" w:themeColor="text1"/>
          <w:kern w:val="2"/>
          <w:sz w:val="21"/>
          <w14:textFill>
            <w14:solidFill>
              <w14:schemeClr w14:val="tx1"/>
            </w14:solidFill>
          </w14:textFill>
        </w:rPr>
      </w:pPr>
      <w:r>
        <w:rPr>
          <w:rFonts w:hint="eastAsia"/>
          <w:color w:val="000000" w:themeColor="text1"/>
          <w:kern w:val="2"/>
          <w:sz w:val="21"/>
          <w14:textFill>
            <w14:solidFill>
              <w14:schemeClr w14:val="tx1"/>
            </w14:solidFill>
          </w14:textFill>
        </w:rPr>
        <w:t>招标代理机构：山西晋电电力科技有限公司众业分公司</w:t>
      </w:r>
    </w:p>
    <w:p w14:paraId="6637DBA2">
      <w:pPr>
        <w:keepNext w:val="0"/>
        <w:keepLines w:val="0"/>
        <w:pageBreakBefore w:val="0"/>
        <w:widowControl w:val="0"/>
        <w:tabs>
          <w:tab w:val="left" w:pos="1134"/>
        </w:tabs>
        <w:kinsoku/>
        <w:overflowPunct/>
        <w:topLinePunct w:val="0"/>
        <w:bidi w:val="0"/>
        <w:adjustRightInd w:val="0"/>
        <w:snapToGrid w:val="0"/>
        <w:spacing w:before="116" w:beforeLines="30" w:line="440" w:lineRule="exact"/>
        <w:ind w:firstLine="420" w:firstLineChars="200"/>
        <w:textAlignment w:val="auto"/>
        <w:rPr>
          <w:rFonts w:hint="eastAsia"/>
          <w:color w:val="000000" w:themeColor="text1"/>
          <w:kern w:val="2"/>
          <w:sz w:val="21"/>
          <w14:textFill>
            <w14:solidFill>
              <w14:schemeClr w14:val="tx1"/>
            </w14:solidFill>
          </w14:textFill>
        </w:rPr>
      </w:pPr>
      <w:r>
        <w:rPr>
          <w:rFonts w:hint="eastAsia"/>
          <w:color w:val="000000" w:themeColor="text1"/>
          <w:kern w:val="2"/>
          <w:sz w:val="21"/>
          <w14:textFill>
            <w14:solidFill>
              <w14:schemeClr w14:val="tx1"/>
            </w14:solidFill>
          </w14:textFill>
        </w:rPr>
        <w:t>地址：山西省太原市青年路16号</w:t>
      </w:r>
    </w:p>
    <w:p w14:paraId="2502A58A">
      <w:pPr>
        <w:keepNext w:val="0"/>
        <w:keepLines w:val="0"/>
        <w:pageBreakBefore w:val="0"/>
        <w:widowControl w:val="0"/>
        <w:tabs>
          <w:tab w:val="left" w:pos="1134"/>
        </w:tabs>
        <w:kinsoku/>
        <w:overflowPunct/>
        <w:topLinePunct w:val="0"/>
        <w:bidi w:val="0"/>
        <w:adjustRightInd w:val="0"/>
        <w:snapToGrid w:val="0"/>
        <w:spacing w:before="116" w:beforeLines="30" w:line="440" w:lineRule="exact"/>
        <w:ind w:firstLine="420" w:firstLineChars="200"/>
        <w:textAlignment w:val="auto"/>
        <w:rPr>
          <w:rFonts w:hint="eastAsia"/>
          <w:color w:val="000000" w:themeColor="text1"/>
          <w:kern w:val="2"/>
          <w:sz w:val="21"/>
          <w14:textFill>
            <w14:solidFill>
              <w14:schemeClr w14:val="tx1"/>
            </w14:solidFill>
          </w14:textFill>
        </w:rPr>
      </w:pPr>
      <w:r>
        <w:rPr>
          <w:rFonts w:hint="eastAsia"/>
          <w:color w:val="000000" w:themeColor="text1"/>
          <w:kern w:val="2"/>
          <w:sz w:val="21"/>
          <w14:textFill>
            <w14:solidFill>
              <w14:schemeClr w14:val="tx1"/>
            </w14:solidFill>
          </w14:textFill>
        </w:rPr>
        <w:t>邮编：030001</w:t>
      </w:r>
    </w:p>
    <w:p w14:paraId="7CCAE08D">
      <w:pPr>
        <w:keepNext w:val="0"/>
        <w:keepLines w:val="0"/>
        <w:pageBreakBefore w:val="0"/>
        <w:widowControl w:val="0"/>
        <w:tabs>
          <w:tab w:val="left" w:pos="1134"/>
        </w:tabs>
        <w:kinsoku/>
        <w:overflowPunct/>
        <w:topLinePunct w:val="0"/>
        <w:bidi w:val="0"/>
        <w:adjustRightInd w:val="0"/>
        <w:snapToGrid w:val="0"/>
        <w:spacing w:before="116" w:beforeLines="30" w:line="440" w:lineRule="exact"/>
        <w:ind w:firstLine="420" w:firstLineChars="200"/>
        <w:textAlignment w:val="auto"/>
        <w:rPr>
          <w:rFonts w:hint="eastAsia"/>
          <w:color w:val="000000" w:themeColor="text1"/>
          <w:kern w:val="2"/>
          <w:sz w:val="21"/>
          <w14:textFill>
            <w14:solidFill>
              <w14:schemeClr w14:val="tx1"/>
            </w14:solidFill>
          </w14:textFill>
        </w:rPr>
      </w:pPr>
      <w:r>
        <w:rPr>
          <w:rFonts w:hint="eastAsia"/>
          <w:color w:val="000000" w:themeColor="text1"/>
          <w:kern w:val="2"/>
          <w:sz w:val="21"/>
          <w:lang w:val="zh-CN"/>
          <w14:textFill>
            <w14:solidFill>
              <w14:schemeClr w14:val="tx1"/>
            </w14:solidFill>
          </w14:textFill>
        </w:rPr>
        <w:t>联系人电话：</w:t>
      </w:r>
      <w:r>
        <w:rPr>
          <w:rFonts w:hint="eastAsia"/>
          <w:color w:val="000000" w:themeColor="text1"/>
          <w:kern w:val="2"/>
          <w:sz w:val="21"/>
          <w14:textFill>
            <w14:solidFill>
              <w14:schemeClr w14:val="tx1"/>
            </w14:solidFill>
          </w14:textFill>
        </w:rPr>
        <w:t>0351-3720487、3720488</w:t>
      </w:r>
    </w:p>
    <w:p w14:paraId="29097885">
      <w:pPr>
        <w:keepNext w:val="0"/>
        <w:keepLines w:val="0"/>
        <w:pageBreakBefore w:val="0"/>
        <w:widowControl w:val="0"/>
        <w:tabs>
          <w:tab w:val="left" w:pos="1134"/>
        </w:tabs>
        <w:kinsoku/>
        <w:overflowPunct/>
        <w:topLinePunct w:val="0"/>
        <w:bidi w:val="0"/>
        <w:adjustRightInd w:val="0"/>
        <w:snapToGrid w:val="0"/>
        <w:spacing w:before="116" w:beforeLines="30" w:line="440" w:lineRule="exact"/>
        <w:ind w:firstLine="420" w:firstLineChars="200"/>
        <w:textAlignment w:val="auto"/>
        <w:rPr>
          <w:rFonts w:hint="eastAsia"/>
          <w:color w:val="000000" w:themeColor="text1"/>
          <w:kern w:val="2"/>
          <w:sz w:val="21"/>
          <w14:textFill>
            <w14:solidFill>
              <w14:schemeClr w14:val="tx1"/>
            </w14:solidFill>
          </w14:textFill>
        </w:rPr>
      </w:pPr>
      <w:r>
        <w:rPr>
          <w:rFonts w:hint="eastAsia"/>
          <w:color w:val="000000" w:themeColor="text1"/>
          <w:kern w:val="2"/>
          <w:sz w:val="21"/>
          <w:lang w:val="zh-CN"/>
          <w14:textFill>
            <w14:solidFill>
              <w14:schemeClr w14:val="tx1"/>
            </w14:solidFill>
          </w14:textFill>
        </w:rPr>
        <w:t>电子邮件：</w:t>
      </w:r>
      <w:bookmarkStart w:id="61" w:name="_Toc26113"/>
      <w:bookmarkStart w:id="62" w:name="_Toc26636"/>
      <w:bookmarkStart w:id="63" w:name="_Toc62551536"/>
      <w:bookmarkStart w:id="64" w:name="_Toc4180"/>
      <w:r>
        <w:rPr>
          <w:rFonts w:hint="eastAsia"/>
          <w:color w:val="000000" w:themeColor="text1"/>
          <w:kern w:val="2"/>
          <w:sz w:val="21"/>
          <w14:textFill>
            <w14:solidFill>
              <w14:schemeClr w14:val="tx1"/>
            </w14:solidFill>
          </w14:textFill>
        </w:rPr>
        <w:fldChar w:fldCharType="begin"/>
      </w:r>
      <w:r>
        <w:rPr>
          <w:rFonts w:hint="eastAsia"/>
          <w:color w:val="000000" w:themeColor="text1"/>
          <w:kern w:val="2"/>
          <w:sz w:val="21"/>
          <w14:textFill>
            <w14:solidFill>
              <w14:schemeClr w14:val="tx1"/>
            </w14:solidFill>
          </w14:textFill>
        </w:rPr>
        <w:instrText xml:space="preserve"> HYPERLINK "mailto:zyzbzxyx@VIP.163.com" </w:instrText>
      </w:r>
      <w:r>
        <w:rPr>
          <w:rFonts w:hint="eastAsia"/>
          <w:color w:val="000000" w:themeColor="text1"/>
          <w:kern w:val="2"/>
          <w:sz w:val="21"/>
          <w14:textFill>
            <w14:solidFill>
              <w14:schemeClr w14:val="tx1"/>
            </w14:solidFill>
          </w14:textFill>
        </w:rPr>
        <w:fldChar w:fldCharType="separate"/>
      </w:r>
      <w:r>
        <w:rPr>
          <w:rFonts w:hint="eastAsia"/>
          <w:color w:val="000000" w:themeColor="text1"/>
          <w:kern w:val="2"/>
          <w:sz w:val="21"/>
          <w14:textFill>
            <w14:solidFill>
              <w14:schemeClr w14:val="tx1"/>
            </w14:solidFill>
          </w14:textFill>
        </w:rPr>
        <w:t>zyzbzxyx@163.com</w:t>
      </w:r>
      <w:r>
        <w:rPr>
          <w:rFonts w:hint="eastAsia"/>
          <w:color w:val="000000" w:themeColor="text1"/>
          <w:kern w:val="2"/>
          <w:sz w:val="21"/>
          <w14:textFill>
            <w14:solidFill>
              <w14:schemeClr w14:val="tx1"/>
            </w14:solidFill>
          </w14:textFill>
        </w:rPr>
        <w:fldChar w:fldCharType="end"/>
      </w:r>
    </w:p>
    <w:p w14:paraId="548BC5D2">
      <w:pPr>
        <w:keepNext w:val="0"/>
        <w:keepLines w:val="0"/>
        <w:pageBreakBefore w:val="0"/>
        <w:widowControl w:val="0"/>
        <w:tabs>
          <w:tab w:val="left" w:pos="1134"/>
        </w:tabs>
        <w:kinsoku/>
        <w:overflowPunct/>
        <w:topLinePunct w:val="0"/>
        <w:bidi w:val="0"/>
        <w:adjustRightInd w:val="0"/>
        <w:snapToGrid w:val="0"/>
        <w:spacing w:before="116" w:beforeLines="30" w:line="440" w:lineRule="exact"/>
        <w:textAlignment w:val="auto"/>
        <w:rPr>
          <w:rFonts w:ascii="黑体" w:eastAsia="黑体"/>
          <w:b/>
          <w:color w:val="000000" w:themeColor="text1"/>
          <w:sz w:val="24"/>
          <w14:textFill>
            <w14:solidFill>
              <w14:schemeClr w14:val="tx1"/>
            </w14:solidFill>
          </w14:textFill>
        </w:rPr>
      </w:pPr>
      <w:r>
        <w:rPr>
          <w:rFonts w:hint="eastAsia" w:ascii="黑体" w:eastAsia="黑体"/>
          <w:b/>
          <w:color w:val="000000" w:themeColor="text1"/>
          <w:sz w:val="24"/>
          <w14:textFill>
            <w14:solidFill>
              <w14:schemeClr w14:val="tx1"/>
            </w14:solidFill>
          </w14:textFill>
        </w:rPr>
        <w:t>8.合规声明</w:t>
      </w:r>
      <w:bookmarkEnd w:id="61"/>
      <w:bookmarkEnd w:id="62"/>
      <w:bookmarkEnd w:id="63"/>
      <w:bookmarkEnd w:id="64"/>
    </w:p>
    <w:p w14:paraId="320FEBDD">
      <w:pPr>
        <w:pStyle w:val="71"/>
        <w:keepNext w:val="0"/>
        <w:keepLines w:val="0"/>
        <w:pageBreakBefore w:val="0"/>
        <w:widowControl w:val="0"/>
        <w:tabs>
          <w:tab w:val="left" w:pos="0"/>
        </w:tabs>
        <w:kinsoku/>
        <w:overflowPunct/>
        <w:topLinePunct w:val="0"/>
        <w:bidi w:val="0"/>
        <w:adjustRightInd w:val="0"/>
        <w:snapToGrid w:val="0"/>
        <w:spacing w:before="116" w:beforeLines="30" w:line="440" w:lineRule="exact"/>
        <w:ind w:firstLine="420" w:firstLineChars="200"/>
        <w:jc w:val="both"/>
        <w:textAlignment w:val="auto"/>
        <w:rPr>
          <w:rFonts w:hint="eastAsia" w:eastAsia="宋体"/>
          <w:color w:val="000000" w:themeColor="text1"/>
          <w:kern w:val="2"/>
          <w:sz w:val="21"/>
          <w:lang w:eastAsia="zh-CN"/>
          <w14:textFill>
            <w14:solidFill>
              <w14:schemeClr w14:val="tx1"/>
            </w14:solidFill>
          </w14:textFill>
        </w:rPr>
      </w:pPr>
      <w:r>
        <w:rPr>
          <w:rFonts w:hint="eastAsia"/>
          <w:color w:val="000000" w:themeColor="text1"/>
          <w:kern w:val="2"/>
          <w:sz w:val="21"/>
          <w14:textFill>
            <w14:solidFill>
              <w14:schemeClr w14:val="tx1"/>
            </w14:solidFill>
          </w14:textFill>
        </w:rPr>
        <w:t>本招标文件（包括商务部分和技术部分）符合国家现行法律法规规定，若国家颁布新的法律法规或对现有法律法规进行修订，以新施行的法律法规规定为准</w:t>
      </w:r>
      <w:r>
        <w:rPr>
          <w:rFonts w:hint="eastAsia"/>
          <w:color w:val="000000" w:themeColor="text1"/>
          <w:kern w:val="2"/>
          <w:sz w:val="21"/>
          <w:lang w:eastAsia="zh-CN"/>
          <w14:textFill>
            <w14:solidFill>
              <w14:schemeClr w14:val="tx1"/>
            </w14:solidFill>
          </w14:textFill>
        </w:rPr>
        <w:t>，</w:t>
      </w:r>
      <w:r>
        <w:rPr>
          <w:rFonts w:hint="eastAsia"/>
          <w:color w:val="000000" w:themeColor="text1"/>
          <w:kern w:val="2"/>
          <w:sz w:val="21"/>
          <w:highlight w:val="none"/>
          <w:lang w:eastAsia="zh-CN"/>
          <w14:textFill>
            <w14:solidFill>
              <w14:schemeClr w14:val="tx1"/>
            </w14:solidFill>
          </w14:textFill>
        </w:rPr>
        <w:t>本项目行政监督部门为</w:t>
      </w:r>
      <w:r>
        <w:rPr>
          <w:rFonts w:hint="eastAsia" w:ascii="宋体" w:hAnsi="宋体" w:eastAsia="宋体" w:cs="宋体"/>
          <w:b/>
          <w:bCs/>
          <w:color w:val="auto"/>
          <w:sz w:val="21"/>
          <w:szCs w:val="21"/>
          <w:highlight w:val="none"/>
        </w:rPr>
        <w:t>国网山西省电力公司</w:t>
      </w:r>
      <w:r>
        <w:rPr>
          <w:rFonts w:hint="eastAsia" w:ascii="宋体" w:hAnsi="宋体" w:cs="宋体"/>
          <w:b/>
          <w:bCs/>
          <w:color w:val="auto"/>
          <w:sz w:val="21"/>
          <w:szCs w:val="21"/>
          <w:highlight w:val="none"/>
          <w:lang w:val="en-US" w:eastAsia="zh-CN"/>
        </w:rPr>
        <w:t>物资部</w:t>
      </w:r>
      <w:r>
        <w:rPr>
          <w:rFonts w:hint="eastAsia"/>
          <w:color w:val="000000" w:themeColor="text1"/>
          <w:kern w:val="2"/>
          <w:sz w:val="21"/>
          <w:highlight w:val="none"/>
          <w:lang w:eastAsia="zh-CN"/>
          <w14:textFill>
            <w14:solidFill>
              <w14:schemeClr w14:val="tx1"/>
            </w14:solidFill>
          </w14:textFill>
        </w:rPr>
        <w:t>。</w:t>
      </w:r>
    </w:p>
    <w:p w14:paraId="373216AE">
      <w:pPr>
        <w:keepNext w:val="0"/>
        <w:keepLines w:val="0"/>
        <w:pageBreakBefore w:val="0"/>
        <w:widowControl w:val="0"/>
        <w:kinsoku/>
        <w:overflowPunct/>
        <w:topLinePunct w:val="0"/>
        <w:bidi w:val="0"/>
        <w:adjustRightInd w:val="0"/>
        <w:snapToGrid w:val="0"/>
        <w:spacing w:before="116" w:beforeLines="30" w:line="440" w:lineRule="exact"/>
        <w:textAlignment w:val="auto"/>
        <w:outlineLvl w:val="1"/>
        <w:rPr>
          <w:rFonts w:ascii="黑体" w:eastAsia="黑体"/>
          <w:b/>
          <w:color w:val="000000" w:themeColor="text1"/>
          <w:sz w:val="24"/>
          <w14:textFill>
            <w14:solidFill>
              <w14:schemeClr w14:val="tx1"/>
            </w14:solidFill>
          </w14:textFill>
        </w:rPr>
      </w:pPr>
      <w:r>
        <w:rPr>
          <w:rFonts w:hint="eastAsia" w:ascii="黑体" w:eastAsia="黑体"/>
          <w:b/>
          <w:color w:val="000000" w:themeColor="text1"/>
          <w:sz w:val="24"/>
          <w14:textFill>
            <w14:solidFill>
              <w14:schemeClr w14:val="tx1"/>
            </w14:solidFill>
          </w14:textFill>
        </w:rPr>
        <w:t>9.权利声明</w:t>
      </w:r>
    </w:p>
    <w:p w14:paraId="194D3D9D">
      <w:pPr>
        <w:pStyle w:val="71"/>
        <w:keepNext w:val="0"/>
        <w:keepLines w:val="0"/>
        <w:pageBreakBefore w:val="0"/>
        <w:widowControl w:val="0"/>
        <w:tabs>
          <w:tab w:val="left" w:pos="0"/>
        </w:tabs>
        <w:kinsoku/>
        <w:overflowPunct/>
        <w:topLinePunct w:val="0"/>
        <w:bidi w:val="0"/>
        <w:adjustRightInd w:val="0"/>
        <w:snapToGrid w:val="0"/>
        <w:spacing w:before="116" w:beforeLines="30" w:line="440" w:lineRule="exact"/>
        <w:ind w:firstLine="420" w:firstLineChars="200"/>
        <w:jc w:val="both"/>
        <w:textAlignment w:val="auto"/>
        <w:rPr>
          <w:color w:val="000000" w:themeColor="text1"/>
          <w:kern w:val="2"/>
          <w:sz w:val="21"/>
          <w14:textFill>
            <w14:solidFill>
              <w14:schemeClr w14:val="tx1"/>
            </w14:solidFill>
          </w14:textFill>
        </w:rPr>
      </w:pPr>
      <w:r>
        <w:rPr>
          <w:rFonts w:hint="eastAsia"/>
          <w:color w:val="000000" w:themeColor="text1"/>
          <w:kern w:val="2"/>
          <w:sz w:val="21"/>
          <w14:textFill>
            <w14:solidFill>
              <w14:schemeClr w14:val="tx1"/>
            </w14:solidFill>
          </w14:textFill>
        </w:rPr>
        <w:t>禁止对本招标文件或公示信息（依法必须招标项目的招标公告部分除外）进行任何形式的转载（包括但不限于部分或全文转载、修改后转载）或任何未经书面授权的使用。转载依法必须招标项目的招标公告或公示信息的，不得改变招标公告和公示信息的内容，须注明信息来源，不得用于非法用途。任何单位或个人不得违法转载（包括但不限于改变内容转载、转载不注明来源、遗漏或不及时转载修改或补充内容等）招标公告或公示信息、不得对招标公告或公示信息等内容进行不全面、不准确、不客观地分析或使用，任何单位或个人违法或违反本条规定转载、使用本招标文件或公示信息的，招标人将依法追究法律责任。</w:t>
      </w:r>
    </w:p>
    <w:p w14:paraId="478CEF9D">
      <w:pPr>
        <w:keepNext w:val="0"/>
        <w:keepLines w:val="0"/>
        <w:pageBreakBefore w:val="0"/>
        <w:widowControl w:val="0"/>
        <w:kinsoku/>
        <w:wordWrap w:val="0"/>
        <w:overflowPunct/>
        <w:topLinePunct w:val="0"/>
        <w:bidi w:val="0"/>
        <w:adjustRightInd w:val="0"/>
        <w:snapToGrid w:val="0"/>
        <w:spacing w:before="116" w:beforeLines="30" w:line="440" w:lineRule="exact"/>
        <w:ind w:firstLine="482" w:firstLineChars="200"/>
        <w:jc w:val="right"/>
        <w:textAlignment w:val="auto"/>
        <w:rPr>
          <w:rFonts w:hint="eastAsia" w:cs="Arial"/>
          <w:color w:val="000000" w:themeColor="text1"/>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2025年0</w:t>
      </w:r>
      <w:r>
        <w:rPr>
          <w:rFonts w:hint="eastAsia" w:ascii="宋体" w:hAnsi="宋体" w:cs="宋体"/>
          <w:b/>
          <w:bCs/>
          <w:color w:val="000000" w:themeColor="text1"/>
          <w:sz w:val="24"/>
          <w:szCs w:val="24"/>
          <w:highlight w:val="none"/>
          <w:lang w:val="en-US" w:eastAsia="zh-CN"/>
          <w14:textFill>
            <w14:solidFill>
              <w14:schemeClr w14:val="tx1"/>
            </w14:solidFill>
          </w14:textFill>
        </w:rPr>
        <w:t>7</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月</w:t>
      </w:r>
      <w:r>
        <w:rPr>
          <w:rFonts w:hint="eastAsia" w:cs="Arial"/>
          <w:color w:val="000000" w:themeColor="text1"/>
          <w:highlight w:val="none"/>
          <w14:textFill>
            <w14:solidFill>
              <w14:schemeClr w14:val="tx1"/>
            </w14:solidFill>
          </w14:textFill>
        </w:rPr>
        <w:t xml:space="preserve"> </w:t>
      </w:r>
    </w:p>
    <w:p w14:paraId="1566536F">
      <w:pPr>
        <w:pStyle w:val="71"/>
        <w:spacing w:line="400" w:lineRule="exact"/>
        <w:ind w:left="0" w:leftChars="0" w:firstLine="0" w:firstLineChars="0"/>
        <w:rPr>
          <w:rFonts w:hint="default" w:ascii="黑体" w:hAnsi="黑体" w:eastAsia="黑体" w:cs="黑体"/>
          <w:b/>
          <w:bCs/>
          <w:color w:val="000000" w:themeColor="text1"/>
          <w:kern w:val="2"/>
          <w:sz w:val="24"/>
          <w:szCs w:val="24"/>
          <w:lang w:val="en-US" w:eastAsia="zh-CN"/>
          <w14:textFill>
            <w14:solidFill>
              <w14:schemeClr w14:val="tx1"/>
            </w14:solidFill>
          </w14:textFill>
        </w:rPr>
      </w:pPr>
      <w:r>
        <w:rPr>
          <w:rFonts w:hint="eastAsia" w:ascii="黑体" w:hAnsi="黑体" w:eastAsia="黑体" w:cs="黑体"/>
          <w:b/>
          <w:bCs/>
          <w:color w:val="000000" w:themeColor="text1"/>
          <w:kern w:val="2"/>
          <w:sz w:val="24"/>
          <w:szCs w:val="24"/>
          <w:lang w:val="en-US"/>
          <w14:textFill>
            <w14:solidFill>
              <w14:schemeClr w14:val="tx1"/>
            </w14:solidFill>
          </w14:textFill>
        </w:rPr>
        <w:t>招标公告附件</w:t>
      </w:r>
      <w:r>
        <w:rPr>
          <w:rFonts w:hint="eastAsia" w:ascii="黑体" w:hAnsi="黑体" w:eastAsia="黑体" w:cs="黑体"/>
          <w:b/>
          <w:bCs/>
          <w:color w:val="000000" w:themeColor="text1"/>
          <w:kern w:val="2"/>
          <w:sz w:val="24"/>
          <w:szCs w:val="24"/>
          <w:lang w:val="en-US" w:eastAsia="zh-CN"/>
          <w14:textFill>
            <w14:solidFill>
              <w14:schemeClr w14:val="tx1"/>
            </w14:solidFill>
          </w14:textFill>
        </w:rPr>
        <w:t>一：需求一览表</w:t>
      </w:r>
    </w:p>
    <w:p w14:paraId="5B7A40B4">
      <w:pPr>
        <w:rPr>
          <w:rFonts w:hint="eastAsia" w:eastAsia="宋体"/>
          <w:color w:val="FF0000"/>
          <w:sz w:val="21"/>
          <w:highlight w:val="none"/>
          <w:lang w:eastAsia="zh-CN"/>
        </w:rPr>
      </w:pPr>
      <w:bookmarkStart w:id="65" w:name="_GoBack"/>
      <w:r>
        <w:rPr>
          <w:rFonts w:hint="eastAsia" w:eastAsia="宋体"/>
          <w:color w:val="FF0000"/>
          <w:sz w:val="21"/>
          <w:highlight w:val="none"/>
          <w:lang w:eastAsia="zh-CN"/>
        </w:rPr>
        <w:object>
          <v:shape id="_x0000_i1025" o:spt="75" type="#_x0000_t75" style="height:66pt;width:72.75pt;" o:ole="t" filled="f" o:preferrelative="t" stroked="f" coordsize="21600,21600">
            <v:path/>
            <v:fill on="f" focussize="0,0"/>
            <v:stroke on="f"/>
            <v:imagedata r:id="rId12" o:title=""/>
            <o:lock v:ext="edit" aspectratio="t"/>
            <w10:wrap type="none"/>
            <w10:anchorlock/>
          </v:shape>
          <o:OLEObject Type="Embed" ProgID="Excel.Sheet.12" ShapeID="_x0000_i1025" DrawAspect="Icon" ObjectID="_1468075725" r:id="rId11">
            <o:LockedField>false</o:LockedField>
          </o:OLEObject>
        </w:object>
      </w:r>
      <w:bookmarkEnd w:id="65"/>
    </w:p>
    <w:p w14:paraId="1959B610">
      <w:pPr>
        <w:rPr>
          <w:rFonts w:hint="eastAsia"/>
          <w:color w:val="FF0000"/>
          <w:sz w:val="21"/>
          <w:highlight w:val="yellow"/>
        </w:rPr>
      </w:pPr>
      <w:r>
        <w:rPr>
          <w:rFonts w:hint="eastAsia"/>
          <w:color w:val="FF0000"/>
          <w:sz w:val="21"/>
          <w:highlight w:val="none"/>
          <w:lang w:val="en-US" w:eastAsia="zh-CN"/>
        </w:rPr>
        <w:t xml:space="preserve">                 </w:t>
      </w:r>
    </w:p>
    <w:p w14:paraId="1FB774CF">
      <w:pPr>
        <w:rPr>
          <w:rFonts w:hint="eastAsia"/>
          <w:color w:val="FF0000"/>
          <w:sz w:val="21"/>
          <w:highlight w:val="yellow"/>
        </w:rPr>
      </w:pPr>
    </w:p>
    <w:p w14:paraId="7E83509F">
      <w:pPr>
        <w:pStyle w:val="36"/>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color w:val="FF0000"/>
          <w:sz w:val="21"/>
          <w:highlight w:val="yellow"/>
        </w:rPr>
      </w:pPr>
    </w:p>
    <w:p w14:paraId="0F16E866">
      <w:pPr>
        <w:pStyle w:val="36"/>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color w:val="FF0000"/>
          <w:sz w:val="21"/>
          <w:highlight w:val="yellow"/>
        </w:rPr>
      </w:pPr>
    </w:p>
    <w:p w14:paraId="7FEBF35C">
      <w:pPr>
        <w:pStyle w:val="36"/>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color w:val="FF0000"/>
          <w:sz w:val="21"/>
          <w:highlight w:val="yellow"/>
        </w:rPr>
      </w:pPr>
    </w:p>
    <w:p w14:paraId="5E15054B">
      <w:pPr>
        <w:pStyle w:val="36"/>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color w:val="FF0000"/>
          <w:sz w:val="21"/>
          <w:highlight w:val="yellow"/>
        </w:rPr>
      </w:pPr>
    </w:p>
    <w:p w14:paraId="7B8B01A2">
      <w:pPr>
        <w:pStyle w:val="36"/>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color w:val="FF0000"/>
          <w:sz w:val="21"/>
          <w:highlight w:val="yellow"/>
        </w:rPr>
      </w:pPr>
    </w:p>
    <w:p w14:paraId="5F75CC67">
      <w:pPr>
        <w:pStyle w:val="36"/>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color w:val="FF0000"/>
          <w:sz w:val="21"/>
          <w:highlight w:val="yellow"/>
        </w:rPr>
      </w:pPr>
    </w:p>
    <w:p w14:paraId="18220588">
      <w:pPr>
        <w:pStyle w:val="36"/>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color w:val="FF0000"/>
          <w:sz w:val="21"/>
          <w:highlight w:val="yellow"/>
        </w:rPr>
      </w:pPr>
    </w:p>
    <w:p w14:paraId="57A653D0">
      <w:pPr>
        <w:pStyle w:val="36"/>
        <w:keepNext w:val="0"/>
        <w:keepLines w:val="0"/>
        <w:pageBreakBefore w:val="0"/>
        <w:widowControl w:val="0"/>
        <w:kinsoku/>
        <w:wordWrap/>
        <w:overflowPunct/>
        <w:topLinePunct w:val="0"/>
        <w:autoSpaceDE/>
        <w:autoSpaceDN/>
        <w:bidi w:val="0"/>
        <w:adjustRightInd w:val="0"/>
        <w:snapToGrid w:val="0"/>
        <w:spacing w:line="300" w:lineRule="auto"/>
        <w:textAlignment w:val="auto"/>
        <w:rPr>
          <w:rFonts w:hint="eastAsia"/>
          <w:color w:val="FF0000"/>
          <w:sz w:val="21"/>
          <w:highlight w:val="yellow"/>
        </w:rPr>
      </w:pPr>
    </w:p>
    <w:p w14:paraId="42A6FE4A">
      <w:pPr>
        <w:pStyle w:val="36"/>
        <w:keepNext w:val="0"/>
        <w:keepLines w:val="0"/>
        <w:pageBreakBefore w:val="0"/>
        <w:widowControl w:val="0"/>
        <w:kinsoku/>
        <w:wordWrap/>
        <w:overflowPunct/>
        <w:topLinePunct w:val="0"/>
        <w:autoSpaceDE/>
        <w:autoSpaceDN/>
        <w:bidi w:val="0"/>
        <w:adjustRightInd w:val="0"/>
        <w:snapToGrid w:val="0"/>
        <w:spacing w:line="300" w:lineRule="auto"/>
        <w:textAlignment w:val="auto"/>
        <w:rPr>
          <w:rFonts w:hint="eastAsia"/>
          <w:color w:val="FF0000"/>
          <w:sz w:val="21"/>
          <w:highlight w:val="yellow"/>
        </w:rPr>
      </w:pPr>
    </w:p>
    <w:p w14:paraId="0CA965EB">
      <w:pPr>
        <w:pStyle w:val="36"/>
        <w:keepNext w:val="0"/>
        <w:keepLines w:val="0"/>
        <w:pageBreakBefore w:val="0"/>
        <w:widowControl w:val="0"/>
        <w:kinsoku/>
        <w:wordWrap/>
        <w:overflowPunct/>
        <w:topLinePunct w:val="0"/>
        <w:autoSpaceDE/>
        <w:autoSpaceDN/>
        <w:bidi w:val="0"/>
        <w:adjustRightInd w:val="0"/>
        <w:snapToGrid w:val="0"/>
        <w:spacing w:line="300" w:lineRule="auto"/>
        <w:textAlignment w:val="auto"/>
        <w:rPr>
          <w:rFonts w:hint="eastAsia"/>
          <w:color w:val="FF0000"/>
          <w:sz w:val="21"/>
          <w:highlight w:val="yellow"/>
        </w:rPr>
      </w:pPr>
    </w:p>
    <w:p w14:paraId="2E0E80E8">
      <w:pPr>
        <w:pStyle w:val="36"/>
        <w:rPr>
          <w:rFonts w:hint="eastAsia"/>
          <w:color w:val="FF0000"/>
          <w:sz w:val="21"/>
          <w:highlight w:val="yellow"/>
        </w:rPr>
      </w:pPr>
    </w:p>
    <w:p w14:paraId="65AF1873">
      <w:pPr>
        <w:pStyle w:val="36"/>
        <w:rPr>
          <w:rFonts w:hint="eastAsia"/>
          <w:color w:val="FF0000"/>
          <w:sz w:val="21"/>
          <w:highlight w:val="yellow"/>
        </w:rPr>
      </w:pPr>
    </w:p>
    <w:p w14:paraId="3F69FF4A">
      <w:pPr>
        <w:pStyle w:val="36"/>
        <w:rPr>
          <w:rFonts w:hint="eastAsia"/>
          <w:color w:val="FF0000"/>
          <w:sz w:val="21"/>
          <w:highlight w:val="yellow"/>
        </w:rPr>
      </w:pPr>
    </w:p>
    <w:p w14:paraId="01C089F8">
      <w:pPr>
        <w:pStyle w:val="36"/>
        <w:rPr>
          <w:rFonts w:hint="eastAsia"/>
          <w:color w:val="FF0000"/>
          <w:sz w:val="21"/>
          <w:highlight w:val="yellow"/>
        </w:rPr>
      </w:pPr>
    </w:p>
    <w:p w14:paraId="37F37A69">
      <w:pPr>
        <w:pStyle w:val="36"/>
        <w:rPr>
          <w:rFonts w:hint="eastAsia"/>
          <w:color w:val="FF0000"/>
          <w:sz w:val="21"/>
          <w:highlight w:val="yellow"/>
        </w:rPr>
      </w:pPr>
    </w:p>
    <w:p w14:paraId="73E172E5">
      <w:pPr>
        <w:pStyle w:val="36"/>
        <w:rPr>
          <w:rFonts w:hint="eastAsia"/>
          <w:color w:val="FF0000"/>
          <w:sz w:val="21"/>
          <w:highlight w:val="yellow"/>
        </w:rPr>
      </w:pPr>
    </w:p>
    <w:p w14:paraId="3AEEA227">
      <w:pPr>
        <w:pStyle w:val="36"/>
        <w:rPr>
          <w:rFonts w:hint="eastAsia"/>
          <w:color w:val="FF0000"/>
          <w:sz w:val="21"/>
          <w:highlight w:val="yellow"/>
        </w:rPr>
      </w:pPr>
    </w:p>
    <w:p w14:paraId="2EC4A722">
      <w:pPr>
        <w:pStyle w:val="36"/>
        <w:rPr>
          <w:rFonts w:hint="eastAsia"/>
          <w:color w:val="FF0000"/>
          <w:sz w:val="21"/>
          <w:highlight w:val="yellow"/>
        </w:rPr>
      </w:pPr>
    </w:p>
    <w:p w14:paraId="3A3092A2">
      <w:pPr>
        <w:pStyle w:val="36"/>
        <w:rPr>
          <w:rFonts w:hint="eastAsia"/>
          <w:color w:val="FF0000"/>
          <w:sz w:val="21"/>
          <w:highlight w:val="yellow"/>
        </w:rPr>
      </w:pPr>
    </w:p>
    <w:p w14:paraId="3EAFABD3">
      <w:pPr>
        <w:pStyle w:val="71"/>
        <w:spacing w:line="400" w:lineRule="exact"/>
        <w:ind w:left="0" w:leftChars="0" w:firstLine="0" w:firstLineChars="0"/>
        <w:rPr>
          <w:rFonts w:hint="eastAsia" w:ascii="黑体" w:hAnsi="黑体" w:eastAsia="黑体" w:cs="黑体"/>
          <w:b/>
          <w:bCs/>
          <w:color w:val="000000" w:themeColor="text1"/>
          <w:kern w:val="2"/>
          <w:sz w:val="24"/>
          <w:szCs w:val="24"/>
          <w:lang w:val="en-US"/>
          <w14:textFill>
            <w14:solidFill>
              <w14:schemeClr w14:val="tx1"/>
            </w14:solidFill>
          </w14:textFill>
        </w:rPr>
      </w:pPr>
    </w:p>
    <w:p w14:paraId="46CBB87E">
      <w:pPr>
        <w:rPr>
          <w:rFonts w:hint="eastAsia" w:ascii="黑体" w:hAnsi="黑体" w:eastAsia="黑体" w:cs="黑体"/>
          <w:b/>
          <w:bCs/>
          <w:color w:val="000000" w:themeColor="text1"/>
          <w:kern w:val="2"/>
          <w:sz w:val="24"/>
          <w:szCs w:val="24"/>
          <w:lang w:val="en-US"/>
          <w14:textFill>
            <w14:solidFill>
              <w14:schemeClr w14:val="tx1"/>
            </w14:solidFill>
          </w14:textFill>
        </w:rPr>
      </w:pPr>
      <w:r>
        <w:rPr>
          <w:rFonts w:hint="eastAsia" w:ascii="黑体" w:hAnsi="黑体" w:eastAsia="黑体" w:cs="黑体"/>
          <w:b/>
          <w:bCs/>
          <w:color w:val="000000" w:themeColor="text1"/>
          <w:kern w:val="2"/>
          <w:sz w:val="24"/>
          <w:szCs w:val="24"/>
          <w:lang w:val="en-US"/>
          <w14:textFill>
            <w14:solidFill>
              <w14:schemeClr w14:val="tx1"/>
            </w14:solidFill>
          </w14:textFill>
        </w:rPr>
        <w:br w:type="page"/>
      </w:r>
    </w:p>
    <w:p w14:paraId="1FAF9B61">
      <w:pPr>
        <w:pStyle w:val="71"/>
        <w:keepNext w:val="0"/>
        <w:keepLines w:val="0"/>
        <w:pageBreakBefore w:val="0"/>
        <w:widowControl w:val="0"/>
        <w:kinsoku/>
        <w:wordWrap/>
        <w:overflowPunct/>
        <w:topLinePunct w:val="0"/>
        <w:bidi w:val="0"/>
        <w:adjustRightInd w:val="0"/>
        <w:snapToGrid w:val="0"/>
        <w:spacing w:line="460" w:lineRule="exact"/>
        <w:ind w:left="0" w:leftChars="0" w:firstLine="0" w:firstLineChars="0"/>
        <w:textAlignment w:val="auto"/>
        <w:rPr>
          <w:rFonts w:hint="default" w:ascii="黑体" w:hAnsi="黑体" w:eastAsia="黑体" w:cs="黑体"/>
          <w:b/>
          <w:bCs/>
          <w:color w:val="000000" w:themeColor="text1"/>
          <w:kern w:val="2"/>
          <w:sz w:val="24"/>
          <w:szCs w:val="24"/>
          <w:lang w:val="en-US" w:eastAsia="zh-CN"/>
          <w14:textFill>
            <w14:solidFill>
              <w14:schemeClr w14:val="tx1"/>
            </w14:solidFill>
          </w14:textFill>
        </w:rPr>
      </w:pPr>
      <w:r>
        <w:rPr>
          <w:rFonts w:hint="eastAsia" w:ascii="黑体" w:hAnsi="黑体" w:eastAsia="黑体" w:cs="黑体"/>
          <w:b/>
          <w:bCs/>
          <w:color w:val="000000" w:themeColor="text1"/>
          <w:kern w:val="2"/>
          <w:sz w:val="24"/>
          <w:szCs w:val="24"/>
          <w:lang w:val="en-US"/>
          <w14:textFill>
            <w14:solidFill>
              <w14:schemeClr w14:val="tx1"/>
            </w14:solidFill>
          </w14:textFill>
        </w:rPr>
        <w:t>招标公告附件</w:t>
      </w:r>
      <w:r>
        <w:rPr>
          <w:rFonts w:hint="eastAsia" w:ascii="黑体" w:hAnsi="黑体" w:eastAsia="黑体" w:cs="黑体"/>
          <w:b/>
          <w:bCs/>
          <w:color w:val="000000" w:themeColor="text1"/>
          <w:kern w:val="2"/>
          <w:sz w:val="24"/>
          <w:szCs w:val="24"/>
          <w:lang w:val="en-US" w:eastAsia="zh-CN"/>
          <w14:textFill>
            <w14:solidFill>
              <w14:schemeClr w14:val="tx1"/>
            </w14:solidFill>
          </w14:textFill>
        </w:rPr>
        <w:t>二：投标文件的递交</w:t>
      </w:r>
    </w:p>
    <w:p w14:paraId="4C912850">
      <w:pPr>
        <w:keepNext w:val="0"/>
        <w:keepLines w:val="0"/>
        <w:pageBreakBefore w:val="0"/>
        <w:widowControl w:val="0"/>
        <w:kinsoku/>
        <w:wordWrap/>
        <w:overflowPunct/>
        <w:topLinePunct w:val="0"/>
        <w:autoSpaceDE/>
        <w:autoSpaceDN/>
        <w:bidi w:val="0"/>
        <w:adjustRightInd w:val="0"/>
        <w:snapToGrid w:val="0"/>
        <w:spacing w:line="460" w:lineRule="exac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5.1 开标时间</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b/>
          <w:bCs/>
          <w:color w:val="000000" w:themeColor="text1"/>
          <w:sz w:val="21"/>
          <w:szCs w:val="21"/>
          <w:highlight w:val="yellow"/>
          <w14:textFill>
            <w14:solidFill>
              <w14:schemeClr w14:val="tx1"/>
            </w14:solidFill>
          </w14:textFill>
        </w:rPr>
        <w:t>202</w:t>
      </w:r>
      <w:r>
        <w:rPr>
          <w:rFonts w:hint="eastAsia" w:ascii="宋体" w:hAnsi="宋体" w:eastAsia="宋体" w:cs="宋体"/>
          <w:b/>
          <w:bCs/>
          <w:color w:val="000000" w:themeColor="text1"/>
          <w:sz w:val="21"/>
          <w:szCs w:val="21"/>
          <w:highlight w:val="yellow"/>
          <w:lang w:val="en-US" w:eastAsia="zh-CN"/>
          <w14:textFill>
            <w14:solidFill>
              <w14:schemeClr w14:val="tx1"/>
            </w14:solidFill>
          </w14:textFill>
        </w:rPr>
        <w:t>5</w:t>
      </w:r>
      <w:r>
        <w:rPr>
          <w:rFonts w:hint="eastAsia" w:ascii="宋体" w:hAnsi="宋体" w:eastAsia="宋体" w:cs="宋体"/>
          <w:b/>
          <w:bCs/>
          <w:color w:val="000000" w:themeColor="text1"/>
          <w:sz w:val="21"/>
          <w:szCs w:val="21"/>
          <w:highlight w:val="yellow"/>
          <w14:textFill>
            <w14:solidFill>
              <w14:schemeClr w14:val="tx1"/>
            </w14:solidFill>
          </w14:textFill>
        </w:rPr>
        <w:t>年</w:t>
      </w:r>
      <w:r>
        <w:rPr>
          <w:rFonts w:hint="eastAsia" w:ascii="宋体" w:hAnsi="宋体" w:eastAsia="宋体" w:cs="宋体"/>
          <w:b/>
          <w:bCs/>
          <w:color w:val="000000" w:themeColor="text1"/>
          <w:sz w:val="21"/>
          <w:szCs w:val="21"/>
          <w:highlight w:val="yellow"/>
          <w:lang w:val="en-US" w:eastAsia="zh-CN"/>
          <w14:textFill>
            <w14:solidFill>
              <w14:schemeClr w14:val="tx1"/>
            </w14:solidFill>
          </w14:textFill>
        </w:rPr>
        <w:t>0</w:t>
      </w:r>
      <w:r>
        <w:rPr>
          <w:rFonts w:hint="eastAsia" w:ascii="宋体" w:hAnsi="宋体" w:cs="宋体"/>
          <w:b/>
          <w:bCs/>
          <w:color w:val="000000" w:themeColor="text1"/>
          <w:sz w:val="21"/>
          <w:szCs w:val="21"/>
          <w:highlight w:val="yellow"/>
          <w:lang w:val="en-US" w:eastAsia="zh-CN"/>
          <w14:textFill>
            <w14:solidFill>
              <w14:schemeClr w14:val="tx1"/>
            </w14:solidFill>
          </w14:textFill>
        </w:rPr>
        <w:t>8</w:t>
      </w:r>
      <w:r>
        <w:rPr>
          <w:rFonts w:hint="eastAsia" w:ascii="宋体" w:hAnsi="宋体" w:eastAsia="宋体" w:cs="宋体"/>
          <w:b/>
          <w:bCs/>
          <w:color w:val="000000" w:themeColor="text1"/>
          <w:sz w:val="21"/>
          <w:szCs w:val="21"/>
          <w:highlight w:val="yellow"/>
          <w14:textFill>
            <w14:solidFill>
              <w14:schemeClr w14:val="tx1"/>
            </w14:solidFill>
          </w14:textFill>
        </w:rPr>
        <w:t>月</w:t>
      </w:r>
      <w:r>
        <w:rPr>
          <w:rFonts w:hint="eastAsia" w:ascii="宋体" w:hAnsi="宋体" w:cs="宋体"/>
          <w:b/>
          <w:bCs/>
          <w:color w:val="000000" w:themeColor="text1"/>
          <w:sz w:val="21"/>
          <w:szCs w:val="21"/>
          <w:highlight w:val="yellow"/>
          <w:lang w:val="en-US" w:eastAsia="zh-CN"/>
          <w14:textFill>
            <w14:solidFill>
              <w14:schemeClr w14:val="tx1"/>
            </w14:solidFill>
          </w14:textFill>
        </w:rPr>
        <w:t>11</w:t>
      </w:r>
      <w:r>
        <w:rPr>
          <w:rFonts w:hint="eastAsia" w:ascii="宋体" w:hAnsi="宋体" w:eastAsia="宋体" w:cs="宋体"/>
          <w:b/>
          <w:bCs/>
          <w:color w:val="000000" w:themeColor="text1"/>
          <w:sz w:val="21"/>
          <w:szCs w:val="21"/>
          <w:highlight w:val="yellow"/>
          <w14:textFill>
            <w14:solidFill>
              <w14:schemeClr w14:val="tx1"/>
            </w14:solidFill>
          </w14:textFill>
        </w:rPr>
        <w:t>日</w:t>
      </w:r>
      <w:r>
        <w:rPr>
          <w:rFonts w:hint="eastAsia" w:ascii="宋体" w:hAnsi="宋体" w:cs="宋体"/>
          <w:b/>
          <w:bCs/>
          <w:color w:val="000000" w:themeColor="text1"/>
          <w:sz w:val="21"/>
          <w:szCs w:val="21"/>
          <w:highlight w:val="yellow"/>
          <w:lang w:val="en-US" w:eastAsia="zh-CN"/>
          <w14:textFill>
            <w14:solidFill>
              <w14:schemeClr w14:val="tx1"/>
            </w14:solidFill>
          </w14:textFill>
        </w:rPr>
        <w:t>16</w:t>
      </w:r>
      <w:r>
        <w:rPr>
          <w:rFonts w:hint="eastAsia" w:ascii="宋体" w:hAnsi="宋体" w:eastAsia="宋体" w:cs="宋体"/>
          <w:b/>
          <w:bCs/>
          <w:color w:val="000000" w:themeColor="text1"/>
          <w:sz w:val="21"/>
          <w:szCs w:val="21"/>
          <w:highlight w:val="yellow"/>
          <w14:textFill>
            <w14:solidFill>
              <w14:schemeClr w14:val="tx1"/>
            </w14:solidFill>
          </w14:textFill>
        </w:rPr>
        <w:t>：00时</w:t>
      </w:r>
      <w:r>
        <w:rPr>
          <w:rFonts w:hint="eastAsia" w:ascii="宋体" w:hAnsi="宋体" w:eastAsia="宋体" w:cs="宋体"/>
          <w:color w:val="000000" w:themeColor="text1"/>
          <w:sz w:val="21"/>
          <w:szCs w:val="21"/>
          <w:highlight w:val="none"/>
          <w14:textFill>
            <w14:solidFill>
              <w14:schemeClr w14:val="tx1"/>
            </w14:solidFill>
          </w14:textFill>
        </w:rPr>
        <w:t>（北京时间）。同投标截止时间。</w:t>
      </w:r>
    </w:p>
    <w:p w14:paraId="03888B3F">
      <w:pPr>
        <w:keepNext w:val="0"/>
        <w:keepLines w:val="0"/>
        <w:pageBreakBefore w:val="0"/>
        <w:widowControl w:val="0"/>
        <w:kinsoku/>
        <w:wordWrap/>
        <w:overflowPunct/>
        <w:topLinePunct w:val="0"/>
        <w:bidi w:val="0"/>
        <w:adjustRightInd w:val="0"/>
        <w:snapToGrid w:val="0"/>
        <w:spacing w:line="460" w:lineRule="exact"/>
        <w:ind w:firstLine="843" w:firstLineChars="4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开标地点</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kern w:val="0"/>
          <w:sz w:val="21"/>
          <w:szCs w:val="21"/>
          <w:highlight w:val="none"/>
        </w:rPr>
        <w:t>国家电网有限公司电子商务平台-电工交易专区</w:t>
      </w:r>
      <w:r>
        <w:rPr>
          <w:rFonts w:hint="eastAsia" w:ascii="宋体" w:hAnsi="宋体" w:eastAsia="宋体" w:cs="宋体"/>
          <w:color w:val="000000" w:themeColor="text1"/>
          <w:sz w:val="21"/>
          <w:szCs w:val="21"/>
          <w:highlight w:val="none"/>
          <w14:textFill>
            <w14:solidFill>
              <w14:schemeClr w14:val="tx1"/>
            </w14:solidFill>
          </w14:textFill>
        </w:rPr>
        <w:t>。</w:t>
      </w:r>
    </w:p>
    <w:p w14:paraId="36594F97">
      <w:pPr>
        <w:keepNext w:val="0"/>
        <w:keepLines w:val="0"/>
        <w:pageBreakBefore w:val="0"/>
        <w:widowControl w:val="0"/>
        <w:kinsoku/>
        <w:wordWrap/>
        <w:overflowPunct/>
        <w:topLinePunct w:val="0"/>
        <w:bidi w:val="0"/>
        <w:adjustRightInd w:val="0"/>
        <w:snapToGrid w:val="0"/>
        <w:spacing w:line="460" w:lineRule="exact"/>
        <w:ind w:firstLine="422"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 xml:space="preserve">5.2 </w:t>
      </w:r>
      <w:r>
        <w:rPr>
          <w:rFonts w:hint="eastAsia" w:ascii="宋体" w:hAnsi="宋体" w:eastAsia="宋体" w:cs="宋体"/>
          <w:color w:val="000000" w:themeColor="text1"/>
          <w:sz w:val="21"/>
          <w:szCs w:val="21"/>
          <w:highlight w:val="none"/>
          <w14:textFill>
            <w14:solidFill>
              <w14:schemeClr w14:val="tx1"/>
            </w14:solidFill>
          </w14:textFill>
        </w:rPr>
        <w:t>本次招标须在</w:t>
      </w:r>
      <w:r>
        <w:rPr>
          <w:rFonts w:hint="eastAsia" w:ascii="宋体" w:hAnsi="宋体" w:eastAsia="宋体" w:cs="宋体"/>
          <w:kern w:val="0"/>
          <w:sz w:val="21"/>
          <w:szCs w:val="21"/>
          <w:highlight w:val="none"/>
        </w:rPr>
        <w:t>“国家电网有限公司电子商务平台-电工交易专区”</w:t>
      </w:r>
      <w:r>
        <w:rPr>
          <w:rFonts w:hint="eastAsia" w:ascii="宋体" w:hAnsi="宋体" w:eastAsia="宋体" w:cs="宋体"/>
          <w:color w:val="000000" w:themeColor="text1"/>
          <w:sz w:val="21"/>
          <w:szCs w:val="21"/>
          <w:highlight w:val="none"/>
          <w14:textFill>
            <w14:solidFill>
              <w14:schemeClr w14:val="tx1"/>
            </w14:solidFill>
          </w14:textFill>
        </w:rPr>
        <w:t>及“智慧招投标云平台”同时上传投标文件。</w:t>
      </w:r>
    </w:p>
    <w:p w14:paraId="22DCAD1F">
      <w:pPr>
        <w:keepNext w:val="0"/>
        <w:keepLines w:val="0"/>
        <w:pageBreakBefore w:val="0"/>
        <w:widowControl w:val="0"/>
        <w:kinsoku/>
        <w:wordWrap/>
        <w:overflowPunct/>
        <w:topLinePunct w:val="0"/>
        <w:bidi w:val="0"/>
        <w:adjustRightInd w:val="0"/>
        <w:snapToGrid w:val="0"/>
        <w:spacing w:line="460" w:lineRule="exact"/>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投标文件为电子版，电子版为双层PDF格式文件。</w:t>
      </w:r>
    </w:p>
    <w:p w14:paraId="73996812">
      <w:pPr>
        <w:keepNext w:val="0"/>
        <w:keepLines w:val="0"/>
        <w:pageBreakBefore w:val="0"/>
        <w:widowControl w:val="0"/>
        <w:kinsoku/>
        <w:wordWrap/>
        <w:overflowPunct/>
        <w:topLinePunct w:val="0"/>
        <w:bidi w:val="0"/>
        <w:adjustRightInd w:val="0"/>
        <w:snapToGrid w:val="0"/>
        <w:spacing w:line="46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color w:val="000000" w:themeColor="text1"/>
          <w:sz w:val="21"/>
          <w:szCs w:val="21"/>
          <w:highlight w:val="none"/>
          <w14:textFill>
            <w14:solidFill>
              <w14:schemeClr w14:val="tx1"/>
            </w14:solidFill>
          </w14:textFill>
        </w:rPr>
        <w:t>投标人应在国家电网有限公司电子商务平台-电工交易专区上关注项目进展状态，并在开标结束后对开标情况进行确认，逾期未在国家电网有限公司电子商务平台-电工交易专区完成开标确认的视为投标人对开标情况已确认。</w:t>
      </w:r>
    </w:p>
    <w:p w14:paraId="73EEBBCA">
      <w:pPr>
        <w:keepNext w:val="0"/>
        <w:keepLines w:val="0"/>
        <w:pageBreakBefore w:val="0"/>
        <w:widowControl w:val="0"/>
        <w:kinsoku/>
        <w:wordWrap/>
        <w:overflowPunct/>
        <w:topLinePunct w:val="0"/>
        <w:bidi w:val="0"/>
        <w:adjustRightInd w:val="0"/>
        <w:snapToGrid w:val="0"/>
        <w:spacing w:line="460" w:lineRule="exact"/>
        <w:ind w:firstLine="422" w:firstLineChars="20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5.3递交说明：</w:t>
      </w:r>
    </w:p>
    <w:p w14:paraId="0BCF157A">
      <w:pPr>
        <w:keepNext w:val="0"/>
        <w:keepLines w:val="0"/>
        <w:pageBreakBefore w:val="0"/>
        <w:widowControl w:val="0"/>
        <w:kinsoku/>
        <w:wordWrap/>
        <w:overflowPunct/>
        <w:topLinePunct w:val="0"/>
        <w:bidi w:val="0"/>
        <w:adjustRightInd w:val="0"/>
        <w:snapToGrid w:val="0"/>
        <w:spacing w:line="46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5.3.1</w:t>
      </w:r>
      <w:r>
        <w:rPr>
          <w:rFonts w:hint="eastAsia" w:ascii="宋体" w:hAnsi="宋体" w:eastAsia="宋体" w:cs="宋体"/>
          <w:bCs/>
          <w:sz w:val="21"/>
          <w:szCs w:val="21"/>
          <w:highlight w:val="none"/>
        </w:rPr>
        <w:t>本次招标项目仅接收“</w:t>
      </w:r>
      <w:r>
        <w:rPr>
          <w:rFonts w:hint="eastAsia" w:ascii="宋体" w:hAnsi="宋体" w:eastAsia="宋体" w:cs="宋体"/>
          <w:color w:val="000000" w:themeColor="text1"/>
          <w:sz w:val="21"/>
          <w:szCs w:val="21"/>
          <w:highlight w:val="none"/>
          <w14:textFill>
            <w14:solidFill>
              <w14:schemeClr w14:val="tx1"/>
            </w14:solidFill>
          </w14:textFill>
        </w:rPr>
        <w:t>ETP</w:t>
      </w:r>
      <w:r>
        <w:rPr>
          <w:rFonts w:hint="eastAsia" w:ascii="宋体" w:hAnsi="宋体" w:eastAsia="宋体" w:cs="宋体"/>
          <w:bCs/>
          <w:sz w:val="21"/>
          <w:szCs w:val="21"/>
          <w:highlight w:val="none"/>
        </w:rPr>
        <w:t>电子投标文件”和“</w:t>
      </w:r>
      <w:r>
        <w:rPr>
          <w:rFonts w:hint="eastAsia" w:ascii="宋体" w:hAnsi="宋体" w:eastAsia="宋体" w:cs="宋体"/>
          <w:color w:val="000000" w:themeColor="text1"/>
          <w:sz w:val="21"/>
          <w:szCs w:val="21"/>
          <w:highlight w:val="none"/>
          <w14:textFill>
            <w14:solidFill>
              <w14:schemeClr w14:val="tx1"/>
            </w14:solidFill>
          </w14:textFill>
        </w:rPr>
        <w:t>智慧招投标云平台电子</w:t>
      </w:r>
      <w:r>
        <w:rPr>
          <w:rFonts w:hint="eastAsia" w:ascii="宋体" w:hAnsi="宋体" w:eastAsia="宋体" w:cs="宋体"/>
          <w:bCs/>
          <w:sz w:val="21"/>
          <w:szCs w:val="21"/>
          <w:highlight w:val="none"/>
        </w:rPr>
        <w:t>投标文件”。</w:t>
      </w:r>
    </w:p>
    <w:p w14:paraId="0B4C9B42">
      <w:pPr>
        <w:keepNext w:val="0"/>
        <w:keepLines w:val="0"/>
        <w:pageBreakBefore w:val="0"/>
        <w:widowControl w:val="0"/>
        <w:tabs>
          <w:tab w:val="left" w:pos="620"/>
        </w:tabs>
        <w:kinsoku/>
        <w:wordWrap/>
        <w:overflowPunct/>
        <w:topLinePunct w:val="0"/>
        <w:bidi w:val="0"/>
        <w:adjustRightInd w:val="0"/>
        <w:snapToGrid w:val="0"/>
        <w:spacing w:line="460" w:lineRule="exact"/>
        <w:ind w:firstLine="420" w:firstLineChars="200"/>
        <w:contextualSpacing/>
        <w:textAlignment w:val="auto"/>
        <w:rPr>
          <w:rFonts w:hint="eastAsia" w:ascii="宋体" w:hAnsi="宋体" w:eastAsia="宋体" w:cs="宋体"/>
          <w:bCs/>
          <w:sz w:val="21"/>
          <w:szCs w:val="21"/>
          <w:highlight w:val="none"/>
        </w:rPr>
      </w:pPr>
      <w:r>
        <w:rPr>
          <w:rFonts w:hint="eastAsia" w:ascii="宋体" w:hAnsi="宋体" w:eastAsia="宋体" w:cs="宋体"/>
          <w:sz w:val="21"/>
          <w:szCs w:val="21"/>
          <w:highlight w:val="none"/>
        </w:rPr>
        <w:t>（1</w:t>
      </w:r>
      <w:r>
        <w:rPr>
          <w:rFonts w:hint="eastAsia" w:ascii="宋体" w:hAnsi="宋体" w:eastAsia="宋体" w:cs="宋体"/>
          <w:b/>
          <w:bCs/>
          <w:sz w:val="21"/>
          <w:szCs w:val="21"/>
          <w:highlight w:val="none"/>
        </w:rPr>
        <w:t>）ETP电子投标文件：</w:t>
      </w:r>
      <w:r>
        <w:rPr>
          <w:rFonts w:hint="eastAsia" w:ascii="宋体" w:hAnsi="宋体" w:eastAsia="宋体" w:cs="宋体"/>
          <w:bCs/>
          <w:sz w:val="21"/>
          <w:szCs w:val="21"/>
          <w:highlight w:val="none"/>
        </w:rPr>
        <w:t>指提交至招标人招投标信息系统</w:t>
      </w:r>
      <w:r>
        <w:rPr>
          <w:rFonts w:hint="eastAsia" w:ascii="宋体" w:hAnsi="宋体" w:eastAsia="宋体" w:cs="宋体"/>
          <w:kern w:val="0"/>
          <w:sz w:val="21"/>
          <w:szCs w:val="21"/>
          <w:highlight w:val="none"/>
        </w:rPr>
        <w:t>“国家电网有限公司电子商务平台-电工交易专区”</w:t>
      </w:r>
      <w:r>
        <w:rPr>
          <w:rFonts w:hint="eastAsia" w:ascii="宋体" w:hAnsi="宋体" w:eastAsia="宋体" w:cs="宋体"/>
          <w:bCs/>
          <w:sz w:val="21"/>
          <w:szCs w:val="21"/>
          <w:highlight w:val="none"/>
        </w:rPr>
        <w:t>(</w:t>
      </w:r>
      <w:r>
        <w:rPr>
          <w:rFonts w:hint="eastAsia" w:ascii="宋体" w:hAnsi="宋体" w:eastAsia="宋体" w:cs="宋体"/>
          <w:color w:val="000000" w:themeColor="text1"/>
          <w:sz w:val="21"/>
          <w:szCs w:val="21"/>
          <w:highlight w:val="none"/>
          <w14:textFill>
            <w14:solidFill>
              <w14:schemeClr w14:val="tx1"/>
            </w14:solidFill>
          </w14:textFill>
        </w:rPr>
        <w:t>https://sgccetp.com.cn/portal/#/</w:t>
      </w:r>
      <w:r>
        <w:rPr>
          <w:rFonts w:hint="eastAsia" w:ascii="宋体" w:hAnsi="宋体" w:eastAsia="宋体" w:cs="宋体"/>
          <w:bCs/>
          <w:sz w:val="21"/>
          <w:szCs w:val="21"/>
          <w:highlight w:val="none"/>
        </w:rPr>
        <w:t>）”的电子投标文件，同时也作为投标文件的组成部分。</w:t>
      </w:r>
    </w:p>
    <w:p w14:paraId="25BA745B">
      <w:pPr>
        <w:keepNext w:val="0"/>
        <w:keepLines w:val="0"/>
        <w:pageBreakBefore w:val="0"/>
        <w:widowControl w:val="0"/>
        <w:kinsoku/>
        <w:wordWrap/>
        <w:overflowPunct/>
        <w:topLinePunct w:val="0"/>
        <w:bidi w:val="0"/>
        <w:adjustRightInd w:val="0"/>
        <w:snapToGrid w:val="0"/>
        <w:spacing w:line="460" w:lineRule="exact"/>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sz w:val="21"/>
          <w:szCs w:val="21"/>
          <w:highlight w:val="none"/>
        </w:rPr>
        <w:t>（2）智慧招投标云平台电子投标文件</w:t>
      </w:r>
      <w:r>
        <w:rPr>
          <w:rFonts w:hint="eastAsia" w:ascii="宋体" w:hAnsi="宋体" w:eastAsia="宋体" w:cs="宋体"/>
          <w:b/>
          <w:bCs/>
          <w:sz w:val="21"/>
          <w:szCs w:val="21"/>
          <w:highlight w:val="none"/>
        </w:rPr>
        <w:t>：</w:t>
      </w:r>
      <w:r>
        <w:rPr>
          <w:rFonts w:hint="eastAsia" w:ascii="宋体" w:hAnsi="宋体" w:eastAsia="宋体" w:cs="宋体"/>
          <w:sz w:val="21"/>
          <w:szCs w:val="21"/>
          <w:highlight w:val="none"/>
        </w:rPr>
        <w:t>指上传至“智慧招投标云平台（</w:t>
      </w:r>
      <w:r>
        <w:rPr>
          <w:rFonts w:hint="eastAsia" w:ascii="宋体" w:hAnsi="宋体" w:eastAsia="宋体" w:cs="宋体"/>
          <w:color w:val="000000" w:themeColor="text1"/>
          <w:sz w:val="21"/>
          <w:szCs w:val="21"/>
          <w:highlight w:val="none"/>
          <w14:textFill>
            <w14:solidFill>
              <w14:schemeClr w14:val="tx1"/>
            </w14:solidFill>
          </w14:textFill>
        </w:rPr>
        <w:t>http://59.49.34.147:20080/#/index/notice</w:t>
      </w:r>
      <w:r>
        <w:rPr>
          <w:rFonts w:hint="eastAsia" w:ascii="宋体" w:hAnsi="宋体" w:eastAsia="宋体" w:cs="宋体"/>
          <w:sz w:val="21"/>
          <w:szCs w:val="21"/>
          <w:highlight w:val="none"/>
        </w:rPr>
        <w:t>）”的投标文件，应包含以下内容：1.技术投标文件（自行制作）；2.商务投标文件（自行制作）；</w:t>
      </w:r>
      <w:r>
        <w:rPr>
          <w:rFonts w:hint="eastAsia" w:ascii="宋体" w:hAnsi="宋体" w:eastAsia="宋体" w:cs="宋体"/>
          <w:bCs/>
          <w:sz w:val="21"/>
          <w:szCs w:val="21"/>
          <w:highlight w:val="none"/>
        </w:rPr>
        <w:t>3、开标（报价）文件（自行制作）。</w:t>
      </w:r>
      <w:r>
        <w:rPr>
          <w:rFonts w:hint="eastAsia" w:ascii="宋体" w:hAnsi="宋体" w:eastAsia="宋体" w:cs="宋体"/>
          <w:sz w:val="21"/>
          <w:szCs w:val="21"/>
          <w:highlight w:val="none"/>
        </w:rPr>
        <w:t>投标人可在开标前登录“</w:t>
      </w:r>
      <w:r>
        <w:rPr>
          <w:rFonts w:hint="eastAsia" w:ascii="宋体" w:hAnsi="宋体" w:eastAsia="宋体" w:cs="宋体"/>
          <w:color w:val="000000" w:themeColor="text1"/>
          <w:sz w:val="21"/>
          <w:szCs w:val="21"/>
          <w:highlight w:val="none"/>
          <w14:textFill>
            <w14:solidFill>
              <w14:schemeClr w14:val="tx1"/>
            </w14:solidFill>
          </w14:textFill>
        </w:rPr>
        <w:t>智慧招投标云平台</w:t>
      </w:r>
      <w:r>
        <w:rPr>
          <w:rFonts w:hint="eastAsia" w:ascii="宋体" w:hAnsi="宋体" w:eastAsia="宋体" w:cs="宋体"/>
          <w:sz w:val="21"/>
          <w:szCs w:val="21"/>
          <w:highlight w:val="none"/>
        </w:rPr>
        <w:t>”查看所涉标包投标文件是否上传完整，</w:t>
      </w:r>
      <w:r>
        <w:rPr>
          <w:rFonts w:hint="eastAsia" w:ascii="宋体" w:hAnsi="宋体" w:eastAsia="宋体" w:cs="宋体"/>
          <w:b/>
          <w:bCs/>
          <w:sz w:val="21"/>
          <w:szCs w:val="21"/>
          <w:highlight w:val="none"/>
        </w:rPr>
        <w:t>如因缺失造成的否决投标人自行承担。</w:t>
      </w:r>
    </w:p>
    <w:p w14:paraId="582BA66F">
      <w:pPr>
        <w:keepNext w:val="0"/>
        <w:keepLines w:val="0"/>
        <w:pageBreakBefore w:val="0"/>
        <w:widowControl w:val="0"/>
        <w:kinsoku/>
        <w:wordWrap/>
        <w:overflowPunct/>
        <w:topLinePunct w:val="0"/>
        <w:bidi w:val="0"/>
        <w:adjustRightInd w:val="0"/>
        <w:snapToGrid w:val="0"/>
        <w:spacing w:line="460" w:lineRule="exact"/>
        <w:ind w:firstLine="422" w:firstLineChars="200"/>
        <w:contextualSpacing/>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5.4递交要求：</w:t>
      </w:r>
    </w:p>
    <w:p w14:paraId="79692406">
      <w:pPr>
        <w:pStyle w:val="15"/>
        <w:keepNext w:val="0"/>
        <w:keepLines w:val="0"/>
        <w:pageBreakBefore w:val="0"/>
        <w:widowControl w:val="0"/>
        <w:tabs>
          <w:tab w:val="left" w:pos="5458"/>
          <w:tab w:val="left" w:pos="8533"/>
        </w:tabs>
        <w:kinsoku/>
        <w:wordWrap/>
        <w:overflowPunct/>
        <w:topLinePunct w:val="0"/>
        <w:bidi w:val="0"/>
        <w:adjustRightInd w:val="0"/>
        <w:snapToGrid w:val="0"/>
        <w:spacing w:line="460" w:lineRule="exact"/>
        <w:ind w:firstLine="422" w:firstLineChars="200"/>
        <w:contextualSpacing/>
        <w:textAlignment w:val="auto"/>
        <w:rPr>
          <w:rFonts w:hint="eastAsia" w:ascii="宋体" w:hAnsi="宋体" w:eastAsia="宋体" w:cs="宋体"/>
          <w:bCs/>
          <w:sz w:val="21"/>
          <w:szCs w:val="21"/>
          <w:highlight w:val="none"/>
        </w:rPr>
      </w:pPr>
      <w:r>
        <w:rPr>
          <w:rFonts w:hint="eastAsia" w:ascii="宋体" w:hAnsi="宋体" w:eastAsia="宋体" w:cs="宋体"/>
          <w:b/>
          <w:bCs/>
          <w:sz w:val="21"/>
          <w:szCs w:val="21"/>
          <w:highlight w:val="none"/>
          <w:lang w:val="en-US"/>
        </w:rPr>
        <w:t>ETP</w:t>
      </w:r>
      <w:r>
        <w:rPr>
          <w:rFonts w:hint="eastAsia" w:ascii="宋体" w:hAnsi="宋体" w:eastAsia="宋体" w:cs="宋体"/>
          <w:b/>
          <w:bCs/>
          <w:sz w:val="21"/>
          <w:szCs w:val="21"/>
          <w:highlight w:val="none"/>
        </w:rPr>
        <w:t>电子</w:t>
      </w:r>
      <w:r>
        <w:rPr>
          <w:rFonts w:hint="eastAsia" w:ascii="宋体" w:hAnsi="宋体" w:eastAsia="宋体" w:cs="宋体"/>
          <w:b/>
          <w:bCs/>
          <w:sz w:val="21"/>
          <w:szCs w:val="21"/>
          <w:highlight w:val="none"/>
          <w:lang w:val="en-US"/>
        </w:rPr>
        <w:t>投标</w:t>
      </w:r>
      <w:r>
        <w:rPr>
          <w:rFonts w:hint="eastAsia" w:ascii="宋体" w:hAnsi="宋体" w:eastAsia="宋体" w:cs="宋体"/>
          <w:b/>
          <w:bCs/>
          <w:sz w:val="21"/>
          <w:szCs w:val="21"/>
          <w:highlight w:val="none"/>
        </w:rPr>
        <w:t>文件</w:t>
      </w:r>
      <w:r>
        <w:rPr>
          <w:rFonts w:hint="eastAsia" w:ascii="宋体" w:hAnsi="宋体" w:eastAsia="宋体" w:cs="宋体"/>
          <w:bCs/>
          <w:sz w:val="21"/>
          <w:szCs w:val="21"/>
          <w:highlight w:val="none"/>
        </w:rPr>
        <w:t>使用“供应商投标工具”生成，并上传至</w:t>
      </w:r>
      <w:r>
        <w:rPr>
          <w:rFonts w:hint="eastAsia" w:ascii="宋体" w:hAnsi="宋体" w:eastAsia="宋体" w:cs="宋体"/>
          <w:sz w:val="21"/>
          <w:szCs w:val="21"/>
          <w:highlight w:val="none"/>
        </w:rPr>
        <w:t>“国家电网有限公司电子商务平台-电工交易专区”</w:t>
      </w:r>
      <w:r>
        <w:rPr>
          <w:rFonts w:hint="eastAsia" w:ascii="宋体" w:hAnsi="宋体" w:eastAsia="宋体" w:cs="宋体"/>
          <w:bCs/>
          <w:sz w:val="21"/>
          <w:szCs w:val="21"/>
          <w:highlight w:val="none"/>
        </w:rPr>
        <w:t>，</w:t>
      </w:r>
      <w:r>
        <w:rPr>
          <w:rFonts w:hint="eastAsia" w:ascii="宋体" w:hAnsi="宋体" w:eastAsia="宋体" w:cs="宋体"/>
          <w:b/>
          <w:sz w:val="21"/>
          <w:szCs w:val="21"/>
          <w:highlight w:val="none"/>
          <w:lang w:val="en-US"/>
        </w:rPr>
        <w:t>完整的电子投标</w:t>
      </w:r>
      <w:r>
        <w:rPr>
          <w:rFonts w:hint="eastAsia" w:ascii="宋体" w:hAnsi="宋体" w:eastAsia="宋体" w:cs="宋体"/>
          <w:b/>
          <w:sz w:val="21"/>
          <w:szCs w:val="21"/>
          <w:highlight w:val="none"/>
        </w:rPr>
        <w:t>文件上传至“</w:t>
      </w:r>
      <w:r>
        <w:rPr>
          <w:rFonts w:hint="eastAsia" w:ascii="宋体" w:hAnsi="宋体" w:eastAsia="宋体" w:cs="宋体"/>
          <w:b/>
          <w:sz w:val="21"/>
          <w:szCs w:val="21"/>
          <w:highlight w:val="none"/>
          <w:lang w:val="en-US"/>
        </w:rPr>
        <w:t>智慧招投标云平台</w:t>
      </w:r>
      <w:r>
        <w:rPr>
          <w:rFonts w:hint="eastAsia" w:ascii="宋体" w:hAnsi="宋体" w:eastAsia="宋体" w:cs="宋体"/>
          <w:b/>
          <w:sz w:val="21"/>
          <w:szCs w:val="21"/>
          <w:highlight w:val="none"/>
        </w:rPr>
        <w:t>”</w:t>
      </w:r>
      <w:r>
        <w:rPr>
          <w:rFonts w:hint="eastAsia" w:ascii="宋体" w:hAnsi="宋体" w:eastAsia="宋体" w:cs="宋体"/>
          <w:bCs/>
          <w:sz w:val="21"/>
          <w:szCs w:val="21"/>
          <w:highlight w:val="none"/>
        </w:rPr>
        <w:t>。</w:t>
      </w:r>
    </w:p>
    <w:tbl>
      <w:tblPr>
        <w:tblStyle w:val="37"/>
        <w:tblW w:w="9394"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587"/>
        <w:gridCol w:w="4332"/>
        <w:gridCol w:w="3475"/>
      </w:tblGrid>
      <w:tr w14:paraId="601D1B8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tblHeader/>
          <w:jc w:val="center"/>
        </w:trPr>
        <w:tc>
          <w:tcPr>
            <w:tcW w:w="1587" w:type="dxa"/>
            <w:tcBorders>
              <w:tl2br w:val="nil"/>
              <w:tr2bl w:val="nil"/>
            </w:tcBorders>
            <w:noWrap/>
            <w:vAlign w:val="center"/>
          </w:tcPr>
          <w:p w14:paraId="5DCE9763">
            <w:pPr>
              <w:widowControl/>
              <w:jc w:val="center"/>
              <w:rPr>
                <w:rFonts w:hint="eastAsia" w:ascii="宋体" w:hAnsi="宋体" w:eastAsia="宋体" w:cs="宋体"/>
                <w:b/>
                <w:bCs/>
                <w:kern w:val="0"/>
                <w:sz w:val="21"/>
                <w:szCs w:val="21"/>
                <w:highlight w:val="none"/>
              </w:rPr>
            </w:pPr>
            <w:r>
              <w:rPr>
                <w:rFonts w:hint="eastAsia" w:ascii="宋体" w:hAnsi="宋体" w:eastAsia="宋体" w:cs="宋体"/>
                <w:b/>
                <w:bCs/>
                <w:kern w:val="0"/>
                <w:sz w:val="21"/>
                <w:szCs w:val="21"/>
                <w:highlight w:val="none"/>
              </w:rPr>
              <w:t>文件名称</w:t>
            </w:r>
          </w:p>
        </w:tc>
        <w:tc>
          <w:tcPr>
            <w:tcW w:w="4332" w:type="dxa"/>
            <w:tcBorders>
              <w:tl2br w:val="nil"/>
              <w:tr2bl w:val="nil"/>
            </w:tcBorders>
            <w:noWrap/>
            <w:vAlign w:val="center"/>
          </w:tcPr>
          <w:p w14:paraId="0535065A">
            <w:pPr>
              <w:widowControl/>
              <w:jc w:val="center"/>
              <w:rPr>
                <w:rFonts w:hint="eastAsia" w:ascii="宋体" w:hAnsi="宋体" w:eastAsia="宋体" w:cs="宋体"/>
                <w:b/>
                <w:bCs/>
                <w:kern w:val="0"/>
                <w:sz w:val="21"/>
                <w:szCs w:val="21"/>
                <w:highlight w:val="none"/>
              </w:rPr>
            </w:pPr>
            <w:r>
              <w:rPr>
                <w:rFonts w:hint="eastAsia" w:ascii="宋体" w:hAnsi="宋体" w:eastAsia="宋体" w:cs="宋体"/>
                <w:b/>
                <w:bCs/>
                <w:kern w:val="0"/>
                <w:sz w:val="21"/>
                <w:szCs w:val="21"/>
                <w:highlight w:val="none"/>
              </w:rPr>
              <w:t>文件生成（制作）要求</w:t>
            </w:r>
          </w:p>
        </w:tc>
        <w:tc>
          <w:tcPr>
            <w:tcW w:w="3475" w:type="dxa"/>
            <w:tcBorders>
              <w:tl2br w:val="nil"/>
              <w:tr2bl w:val="nil"/>
            </w:tcBorders>
            <w:noWrap/>
            <w:vAlign w:val="center"/>
          </w:tcPr>
          <w:p w14:paraId="56302362">
            <w:pPr>
              <w:widowControl/>
              <w:jc w:val="center"/>
              <w:rPr>
                <w:rFonts w:hint="eastAsia" w:ascii="宋体" w:hAnsi="宋体" w:eastAsia="宋体" w:cs="宋体"/>
                <w:b/>
                <w:bCs/>
                <w:kern w:val="0"/>
                <w:sz w:val="21"/>
                <w:szCs w:val="21"/>
                <w:highlight w:val="none"/>
              </w:rPr>
            </w:pPr>
            <w:r>
              <w:rPr>
                <w:rFonts w:hint="eastAsia" w:ascii="宋体" w:hAnsi="宋体" w:eastAsia="宋体" w:cs="宋体"/>
                <w:b/>
                <w:bCs/>
                <w:kern w:val="0"/>
                <w:sz w:val="21"/>
                <w:szCs w:val="21"/>
                <w:highlight w:val="none"/>
              </w:rPr>
              <w:t>文件上传（提交）要求</w:t>
            </w:r>
          </w:p>
        </w:tc>
      </w:tr>
      <w:tr w14:paraId="78BF7E6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587" w:type="dxa"/>
            <w:vMerge w:val="restart"/>
            <w:tcBorders>
              <w:tl2br w:val="nil"/>
              <w:tr2bl w:val="nil"/>
            </w:tcBorders>
            <w:noWrap/>
            <w:vAlign w:val="center"/>
          </w:tcPr>
          <w:p w14:paraId="59BB1B3F">
            <w:pPr>
              <w:widowControl/>
              <w:ind w:left="0" w:leftChars="0" w:firstLine="0" w:firstLineChars="0"/>
              <w:jc w:val="both"/>
              <w:rPr>
                <w:rFonts w:hint="eastAsia" w:ascii="宋体" w:hAnsi="宋体" w:eastAsia="宋体" w:cs="宋体"/>
                <w:kern w:val="0"/>
                <w:sz w:val="21"/>
                <w:szCs w:val="21"/>
                <w:highlight w:val="none"/>
              </w:rPr>
            </w:pPr>
            <w:r>
              <w:rPr>
                <w:rFonts w:hint="eastAsia" w:ascii="Times New Roman" w:hAnsi="Times New Roman" w:eastAsia="宋体" w:cs="Times New Roman"/>
                <w:color w:val="auto"/>
                <w:kern w:val="2"/>
                <w:sz w:val="21"/>
                <w:szCs w:val="24"/>
                <w:highlight w:val="none"/>
                <w:lang w:val="en-US" w:eastAsia="zh-CN" w:bidi="ar-SA"/>
              </w:rPr>
              <w:t>1、开标（报价）文件</w:t>
            </w:r>
          </w:p>
        </w:tc>
        <w:tc>
          <w:tcPr>
            <w:tcW w:w="4332" w:type="dxa"/>
            <w:tcBorders>
              <w:tl2br w:val="nil"/>
              <w:tr2bl w:val="nil"/>
            </w:tcBorders>
            <w:noWrap/>
            <w:vAlign w:val="center"/>
          </w:tcPr>
          <w:p w14:paraId="46A83BD1">
            <w:pPr>
              <w:pStyle w:val="36"/>
              <w:keepNext w:val="0"/>
              <w:keepLines w:val="0"/>
              <w:pageBreakBefore w:val="0"/>
              <w:widowControl w:val="0"/>
              <w:kinsoku/>
              <w:wordWrap/>
              <w:overflowPunct/>
              <w:topLinePunct w:val="0"/>
              <w:autoSpaceDE/>
              <w:autoSpaceDN/>
              <w:bidi w:val="0"/>
              <w:adjustRightInd w:val="0"/>
              <w:snapToGrid w:val="0"/>
              <w:spacing w:line="300" w:lineRule="auto"/>
              <w:textAlignment w:val="auto"/>
              <w:rPr>
                <w:rFonts w:hint="eastAsia" w:eastAsia="宋体"/>
                <w:color w:val="auto"/>
                <w:sz w:val="21"/>
                <w:highlight w:val="none"/>
              </w:rPr>
            </w:pPr>
            <w:r>
              <w:rPr>
                <w:rFonts w:hint="eastAsia" w:eastAsia="宋体"/>
                <w:color w:val="auto"/>
                <w:sz w:val="21"/>
                <w:highlight w:val="none"/>
              </w:rPr>
              <w:t>在线制作，PDF电子版，（国家电网有限公司电子商务平台-电工交易专区上在线生成的带有二维码的投标函及附录）</w:t>
            </w:r>
          </w:p>
        </w:tc>
        <w:tc>
          <w:tcPr>
            <w:tcW w:w="3475" w:type="dxa"/>
            <w:tcBorders>
              <w:tl2br w:val="nil"/>
              <w:tr2bl w:val="nil"/>
            </w:tcBorders>
            <w:noWrap/>
            <w:vAlign w:val="center"/>
          </w:tcPr>
          <w:p w14:paraId="22FA1D25">
            <w:pPr>
              <w:pStyle w:val="36"/>
              <w:keepNext w:val="0"/>
              <w:keepLines w:val="0"/>
              <w:pageBreakBefore w:val="0"/>
              <w:widowControl w:val="0"/>
              <w:kinsoku/>
              <w:wordWrap/>
              <w:overflowPunct/>
              <w:topLinePunct w:val="0"/>
              <w:autoSpaceDE/>
              <w:autoSpaceDN/>
              <w:bidi w:val="0"/>
              <w:adjustRightInd w:val="0"/>
              <w:snapToGrid w:val="0"/>
              <w:spacing w:line="300" w:lineRule="auto"/>
              <w:textAlignment w:val="auto"/>
              <w:rPr>
                <w:rFonts w:hint="eastAsia" w:eastAsia="宋体"/>
                <w:color w:val="auto"/>
                <w:sz w:val="21"/>
                <w:highlight w:val="none"/>
              </w:rPr>
            </w:pPr>
            <w:r>
              <w:rPr>
                <w:rFonts w:hint="eastAsia" w:eastAsia="宋体"/>
                <w:color w:val="auto"/>
                <w:sz w:val="21"/>
                <w:highlight w:val="none"/>
              </w:rPr>
              <w:t>上传至“国家电网有限公司电子商务平台-电工交易专区”</w:t>
            </w:r>
          </w:p>
        </w:tc>
      </w:tr>
      <w:tr w14:paraId="027BFCF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587" w:type="dxa"/>
            <w:vMerge w:val="continue"/>
            <w:tcBorders>
              <w:tl2br w:val="nil"/>
              <w:tr2bl w:val="nil"/>
            </w:tcBorders>
            <w:noWrap/>
            <w:vAlign w:val="center"/>
          </w:tcPr>
          <w:p w14:paraId="68D8D0E5">
            <w:pPr>
              <w:widowControl/>
              <w:jc w:val="center"/>
              <w:rPr>
                <w:rFonts w:hint="eastAsia" w:ascii="宋体" w:hAnsi="宋体" w:eastAsia="宋体" w:cs="宋体"/>
                <w:kern w:val="0"/>
                <w:sz w:val="21"/>
                <w:szCs w:val="21"/>
                <w:highlight w:val="none"/>
              </w:rPr>
            </w:pPr>
          </w:p>
        </w:tc>
        <w:tc>
          <w:tcPr>
            <w:tcW w:w="4332" w:type="dxa"/>
            <w:tcBorders>
              <w:tl2br w:val="nil"/>
              <w:tr2bl w:val="nil"/>
            </w:tcBorders>
            <w:noWrap/>
            <w:vAlign w:val="center"/>
          </w:tcPr>
          <w:p w14:paraId="761C45C9">
            <w:pPr>
              <w:pStyle w:val="36"/>
              <w:keepNext w:val="0"/>
              <w:keepLines w:val="0"/>
              <w:pageBreakBefore w:val="0"/>
              <w:widowControl w:val="0"/>
              <w:kinsoku/>
              <w:wordWrap/>
              <w:overflowPunct/>
              <w:topLinePunct w:val="0"/>
              <w:autoSpaceDE/>
              <w:autoSpaceDN/>
              <w:bidi w:val="0"/>
              <w:adjustRightInd w:val="0"/>
              <w:snapToGrid w:val="0"/>
              <w:spacing w:line="300" w:lineRule="auto"/>
              <w:textAlignment w:val="auto"/>
              <w:rPr>
                <w:rFonts w:hint="eastAsia" w:eastAsia="宋体"/>
                <w:color w:val="auto"/>
                <w:sz w:val="21"/>
                <w:highlight w:val="none"/>
              </w:rPr>
            </w:pPr>
            <w:r>
              <w:rPr>
                <w:rFonts w:hint="eastAsia" w:eastAsia="宋体"/>
                <w:color w:val="auto"/>
                <w:sz w:val="21"/>
                <w:highlight w:val="none"/>
              </w:rPr>
              <w:t>离线制作，按包制作，完整的双层 PDF 电子版(详见第六章投标文件格式)，发送到平台的文件需按照投标文件格式制作封面。</w:t>
            </w:r>
          </w:p>
        </w:tc>
        <w:tc>
          <w:tcPr>
            <w:tcW w:w="3475" w:type="dxa"/>
            <w:tcBorders>
              <w:tl2br w:val="nil"/>
              <w:tr2bl w:val="nil"/>
            </w:tcBorders>
            <w:noWrap/>
            <w:vAlign w:val="center"/>
          </w:tcPr>
          <w:p w14:paraId="04EA2F07">
            <w:pPr>
              <w:pStyle w:val="36"/>
              <w:keepNext w:val="0"/>
              <w:keepLines w:val="0"/>
              <w:pageBreakBefore w:val="0"/>
              <w:widowControl w:val="0"/>
              <w:kinsoku/>
              <w:wordWrap/>
              <w:overflowPunct/>
              <w:topLinePunct w:val="0"/>
              <w:autoSpaceDE/>
              <w:autoSpaceDN/>
              <w:bidi w:val="0"/>
              <w:adjustRightInd w:val="0"/>
              <w:snapToGrid w:val="0"/>
              <w:spacing w:line="300" w:lineRule="auto"/>
              <w:textAlignment w:val="auto"/>
              <w:rPr>
                <w:rFonts w:hint="eastAsia" w:eastAsia="宋体"/>
                <w:color w:val="auto"/>
                <w:sz w:val="21"/>
                <w:highlight w:val="none"/>
              </w:rPr>
            </w:pPr>
            <w:r>
              <w:rPr>
                <w:rFonts w:hint="eastAsia" w:eastAsia="宋体"/>
                <w:color w:val="auto"/>
                <w:sz w:val="21"/>
                <w:highlight w:val="none"/>
              </w:rPr>
              <w:t>按分包上传至“智慧招投标云平台”</w:t>
            </w:r>
          </w:p>
        </w:tc>
      </w:tr>
      <w:tr w14:paraId="22F2760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587" w:type="dxa"/>
            <w:vMerge w:val="restart"/>
            <w:tcBorders>
              <w:tl2br w:val="nil"/>
              <w:tr2bl w:val="nil"/>
            </w:tcBorders>
            <w:noWrap/>
            <w:vAlign w:val="center"/>
          </w:tcPr>
          <w:p w14:paraId="1AC0811A">
            <w:pPr>
              <w:ind w:left="0" w:leftChars="0" w:firstLine="0" w:firstLineChars="0"/>
              <w:jc w:val="both"/>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2、商务文件</w:t>
            </w:r>
          </w:p>
        </w:tc>
        <w:tc>
          <w:tcPr>
            <w:tcW w:w="4332" w:type="dxa"/>
            <w:tcBorders>
              <w:tl2br w:val="nil"/>
              <w:tr2bl w:val="nil"/>
            </w:tcBorders>
            <w:noWrap/>
            <w:vAlign w:val="center"/>
          </w:tcPr>
          <w:p w14:paraId="050B5825">
            <w:pPr>
              <w:pStyle w:val="36"/>
              <w:keepNext w:val="0"/>
              <w:keepLines w:val="0"/>
              <w:pageBreakBefore w:val="0"/>
              <w:widowControl w:val="0"/>
              <w:kinsoku/>
              <w:wordWrap/>
              <w:overflowPunct/>
              <w:topLinePunct w:val="0"/>
              <w:autoSpaceDE/>
              <w:autoSpaceDN/>
              <w:bidi w:val="0"/>
              <w:adjustRightInd w:val="0"/>
              <w:snapToGrid w:val="0"/>
              <w:spacing w:line="300" w:lineRule="auto"/>
              <w:textAlignment w:val="auto"/>
              <w:rPr>
                <w:rFonts w:hint="eastAsia" w:eastAsia="宋体"/>
                <w:color w:val="auto"/>
                <w:sz w:val="21"/>
                <w:highlight w:val="none"/>
              </w:rPr>
            </w:pPr>
            <w:r>
              <w:rPr>
                <w:rFonts w:hint="eastAsia" w:eastAsia="宋体"/>
                <w:color w:val="auto"/>
                <w:sz w:val="21"/>
                <w:highlight w:val="none"/>
              </w:rPr>
              <w:t>离线制作，按包制作，完整的双层 PDF 电子版(详见第六章投标文件格式)</w:t>
            </w:r>
          </w:p>
        </w:tc>
        <w:tc>
          <w:tcPr>
            <w:tcW w:w="3475" w:type="dxa"/>
            <w:tcBorders>
              <w:tl2br w:val="nil"/>
              <w:tr2bl w:val="nil"/>
            </w:tcBorders>
            <w:noWrap/>
            <w:vAlign w:val="center"/>
          </w:tcPr>
          <w:p w14:paraId="6938E67D">
            <w:pPr>
              <w:pStyle w:val="36"/>
              <w:keepNext w:val="0"/>
              <w:keepLines w:val="0"/>
              <w:pageBreakBefore w:val="0"/>
              <w:widowControl w:val="0"/>
              <w:kinsoku/>
              <w:wordWrap/>
              <w:overflowPunct/>
              <w:topLinePunct w:val="0"/>
              <w:autoSpaceDE/>
              <w:autoSpaceDN/>
              <w:bidi w:val="0"/>
              <w:adjustRightInd w:val="0"/>
              <w:snapToGrid w:val="0"/>
              <w:spacing w:line="300" w:lineRule="auto"/>
              <w:textAlignment w:val="auto"/>
              <w:rPr>
                <w:rFonts w:hint="eastAsia" w:eastAsia="宋体"/>
                <w:color w:val="auto"/>
                <w:sz w:val="21"/>
                <w:highlight w:val="none"/>
              </w:rPr>
            </w:pPr>
            <w:r>
              <w:rPr>
                <w:rFonts w:hint="eastAsia" w:eastAsia="宋体"/>
                <w:color w:val="auto"/>
                <w:sz w:val="21"/>
                <w:highlight w:val="none"/>
              </w:rPr>
              <w:t>按分包上传至“智慧招投标云平台”</w:t>
            </w:r>
          </w:p>
        </w:tc>
      </w:tr>
      <w:tr w14:paraId="17812CF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587" w:type="dxa"/>
            <w:tcBorders>
              <w:tl2br w:val="nil"/>
              <w:tr2bl w:val="nil"/>
            </w:tcBorders>
            <w:noWrap/>
            <w:vAlign w:val="center"/>
          </w:tcPr>
          <w:p w14:paraId="453FFA49">
            <w:pPr>
              <w:pStyle w:val="36"/>
              <w:keepNext w:val="0"/>
              <w:keepLines w:val="0"/>
              <w:pageBreakBefore w:val="0"/>
              <w:widowControl w:val="0"/>
              <w:kinsoku/>
              <w:wordWrap/>
              <w:overflowPunct/>
              <w:topLinePunct w:val="0"/>
              <w:autoSpaceDE/>
              <w:autoSpaceDN/>
              <w:bidi w:val="0"/>
              <w:adjustRightInd w:val="0"/>
              <w:snapToGrid w:val="0"/>
              <w:spacing w:line="300" w:lineRule="auto"/>
              <w:ind w:left="0" w:leftChars="0" w:firstLine="0" w:firstLineChars="0"/>
              <w:textAlignment w:val="auto"/>
              <w:rPr>
                <w:rFonts w:hint="eastAsia" w:ascii="宋体" w:hAnsi="宋体" w:eastAsia="宋体" w:cs="宋体"/>
                <w:kern w:val="0"/>
                <w:sz w:val="21"/>
                <w:szCs w:val="21"/>
                <w:highlight w:val="none"/>
              </w:rPr>
            </w:pPr>
            <w:r>
              <w:rPr>
                <w:rFonts w:hint="eastAsia" w:eastAsia="宋体"/>
                <w:color w:val="auto"/>
                <w:sz w:val="21"/>
                <w:highlight w:val="none"/>
              </w:rPr>
              <w:t>3、技术文件</w:t>
            </w:r>
          </w:p>
        </w:tc>
        <w:tc>
          <w:tcPr>
            <w:tcW w:w="4332" w:type="dxa"/>
            <w:tcBorders>
              <w:tl2br w:val="nil"/>
              <w:tr2bl w:val="nil"/>
            </w:tcBorders>
            <w:noWrap/>
            <w:vAlign w:val="center"/>
          </w:tcPr>
          <w:p w14:paraId="30B25D76">
            <w:pPr>
              <w:pStyle w:val="36"/>
              <w:keepNext w:val="0"/>
              <w:keepLines w:val="0"/>
              <w:pageBreakBefore w:val="0"/>
              <w:widowControl w:val="0"/>
              <w:kinsoku/>
              <w:wordWrap/>
              <w:overflowPunct/>
              <w:topLinePunct w:val="0"/>
              <w:autoSpaceDE/>
              <w:autoSpaceDN/>
              <w:bidi w:val="0"/>
              <w:adjustRightInd w:val="0"/>
              <w:snapToGrid w:val="0"/>
              <w:spacing w:line="300" w:lineRule="auto"/>
              <w:textAlignment w:val="auto"/>
              <w:rPr>
                <w:rFonts w:hint="eastAsia" w:eastAsia="宋体"/>
                <w:color w:val="auto"/>
                <w:sz w:val="21"/>
                <w:highlight w:val="none"/>
              </w:rPr>
            </w:pPr>
            <w:r>
              <w:rPr>
                <w:rFonts w:hint="eastAsia" w:eastAsia="宋体"/>
                <w:color w:val="auto"/>
                <w:sz w:val="21"/>
                <w:highlight w:val="none"/>
              </w:rPr>
              <w:t>离线制作，按包制作，完整的双层 PDF 电子版(详见第六章投标文件格式)。</w:t>
            </w:r>
          </w:p>
        </w:tc>
        <w:tc>
          <w:tcPr>
            <w:tcW w:w="3475" w:type="dxa"/>
            <w:tcBorders>
              <w:tl2br w:val="nil"/>
              <w:tr2bl w:val="nil"/>
            </w:tcBorders>
            <w:noWrap/>
            <w:vAlign w:val="center"/>
          </w:tcPr>
          <w:p w14:paraId="1E252FB7">
            <w:pPr>
              <w:pStyle w:val="36"/>
              <w:keepNext w:val="0"/>
              <w:keepLines w:val="0"/>
              <w:pageBreakBefore w:val="0"/>
              <w:widowControl w:val="0"/>
              <w:kinsoku/>
              <w:wordWrap/>
              <w:overflowPunct/>
              <w:topLinePunct w:val="0"/>
              <w:autoSpaceDE/>
              <w:autoSpaceDN/>
              <w:bidi w:val="0"/>
              <w:adjustRightInd w:val="0"/>
              <w:snapToGrid w:val="0"/>
              <w:spacing w:line="300" w:lineRule="auto"/>
              <w:textAlignment w:val="auto"/>
              <w:rPr>
                <w:rFonts w:hint="eastAsia" w:eastAsia="宋体"/>
                <w:color w:val="auto"/>
                <w:sz w:val="21"/>
                <w:highlight w:val="none"/>
              </w:rPr>
            </w:pPr>
            <w:r>
              <w:rPr>
                <w:rFonts w:hint="eastAsia" w:eastAsia="宋体"/>
                <w:color w:val="auto"/>
                <w:sz w:val="21"/>
                <w:highlight w:val="none"/>
              </w:rPr>
              <w:t>按分包上传至“智慧招投标云平台”</w:t>
            </w:r>
          </w:p>
        </w:tc>
      </w:tr>
      <w:tr w14:paraId="72AF8F3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9394" w:type="dxa"/>
            <w:gridSpan w:val="3"/>
            <w:tcBorders>
              <w:tl2br w:val="nil"/>
              <w:tr2bl w:val="nil"/>
            </w:tcBorders>
            <w:noWrap/>
            <w:vAlign w:val="center"/>
          </w:tcPr>
          <w:p w14:paraId="075D05BC">
            <w:pPr>
              <w:widowControl/>
              <w:jc w:val="center"/>
              <w:rPr>
                <w:rFonts w:hint="eastAsia" w:ascii="宋体" w:hAnsi="宋体" w:eastAsia="宋体" w:cs="宋体"/>
                <w:b/>
                <w:bCs/>
                <w:kern w:val="0"/>
                <w:sz w:val="21"/>
                <w:szCs w:val="21"/>
                <w:highlight w:val="none"/>
              </w:rPr>
            </w:pPr>
            <w:r>
              <w:rPr>
                <w:rFonts w:hint="eastAsia" w:ascii="宋体" w:hAnsi="宋体" w:eastAsia="宋体" w:cs="宋体"/>
                <w:b/>
                <w:bCs/>
                <w:kern w:val="0"/>
                <w:sz w:val="21"/>
                <w:szCs w:val="21"/>
                <w:highlight w:val="none"/>
              </w:rPr>
              <w:t>智慧招投标云平台上传工具获取地址：</w:t>
            </w:r>
          </w:p>
        </w:tc>
      </w:tr>
      <w:tr w14:paraId="5458F0B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9394" w:type="dxa"/>
            <w:gridSpan w:val="3"/>
            <w:tcBorders>
              <w:tl2br w:val="nil"/>
              <w:tr2bl w:val="nil"/>
            </w:tcBorders>
            <w:noWrap/>
            <w:vAlign w:val="center"/>
          </w:tcPr>
          <w:p w14:paraId="402BD803">
            <w:pPr>
              <w:widowControl/>
              <w:jc w:val="center"/>
              <w:rPr>
                <w:rFonts w:hint="eastAsia" w:ascii="宋体" w:hAnsi="宋体" w:eastAsia="宋体" w:cs="宋体"/>
                <w:b/>
                <w:bCs/>
                <w:color w:val="FF0000"/>
                <w:kern w:val="0"/>
                <w:sz w:val="21"/>
                <w:szCs w:val="21"/>
                <w:highlight w:val="none"/>
              </w:rPr>
            </w:pPr>
            <w:r>
              <w:rPr>
                <w:rFonts w:hint="eastAsia" w:ascii="宋体" w:hAnsi="宋体" w:eastAsia="宋体" w:cs="宋体"/>
                <w:b/>
                <w:bCs/>
                <w:kern w:val="0"/>
                <w:sz w:val="21"/>
                <w:szCs w:val="21"/>
                <w:highlight w:val="none"/>
              </w:rPr>
              <w:t>链接： http://59.49.34.147:20080/#/index/notice</w:t>
            </w:r>
          </w:p>
        </w:tc>
      </w:tr>
      <w:tr w14:paraId="63BDF5F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9394" w:type="dxa"/>
            <w:gridSpan w:val="3"/>
            <w:tcBorders>
              <w:tl2br w:val="nil"/>
              <w:tr2bl w:val="nil"/>
            </w:tcBorders>
            <w:noWrap/>
            <w:vAlign w:val="center"/>
          </w:tcPr>
          <w:p w14:paraId="1BB98F7D">
            <w:pPr>
              <w:widowControl/>
              <w:jc w:val="center"/>
              <w:rPr>
                <w:rFonts w:hint="eastAsia" w:ascii="宋体" w:hAnsi="宋体" w:eastAsia="宋体" w:cs="宋体"/>
                <w:b/>
                <w:bCs/>
                <w:kern w:val="0"/>
                <w:sz w:val="21"/>
                <w:szCs w:val="21"/>
                <w:highlight w:val="none"/>
              </w:rPr>
            </w:pPr>
            <w:r>
              <w:rPr>
                <w:rFonts w:hint="eastAsia" w:ascii="宋体" w:hAnsi="宋体" w:eastAsia="宋体" w:cs="宋体"/>
                <w:b/>
                <w:bCs/>
                <w:kern w:val="0"/>
                <w:sz w:val="21"/>
                <w:szCs w:val="21"/>
                <w:highlight w:val="none"/>
              </w:rPr>
              <w:t>如有疑问，请登录智慧云平台下载操作指南</w:t>
            </w:r>
          </w:p>
        </w:tc>
      </w:tr>
    </w:tbl>
    <w:p w14:paraId="5A43C194">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★关于采用“智慧招投标云平台”递交投标文件的说明</w:t>
      </w:r>
    </w:p>
    <w:p w14:paraId="49EA4B46">
      <w:pPr>
        <w:keepNext w:val="0"/>
        <w:keepLines w:val="0"/>
        <w:pageBreakBefore w:val="0"/>
        <w:kinsoku/>
        <w:wordWrap/>
        <w:overflowPunct/>
        <w:topLinePunct w:val="0"/>
        <w:autoSpaceDE/>
        <w:autoSpaceDN/>
        <w:bidi w:val="0"/>
        <w:spacing w:line="460" w:lineRule="exact"/>
        <w:ind w:firstLine="420" w:firstLineChars="200"/>
        <w:contextualSpacing/>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1）投标人应在投标截止时间前将投标文件，上传至“智慧招投标云平台”。上传成功后，系统自动反馈上传结果和时间，递交时间即为系统反馈结果时间。投标人应充分考虑上传文件时的不可预见因素，未在投标截止时间前完成上传的（以回执时间为准），或在截标后对上传文件进行修改的，将被认定为无效文件。</w:t>
      </w:r>
    </w:p>
    <w:p w14:paraId="56CF131C">
      <w:pPr>
        <w:keepNext w:val="0"/>
        <w:keepLines w:val="0"/>
        <w:pageBreakBefore w:val="0"/>
        <w:kinsoku/>
        <w:wordWrap/>
        <w:overflowPunct/>
        <w:topLinePunct w:val="0"/>
        <w:autoSpaceDE/>
        <w:autoSpaceDN/>
        <w:bidi w:val="0"/>
        <w:spacing w:line="460" w:lineRule="exact"/>
        <w:ind w:firstLine="420" w:firstLineChars="200"/>
        <w:contextualSpacing/>
        <w:textAlignment w:val="auto"/>
        <w:rPr>
          <w:rFonts w:hint="eastAsia" w:ascii="宋体" w:hAnsi="宋体" w:eastAsia="宋体" w:cs="宋体"/>
          <w:bCs/>
          <w:sz w:val="21"/>
          <w:szCs w:val="21"/>
          <w:highlight w:val="none"/>
        </w:rPr>
      </w:pPr>
      <w:r>
        <w:rPr>
          <w:rFonts w:hint="eastAsia" w:ascii="宋体" w:hAnsi="宋体" w:eastAsia="宋体" w:cs="宋体"/>
          <w:bCs/>
          <w:sz w:val="21"/>
          <w:szCs w:val="21"/>
          <w:highlight w:val="none"/>
        </w:rPr>
        <w:t>（2）投标人在截标时间前可重复递交投标文件，文件修改可直接在工具中重新编辑修改、重新加密、上传，完成对原投标文件的修改。以投标截止时间前上传至“智慧招投标云平台”的最后一份投标文件为准。</w:t>
      </w:r>
    </w:p>
    <w:p w14:paraId="08D3A501">
      <w:pPr>
        <w:keepNext w:val="0"/>
        <w:keepLines w:val="0"/>
        <w:pageBreakBefore w:val="0"/>
        <w:kinsoku/>
        <w:wordWrap/>
        <w:overflowPunct/>
        <w:topLinePunct w:val="0"/>
        <w:autoSpaceDE/>
        <w:autoSpaceDN/>
        <w:bidi w:val="0"/>
        <w:spacing w:line="460" w:lineRule="exact"/>
        <w:ind w:firstLine="420" w:firstLineChars="200"/>
        <w:contextualSpacing/>
        <w:textAlignment w:val="auto"/>
        <w:rPr>
          <w:rFonts w:hint="eastAsia" w:ascii="宋体" w:hAnsi="宋体" w:eastAsia="宋体" w:cs="宋体"/>
          <w:bCs/>
          <w:color w:val="FF0000"/>
          <w:sz w:val="21"/>
          <w:szCs w:val="21"/>
          <w:highlight w:val="none"/>
        </w:rPr>
      </w:pPr>
      <w:r>
        <w:rPr>
          <w:rFonts w:hint="eastAsia" w:ascii="宋体" w:hAnsi="宋体" w:eastAsia="宋体" w:cs="宋体"/>
          <w:bCs/>
          <w:sz w:val="21"/>
          <w:szCs w:val="21"/>
          <w:highlight w:val="none"/>
        </w:rPr>
        <w:t>（3）上传方式详见“智慧招投标云平台-下载专区-操作指南”。</w:t>
      </w:r>
    </w:p>
    <w:p w14:paraId="28B7AAD4">
      <w:pPr>
        <w:pStyle w:val="32"/>
        <w:keepNext w:val="0"/>
        <w:keepLines w:val="0"/>
        <w:pageBreakBefore w:val="0"/>
        <w:kinsoku/>
        <w:wordWrap/>
        <w:overflowPunct/>
        <w:topLinePunct w:val="0"/>
        <w:autoSpaceDE/>
        <w:autoSpaceDN/>
        <w:bidi w:val="0"/>
        <w:spacing w:line="460" w:lineRule="exact"/>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Cs/>
          <w:sz w:val="21"/>
          <w:szCs w:val="21"/>
          <w:highlight w:val="none"/>
        </w:rPr>
        <w:t>（4）“智慧招投标云平台”支持分开上传投标文件，部分完成的投标文件可先后分开上传。</w:t>
      </w:r>
    </w:p>
    <w:p w14:paraId="61C9D8B4">
      <w:pPr>
        <w:keepNext w:val="0"/>
        <w:keepLines w:val="0"/>
        <w:pageBreakBefore w:val="0"/>
        <w:widowControl w:val="0"/>
        <w:kinsoku/>
        <w:wordWrap/>
        <w:overflowPunct/>
        <w:topLinePunct w:val="0"/>
        <w:autoSpaceDE/>
        <w:autoSpaceDN/>
        <w:bidi w:val="0"/>
        <w:adjustRightInd w:val="0"/>
        <w:snapToGrid w:val="0"/>
        <w:spacing w:line="460" w:lineRule="exact"/>
        <w:ind w:firstLine="422" w:firstLineChars="200"/>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5.5重要提醒：</w:t>
      </w:r>
    </w:p>
    <w:p w14:paraId="33055D0C">
      <w:pPr>
        <w:keepNext w:val="0"/>
        <w:keepLines w:val="0"/>
        <w:pageBreakBefore w:val="0"/>
        <w:widowControl w:val="0"/>
        <w:kinsoku/>
        <w:wordWrap/>
        <w:overflowPunct/>
        <w:topLinePunct w:val="0"/>
        <w:autoSpaceDE/>
        <w:autoSpaceDN/>
        <w:bidi w:val="0"/>
        <w:adjustRightInd w:val="0"/>
        <w:snapToGrid w:val="0"/>
        <w:spacing w:line="460" w:lineRule="exact"/>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5.5.1 投标文件递交截止时间之后递交的投标文件，招标人不予受理。不接受邮寄方式提交投标文件及投标文件的修改文件。</w:t>
      </w:r>
    </w:p>
    <w:p w14:paraId="4D17DDB7">
      <w:pPr>
        <w:keepNext w:val="0"/>
        <w:keepLines w:val="0"/>
        <w:pageBreakBefore w:val="0"/>
        <w:widowControl w:val="0"/>
        <w:kinsoku/>
        <w:wordWrap/>
        <w:overflowPunct/>
        <w:topLinePunct w:val="0"/>
        <w:autoSpaceDE/>
        <w:autoSpaceDN/>
        <w:bidi w:val="0"/>
        <w:adjustRightInd w:val="0"/>
        <w:snapToGrid w:val="0"/>
        <w:spacing w:line="460" w:lineRule="exact"/>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5.5.2 本次投标报价文件以投标人在</w:t>
      </w:r>
      <w:r>
        <w:rPr>
          <w:rFonts w:hint="eastAsia" w:ascii="宋体" w:hAnsi="宋体" w:eastAsia="宋体" w:cs="宋体"/>
          <w:kern w:val="0"/>
          <w:sz w:val="21"/>
          <w:szCs w:val="21"/>
          <w:highlight w:val="none"/>
        </w:rPr>
        <w:t>“国家电网有限公司电子商务平台-电工交易专区”</w:t>
      </w:r>
      <w:r>
        <w:rPr>
          <w:rFonts w:hint="eastAsia" w:ascii="宋体" w:hAnsi="宋体" w:eastAsia="宋体" w:cs="宋体"/>
          <w:color w:val="000000" w:themeColor="text1"/>
          <w:sz w:val="21"/>
          <w:szCs w:val="21"/>
          <w:highlight w:val="none"/>
          <w14:textFill>
            <w14:solidFill>
              <w14:schemeClr w14:val="tx1"/>
            </w14:solidFill>
          </w14:textFill>
        </w:rPr>
        <w:t>上填报的为准，未在</w:t>
      </w:r>
      <w:r>
        <w:rPr>
          <w:rFonts w:hint="eastAsia" w:ascii="宋体" w:hAnsi="宋体" w:eastAsia="宋体" w:cs="宋体"/>
          <w:kern w:val="0"/>
          <w:sz w:val="21"/>
          <w:szCs w:val="21"/>
          <w:highlight w:val="none"/>
        </w:rPr>
        <w:t>“国家电网有限公司电子商务平台-电工交易专区”</w:t>
      </w:r>
      <w:r>
        <w:rPr>
          <w:rFonts w:hint="eastAsia" w:ascii="宋体" w:hAnsi="宋体" w:eastAsia="宋体" w:cs="宋体"/>
          <w:color w:val="000000" w:themeColor="text1"/>
          <w:sz w:val="21"/>
          <w:szCs w:val="21"/>
          <w:highlight w:val="none"/>
          <w14:textFill>
            <w14:solidFill>
              <w14:schemeClr w14:val="tx1"/>
            </w14:solidFill>
          </w14:textFill>
        </w:rPr>
        <w:t>进行报价的，不予启封。</w:t>
      </w:r>
    </w:p>
    <w:p w14:paraId="71F280C0">
      <w:pPr>
        <w:keepNext w:val="0"/>
        <w:keepLines w:val="0"/>
        <w:pageBreakBefore w:val="0"/>
        <w:widowControl w:val="0"/>
        <w:kinsoku/>
        <w:wordWrap/>
        <w:overflowPunct/>
        <w:topLinePunct w:val="0"/>
        <w:autoSpaceDE/>
        <w:autoSpaceDN/>
        <w:bidi w:val="0"/>
        <w:adjustRightInd w:val="0"/>
        <w:snapToGrid w:val="0"/>
        <w:spacing w:line="460" w:lineRule="exact"/>
        <w:ind w:firstLine="420" w:firstLineChars="200"/>
        <w:textAlignment w:val="auto"/>
        <w:rPr>
          <w:rFonts w:hint="eastAsia" w:ascii="宋体" w:hAnsi="宋体" w:eastAsia="宋体" w:cs="宋体"/>
          <w:color w:val="000000" w:themeColor="text1"/>
          <w:sz w:val="21"/>
          <w:szCs w:val="21"/>
          <w:highlight w:val="none"/>
          <w:shd w:val="pct10" w:color="auto" w:fill="FFFFFF"/>
          <w14:textFill>
            <w14:solidFill>
              <w14:schemeClr w14:val="tx1"/>
            </w14:solidFill>
          </w14:textFill>
        </w:rPr>
      </w:pPr>
      <w:r>
        <w:rPr>
          <w:rFonts w:hint="eastAsia" w:ascii="宋体" w:hAnsi="宋体" w:eastAsia="宋体" w:cs="宋体"/>
          <w:color w:val="000000" w:themeColor="text1"/>
          <w:sz w:val="21"/>
          <w:szCs w:val="21"/>
          <w:highlight w:val="none"/>
          <w:shd w:val="pct10" w:color="auto" w:fill="FFFFFF"/>
          <w14:textFill>
            <w14:solidFill>
              <w14:schemeClr w14:val="tx1"/>
            </w14:solidFill>
          </w14:textFill>
        </w:rPr>
        <w:t>国家电网有限公司电子商务平台-电工交易专区系统必须上传的部分为投标文件格式目录中“1、投标文件（报价文件按照供应商投标工具系统要求填报）。</w:t>
      </w:r>
      <w:r>
        <w:rPr>
          <w:rFonts w:hint="eastAsia" w:ascii="宋体" w:hAnsi="宋体" w:eastAsia="宋体" w:cs="宋体"/>
          <w:b/>
          <w:bCs/>
          <w:color w:val="000000" w:themeColor="text1"/>
          <w:sz w:val="21"/>
          <w:szCs w:val="21"/>
          <w:highlight w:val="none"/>
          <w:shd w:val="pct10" w:color="auto" w:fill="FFFFFF"/>
          <w14:textFill>
            <w14:solidFill>
              <w14:schemeClr w14:val="tx1"/>
            </w14:solidFill>
          </w14:textFill>
        </w:rPr>
        <w:t>未上传者视为未响应招标文件要求，将否决其投标，其他内容的上传不做硬性要求。</w:t>
      </w:r>
    </w:p>
    <w:p w14:paraId="1A07B8C4">
      <w:pPr>
        <w:keepNext w:val="0"/>
        <w:keepLines w:val="0"/>
        <w:pageBreakBefore w:val="0"/>
        <w:widowControl w:val="0"/>
        <w:kinsoku/>
        <w:wordWrap/>
        <w:overflowPunct/>
        <w:topLinePunct w:val="0"/>
        <w:autoSpaceDE/>
        <w:autoSpaceDN/>
        <w:bidi w:val="0"/>
        <w:adjustRightInd w:val="0"/>
        <w:snapToGrid w:val="0"/>
        <w:spacing w:line="460" w:lineRule="exact"/>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可由投标人自行选择上传与否的部分：其他商务投标文件可上传至商务部分“补充文件”端口（文件大小上限10M）；其他技术投标文件可上传至技术部分“专项投标文件”端口（文件大小上限50M）。</w:t>
      </w:r>
    </w:p>
    <w:p w14:paraId="08C90082">
      <w:pPr>
        <w:keepNext w:val="0"/>
        <w:keepLines w:val="0"/>
        <w:pageBreakBefore w:val="0"/>
        <w:widowControl w:val="0"/>
        <w:kinsoku/>
        <w:wordWrap/>
        <w:overflowPunct/>
        <w:topLinePunct w:val="0"/>
        <w:autoSpaceDE/>
        <w:autoSpaceDN/>
        <w:bidi w:val="0"/>
        <w:adjustRightInd w:val="0"/>
        <w:snapToGrid w:val="0"/>
        <w:spacing w:line="460" w:lineRule="exact"/>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系统大部分上传文件格式限定为docx格式的Word文件，将纸质文件签字盖章后扫描为图片再插入Word中即可。</w:t>
      </w:r>
    </w:p>
    <w:p w14:paraId="0D671152">
      <w:pPr>
        <w:keepNext w:val="0"/>
        <w:keepLines w:val="0"/>
        <w:pageBreakBefore w:val="0"/>
        <w:widowControl w:val="0"/>
        <w:kinsoku/>
        <w:wordWrap/>
        <w:overflowPunct/>
        <w:topLinePunct w:val="0"/>
        <w:autoSpaceDE/>
        <w:autoSpaceDN/>
        <w:bidi w:val="0"/>
        <w:adjustRightInd w:val="0"/>
        <w:snapToGrid w:val="0"/>
        <w:spacing w:line="460" w:lineRule="exact"/>
        <w:ind w:firstLine="448" w:firstLineChars="200"/>
        <w:textAlignment w:val="auto"/>
        <w:rPr>
          <w:rFonts w:hint="eastAsia" w:ascii="宋体" w:hAnsi="宋体" w:eastAsia="宋体" w:cs="宋体"/>
          <w:color w:val="000000" w:themeColor="text1"/>
          <w:spacing w:val="7"/>
          <w:sz w:val="21"/>
          <w:szCs w:val="21"/>
          <w:highlight w:val="none"/>
          <w14:textFill>
            <w14:solidFill>
              <w14:schemeClr w14:val="tx1"/>
            </w14:solidFill>
          </w14:textFill>
        </w:rPr>
      </w:pPr>
      <w:r>
        <w:rPr>
          <w:rFonts w:hint="eastAsia" w:ascii="宋体" w:hAnsi="宋体" w:eastAsia="宋体" w:cs="宋体"/>
          <w:color w:val="000000" w:themeColor="text1"/>
          <w:spacing w:val="7"/>
          <w:sz w:val="21"/>
          <w:szCs w:val="21"/>
          <w:highlight w:val="none"/>
          <w14:textFill>
            <w14:solidFill>
              <w14:schemeClr w14:val="tx1"/>
            </w14:solidFill>
          </w14:textFill>
        </w:rPr>
        <w:t>投标人所递交的电子投标文件必须为完整投标内容，评标时投标报价以系统中填报的为准，</w:t>
      </w:r>
      <w:r>
        <w:rPr>
          <w:rFonts w:hint="eastAsia" w:ascii="宋体" w:hAnsi="宋体" w:eastAsia="宋体" w:cs="宋体"/>
          <w:bCs/>
          <w:color w:val="000000" w:themeColor="text1"/>
          <w:sz w:val="21"/>
          <w:szCs w:val="21"/>
          <w:highlight w:val="none"/>
          <w14:textFill>
            <w14:solidFill>
              <w14:schemeClr w14:val="tx1"/>
            </w14:solidFill>
          </w14:textFill>
        </w:rPr>
        <w:t>其余内容均以</w:t>
      </w:r>
      <w:r>
        <w:rPr>
          <w:rFonts w:hint="eastAsia" w:ascii="宋体" w:hAnsi="宋体" w:eastAsia="宋体" w:cs="宋体"/>
          <w:color w:val="000000" w:themeColor="text1"/>
          <w:sz w:val="21"/>
          <w:szCs w:val="21"/>
          <w:highlight w:val="none"/>
          <w14:textFill>
            <w14:solidFill>
              <w14:schemeClr w14:val="tx1"/>
            </w14:solidFill>
          </w14:textFill>
        </w:rPr>
        <w:t>“智慧招投标云平台”</w:t>
      </w:r>
      <w:r>
        <w:rPr>
          <w:rFonts w:hint="eastAsia" w:ascii="宋体" w:hAnsi="宋体" w:eastAsia="宋体" w:cs="宋体"/>
          <w:bCs/>
          <w:color w:val="000000" w:themeColor="text1"/>
          <w:sz w:val="21"/>
          <w:szCs w:val="21"/>
          <w:highlight w:val="none"/>
          <w14:textFill>
            <w14:solidFill>
              <w14:schemeClr w14:val="tx1"/>
            </w14:solidFill>
          </w14:textFill>
        </w:rPr>
        <w:t>发送的投标文件为准</w:t>
      </w:r>
      <w:r>
        <w:rPr>
          <w:rFonts w:hint="eastAsia" w:ascii="宋体" w:hAnsi="宋体" w:eastAsia="宋体" w:cs="宋体"/>
          <w:color w:val="000000" w:themeColor="text1"/>
          <w:spacing w:val="7"/>
          <w:sz w:val="21"/>
          <w:szCs w:val="21"/>
          <w:highlight w:val="none"/>
          <w14:textFill>
            <w14:solidFill>
              <w14:schemeClr w14:val="tx1"/>
            </w14:solidFill>
          </w14:textFill>
        </w:rPr>
        <w:t>。</w:t>
      </w:r>
    </w:p>
    <w:p w14:paraId="4EDD8979">
      <w:pPr>
        <w:keepNext w:val="0"/>
        <w:keepLines w:val="0"/>
        <w:pageBreakBefore w:val="0"/>
        <w:widowControl w:val="0"/>
        <w:kinsoku/>
        <w:wordWrap/>
        <w:overflowPunct/>
        <w:topLinePunct w:val="0"/>
        <w:autoSpaceDE/>
        <w:autoSpaceDN/>
        <w:bidi w:val="0"/>
        <w:adjustRightInd w:val="0"/>
        <w:snapToGrid w:val="0"/>
        <w:spacing w:line="460" w:lineRule="exact"/>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5.5.3 本次招标实行电子化评标，投标人应将投标文件上传“国家电网有限公司电子商务平台-电工交易专区”及“智慧招投标云平台”，投标文件不可读取时，将视为投标文件内容不完整，不做评审。因投标文件不规范造成的一切后果（包括且不限于否决、扣分等情形），由投标人自行承担。</w:t>
      </w:r>
    </w:p>
    <w:p w14:paraId="533C2BBB">
      <w:pPr>
        <w:keepNext w:val="0"/>
        <w:keepLines w:val="0"/>
        <w:pageBreakBefore w:val="0"/>
        <w:widowControl w:val="0"/>
        <w:kinsoku/>
        <w:wordWrap/>
        <w:overflowPunct/>
        <w:topLinePunct w:val="0"/>
        <w:autoSpaceDE/>
        <w:autoSpaceDN/>
        <w:bidi w:val="0"/>
        <w:adjustRightInd w:val="0"/>
        <w:snapToGrid w:val="0"/>
        <w:spacing w:line="460" w:lineRule="exact"/>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5.5.4 上传投标文件前，请在“国家电网有限公司电子商务平台-电工交易专区”上完成账户注册，投标响应时必须使用电子钥匙进行加密。</w:t>
      </w:r>
    </w:p>
    <w:p w14:paraId="69C75FBA">
      <w:pPr>
        <w:keepNext w:val="0"/>
        <w:keepLines w:val="0"/>
        <w:pageBreakBefore w:val="0"/>
        <w:kinsoku/>
        <w:wordWrap/>
        <w:overflowPunct/>
        <w:topLinePunct w:val="0"/>
        <w:autoSpaceDE/>
        <w:autoSpaceDN/>
        <w:bidi w:val="0"/>
        <w:adjustRightInd w:val="0"/>
        <w:snapToGrid w:val="0"/>
        <w:spacing w:line="460" w:lineRule="exact"/>
        <w:ind w:firstLine="422" w:firstLineChars="200"/>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5.</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6</w:t>
      </w:r>
      <w:r>
        <w:rPr>
          <w:rFonts w:hint="eastAsia" w:ascii="宋体" w:hAnsi="宋体" w:eastAsia="宋体" w:cs="宋体"/>
          <w:b/>
          <w:bCs/>
          <w:color w:val="000000" w:themeColor="text1"/>
          <w:sz w:val="21"/>
          <w:szCs w:val="21"/>
          <w:highlight w:val="none"/>
          <w14:textFill>
            <w14:solidFill>
              <w14:schemeClr w14:val="tx1"/>
            </w14:solidFill>
          </w14:textFill>
        </w:rPr>
        <w:t>智慧招投标云</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平台</w:t>
      </w:r>
      <w:r>
        <w:rPr>
          <w:rFonts w:hint="eastAsia" w:ascii="宋体" w:hAnsi="宋体" w:eastAsia="宋体" w:cs="宋体"/>
          <w:b/>
          <w:bCs/>
          <w:color w:val="000000" w:themeColor="text1"/>
          <w:sz w:val="21"/>
          <w:szCs w:val="21"/>
          <w:highlight w:val="none"/>
          <w:lang w:eastAsia="zh-CN"/>
          <w14:textFill>
            <w14:solidFill>
              <w14:schemeClr w14:val="tx1"/>
            </w14:solidFill>
          </w14:textFill>
        </w:rPr>
        <w:t>（</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缴费、保证金等说明）</w:t>
      </w:r>
    </w:p>
    <w:p w14:paraId="00D9A60F">
      <w:pPr>
        <w:pStyle w:val="36"/>
        <w:ind w:left="0" w:leftChars="0" w:firstLine="0" w:firstLineChars="0"/>
        <w:rPr>
          <w:rFonts w:hint="eastAsia" w:ascii="宋体" w:hAnsi="宋体"/>
          <w:b/>
          <w:bCs/>
          <w:color w:val="000000" w:themeColor="text1"/>
          <w:highlight w:val="none"/>
          <w14:textFill>
            <w14:solidFill>
              <w14:schemeClr w14:val="tx1"/>
            </w14:solidFill>
          </w14:textFill>
        </w:rPr>
      </w:pPr>
      <w:r>
        <w:rPr>
          <w:rFonts w:hint="eastAsia" w:ascii="黑体" w:hAnsi="Calibri" w:eastAsia="黑体"/>
          <w:b/>
          <w:sz w:val="24"/>
          <w:highlight w:val="none"/>
        </w:rPr>
        <w:drawing>
          <wp:inline distT="0" distB="0" distL="114300" distR="114300">
            <wp:extent cx="5276850" cy="3521710"/>
            <wp:effectExtent l="0" t="0" r="0" b="2540"/>
            <wp:docPr id="3" name="图片 3" descr="智慧招投标云平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智慧招投标云平台1"/>
                    <pic:cNvPicPr>
                      <a:picLocks noChangeAspect="1"/>
                    </pic:cNvPicPr>
                  </pic:nvPicPr>
                  <pic:blipFill>
                    <a:blip r:embed="rId13"/>
                    <a:stretch>
                      <a:fillRect/>
                    </a:stretch>
                  </pic:blipFill>
                  <pic:spPr>
                    <a:xfrm>
                      <a:off x="0" y="0"/>
                      <a:ext cx="5276850" cy="3521710"/>
                    </a:xfrm>
                    <a:prstGeom prst="rect">
                      <a:avLst/>
                    </a:prstGeom>
                  </pic:spPr>
                </pic:pic>
              </a:graphicData>
            </a:graphic>
          </wp:inline>
        </w:drawing>
      </w:r>
    </w:p>
    <w:p w14:paraId="40AA8633">
      <w:pPr>
        <w:pStyle w:val="32"/>
        <w:spacing w:line="360" w:lineRule="auto"/>
        <w:jc w:val="left"/>
        <w:rPr>
          <w:rFonts w:hint="eastAsia" w:eastAsia="宋体"/>
          <w:lang w:val="en-US" w:eastAsia="zh-CN"/>
        </w:rPr>
      </w:pPr>
      <w:r>
        <w:rPr>
          <w:rFonts w:hint="eastAsia"/>
          <w:b/>
          <w:bCs/>
          <w:color w:val="C00000"/>
          <w:highlight w:val="none"/>
          <w:lang w:val="en-US" w:eastAsia="zh-CN"/>
        </w:rPr>
        <w:t>注：代理服务费的缴纳、保证金退还等相关事宜，请下载上述操作指南说明文件。</w:t>
      </w:r>
      <w:r>
        <w:rPr>
          <w:rFonts w:hint="eastAsia"/>
          <w:color w:val="FF0000"/>
          <w:sz w:val="21"/>
          <w:highlight w:val="none"/>
          <w:lang w:val="en-US" w:eastAsia="zh-CN"/>
        </w:rPr>
        <w:t xml:space="preserve"> </w:t>
      </w:r>
    </w:p>
    <w:sectPr>
      <w:headerReference r:id="rId7" w:type="default"/>
      <w:footerReference r:id="rId8" w:type="default"/>
      <w:pgSz w:w="11906" w:h="16838"/>
      <w:pgMar w:top="1417" w:right="1701" w:bottom="1417" w:left="1701" w:header="851" w:footer="737" w:gutter="0"/>
      <w:pgNumType w:start="1"/>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方正仿宋_GBK">
    <w:panose1 w:val="02000000000000000000"/>
    <w:charset w:val="86"/>
    <w:family w:val="script"/>
    <w:pitch w:val="default"/>
    <w:sig w:usb0="A00002BF" w:usb1="38CF7CFA" w:usb2="00082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874342">
    <w:pPr>
      <w:pStyle w:val="24"/>
      <w:tabs>
        <w:tab w:val="center" w:pos="6979"/>
        <w:tab w:val="clear" w:pos="8306"/>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58420" cy="139700"/>
                      </a:xfrm>
                      <a:prstGeom prst="rect">
                        <a:avLst/>
                      </a:prstGeom>
                      <a:noFill/>
                      <a:ln>
                        <a:noFill/>
                      </a:ln>
                      <a:effectLst/>
                    </wps:spPr>
                    <wps:txbx>
                      <w:txbxContent>
                        <w:p w14:paraId="1CA9AB39">
                          <w:pPr>
                            <w:pStyle w:val="24"/>
                          </w:pPr>
                          <w:r>
                            <w:fldChar w:fldCharType="begin"/>
                          </w:r>
                          <w:r>
                            <w:instrText xml:space="preserve"> PAGE  \* MERGEFORMAT </w:instrText>
                          </w:r>
                          <w:r>
                            <w:fldChar w:fldCharType="separate"/>
                          </w:r>
                          <w:r>
                            <w:t>1</w:t>
                          </w:r>
                          <w:r>
                            <w:fldChar w:fldCharType="end"/>
                          </w:r>
                        </w:p>
                      </w:txbxContent>
                    </wps:txbx>
                    <wps:bodyPr wrap="none" lIns="0" tIns="0" rIns="0" bIns="0" upright="1">
                      <a:spAutoFit/>
                    </wps:bodyPr>
                  </wps:wsp>
                </a:graphicData>
              </a:graphic>
            </wp:anchor>
          </w:drawing>
        </mc:Choice>
        <mc:Fallback>
          <w:pict>
            <v:shape id="文本框 1"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JZAs3DTAQAApAMAAA4AAABkcnMvZTJvRG9jLnhtbK1TS27bMBDdF8gd&#10;CO5rSe4vFSwHDYwUBYq2QJID0BRpEeAPHNqSL9DeoKtuuu+5fI4OKclp000W3UjDmdHje29Gq6vB&#10;aHIQAZSzDa0WJSXCctcqu2vo/d3N80tKIDLbMu2saOhRAL1aXzxb9b4WS9c53YpAEMRC3fuGdjH6&#10;uiiAd8IwWDgvLBalC4ZFPIZd0QbWI7rRxbIsXxe9C60PjgsAzG7GIp0Qw1MAnZSKi43jeyNsHFGD&#10;0CyiJOiUB7rObKUUPH6WEkQkuqGoNOYnXoLxNj2L9YrVu8B8p/hEgT2FwiNNhimLl56hNiwysg/q&#10;HyijeHDgZFxwZ4pRSHYEVVTlI29uO+ZF1oJWgz+bDv8Pln86fAlEtQ1dUmKZwYGfvn87/fh1+vmV&#10;VMme3kONXbce++Jw7QZcmjkPmEyqBxlMeqMegnU093g2VwyRcEy+uny5xALHSvXi7Zsye188fOsD&#10;xPfCGZKChgYcXXaUHT5CRB7YOrekq6y7UVrn8Wn7VwIbx4zI85++TjJGuimKw3aYtG1de0RpPe5A&#10;Qy2uPCX6g0WL07rMQZiD7RzsfVC7DolWmSX4d/uIlDLTdMMIi7TTAYeXBUyLlrbjz3Puevi51r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y1u5d9AAAAACAQAADwAAAAAAAAABACAAAAAiAAAAZHJz&#10;L2Rvd25yZXYueG1sUEsBAhQAFAAAAAgAh07iQJZAs3DTAQAApAMAAA4AAAAAAAAAAQAgAAAAHwEA&#10;AGRycy9lMm9Eb2MueG1sUEsFBgAAAAAGAAYAWQEAAGQFAAAAAA==&#10;">
              <v:fill on="f" focussize="0,0"/>
              <v:stroke on="f"/>
              <v:imagedata o:title=""/>
              <o:lock v:ext="edit" aspectratio="f"/>
              <v:textbox inset="0mm,0mm,0mm,0mm" style="mso-fit-shape-to-text:t;">
                <w:txbxContent>
                  <w:p w14:paraId="1CA9AB39">
                    <w:pPr>
                      <w:pStyle w:val="24"/>
                    </w:pPr>
                    <w:r>
                      <w:fldChar w:fldCharType="begin"/>
                    </w:r>
                    <w:r>
                      <w:instrText xml:space="preserve"> PAGE  \* MERGEFORMAT </w:instrText>
                    </w:r>
                    <w:r>
                      <w:fldChar w:fldCharType="separate"/>
                    </w:r>
                    <w:r>
                      <w:t>1</w:t>
                    </w:r>
                    <w:r>
                      <w:fldChar w:fldCharType="end"/>
                    </w:r>
                  </w:p>
                </w:txbxContent>
              </v:textbox>
            </v:shape>
          </w:pict>
        </mc:Fallback>
      </mc:AlternateContent>
    </w:r>
    <w: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B78EB">
    <w:pPr>
      <w:pStyle w:val="2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E372D1">
    <w:pPr>
      <w:pStyle w:val="25"/>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C224BB">
    <w:pPr>
      <w:pStyle w:val="25"/>
      <w:pBdr>
        <w:bottom w:val="none" w:color="auto" w:sz="0" w:space="1"/>
      </w:pBdr>
      <w:spacing w:line="240" w:lineRule="auto"/>
      <w:ind w:firstLine="36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EF80DE5"/>
    <w:multiLevelType w:val="multilevel"/>
    <w:tmpl w:val="2EF80DE5"/>
    <w:lvl w:ilvl="0" w:tentative="0">
      <w:start w:val="1"/>
      <w:numFmt w:val="decimal"/>
      <w:pStyle w:val="3"/>
      <w:suff w:val="space"/>
      <w:lvlText w:val="%1"/>
      <w:lvlJc w:val="left"/>
      <w:pPr>
        <w:ind w:left="4111" w:firstLine="0"/>
      </w:pPr>
      <w:rPr>
        <w:rFonts w:hint="eastAsia"/>
      </w:rPr>
    </w:lvl>
    <w:lvl w:ilvl="1" w:tentative="0">
      <w:start w:val="1"/>
      <w:numFmt w:val="decimal"/>
      <w:pStyle w:val="4"/>
      <w:suff w:val="space"/>
      <w:lvlText w:val="%1.%2"/>
      <w:lvlJc w:val="left"/>
      <w:pPr>
        <w:ind w:left="0" w:firstLine="0"/>
      </w:pPr>
      <w:rPr>
        <w:rFonts w:hint="eastAsia"/>
      </w:rPr>
    </w:lvl>
    <w:lvl w:ilvl="2" w:tentative="0">
      <w:start w:val="1"/>
      <w:numFmt w:val="decimal"/>
      <w:pStyle w:val="5"/>
      <w:suff w:val="space"/>
      <w:lvlText w:val="%1.%2.%3"/>
      <w:lvlJc w:val="left"/>
      <w:pPr>
        <w:ind w:left="0" w:firstLine="0"/>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noLineBreaksAfter w:lang="zh-CN" w:val="$([{£¥·‘“〈《「『【〔〖〝﹙﹛﹝＄（．［｛￡￥"/>
  <w:noLineBreaksBefore w:lang="zh-CN" w:val="!%),.:;&gt;?]}¢¨°·ˇˉ―‖’”…‰′″›℃∶、。〃〉》」』】〕〗〞︶︺︾﹀﹄﹚﹜﹞！＂％＇），．：；？］｀｜｝～￠"/>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Q3NjQxYmZmN2ZkODIxYWNiNTEzMzQyMTZmNzQ1MmMifQ=="/>
  </w:docVars>
  <w:rsids>
    <w:rsidRoot w:val="00172A27"/>
    <w:rsid w:val="0000297B"/>
    <w:rsid w:val="00002DB3"/>
    <w:rsid w:val="00017118"/>
    <w:rsid w:val="0001727C"/>
    <w:rsid w:val="00021D7F"/>
    <w:rsid w:val="00021F10"/>
    <w:rsid w:val="000221E9"/>
    <w:rsid w:val="000269DD"/>
    <w:rsid w:val="00027983"/>
    <w:rsid w:val="00031587"/>
    <w:rsid w:val="00034FDC"/>
    <w:rsid w:val="000353A5"/>
    <w:rsid w:val="00035651"/>
    <w:rsid w:val="0003694D"/>
    <w:rsid w:val="00036CB4"/>
    <w:rsid w:val="00040CDB"/>
    <w:rsid w:val="000416DF"/>
    <w:rsid w:val="000439DF"/>
    <w:rsid w:val="000465C4"/>
    <w:rsid w:val="000504A8"/>
    <w:rsid w:val="00050986"/>
    <w:rsid w:val="00050D2D"/>
    <w:rsid w:val="0005162D"/>
    <w:rsid w:val="00051F44"/>
    <w:rsid w:val="000520A5"/>
    <w:rsid w:val="0005290D"/>
    <w:rsid w:val="00052992"/>
    <w:rsid w:val="00056D1C"/>
    <w:rsid w:val="000571A2"/>
    <w:rsid w:val="00057EF6"/>
    <w:rsid w:val="000626D9"/>
    <w:rsid w:val="00063875"/>
    <w:rsid w:val="000642FC"/>
    <w:rsid w:val="000674D3"/>
    <w:rsid w:val="00070049"/>
    <w:rsid w:val="00072DA3"/>
    <w:rsid w:val="00073C68"/>
    <w:rsid w:val="000745D5"/>
    <w:rsid w:val="00074A68"/>
    <w:rsid w:val="000766EA"/>
    <w:rsid w:val="00076E6F"/>
    <w:rsid w:val="000806E8"/>
    <w:rsid w:val="00081A40"/>
    <w:rsid w:val="00081D73"/>
    <w:rsid w:val="0008235C"/>
    <w:rsid w:val="00085457"/>
    <w:rsid w:val="0008566A"/>
    <w:rsid w:val="0008788B"/>
    <w:rsid w:val="000918E8"/>
    <w:rsid w:val="00091D87"/>
    <w:rsid w:val="0009207D"/>
    <w:rsid w:val="000925E2"/>
    <w:rsid w:val="0009541F"/>
    <w:rsid w:val="000974B5"/>
    <w:rsid w:val="000A0815"/>
    <w:rsid w:val="000A1C97"/>
    <w:rsid w:val="000A39F4"/>
    <w:rsid w:val="000A5ADB"/>
    <w:rsid w:val="000A5EF0"/>
    <w:rsid w:val="000A76DA"/>
    <w:rsid w:val="000B16E8"/>
    <w:rsid w:val="000B2763"/>
    <w:rsid w:val="000B5756"/>
    <w:rsid w:val="000B709A"/>
    <w:rsid w:val="000C30C7"/>
    <w:rsid w:val="000C41FC"/>
    <w:rsid w:val="000C547E"/>
    <w:rsid w:val="000C6378"/>
    <w:rsid w:val="000C79CA"/>
    <w:rsid w:val="000D2801"/>
    <w:rsid w:val="000D4C17"/>
    <w:rsid w:val="000D7756"/>
    <w:rsid w:val="000E063C"/>
    <w:rsid w:val="000F03FF"/>
    <w:rsid w:val="000F322E"/>
    <w:rsid w:val="000F33E0"/>
    <w:rsid w:val="000F5146"/>
    <w:rsid w:val="000F5F1D"/>
    <w:rsid w:val="000F6824"/>
    <w:rsid w:val="000F695E"/>
    <w:rsid w:val="000F70D8"/>
    <w:rsid w:val="0010025A"/>
    <w:rsid w:val="00101885"/>
    <w:rsid w:val="00101F1A"/>
    <w:rsid w:val="001020A8"/>
    <w:rsid w:val="00103A1A"/>
    <w:rsid w:val="00104CFA"/>
    <w:rsid w:val="001056A4"/>
    <w:rsid w:val="00106101"/>
    <w:rsid w:val="001109F3"/>
    <w:rsid w:val="00110E43"/>
    <w:rsid w:val="00111A3B"/>
    <w:rsid w:val="001127D3"/>
    <w:rsid w:val="00112949"/>
    <w:rsid w:val="00113C6A"/>
    <w:rsid w:val="00113CAA"/>
    <w:rsid w:val="00115EA0"/>
    <w:rsid w:val="00116135"/>
    <w:rsid w:val="00116569"/>
    <w:rsid w:val="00117045"/>
    <w:rsid w:val="00122DB3"/>
    <w:rsid w:val="0012343A"/>
    <w:rsid w:val="001271C6"/>
    <w:rsid w:val="0012728D"/>
    <w:rsid w:val="00127FC0"/>
    <w:rsid w:val="0013007A"/>
    <w:rsid w:val="0013698C"/>
    <w:rsid w:val="001378B8"/>
    <w:rsid w:val="001437BE"/>
    <w:rsid w:val="001438B8"/>
    <w:rsid w:val="00145B8B"/>
    <w:rsid w:val="00146417"/>
    <w:rsid w:val="00147972"/>
    <w:rsid w:val="0015028F"/>
    <w:rsid w:val="00153866"/>
    <w:rsid w:val="00153B7A"/>
    <w:rsid w:val="00160047"/>
    <w:rsid w:val="001603DF"/>
    <w:rsid w:val="001629C4"/>
    <w:rsid w:val="001661C7"/>
    <w:rsid w:val="00172E19"/>
    <w:rsid w:val="001742A2"/>
    <w:rsid w:val="00175DE9"/>
    <w:rsid w:val="00177767"/>
    <w:rsid w:val="00184E91"/>
    <w:rsid w:val="001850D3"/>
    <w:rsid w:val="00186F61"/>
    <w:rsid w:val="00186FC9"/>
    <w:rsid w:val="001924EF"/>
    <w:rsid w:val="00192675"/>
    <w:rsid w:val="00193D31"/>
    <w:rsid w:val="00194A6A"/>
    <w:rsid w:val="0019513B"/>
    <w:rsid w:val="00196892"/>
    <w:rsid w:val="001A1DD9"/>
    <w:rsid w:val="001A2DDE"/>
    <w:rsid w:val="001A30CA"/>
    <w:rsid w:val="001A49A8"/>
    <w:rsid w:val="001A798C"/>
    <w:rsid w:val="001B0464"/>
    <w:rsid w:val="001B05F1"/>
    <w:rsid w:val="001B0CCE"/>
    <w:rsid w:val="001B5059"/>
    <w:rsid w:val="001B5954"/>
    <w:rsid w:val="001C388A"/>
    <w:rsid w:val="001C4AB0"/>
    <w:rsid w:val="001C765C"/>
    <w:rsid w:val="001D1666"/>
    <w:rsid w:val="001D36AC"/>
    <w:rsid w:val="001D452C"/>
    <w:rsid w:val="001D48EB"/>
    <w:rsid w:val="001D6BFF"/>
    <w:rsid w:val="001E470F"/>
    <w:rsid w:val="001E6D08"/>
    <w:rsid w:val="001E7D0D"/>
    <w:rsid w:val="001E7DF0"/>
    <w:rsid w:val="001F10A0"/>
    <w:rsid w:val="001F3656"/>
    <w:rsid w:val="001F4148"/>
    <w:rsid w:val="001F415B"/>
    <w:rsid w:val="001F5BFA"/>
    <w:rsid w:val="001F63CE"/>
    <w:rsid w:val="001F654A"/>
    <w:rsid w:val="001F7C13"/>
    <w:rsid w:val="002002AD"/>
    <w:rsid w:val="0020068E"/>
    <w:rsid w:val="00200FE0"/>
    <w:rsid w:val="002019E5"/>
    <w:rsid w:val="00203E50"/>
    <w:rsid w:val="00206D54"/>
    <w:rsid w:val="00216024"/>
    <w:rsid w:val="002167F1"/>
    <w:rsid w:val="00220658"/>
    <w:rsid w:val="002212BE"/>
    <w:rsid w:val="00223ED0"/>
    <w:rsid w:val="00224C55"/>
    <w:rsid w:val="00224E41"/>
    <w:rsid w:val="002252B7"/>
    <w:rsid w:val="00225EE9"/>
    <w:rsid w:val="002265F4"/>
    <w:rsid w:val="002271D7"/>
    <w:rsid w:val="0023092C"/>
    <w:rsid w:val="00233850"/>
    <w:rsid w:val="00236112"/>
    <w:rsid w:val="00236667"/>
    <w:rsid w:val="0023682C"/>
    <w:rsid w:val="00237F94"/>
    <w:rsid w:val="002444CD"/>
    <w:rsid w:val="00245999"/>
    <w:rsid w:val="00247644"/>
    <w:rsid w:val="00251E04"/>
    <w:rsid w:val="002523D6"/>
    <w:rsid w:val="00252D15"/>
    <w:rsid w:val="00256D34"/>
    <w:rsid w:val="00262B48"/>
    <w:rsid w:val="0026361B"/>
    <w:rsid w:val="00264458"/>
    <w:rsid w:val="002675F9"/>
    <w:rsid w:val="00273788"/>
    <w:rsid w:val="00275455"/>
    <w:rsid w:val="00276EE6"/>
    <w:rsid w:val="00280F54"/>
    <w:rsid w:val="0028128F"/>
    <w:rsid w:val="00281C96"/>
    <w:rsid w:val="00281F48"/>
    <w:rsid w:val="00285C9F"/>
    <w:rsid w:val="00292E9A"/>
    <w:rsid w:val="00296EC4"/>
    <w:rsid w:val="00297196"/>
    <w:rsid w:val="002A1F0A"/>
    <w:rsid w:val="002A4526"/>
    <w:rsid w:val="002A61EB"/>
    <w:rsid w:val="002A64CA"/>
    <w:rsid w:val="002A6B29"/>
    <w:rsid w:val="002B781C"/>
    <w:rsid w:val="002C136E"/>
    <w:rsid w:val="002C34B8"/>
    <w:rsid w:val="002C38F2"/>
    <w:rsid w:val="002C61B2"/>
    <w:rsid w:val="002D0BE5"/>
    <w:rsid w:val="002D2054"/>
    <w:rsid w:val="002D25B2"/>
    <w:rsid w:val="002D2620"/>
    <w:rsid w:val="002D32C8"/>
    <w:rsid w:val="002D5F21"/>
    <w:rsid w:val="002D7F8A"/>
    <w:rsid w:val="002E097B"/>
    <w:rsid w:val="002E0A03"/>
    <w:rsid w:val="002E28BD"/>
    <w:rsid w:val="002E3789"/>
    <w:rsid w:val="002E417C"/>
    <w:rsid w:val="002E47F5"/>
    <w:rsid w:val="002F0F47"/>
    <w:rsid w:val="002F20F0"/>
    <w:rsid w:val="002F2B4D"/>
    <w:rsid w:val="002F3FDB"/>
    <w:rsid w:val="002F5E5A"/>
    <w:rsid w:val="00301671"/>
    <w:rsid w:val="003023F4"/>
    <w:rsid w:val="003060D1"/>
    <w:rsid w:val="0030694D"/>
    <w:rsid w:val="003076EC"/>
    <w:rsid w:val="00310CB6"/>
    <w:rsid w:val="00310D04"/>
    <w:rsid w:val="003129DB"/>
    <w:rsid w:val="00313E20"/>
    <w:rsid w:val="003141A9"/>
    <w:rsid w:val="0031663E"/>
    <w:rsid w:val="003168B5"/>
    <w:rsid w:val="00316A5B"/>
    <w:rsid w:val="003179A7"/>
    <w:rsid w:val="00317CFF"/>
    <w:rsid w:val="00320783"/>
    <w:rsid w:val="00322A22"/>
    <w:rsid w:val="00322A78"/>
    <w:rsid w:val="003233FF"/>
    <w:rsid w:val="00323FB8"/>
    <w:rsid w:val="00326F91"/>
    <w:rsid w:val="00327D90"/>
    <w:rsid w:val="00337E73"/>
    <w:rsid w:val="00340403"/>
    <w:rsid w:val="003405C6"/>
    <w:rsid w:val="00342461"/>
    <w:rsid w:val="00344D44"/>
    <w:rsid w:val="0034623D"/>
    <w:rsid w:val="003524B7"/>
    <w:rsid w:val="00354D59"/>
    <w:rsid w:val="00354DE4"/>
    <w:rsid w:val="00356ACD"/>
    <w:rsid w:val="0036175D"/>
    <w:rsid w:val="003660E6"/>
    <w:rsid w:val="00367485"/>
    <w:rsid w:val="00367C30"/>
    <w:rsid w:val="00370827"/>
    <w:rsid w:val="00370D22"/>
    <w:rsid w:val="00372AA4"/>
    <w:rsid w:val="003732A2"/>
    <w:rsid w:val="0037564E"/>
    <w:rsid w:val="00375D3E"/>
    <w:rsid w:val="00376A5C"/>
    <w:rsid w:val="00376DA5"/>
    <w:rsid w:val="00377236"/>
    <w:rsid w:val="00383335"/>
    <w:rsid w:val="0038537A"/>
    <w:rsid w:val="0038578A"/>
    <w:rsid w:val="00385EE9"/>
    <w:rsid w:val="00386ADB"/>
    <w:rsid w:val="0038762C"/>
    <w:rsid w:val="003906F3"/>
    <w:rsid w:val="003910FD"/>
    <w:rsid w:val="00397C18"/>
    <w:rsid w:val="003A0A84"/>
    <w:rsid w:val="003A1633"/>
    <w:rsid w:val="003A1E1A"/>
    <w:rsid w:val="003A27DF"/>
    <w:rsid w:val="003A6697"/>
    <w:rsid w:val="003A7ABF"/>
    <w:rsid w:val="003B11A4"/>
    <w:rsid w:val="003B1281"/>
    <w:rsid w:val="003B4765"/>
    <w:rsid w:val="003B6D98"/>
    <w:rsid w:val="003C09D3"/>
    <w:rsid w:val="003C10EA"/>
    <w:rsid w:val="003C34E4"/>
    <w:rsid w:val="003C44E0"/>
    <w:rsid w:val="003C6739"/>
    <w:rsid w:val="003C68EF"/>
    <w:rsid w:val="003C7A91"/>
    <w:rsid w:val="003D22E6"/>
    <w:rsid w:val="003D2E57"/>
    <w:rsid w:val="003D31BB"/>
    <w:rsid w:val="003D36C6"/>
    <w:rsid w:val="003D4EC5"/>
    <w:rsid w:val="003D51B8"/>
    <w:rsid w:val="003D56D6"/>
    <w:rsid w:val="003D6014"/>
    <w:rsid w:val="003D6CEF"/>
    <w:rsid w:val="003E0344"/>
    <w:rsid w:val="003E33C8"/>
    <w:rsid w:val="003E432B"/>
    <w:rsid w:val="003E4FAC"/>
    <w:rsid w:val="003E57E6"/>
    <w:rsid w:val="003E588E"/>
    <w:rsid w:val="003E7051"/>
    <w:rsid w:val="003F0945"/>
    <w:rsid w:val="003F0BA1"/>
    <w:rsid w:val="003F136F"/>
    <w:rsid w:val="003F50E9"/>
    <w:rsid w:val="003F75BC"/>
    <w:rsid w:val="003F7A40"/>
    <w:rsid w:val="00403567"/>
    <w:rsid w:val="00403925"/>
    <w:rsid w:val="0040506B"/>
    <w:rsid w:val="00406A30"/>
    <w:rsid w:val="00406DA2"/>
    <w:rsid w:val="00414821"/>
    <w:rsid w:val="00414BA2"/>
    <w:rsid w:val="00415844"/>
    <w:rsid w:val="00417318"/>
    <w:rsid w:val="004211B5"/>
    <w:rsid w:val="0042125A"/>
    <w:rsid w:val="004218D9"/>
    <w:rsid w:val="00431A7F"/>
    <w:rsid w:val="00432B5B"/>
    <w:rsid w:val="00433410"/>
    <w:rsid w:val="0043406B"/>
    <w:rsid w:val="004406C3"/>
    <w:rsid w:val="00443299"/>
    <w:rsid w:val="004444E4"/>
    <w:rsid w:val="00444F79"/>
    <w:rsid w:val="00450D57"/>
    <w:rsid w:val="004543B8"/>
    <w:rsid w:val="004579FC"/>
    <w:rsid w:val="00457D7A"/>
    <w:rsid w:val="0046050C"/>
    <w:rsid w:val="00463BEC"/>
    <w:rsid w:val="004669C6"/>
    <w:rsid w:val="004715CC"/>
    <w:rsid w:val="00474C07"/>
    <w:rsid w:val="00474CB9"/>
    <w:rsid w:val="00480D34"/>
    <w:rsid w:val="0048157F"/>
    <w:rsid w:val="004847D0"/>
    <w:rsid w:val="0048543E"/>
    <w:rsid w:val="0048791B"/>
    <w:rsid w:val="004912A2"/>
    <w:rsid w:val="004914B7"/>
    <w:rsid w:val="00492D4D"/>
    <w:rsid w:val="00496989"/>
    <w:rsid w:val="004971E0"/>
    <w:rsid w:val="004A1CAC"/>
    <w:rsid w:val="004A3D74"/>
    <w:rsid w:val="004A4C1B"/>
    <w:rsid w:val="004A5ADA"/>
    <w:rsid w:val="004A67D8"/>
    <w:rsid w:val="004B05E7"/>
    <w:rsid w:val="004B1319"/>
    <w:rsid w:val="004B1F82"/>
    <w:rsid w:val="004B44B1"/>
    <w:rsid w:val="004B4721"/>
    <w:rsid w:val="004B7E8D"/>
    <w:rsid w:val="004C04BB"/>
    <w:rsid w:val="004C13C0"/>
    <w:rsid w:val="004C3016"/>
    <w:rsid w:val="004C3B7C"/>
    <w:rsid w:val="004C5949"/>
    <w:rsid w:val="004C609E"/>
    <w:rsid w:val="004C6120"/>
    <w:rsid w:val="004C6214"/>
    <w:rsid w:val="004C6EE4"/>
    <w:rsid w:val="004D0062"/>
    <w:rsid w:val="004D3DD8"/>
    <w:rsid w:val="004D56CC"/>
    <w:rsid w:val="004E00CA"/>
    <w:rsid w:val="004E112E"/>
    <w:rsid w:val="004E159C"/>
    <w:rsid w:val="004E4F65"/>
    <w:rsid w:val="004E5D56"/>
    <w:rsid w:val="004E7366"/>
    <w:rsid w:val="004F4634"/>
    <w:rsid w:val="004F665C"/>
    <w:rsid w:val="00501809"/>
    <w:rsid w:val="0050386B"/>
    <w:rsid w:val="00512468"/>
    <w:rsid w:val="00513BCB"/>
    <w:rsid w:val="005220B9"/>
    <w:rsid w:val="005235ED"/>
    <w:rsid w:val="00524CEB"/>
    <w:rsid w:val="005260E3"/>
    <w:rsid w:val="0052667F"/>
    <w:rsid w:val="00526C34"/>
    <w:rsid w:val="00527019"/>
    <w:rsid w:val="005271B4"/>
    <w:rsid w:val="005318BD"/>
    <w:rsid w:val="005358FC"/>
    <w:rsid w:val="005376A5"/>
    <w:rsid w:val="00537E95"/>
    <w:rsid w:val="00540CA7"/>
    <w:rsid w:val="0054135F"/>
    <w:rsid w:val="00541855"/>
    <w:rsid w:val="00541F69"/>
    <w:rsid w:val="005446FE"/>
    <w:rsid w:val="00544778"/>
    <w:rsid w:val="00544C5F"/>
    <w:rsid w:val="00545525"/>
    <w:rsid w:val="00545BD0"/>
    <w:rsid w:val="00546837"/>
    <w:rsid w:val="00547DC2"/>
    <w:rsid w:val="005513F3"/>
    <w:rsid w:val="005520B9"/>
    <w:rsid w:val="00552946"/>
    <w:rsid w:val="005611A2"/>
    <w:rsid w:val="00561EE1"/>
    <w:rsid w:val="00562CFF"/>
    <w:rsid w:val="005651E5"/>
    <w:rsid w:val="005659C6"/>
    <w:rsid w:val="00565A38"/>
    <w:rsid w:val="00565F62"/>
    <w:rsid w:val="00566C46"/>
    <w:rsid w:val="00567E59"/>
    <w:rsid w:val="00571218"/>
    <w:rsid w:val="00572DB6"/>
    <w:rsid w:val="00572E1E"/>
    <w:rsid w:val="00573A72"/>
    <w:rsid w:val="00574871"/>
    <w:rsid w:val="00577472"/>
    <w:rsid w:val="0058030A"/>
    <w:rsid w:val="00584488"/>
    <w:rsid w:val="00585EBE"/>
    <w:rsid w:val="005861A8"/>
    <w:rsid w:val="00586DFF"/>
    <w:rsid w:val="00586E2A"/>
    <w:rsid w:val="0059029B"/>
    <w:rsid w:val="00591F49"/>
    <w:rsid w:val="00592182"/>
    <w:rsid w:val="00593DC1"/>
    <w:rsid w:val="00593EE3"/>
    <w:rsid w:val="00595F5F"/>
    <w:rsid w:val="0059634B"/>
    <w:rsid w:val="00597523"/>
    <w:rsid w:val="00597919"/>
    <w:rsid w:val="005A0BDD"/>
    <w:rsid w:val="005A0EAC"/>
    <w:rsid w:val="005A2649"/>
    <w:rsid w:val="005A6F05"/>
    <w:rsid w:val="005A7B6C"/>
    <w:rsid w:val="005B16DB"/>
    <w:rsid w:val="005B2064"/>
    <w:rsid w:val="005B6022"/>
    <w:rsid w:val="005C33F9"/>
    <w:rsid w:val="005C3FC5"/>
    <w:rsid w:val="005C5CB3"/>
    <w:rsid w:val="005C640C"/>
    <w:rsid w:val="005C7150"/>
    <w:rsid w:val="005C7BF1"/>
    <w:rsid w:val="005D1EBF"/>
    <w:rsid w:val="005D2EB8"/>
    <w:rsid w:val="005D4655"/>
    <w:rsid w:val="005D5884"/>
    <w:rsid w:val="005D67E6"/>
    <w:rsid w:val="005E0A81"/>
    <w:rsid w:val="005E0BEC"/>
    <w:rsid w:val="005E2BDA"/>
    <w:rsid w:val="005E4C5A"/>
    <w:rsid w:val="005E5C2F"/>
    <w:rsid w:val="005E6125"/>
    <w:rsid w:val="005E7A2A"/>
    <w:rsid w:val="005E7A56"/>
    <w:rsid w:val="005F01C8"/>
    <w:rsid w:val="005F0B69"/>
    <w:rsid w:val="005F0CD4"/>
    <w:rsid w:val="0060365F"/>
    <w:rsid w:val="00606ADA"/>
    <w:rsid w:val="00612352"/>
    <w:rsid w:val="006128CE"/>
    <w:rsid w:val="006159CC"/>
    <w:rsid w:val="00616C3F"/>
    <w:rsid w:val="006177E0"/>
    <w:rsid w:val="00623929"/>
    <w:rsid w:val="006265BB"/>
    <w:rsid w:val="0062727C"/>
    <w:rsid w:val="00631BB6"/>
    <w:rsid w:val="00632DC1"/>
    <w:rsid w:val="006334AD"/>
    <w:rsid w:val="006342FB"/>
    <w:rsid w:val="00634450"/>
    <w:rsid w:val="006347AF"/>
    <w:rsid w:val="00636010"/>
    <w:rsid w:val="006369B7"/>
    <w:rsid w:val="0064091C"/>
    <w:rsid w:val="00640B6F"/>
    <w:rsid w:val="0064198E"/>
    <w:rsid w:val="00644AA4"/>
    <w:rsid w:val="0064620D"/>
    <w:rsid w:val="006463A1"/>
    <w:rsid w:val="00646DC8"/>
    <w:rsid w:val="00652D45"/>
    <w:rsid w:val="00653C93"/>
    <w:rsid w:val="00653DAF"/>
    <w:rsid w:val="006554A4"/>
    <w:rsid w:val="0065603A"/>
    <w:rsid w:val="00656966"/>
    <w:rsid w:val="006569EC"/>
    <w:rsid w:val="0065769F"/>
    <w:rsid w:val="00660D2D"/>
    <w:rsid w:val="00661CD7"/>
    <w:rsid w:val="00661D5D"/>
    <w:rsid w:val="00661FE4"/>
    <w:rsid w:val="00662887"/>
    <w:rsid w:val="00670E4A"/>
    <w:rsid w:val="00671745"/>
    <w:rsid w:val="006731C7"/>
    <w:rsid w:val="006731DC"/>
    <w:rsid w:val="006805A9"/>
    <w:rsid w:val="006825C2"/>
    <w:rsid w:val="00684BAB"/>
    <w:rsid w:val="00690833"/>
    <w:rsid w:val="006929A5"/>
    <w:rsid w:val="00693DA3"/>
    <w:rsid w:val="00696EA8"/>
    <w:rsid w:val="006A409C"/>
    <w:rsid w:val="006A6CE5"/>
    <w:rsid w:val="006B0328"/>
    <w:rsid w:val="006B0DF7"/>
    <w:rsid w:val="006B1F42"/>
    <w:rsid w:val="006B54B1"/>
    <w:rsid w:val="006C0BF5"/>
    <w:rsid w:val="006C1F20"/>
    <w:rsid w:val="006D1C66"/>
    <w:rsid w:val="006E0286"/>
    <w:rsid w:val="006E1E83"/>
    <w:rsid w:val="006E327C"/>
    <w:rsid w:val="006E3F55"/>
    <w:rsid w:val="006E66BE"/>
    <w:rsid w:val="006F1E0B"/>
    <w:rsid w:val="006F673D"/>
    <w:rsid w:val="0070135C"/>
    <w:rsid w:val="007045C2"/>
    <w:rsid w:val="00704801"/>
    <w:rsid w:val="0070679E"/>
    <w:rsid w:val="00710B3F"/>
    <w:rsid w:val="00711A6F"/>
    <w:rsid w:val="00711A98"/>
    <w:rsid w:val="00713F03"/>
    <w:rsid w:val="00715B42"/>
    <w:rsid w:val="00715CBB"/>
    <w:rsid w:val="00715D7C"/>
    <w:rsid w:val="00715EB1"/>
    <w:rsid w:val="00720524"/>
    <w:rsid w:val="00720A2D"/>
    <w:rsid w:val="00724F59"/>
    <w:rsid w:val="00725D42"/>
    <w:rsid w:val="00740DDE"/>
    <w:rsid w:val="0074156F"/>
    <w:rsid w:val="007424F7"/>
    <w:rsid w:val="007473D4"/>
    <w:rsid w:val="007503A5"/>
    <w:rsid w:val="0075347C"/>
    <w:rsid w:val="00753535"/>
    <w:rsid w:val="00754403"/>
    <w:rsid w:val="007544FD"/>
    <w:rsid w:val="00755D2A"/>
    <w:rsid w:val="00757B40"/>
    <w:rsid w:val="0076155A"/>
    <w:rsid w:val="007626F9"/>
    <w:rsid w:val="00765C0E"/>
    <w:rsid w:val="00765DA1"/>
    <w:rsid w:val="00765DFC"/>
    <w:rsid w:val="00766BBE"/>
    <w:rsid w:val="00772B9C"/>
    <w:rsid w:val="00772D80"/>
    <w:rsid w:val="00773BC7"/>
    <w:rsid w:val="00774C9B"/>
    <w:rsid w:val="007764FC"/>
    <w:rsid w:val="00777171"/>
    <w:rsid w:val="00777804"/>
    <w:rsid w:val="00782F69"/>
    <w:rsid w:val="00784976"/>
    <w:rsid w:val="00784B26"/>
    <w:rsid w:val="00786755"/>
    <w:rsid w:val="00790D44"/>
    <w:rsid w:val="0079172F"/>
    <w:rsid w:val="007A02BE"/>
    <w:rsid w:val="007A1682"/>
    <w:rsid w:val="007A1EF9"/>
    <w:rsid w:val="007A1FA1"/>
    <w:rsid w:val="007A395D"/>
    <w:rsid w:val="007A6395"/>
    <w:rsid w:val="007B09C5"/>
    <w:rsid w:val="007B3428"/>
    <w:rsid w:val="007B452D"/>
    <w:rsid w:val="007B4AC9"/>
    <w:rsid w:val="007B5462"/>
    <w:rsid w:val="007B644B"/>
    <w:rsid w:val="007B6B74"/>
    <w:rsid w:val="007B74AA"/>
    <w:rsid w:val="007B7ED5"/>
    <w:rsid w:val="007C5240"/>
    <w:rsid w:val="007D3BAE"/>
    <w:rsid w:val="007D4B6B"/>
    <w:rsid w:val="007D748F"/>
    <w:rsid w:val="007E2D0C"/>
    <w:rsid w:val="007E62C3"/>
    <w:rsid w:val="007E68BC"/>
    <w:rsid w:val="007F2425"/>
    <w:rsid w:val="007F3B6A"/>
    <w:rsid w:val="007F48F8"/>
    <w:rsid w:val="007F54B0"/>
    <w:rsid w:val="007F5574"/>
    <w:rsid w:val="007F55CF"/>
    <w:rsid w:val="007F69D7"/>
    <w:rsid w:val="007F6C6E"/>
    <w:rsid w:val="007F6C94"/>
    <w:rsid w:val="008010AD"/>
    <w:rsid w:val="008052C9"/>
    <w:rsid w:val="008075A7"/>
    <w:rsid w:val="008078E1"/>
    <w:rsid w:val="008126CE"/>
    <w:rsid w:val="00813F43"/>
    <w:rsid w:val="0081747E"/>
    <w:rsid w:val="0082137D"/>
    <w:rsid w:val="00821FCE"/>
    <w:rsid w:val="008235E5"/>
    <w:rsid w:val="00827848"/>
    <w:rsid w:val="00827AAD"/>
    <w:rsid w:val="00831BD5"/>
    <w:rsid w:val="00832930"/>
    <w:rsid w:val="008337DE"/>
    <w:rsid w:val="00835623"/>
    <w:rsid w:val="00836A9E"/>
    <w:rsid w:val="0084079F"/>
    <w:rsid w:val="008435AC"/>
    <w:rsid w:val="008449EA"/>
    <w:rsid w:val="00851847"/>
    <w:rsid w:val="00851C12"/>
    <w:rsid w:val="008532AF"/>
    <w:rsid w:val="00854C7E"/>
    <w:rsid w:val="008601B0"/>
    <w:rsid w:val="008602D5"/>
    <w:rsid w:val="00860759"/>
    <w:rsid w:val="00861CE6"/>
    <w:rsid w:val="008628DA"/>
    <w:rsid w:val="00862EDB"/>
    <w:rsid w:val="00862F9E"/>
    <w:rsid w:val="00864BE8"/>
    <w:rsid w:val="00866893"/>
    <w:rsid w:val="008702B1"/>
    <w:rsid w:val="0087140D"/>
    <w:rsid w:val="0087424B"/>
    <w:rsid w:val="008747F1"/>
    <w:rsid w:val="0087509B"/>
    <w:rsid w:val="00876E8B"/>
    <w:rsid w:val="0087733C"/>
    <w:rsid w:val="00881B21"/>
    <w:rsid w:val="0088488C"/>
    <w:rsid w:val="00887410"/>
    <w:rsid w:val="00887B4A"/>
    <w:rsid w:val="00887E45"/>
    <w:rsid w:val="00887F93"/>
    <w:rsid w:val="00890044"/>
    <w:rsid w:val="00891D64"/>
    <w:rsid w:val="00893328"/>
    <w:rsid w:val="00894BF7"/>
    <w:rsid w:val="0089751D"/>
    <w:rsid w:val="008A109A"/>
    <w:rsid w:val="008A41D7"/>
    <w:rsid w:val="008A44BA"/>
    <w:rsid w:val="008A7EE7"/>
    <w:rsid w:val="008B08CC"/>
    <w:rsid w:val="008B0AFE"/>
    <w:rsid w:val="008B0F23"/>
    <w:rsid w:val="008B5800"/>
    <w:rsid w:val="008B6804"/>
    <w:rsid w:val="008B7C51"/>
    <w:rsid w:val="008C13D8"/>
    <w:rsid w:val="008C1B42"/>
    <w:rsid w:val="008C299B"/>
    <w:rsid w:val="008C2E4D"/>
    <w:rsid w:val="008C4D06"/>
    <w:rsid w:val="008C50FD"/>
    <w:rsid w:val="008C5134"/>
    <w:rsid w:val="008C6BC5"/>
    <w:rsid w:val="008C77D9"/>
    <w:rsid w:val="008D0A54"/>
    <w:rsid w:val="008D0CD6"/>
    <w:rsid w:val="008D1B41"/>
    <w:rsid w:val="008D1E5B"/>
    <w:rsid w:val="008E0CF2"/>
    <w:rsid w:val="008E1D5C"/>
    <w:rsid w:val="008E3CFF"/>
    <w:rsid w:val="008E4DFC"/>
    <w:rsid w:val="008F0344"/>
    <w:rsid w:val="008F4973"/>
    <w:rsid w:val="008F6B9E"/>
    <w:rsid w:val="00901567"/>
    <w:rsid w:val="00901D3D"/>
    <w:rsid w:val="0090327F"/>
    <w:rsid w:val="00907A47"/>
    <w:rsid w:val="00910349"/>
    <w:rsid w:val="009108CF"/>
    <w:rsid w:val="00913011"/>
    <w:rsid w:val="0091363E"/>
    <w:rsid w:val="00916D9F"/>
    <w:rsid w:val="009210A8"/>
    <w:rsid w:val="00923E18"/>
    <w:rsid w:val="00923E3A"/>
    <w:rsid w:val="00924477"/>
    <w:rsid w:val="009247AF"/>
    <w:rsid w:val="00925827"/>
    <w:rsid w:val="00925E5E"/>
    <w:rsid w:val="0092746D"/>
    <w:rsid w:val="00930228"/>
    <w:rsid w:val="00931ABE"/>
    <w:rsid w:val="00937CD7"/>
    <w:rsid w:val="00945AB0"/>
    <w:rsid w:val="0094632D"/>
    <w:rsid w:val="009471E7"/>
    <w:rsid w:val="00947AFD"/>
    <w:rsid w:val="00952811"/>
    <w:rsid w:val="00955485"/>
    <w:rsid w:val="00960EA0"/>
    <w:rsid w:val="009622AC"/>
    <w:rsid w:val="00962EB4"/>
    <w:rsid w:val="009666A3"/>
    <w:rsid w:val="0096692E"/>
    <w:rsid w:val="00970CCD"/>
    <w:rsid w:val="009713CA"/>
    <w:rsid w:val="00972363"/>
    <w:rsid w:val="0098002E"/>
    <w:rsid w:val="009801E4"/>
    <w:rsid w:val="00980339"/>
    <w:rsid w:val="00981001"/>
    <w:rsid w:val="00982A3D"/>
    <w:rsid w:val="00984A68"/>
    <w:rsid w:val="00991D7C"/>
    <w:rsid w:val="00992202"/>
    <w:rsid w:val="00992577"/>
    <w:rsid w:val="00992591"/>
    <w:rsid w:val="00994FEB"/>
    <w:rsid w:val="009A15A5"/>
    <w:rsid w:val="009A2354"/>
    <w:rsid w:val="009A4B51"/>
    <w:rsid w:val="009A5069"/>
    <w:rsid w:val="009A7383"/>
    <w:rsid w:val="009B0B27"/>
    <w:rsid w:val="009B50DE"/>
    <w:rsid w:val="009B5B8D"/>
    <w:rsid w:val="009B66B1"/>
    <w:rsid w:val="009B7331"/>
    <w:rsid w:val="009C70F5"/>
    <w:rsid w:val="009D177A"/>
    <w:rsid w:val="009D1C21"/>
    <w:rsid w:val="009D4147"/>
    <w:rsid w:val="009D47FC"/>
    <w:rsid w:val="009D6069"/>
    <w:rsid w:val="009E0ABC"/>
    <w:rsid w:val="009E61B7"/>
    <w:rsid w:val="009E7272"/>
    <w:rsid w:val="009F40F5"/>
    <w:rsid w:val="009F43A1"/>
    <w:rsid w:val="009F7AE8"/>
    <w:rsid w:val="00A0047D"/>
    <w:rsid w:val="00A01C5F"/>
    <w:rsid w:val="00A023CA"/>
    <w:rsid w:val="00A02404"/>
    <w:rsid w:val="00A0294D"/>
    <w:rsid w:val="00A02C4D"/>
    <w:rsid w:val="00A04374"/>
    <w:rsid w:val="00A04AEF"/>
    <w:rsid w:val="00A04F52"/>
    <w:rsid w:val="00A10732"/>
    <w:rsid w:val="00A25CF4"/>
    <w:rsid w:val="00A25FFA"/>
    <w:rsid w:val="00A30726"/>
    <w:rsid w:val="00A31A9B"/>
    <w:rsid w:val="00A353B6"/>
    <w:rsid w:val="00A365F7"/>
    <w:rsid w:val="00A37F8E"/>
    <w:rsid w:val="00A4008A"/>
    <w:rsid w:val="00A4024C"/>
    <w:rsid w:val="00A44FDA"/>
    <w:rsid w:val="00A452CA"/>
    <w:rsid w:val="00A45EBA"/>
    <w:rsid w:val="00A47AD0"/>
    <w:rsid w:val="00A529BB"/>
    <w:rsid w:val="00A54049"/>
    <w:rsid w:val="00A555BB"/>
    <w:rsid w:val="00A56488"/>
    <w:rsid w:val="00A668A8"/>
    <w:rsid w:val="00A66AF7"/>
    <w:rsid w:val="00A66EC9"/>
    <w:rsid w:val="00A67C37"/>
    <w:rsid w:val="00A67D8C"/>
    <w:rsid w:val="00A71E12"/>
    <w:rsid w:val="00A7241F"/>
    <w:rsid w:val="00A82696"/>
    <w:rsid w:val="00A82DA5"/>
    <w:rsid w:val="00A85B98"/>
    <w:rsid w:val="00A86147"/>
    <w:rsid w:val="00A90B80"/>
    <w:rsid w:val="00A92F6B"/>
    <w:rsid w:val="00A93903"/>
    <w:rsid w:val="00A94F26"/>
    <w:rsid w:val="00A953B5"/>
    <w:rsid w:val="00A95464"/>
    <w:rsid w:val="00A96761"/>
    <w:rsid w:val="00AA0F81"/>
    <w:rsid w:val="00AA2332"/>
    <w:rsid w:val="00AA59BD"/>
    <w:rsid w:val="00AA5AA0"/>
    <w:rsid w:val="00AB009D"/>
    <w:rsid w:val="00AB430F"/>
    <w:rsid w:val="00AB4E44"/>
    <w:rsid w:val="00AC2368"/>
    <w:rsid w:val="00AC2697"/>
    <w:rsid w:val="00AC2AF7"/>
    <w:rsid w:val="00AC718A"/>
    <w:rsid w:val="00AC7D53"/>
    <w:rsid w:val="00AD26E2"/>
    <w:rsid w:val="00AD4192"/>
    <w:rsid w:val="00AD5C52"/>
    <w:rsid w:val="00AD678B"/>
    <w:rsid w:val="00AE0507"/>
    <w:rsid w:val="00AE0697"/>
    <w:rsid w:val="00AE1D04"/>
    <w:rsid w:val="00AE3202"/>
    <w:rsid w:val="00AF08D7"/>
    <w:rsid w:val="00AF1060"/>
    <w:rsid w:val="00AF1BE3"/>
    <w:rsid w:val="00AF649F"/>
    <w:rsid w:val="00AF7726"/>
    <w:rsid w:val="00AF77AB"/>
    <w:rsid w:val="00B065FA"/>
    <w:rsid w:val="00B06AA2"/>
    <w:rsid w:val="00B070CB"/>
    <w:rsid w:val="00B122D0"/>
    <w:rsid w:val="00B1305D"/>
    <w:rsid w:val="00B149D9"/>
    <w:rsid w:val="00B26D84"/>
    <w:rsid w:val="00B3438E"/>
    <w:rsid w:val="00B3675C"/>
    <w:rsid w:val="00B36794"/>
    <w:rsid w:val="00B3711D"/>
    <w:rsid w:val="00B37176"/>
    <w:rsid w:val="00B40B71"/>
    <w:rsid w:val="00B40C23"/>
    <w:rsid w:val="00B42C68"/>
    <w:rsid w:val="00B42F23"/>
    <w:rsid w:val="00B44F5C"/>
    <w:rsid w:val="00B45FAE"/>
    <w:rsid w:val="00B46883"/>
    <w:rsid w:val="00B46B23"/>
    <w:rsid w:val="00B50765"/>
    <w:rsid w:val="00B50AEC"/>
    <w:rsid w:val="00B52736"/>
    <w:rsid w:val="00B53C90"/>
    <w:rsid w:val="00B56060"/>
    <w:rsid w:val="00B569EF"/>
    <w:rsid w:val="00B571C8"/>
    <w:rsid w:val="00B611DA"/>
    <w:rsid w:val="00B6404C"/>
    <w:rsid w:val="00B6406D"/>
    <w:rsid w:val="00B64187"/>
    <w:rsid w:val="00B64C69"/>
    <w:rsid w:val="00B7286F"/>
    <w:rsid w:val="00B73243"/>
    <w:rsid w:val="00B73428"/>
    <w:rsid w:val="00B7376E"/>
    <w:rsid w:val="00B74B63"/>
    <w:rsid w:val="00B77464"/>
    <w:rsid w:val="00B8016C"/>
    <w:rsid w:val="00B85AE5"/>
    <w:rsid w:val="00B85E45"/>
    <w:rsid w:val="00B864AA"/>
    <w:rsid w:val="00B86A4B"/>
    <w:rsid w:val="00B86AAF"/>
    <w:rsid w:val="00B91716"/>
    <w:rsid w:val="00B91F7E"/>
    <w:rsid w:val="00B9582D"/>
    <w:rsid w:val="00B95831"/>
    <w:rsid w:val="00B95870"/>
    <w:rsid w:val="00B96D51"/>
    <w:rsid w:val="00BA0AD6"/>
    <w:rsid w:val="00BA0FFE"/>
    <w:rsid w:val="00BA24F2"/>
    <w:rsid w:val="00BA3A4A"/>
    <w:rsid w:val="00BA6DCF"/>
    <w:rsid w:val="00BA6DE6"/>
    <w:rsid w:val="00BA6E6C"/>
    <w:rsid w:val="00BB01FA"/>
    <w:rsid w:val="00BB25C9"/>
    <w:rsid w:val="00BB4022"/>
    <w:rsid w:val="00BB6801"/>
    <w:rsid w:val="00BB6E7D"/>
    <w:rsid w:val="00BB772F"/>
    <w:rsid w:val="00BC155C"/>
    <w:rsid w:val="00BC3B51"/>
    <w:rsid w:val="00BC545A"/>
    <w:rsid w:val="00BC5E4D"/>
    <w:rsid w:val="00BC6A26"/>
    <w:rsid w:val="00BD11D6"/>
    <w:rsid w:val="00BD1BB9"/>
    <w:rsid w:val="00BD710D"/>
    <w:rsid w:val="00BE1683"/>
    <w:rsid w:val="00BE2E84"/>
    <w:rsid w:val="00BF3651"/>
    <w:rsid w:val="00BF428C"/>
    <w:rsid w:val="00BF4A85"/>
    <w:rsid w:val="00BF4ED4"/>
    <w:rsid w:val="00BF555A"/>
    <w:rsid w:val="00BF66DD"/>
    <w:rsid w:val="00C00768"/>
    <w:rsid w:val="00C02593"/>
    <w:rsid w:val="00C026C9"/>
    <w:rsid w:val="00C04D3A"/>
    <w:rsid w:val="00C06E3F"/>
    <w:rsid w:val="00C12BDB"/>
    <w:rsid w:val="00C13715"/>
    <w:rsid w:val="00C15D7C"/>
    <w:rsid w:val="00C17688"/>
    <w:rsid w:val="00C2185C"/>
    <w:rsid w:val="00C227C1"/>
    <w:rsid w:val="00C25359"/>
    <w:rsid w:val="00C27F76"/>
    <w:rsid w:val="00C31AED"/>
    <w:rsid w:val="00C31E3C"/>
    <w:rsid w:val="00C32901"/>
    <w:rsid w:val="00C34BE1"/>
    <w:rsid w:val="00C353D3"/>
    <w:rsid w:val="00C372D0"/>
    <w:rsid w:val="00C37D52"/>
    <w:rsid w:val="00C41C17"/>
    <w:rsid w:val="00C433B6"/>
    <w:rsid w:val="00C44CD4"/>
    <w:rsid w:val="00C44FCA"/>
    <w:rsid w:val="00C45276"/>
    <w:rsid w:val="00C45DC6"/>
    <w:rsid w:val="00C500E5"/>
    <w:rsid w:val="00C50FE5"/>
    <w:rsid w:val="00C5121D"/>
    <w:rsid w:val="00C51D30"/>
    <w:rsid w:val="00C53133"/>
    <w:rsid w:val="00C53516"/>
    <w:rsid w:val="00C54D3E"/>
    <w:rsid w:val="00C57075"/>
    <w:rsid w:val="00C57076"/>
    <w:rsid w:val="00C5781D"/>
    <w:rsid w:val="00C603FC"/>
    <w:rsid w:val="00C60BEC"/>
    <w:rsid w:val="00C61727"/>
    <w:rsid w:val="00C61908"/>
    <w:rsid w:val="00C627F3"/>
    <w:rsid w:val="00C642E4"/>
    <w:rsid w:val="00C66803"/>
    <w:rsid w:val="00C708E3"/>
    <w:rsid w:val="00C7180D"/>
    <w:rsid w:val="00C74F7F"/>
    <w:rsid w:val="00C859D5"/>
    <w:rsid w:val="00C85E5C"/>
    <w:rsid w:val="00C8620E"/>
    <w:rsid w:val="00C900C1"/>
    <w:rsid w:val="00C907A4"/>
    <w:rsid w:val="00C92B05"/>
    <w:rsid w:val="00C9576A"/>
    <w:rsid w:val="00C97B01"/>
    <w:rsid w:val="00C97EB0"/>
    <w:rsid w:val="00CA005C"/>
    <w:rsid w:val="00CA5656"/>
    <w:rsid w:val="00CA70E1"/>
    <w:rsid w:val="00CB32C1"/>
    <w:rsid w:val="00CB3CF6"/>
    <w:rsid w:val="00CB5262"/>
    <w:rsid w:val="00CB6DBF"/>
    <w:rsid w:val="00CC01CE"/>
    <w:rsid w:val="00CC165A"/>
    <w:rsid w:val="00CC1802"/>
    <w:rsid w:val="00CC1C1F"/>
    <w:rsid w:val="00CC294E"/>
    <w:rsid w:val="00CC3334"/>
    <w:rsid w:val="00CC4C36"/>
    <w:rsid w:val="00CC5335"/>
    <w:rsid w:val="00CC6B3E"/>
    <w:rsid w:val="00CC796B"/>
    <w:rsid w:val="00CD128C"/>
    <w:rsid w:val="00CD1CD4"/>
    <w:rsid w:val="00CD2DE3"/>
    <w:rsid w:val="00CD35FA"/>
    <w:rsid w:val="00CD5A67"/>
    <w:rsid w:val="00CD65C5"/>
    <w:rsid w:val="00CD748F"/>
    <w:rsid w:val="00CD77A2"/>
    <w:rsid w:val="00CE0414"/>
    <w:rsid w:val="00CE369F"/>
    <w:rsid w:val="00CE386A"/>
    <w:rsid w:val="00CE48EB"/>
    <w:rsid w:val="00CE4B05"/>
    <w:rsid w:val="00CE4FC4"/>
    <w:rsid w:val="00CE570E"/>
    <w:rsid w:val="00CE6F4A"/>
    <w:rsid w:val="00CF48F5"/>
    <w:rsid w:val="00CF5C59"/>
    <w:rsid w:val="00CF7060"/>
    <w:rsid w:val="00CF7A7A"/>
    <w:rsid w:val="00CF7C37"/>
    <w:rsid w:val="00D00663"/>
    <w:rsid w:val="00D02484"/>
    <w:rsid w:val="00D02723"/>
    <w:rsid w:val="00D029F4"/>
    <w:rsid w:val="00D02DC5"/>
    <w:rsid w:val="00D03368"/>
    <w:rsid w:val="00D131B0"/>
    <w:rsid w:val="00D16D54"/>
    <w:rsid w:val="00D219B4"/>
    <w:rsid w:val="00D23C3B"/>
    <w:rsid w:val="00D2529C"/>
    <w:rsid w:val="00D25EF0"/>
    <w:rsid w:val="00D268FC"/>
    <w:rsid w:val="00D30605"/>
    <w:rsid w:val="00D32203"/>
    <w:rsid w:val="00D34481"/>
    <w:rsid w:val="00D34B9F"/>
    <w:rsid w:val="00D35B4F"/>
    <w:rsid w:val="00D35C10"/>
    <w:rsid w:val="00D36682"/>
    <w:rsid w:val="00D37E9A"/>
    <w:rsid w:val="00D41B24"/>
    <w:rsid w:val="00D459FA"/>
    <w:rsid w:val="00D45F29"/>
    <w:rsid w:val="00D47C0F"/>
    <w:rsid w:val="00D51127"/>
    <w:rsid w:val="00D54FE3"/>
    <w:rsid w:val="00D557FD"/>
    <w:rsid w:val="00D57DBB"/>
    <w:rsid w:val="00D63D5E"/>
    <w:rsid w:val="00D653E9"/>
    <w:rsid w:val="00D66A39"/>
    <w:rsid w:val="00D803A2"/>
    <w:rsid w:val="00D81747"/>
    <w:rsid w:val="00D83517"/>
    <w:rsid w:val="00D84A15"/>
    <w:rsid w:val="00D91A34"/>
    <w:rsid w:val="00D94D5B"/>
    <w:rsid w:val="00D9748B"/>
    <w:rsid w:val="00D976BC"/>
    <w:rsid w:val="00DA2012"/>
    <w:rsid w:val="00DA2159"/>
    <w:rsid w:val="00DA2EBB"/>
    <w:rsid w:val="00DA44B5"/>
    <w:rsid w:val="00DA68E6"/>
    <w:rsid w:val="00DA6FEB"/>
    <w:rsid w:val="00DA70A6"/>
    <w:rsid w:val="00DA7928"/>
    <w:rsid w:val="00DB024E"/>
    <w:rsid w:val="00DB0BAD"/>
    <w:rsid w:val="00DB20B7"/>
    <w:rsid w:val="00DB3C38"/>
    <w:rsid w:val="00DB41B7"/>
    <w:rsid w:val="00DB59C3"/>
    <w:rsid w:val="00DB746D"/>
    <w:rsid w:val="00DC024E"/>
    <w:rsid w:val="00DC1BF2"/>
    <w:rsid w:val="00DC743A"/>
    <w:rsid w:val="00DD0FB5"/>
    <w:rsid w:val="00DD1118"/>
    <w:rsid w:val="00DD1721"/>
    <w:rsid w:val="00DD18B9"/>
    <w:rsid w:val="00DD5235"/>
    <w:rsid w:val="00DD5555"/>
    <w:rsid w:val="00DD5DE6"/>
    <w:rsid w:val="00DD760F"/>
    <w:rsid w:val="00DD7D8D"/>
    <w:rsid w:val="00DE0596"/>
    <w:rsid w:val="00DE1189"/>
    <w:rsid w:val="00DE164C"/>
    <w:rsid w:val="00DE2133"/>
    <w:rsid w:val="00DE40B2"/>
    <w:rsid w:val="00DE436B"/>
    <w:rsid w:val="00DE710B"/>
    <w:rsid w:val="00DF106C"/>
    <w:rsid w:val="00DF14C5"/>
    <w:rsid w:val="00DF2476"/>
    <w:rsid w:val="00DF4D93"/>
    <w:rsid w:val="00DF62FA"/>
    <w:rsid w:val="00DF720F"/>
    <w:rsid w:val="00E006A3"/>
    <w:rsid w:val="00E02640"/>
    <w:rsid w:val="00E0576B"/>
    <w:rsid w:val="00E06240"/>
    <w:rsid w:val="00E068AB"/>
    <w:rsid w:val="00E07175"/>
    <w:rsid w:val="00E07AE6"/>
    <w:rsid w:val="00E1047F"/>
    <w:rsid w:val="00E10523"/>
    <w:rsid w:val="00E109F1"/>
    <w:rsid w:val="00E11359"/>
    <w:rsid w:val="00E131B5"/>
    <w:rsid w:val="00E138BB"/>
    <w:rsid w:val="00E1690E"/>
    <w:rsid w:val="00E22673"/>
    <w:rsid w:val="00E23E29"/>
    <w:rsid w:val="00E268CD"/>
    <w:rsid w:val="00E274BA"/>
    <w:rsid w:val="00E30F78"/>
    <w:rsid w:val="00E315BE"/>
    <w:rsid w:val="00E41D8A"/>
    <w:rsid w:val="00E46573"/>
    <w:rsid w:val="00E46A95"/>
    <w:rsid w:val="00E47442"/>
    <w:rsid w:val="00E50F69"/>
    <w:rsid w:val="00E51984"/>
    <w:rsid w:val="00E51AB7"/>
    <w:rsid w:val="00E53068"/>
    <w:rsid w:val="00E5579C"/>
    <w:rsid w:val="00E57404"/>
    <w:rsid w:val="00E60199"/>
    <w:rsid w:val="00E604A9"/>
    <w:rsid w:val="00E62A17"/>
    <w:rsid w:val="00E646C0"/>
    <w:rsid w:val="00E64A2D"/>
    <w:rsid w:val="00E64F85"/>
    <w:rsid w:val="00E65217"/>
    <w:rsid w:val="00E66E04"/>
    <w:rsid w:val="00E7533D"/>
    <w:rsid w:val="00E76DB2"/>
    <w:rsid w:val="00E802A9"/>
    <w:rsid w:val="00E80ABE"/>
    <w:rsid w:val="00E811BF"/>
    <w:rsid w:val="00E86BAA"/>
    <w:rsid w:val="00E87C08"/>
    <w:rsid w:val="00E90C95"/>
    <w:rsid w:val="00E916A3"/>
    <w:rsid w:val="00E92B85"/>
    <w:rsid w:val="00E92E75"/>
    <w:rsid w:val="00E93054"/>
    <w:rsid w:val="00E93848"/>
    <w:rsid w:val="00E95449"/>
    <w:rsid w:val="00E95498"/>
    <w:rsid w:val="00E97DC1"/>
    <w:rsid w:val="00EA20A6"/>
    <w:rsid w:val="00EA661E"/>
    <w:rsid w:val="00EA6C67"/>
    <w:rsid w:val="00EA718E"/>
    <w:rsid w:val="00EA7795"/>
    <w:rsid w:val="00EA7D5A"/>
    <w:rsid w:val="00EB0C99"/>
    <w:rsid w:val="00EB2E23"/>
    <w:rsid w:val="00EB3A3D"/>
    <w:rsid w:val="00EB4B85"/>
    <w:rsid w:val="00EC458C"/>
    <w:rsid w:val="00EC53CA"/>
    <w:rsid w:val="00ED0842"/>
    <w:rsid w:val="00ED0D96"/>
    <w:rsid w:val="00ED1B05"/>
    <w:rsid w:val="00ED2DAA"/>
    <w:rsid w:val="00ED332C"/>
    <w:rsid w:val="00ED39AA"/>
    <w:rsid w:val="00EE00F5"/>
    <w:rsid w:val="00EE4775"/>
    <w:rsid w:val="00EE7536"/>
    <w:rsid w:val="00EE7DF2"/>
    <w:rsid w:val="00EF0ACD"/>
    <w:rsid w:val="00EF1310"/>
    <w:rsid w:val="00EF563D"/>
    <w:rsid w:val="00EF5779"/>
    <w:rsid w:val="00EF5D16"/>
    <w:rsid w:val="00EF634E"/>
    <w:rsid w:val="00F0006B"/>
    <w:rsid w:val="00F00591"/>
    <w:rsid w:val="00F00A4C"/>
    <w:rsid w:val="00F025B3"/>
    <w:rsid w:val="00F03876"/>
    <w:rsid w:val="00F03B1B"/>
    <w:rsid w:val="00F04F61"/>
    <w:rsid w:val="00F10647"/>
    <w:rsid w:val="00F1337B"/>
    <w:rsid w:val="00F13BCA"/>
    <w:rsid w:val="00F14998"/>
    <w:rsid w:val="00F17627"/>
    <w:rsid w:val="00F20A14"/>
    <w:rsid w:val="00F2464A"/>
    <w:rsid w:val="00F257CF"/>
    <w:rsid w:val="00F42AF3"/>
    <w:rsid w:val="00F42E9E"/>
    <w:rsid w:val="00F44BF6"/>
    <w:rsid w:val="00F474AD"/>
    <w:rsid w:val="00F47D51"/>
    <w:rsid w:val="00F50504"/>
    <w:rsid w:val="00F5289E"/>
    <w:rsid w:val="00F53258"/>
    <w:rsid w:val="00F61D1A"/>
    <w:rsid w:val="00F62AE8"/>
    <w:rsid w:val="00F62B13"/>
    <w:rsid w:val="00F737B1"/>
    <w:rsid w:val="00F73BFE"/>
    <w:rsid w:val="00F73FE4"/>
    <w:rsid w:val="00F74DAC"/>
    <w:rsid w:val="00F77FDF"/>
    <w:rsid w:val="00F800C0"/>
    <w:rsid w:val="00F80AA5"/>
    <w:rsid w:val="00F83759"/>
    <w:rsid w:val="00F85133"/>
    <w:rsid w:val="00F85DC8"/>
    <w:rsid w:val="00F86C0A"/>
    <w:rsid w:val="00F91FAE"/>
    <w:rsid w:val="00F92AB0"/>
    <w:rsid w:val="00F93E57"/>
    <w:rsid w:val="00F9611A"/>
    <w:rsid w:val="00F9786F"/>
    <w:rsid w:val="00FA019C"/>
    <w:rsid w:val="00FA3C0F"/>
    <w:rsid w:val="00FA5087"/>
    <w:rsid w:val="00FA6DCD"/>
    <w:rsid w:val="00FA78DC"/>
    <w:rsid w:val="00FB014F"/>
    <w:rsid w:val="00FB190D"/>
    <w:rsid w:val="00FB3139"/>
    <w:rsid w:val="00FB553B"/>
    <w:rsid w:val="00FB638E"/>
    <w:rsid w:val="00FB79D7"/>
    <w:rsid w:val="00FC489F"/>
    <w:rsid w:val="00FC67A1"/>
    <w:rsid w:val="00FD00B9"/>
    <w:rsid w:val="00FD1A7D"/>
    <w:rsid w:val="00FD1FCE"/>
    <w:rsid w:val="00FD5428"/>
    <w:rsid w:val="00FD5F31"/>
    <w:rsid w:val="00FD6864"/>
    <w:rsid w:val="00FD6D1D"/>
    <w:rsid w:val="00FE4CF2"/>
    <w:rsid w:val="00FE7053"/>
    <w:rsid w:val="00FF0311"/>
    <w:rsid w:val="00FF0327"/>
    <w:rsid w:val="00FF0FC6"/>
    <w:rsid w:val="00FF538D"/>
    <w:rsid w:val="02A54B0B"/>
    <w:rsid w:val="031E39EC"/>
    <w:rsid w:val="03EB3C59"/>
    <w:rsid w:val="04BD188A"/>
    <w:rsid w:val="05565ECD"/>
    <w:rsid w:val="05DF76E3"/>
    <w:rsid w:val="07050BD9"/>
    <w:rsid w:val="07636EBE"/>
    <w:rsid w:val="08D361BA"/>
    <w:rsid w:val="0B297F03"/>
    <w:rsid w:val="0C963EAF"/>
    <w:rsid w:val="0E9F0AF3"/>
    <w:rsid w:val="10BD0E34"/>
    <w:rsid w:val="111A3018"/>
    <w:rsid w:val="15422CC9"/>
    <w:rsid w:val="16483AB1"/>
    <w:rsid w:val="166A2330"/>
    <w:rsid w:val="17D81566"/>
    <w:rsid w:val="1809611B"/>
    <w:rsid w:val="185B5474"/>
    <w:rsid w:val="19324427"/>
    <w:rsid w:val="199F684F"/>
    <w:rsid w:val="1ABA2081"/>
    <w:rsid w:val="1D8D6010"/>
    <w:rsid w:val="1EE15EDC"/>
    <w:rsid w:val="1EE63F33"/>
    <w:rsid w:val="1F5804C8"/>
    <w:rsid w:val="1FCC7487"/>
    <w:rsid w:val="201B1CB4"/>
    <w:rsid w:val="202F109F"/>
    <w:rsid w:val="20D37CE8"/>
    <w:rsid w:val="20F975A5"/>
    <w:rsid w:val="21470C8B"/>
    <w:rsid w:val="233C1680"/>
    <w:rsid w:val="23973214"/>
    <w:rsid w:val="23C34FE4"/>
    <w:rsid w:val="244B6A83"/>
    <w:rsid w:val="25EA17B7"/>
    <w:rsid w:val="28AD3AE7"/>
    <w:rsid w:val="29886BD5"/>
    <w:rsid w:val="29B150E6"/>
    <w:rsid w:val="2CF00241"/>
    <w:rsid w:val="2E074736"/>
    <w:rsid w:val="317B603B"/>
    <w:rsid w:val="322E739D"/>
    <w:rsid w:val="32513718"/>
    <w:rsid w:val="326813C3"/>
    <w:rsid w:val="32C14041"/>
    <w:rsid w:val="32DA5890"/>
    <w:rsid w:val="335A56AB"/>
    <w:rsid w:val="34D97147"/>
    <w:rsid w:val="3529097C"/>
    <w:rsid w:val="376F35F2"/>
    <w:rsid w:val="38FC7A6D"/>
    <w:rsid w:val="39B5232F"/>
    <w:rsid w:val="3A0B6CA0"/>
    <w:rsid w:val="3A0D2EDC"/>
    <w:rsid w:val="3A2C33A5"/>
    <w:rsid w:val="3A3D012A"/>
    <w:rsid w:val="3A5B6470"/>
    <w:rsid w:val="3AE355AB"/>
    <w:rsid w:val="3AEF742B"/>
    <w:rsid w:val="3C373F5F"/>
    <w:rsid w:val="3D931088"/>
    <w:rsid w:val="3E300685"/>
    <w:rsid w:val="3E6E5B38"/>
    <w:rsid w:val="3FD140EA"/>
    <w:rsid w:val="3FE768A6"/>
    <w:rsid w:val="409A035E"/>
    <w:rsid w:val="41863CE9"/>
    <w:rsid w:val="420123F4"/>
    <w:rsid w:val="42507831"/>
    <w:rsid w:val="427632EA"/>
    <w:rsid w:val="448267A4"/>
    <w:rsid w:val="44962EBC"/>
    <w:rsid w:val="4565155C"/>
    <w:rsid w:val="45C267D0"/>
    <w:rsid w:val="45DC5B3A"/>
    <w:rsid w:val="45E43CB8"/>
    <w:rsid w:val="4663602C"/>
    <w:rsid w:val="474854BD"/>
    <w:rsid w:val="47FE3112"/>
    <w:rsid w:val="4B2D2423"/>
    <w:rsid w:val="4B970329"/>
    <w:rsid w:val="4D191AC2"/>
    <w:rsid w:val="4DCE3F91"/>
    <w:rsid w:val="4E54216E"/>
    <w:rsid w:val="4E9957E5"/>
    <w:rsid w:val="4F8C74D7"/>
    <w:rsid w:val="505F3801"/>
    <w:rsid w:val="522E717A"/>
    <w:rsid w:val="53171429"/>
    <w:rsid w:val="54181E8F"/>
    <w:rsid w:val="5554148D"/>
    <w:rsid w:val="564032DE"/>
    <w:rsid w:val="56FD430B"/>
    <w:rsid w:val="57626C30"/>
    <w:rsid w:val="57777072"/>
    <w:rsid w:val="59007410"/>
    <w:rsid w:val="5B102C75"/>
    <w:rsid w:val="5B337675"/>
    <w:rsid w:val="5CD3602B"/>
    <w:rsid w:val="5E8076ED"/>
    <w:rsid w:val="5F6220B3"/>
    <w:rsid w:val="60AF7ECC"/>
    <w:rsid w:val="656C203B"/>
    <w:rsid w:val="65736F26"/>
    <w:rsid w:val="67693588"/>
    <w:rsid w:val="692D1AE1"/>
    <w:rsid w:val="6A336716"/>
    <w:rsid w:val="6BC51E9B"/>
    <w:rsid w:val="6BF6440D"/>
    <w:rsid w:val="6C6A0AC0"/>
    <w:rsid w:val="6DDF784E"/>
    <w:rsid w:val="6DFF0E11"/>
    <w:rsid w:val="6E1D107E"/>
    <w:rsid w:val="6FD4415B"/>
    <w:rsid w:val="7072015F"/>
    <w:rsid w:val="707F6A05"/>
    <w:rsid w:val="70F64C91"/>
    <w:rsid w:val="726D03E6"/>
    <w:rsid w:val="734D46FF"/>
    <w:rsid w:val="73500BBC"/>
    <w:rsid w:val="73B65F58"/>
    <w:rsid w:val="7476258E"/>
    <w:rsid w:val="758B6E71"/>
    <w:rsid w:val="760655A0"/>
    <w:rsid w:val="77227C70"/>
    <w:rsid w:val="773329B9"/>
    <w:rsid w:val="785A3BD3"/>
    <w:rsid w:val="79A04272"/>
    <w:rsid w:val="7A92529D"/>
    <w:rsid w:val="7B914152"/>
    <w:rsid w:val="7C0130DD"/>
    <w:rsid w:val="7CD75B94"/>
    <w:rsid w:val="7FDA7B57"/>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99" w:name="toc 5"/>
    <w:lsdException w:qFormat="1" w:unhideWhenUsed="0" w:uiPriority="99" w:name="toc 6"/>
    <w:lsdException w:qFormat="1" w:unhideWhenUsed="0" w:uiPriority="99" w:name="toc 7"/>
    <w:lsdException w:qFormat="1" w:unhideWhenUsed="0" w:uiPriority="99" w:name="toc 8"/>
    <w:lsdException w:qFormat="1" w:unhideWhenUsed="0" w:uiPriority="99" w:name="toc 9"/>
    <w:lsdException w:qFormat="1" w:unhideWhenUsed="0" w:uiPriority="0" w:semiHidden="0" w:name="Normal Indent" w:locked="1"/>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qFormat="1" w:unhideWhenUsed="0" w:uiPriority="0" w:semiHidden="0"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0" w:semiHidden="0" w:name="Body Text" w:locked="1"/>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qFormat="1" w:unhideWhenUsed="0" w:uiPriority="99" w:semiHidden="0" w:name="Date"/>
    <w:lsdException w:uiPriority="99" w:name="Body Text First Indent" w:locked="1"/>
    <w:lsdException w:qFormat="1" w:unhideWhenUsed="0" w:uiPriority="0" w:semiHidden="0" w:name="Body Text First Indent 2" w:locked="1"/>
    <w:lsdException w:uiPriority="99" w:name="Note Heading" w:locked="1"/>
    <w:lsdException w:qFormat="1" w:unhideWhenUsed="0" w:uiPriority="0" w:semiHidden="0"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0" w:semiHidden="0" w:name="Strong"/>
    <w:lsdException w:qFormat="1" w:unhideWhenUsed="0" w:uiPriority="0" w:semiHidden="0" w:name="Emphasis"/>
    <w:lsdException w:qFormat="1" w:unhideWhenUsed="0" w:uiPriority="99" w:semiHidden="0" w:name="Document Map"/>
    <w:lsdException w:qFormat="1" w:unhideWhenUsed="0" w:uiPriority="0" w:semiHidden="0" w:name="Plain Text" w:locked="1"/>
    <w:lsdException w:uiPriority="99" w:name="E-mail Signature" w:locked="1"/>
    <w:lsdException w:qFormat="1" w:unhideWhenUsed="0" w:uiPriority="99" w:semiHidden="0"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qFormat="1" w:unhideWhenUsed="0" w:uiPriority="99" w:semiHidden="0"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nhideWhenUsed="0" w:uiPriority="99" w:semiHidden="0" w:name="Table Subtle 1" w:locked="1"/>
    <w:lsdException w:uiPriority="99" w:name="Table Subtle 2" w:locked="1"/>
    <w:lsdException w:uiPriority="99" w:name="Table Web 1" w:locked="1"/>
    <w:lsdException w:unhideWhenUsed="0" w:uiPriority="99" w:semiHidden="0" w:name="Table Web 2" w:locked="1"/>
    <w:lsdException w:unhideWhenUsed="0" w:uiPriority="99" w:semiHidden="0" w:name="Table Web 3" w:locked="1"/>
    <w:lsdException w:qFormat="1" w:unhideWhenUsed="0" w:uiPriority="99" w:name="Balloon Text"/>
    <w:lsdException w:qFormat="1"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200" w:firstLineChars="200"/>
      <w:jc w:val="both"/>
    </w:pPr>
    <w:rPr>
      <w:rFonts w:ascii="Times New Roman" w:hAnsi="Times New Roman" w:eastAsia="宋体" w:cs="Times New Roman"/>
      <w:kern w:val="2"/>
      <w:sz w:val="28"/>
      <w:szCs w:val="24"/>
      <w:lang w:val="en-US" w:eastAsia="zh-CN" w:bidi="ar-SA"/>
    </w:rPr>
  </w:style>
  <w:style w:type="paragraph" w:styleId="3">
    <w:name w:val="heading 1"/>
    <w:basedOn w:val="1"/>
    <w:next w:val="1"/>
    <w:link w:val="44"/>
    <w:qFormat/>
    <w:uiPriority w:val="99"/>
    <w:pPr>
      <w:keepNext/>
      <w:keepLines/>
      <w:numPr>
        <w:ilvl w:val="0"/>
        <w:numId w:val="1"/>
      </w:numPr>
      <w:spacing w:before="340" w:after="330" w:line="578" w:lineRule="auto"/>
      <w:ind w:left="0" w:firstLineChars="0"/>
      <w:outlineLvl w:val="0"/>
    </w:pPr>
    <w:rPr>
      <w:b/>
      <w:bCs/>
      <w:kern w:val="44"/>
      <w:sz w:val="32"/>
      <w:szCs w:val="44"/>
    </w:rPr>
  </w:style>
  <w:style w:type="paragraph" w:styleId="4">
    <w:name w:val="heading 2"/>
    <w:basedOn w:val="1"/>
    <w:next w:val="1"/>
    <w:link w:val="45"/>
    <w:qFormat/>
    <w:uiPriority w:val="99"/>
    <w:pPr>
      <w:keepNext/>
      <w:keepLines/>
      <w:numPr>
        <w:ilvl w:val="1"/>
        <w:numId w:val="1"/>
      </w:numPr>
      <w:spacing w:before="260" w:after="260"/>
      <w:ind w:firstLineChars="0"/>
      <w:outlineLvl w:val="1"/>
    </w:pPr>
    <w:rPr>
      <w:b/>
      <w:bCs/>
      <w:sz w:val="30"/>
      <w:szCs w:val="32"/>
    </w:rPr>
  </w:style>
  <w:style w:type="paragraph" w:styleId="5">
    <w:name w:val="heading 3"/>
    <w:basedOn w:val="1"/>
    <w:next w:val="1"/>
    <w:link w:val="46"/>
    <w:qFormat/>
    <w:uiPriority w:val="99"/>
    <w:pPr>
      <w:keepNext/>
      <w:keepLines/>
      <w:numPr>
        <w:ilvl w:val="2"/>
        <w:numId w:val="1"/>
      </w:numPr>
      <w:spacing w:before="260" w:after="260"/>
      <w:ind w:firstLineChars="0"/>
      <w:outlineLvl w:val="2"/>
    </w:pPr>
    <w:rPr>
      <w:b/>
      <w:bCs/>
      <w:szCs w:val="32"/>
    </w:rPr>
  </w:style>
  <w:style w:type="paragraph" w:styleId="6">
    <w:name w:val="heading 4"/>
    <w:basedOn w:val="1"/>
    <w:next w:val="1"/>
    <w:link w:val="47"/>
    <w:qFormat/>
    <w:uiPriority w:val="99"/>
    <w:pPr>
      <w:keepNext/>
      <w:keepLines/>
      <w:spacing w:before="280" w:after="290"/>
      <w:outlineLvl w:val="3"/>
    </w:pPr>
    <w:rPr>
      <w:b/>
      <w:bCs/>
      <w:szCs w:val="28"/>
    </w:rPr>
  </w:style>
  <w:style w:type="paragraph" w:styleId="7">
    <w:name w:val="heading 5"/>
    <w:basedOn w:val="1"/>
    <w:next w:val="1"/>
    <w:link w:val="48"/>
    <w:qFormat/>
    <w:uiPriority w:val="99"/>
    <w:pPr>
      <w:keepNext/>
      <w:keepLines/>
      <w:spacing w:before="280" w:after="290" w:line="376" w:lineRule="auto"/>
      <w:outlineLvl w:val="4"/>
    </w:pPr>
    <w:rPr>
      <w:b/>
      <w:bCs/>
      <w:szCs w:val="28"/>
    </w:rPr>
  </w:style>
  <w:style w:type="paragraph" w:styleId="8">
    <w:name w:val="heading 6"/>
    <w:basedOn w:val="1"/>
    <w:next w:val="1"/>
    <w:link w:val="49"/>
    <w:qFormat/>
    <w:uiPriority w:val="99"/>
    <w:pPr>
      <w:keepNext/>
      <w:keepLines/>
      <w:spacing w:before="240" w:after="64" w:line="320" w:lineRule="auto"/>
      <w:outlineLvl w:val="5"/>
    </w:pPr>
    <w:rPr>
      <w:rFonts w:ascii="Arial" w:hAnsi="Arial" w:eastAsia="黑体"/>
      <w:b/>
      <w:bCs/>
    </w:rPr>
  </w:style>
  <w:style w:type="paragraph" w:styleId="9">
    <w:name w:val="heading 7"/>
    <w:basedOn w:val="1"/>
    <w:next w:val="1"/>
    <w:link w:val="50"/>
    <w:qFormat/>
    <w:uiPriority w:val="99"/>
    <w:pPr>
      <w:keepNext/>
      <w:keepLines/>
      <w:spacing w:before="240" w:after="64" w:line="320" w:lineRule="auto"/>
      <w:outlineLvl w:val="6"/>
    </w:pPr>
    <w:rPr>
      <w:b/>
      <w:bCs/>
    </w:rPr>
  </w:style>
  <w:style w:type="paragraph" w:styleId="10">
    <w:name w:val="heading 8"/>
    <w:basedOn w:val="1"/>
    <w:next w:val="1"/>
    <w:link w:val="51"/>
    <w:qFormat/>
    <w:uiPriority w:val="99"/>
    <w:pPr>
      <w:keepNext/>
      <w:keepLines/>
      <w:spacing w:before="240" w:after="64" w:line="320" w:lineRule="auto"/>
      <w:outlineLvl w:val="7"/>
    </w:pPr>
    <w:rPr>
      <w:rFonts w:ascii="Arial" w:hAnsi="Arial" w:eastAsia="黑体"/>
    </w:rPr>
  </w:style>
  <w:style w:type="paragraph" w:styleId="11">
    <w:name w:val="heading 9"/>
    <w:basedOn w:val="1"/>
    <w:next w:val="1"/>
    <w:link w:val="52"/>
    <w:qFormat/>
    <w:uiPriority w:val="99"/>
    <w:pPr>
      <w:keepNext/>
      <w:keepLines/>
      <w:spacing w:before="240" w:after="64" w:line="320" w:lineRule="auto"/>
      <w:outlineLvl w:val="8"/>
    </w:pPr>
    <w:rPr>
      <w:rFonts w:ascii="Arial" w:hAnsi="Arial" w:eastAsia="黑体"/>
      <w:szCs w:val="21"/>
    </w:rPr>
  </w:style>
  <w:style w:type="character" w:default="1" w:styleId="39">
    <w:name w:val="Default Paragraph Font"/>
    <w:semiHidden/>
    <w:unhideWhenUsed/>
    <w:qFormat/>
    <w:uiPriority w:val="1"/>
  </w:style>
  <w:style w:type="table" w:default="1" w:styleId="3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locked/>
    <w:uiPriority w:val="0"/>
    <w:pPr>
      <w:ind w:firstLine="420"/>
    </w:pPr>
    <w:rPr>
      <w:rFonts w:ascii="Times New Roman" w:hAnsi="Times New Roman"/>
      <w:szCs w:val="24"/>
    </w:rPr>
  </w:style>
  <w:style w:type="paragraph" w:styleId="12">
    <w:name w:val="toc 7"/>
    <w:basedOn w:val="1"/>
    <w:next w:val="1"/>
    <w:semiHidden/>
    <w:qFormat/>
    <w:uiPriority w:val="99"/>
    <w:pPr>
      <w:ind w:left="2520" w:leftChars="1200"/>
    </w:pPr>
  </w:style>
  <w:style w:type="paragraph" w:styleId="13">
    <w:name w:val="Document Map"/>
    <w:basedOn w:val="1"/>
    <w:link w:val="59"/>
    <w:qFormat/>
    <w:uiPriority w:val="99"/>
    <w:rPr>
      <w:rFonts w:ascii="宋体"/>
      <w:sz w:val="18"/>
      <w:szCs w:val="18"/>
    </w:rPr>
  </w:style>
  <w:style w:type="paragraph" w:styleId="14">
    <w:name w:val="annotation text"/>
    <w:basedOn w:val="1"/>
    <w:link w:val="53"/>
    <w:semiHidden/>
    <w:qFormat/>
    <w:uiPriority w:val="99"/>
    <w:pPr>
      <w:jc w:val="left"/>
    </w:pPr>
  </w:style>
  <w:style w:type="paragraph" w:styleId="15">
    <w:name w:val="Body Text"/>
    <w:basedOn w:val="1"/>
    <w:next w:val="16"/>
    <w:qFormat/>
    <w:locked/>
    <w:uiPriority w:val="0"/>
    <w:pPr>
      <w:autoSpaceDE w:val="0"/>
      <w:autoSpaceDN w:val="0"/>
      <w:jc w:val="left"/>
    </w:pPr>
    <w:rPr>
      <w:rFonts w:ascii="宋体" w:hAnsi="宋体" w:cs="宋体"/>
      <w:kern w:val="0"/>
      <w:szCs w:val="21"/>
      <w:lang w:val="zh-CN" w:bidi="zh-CN"/>
    </w:rPr>
  </w:style>
  <w:style w:type="paragraph" w:styleId="16">
    <w:name w:val="Body Text 2"/>
    <w:basedOn w:val="1"/>
    <w:qFormat/>
    <w:locked/>
    <w:uiPriority w:val="0"/>
    <w:pPr>
      <w:widowControl/>
      <w:overflowPunct w:val="0"/>
      <w:autoSpaceDE w:val="0"/>
      <w:autoSpaceDN w:val="0"/>
      <w:adjustRightInd w:val="0"/>
      <w:jc w:val="left"/>
      <w:textAlignment w:val="baseline"/>
    </w:pPr>
    <w:rPr>
      <w:rFonts w:ascii="Times New Roman" w:hAnsi="Times New Roman" w:eastAsia="宋体" w:cs="Times New Roman"/>
    </w:rPr>
  </w:style>
  <w:style w:type="paragraph" w:styleId="17">
    <w:name w:val="Body Text Indent"/>
    <w:basedOn w:val="1"/>
    <w:link w:val="55"/>
    <w:qFormat/>
    <w:uiPriority w:val="99"/>
    <w:pPr>
      <w:ind w:firstLine="420"/>
    </w:pPr>
  </w:style>
  <w:style w:type="paragraph" w:styleId="18">
    <w:name w:val="toc 5"/>
    <w:basedOn w:val="1"/>
    <w:next w:val="1"/>
    <w:semiHidden/>
    <w:qFormat/>
    <w:uiPriority w:val="99"/>
    <w:pPr>
      <w:ind w:left="1680" w:leftChars="800"/>
    </w:pPr>
  </w:style>
  <w:style w:type="paragraph" w:styleId="19">
    <w:name w:val="toc 3"/>
    <w:basedOn w:val="1"/>
    <w:next w:val="1"/>
    <w:qFormat/>
    <w:uiPriority w:val="39"/>
    <w:pPr>
      <w:ind w:left="840" w:leftChars="400"/>
    </w:pPr>
  </w:style>
  <w:style w:type="paragraph" w:styleId="20">
    <w:name w:val="Plain Text"/>
    <w:basedOn w:val="1"/>
    <w:qFormat/>
    <w:locked/>
    <w:uiPriority w:val="0"/>
    <w:rPr>
      <w:rFonts w:ascii="宋体" w:hAnsi="Courier New" w:cs="Courier New"/>
      <w:szCs w:val="21"/>
    </w:rPr>
  </w:style>
  <w:style w:type="paragraph" w:styleId="21">
    <w:name w:val="toc 8"/>
    <w:basedOn w:val="1"/>
    <w:next w:val="1"/>
    <w:semiHidden/>
    <w:qFormat/>
    <w:uiPriority w:val="99"/>
    <w:pPr>
      <w:ind w:left="2940" w:leftChars="1400"/>
    </w:pPr>
  </w:style>
  <w:style w:type="paragraph" w:styleId="22">
    <w:name w:val="Date"/>
    <w:basedOn w:val="1"/>
    <w:next w:val="1"/>
    <w:link w:val="56"/>
    <w:qFormat/>
    <w:uiPriority w:val="99"/>
    <w:pPr>
      <w:ind w:left="100" w:leftChars="2500"/>
    </w:pPr>
    <w:rPr>
      <w:rFonts w:ascii="宋体" w:hAnsi="宋体"/>
    </w:rPr>
  </w:style>
  <w:style w:type="paragraph" w:styleId="23">
    <w:name w:val="Balloon Text"/>
    <w:basedOn w:val="1"/>
    <w:link w:val="54"/>
    <w:semiHidden/>
    <w:qFormat/>
    <w:uiPriority w:val="99"/>
    <w:rPr>
      <w:sz w:val="18"/>
      <w:szCs w:val="18"/>
    </w:rPr>
  </w:style>
  <w:style w:type="paragraph" w:styleId="24">
    <w:name w:val="footer"/>
    <w:basedOn w:val="1"/>
    <w:link w:val="58"/>
    <w:qFormat/>
    <w:uiPriority w:val="99"/>
    <w:pPr>
      <w:tabs>
        <w:tab w:val="center" w:pos="4153"/>
        <w:tab w:val="right" w:pos="8306"/>
      </w:tabs>
      <w:snapToGrid w:val="0"/>
      <w:jc w:val="left"/>
    </w:pPr>
    <w:rPr>
      <w:sz w:val="18"/>
      <w:szCs w:val="18"/>
    </w:rPr>
  </w:style>
  <w:style w:type="paragraph" w:styleId="25">
    <w:name w:val="header"/>
    <w:basedOn w:val="1"/>
    <w:link w:val="57"/>
    <w:qFormat/>
    <w:uiPriority w:val="99"/>
    <w:pPr>
      <w:pBdr>
        <w:bottom w:val="single" w:color="auto" w:sz="6" w:space="1"/>
      </w:pBdr>
      <w:tabs>
        <w:tab w:val="center" w:pos="4153"/>
        <w:tab w:val="right" w:pos="8306"/>
      </w:tabs>
      <w:snapToGrid w:val="0"/>
      <w:jc w:val="center"/>
    </w:pPr>
    <w:rPr>
      <w:sz w:val="18"/>
      <w:szCs w:val="18"/>
    </w:rPr>
  </w:style>
  <w:style w:type="paragraph" w:styleId="26">
    <w:name w:val="toc 1"/>
    <w:basedOn w:val="1"/>
    <w:next w:val="1"/>
    <w:qFormat/>
    <w:uiPriority w:val="39"/>
  </w:style>
  <w:style w:type="paragraph" w:styleId="27">
    <w:name w:val="toc 4"/>
    <w:basedOn w:val="1"/>
    <w:next w:val="1"/>
    <w:qFormat/>
    <w:uiPriority w:val="39"/>
    <w:pPr>
      <w:ind w:left="1260" w:leftChars="600"/>
    </w:pPr>
  </w:style>
  <w:style w:type="paragraph" w:styleId="28">
    <w:name w:val="List"/>
    <w:basedOn w:val="1"/>
    <w:qFormat/>
    <w:locked/>
    <w:uiPriority w:val="0"/>
    <w:pPr>
      <w:ind w:left="200" w:hanging="200" w:hangingChars="200"/>
      <w:contextualSpacing/>
    </w:pPr>
  </w:style>
  <w:style w:type="paragraph" w:styleId="29">
    <w:name w:val="toc 6"/>
    <w:basedOn w:val="1"/>
    <w:next w:val="1"/>
    <w:semiHidden/>
    <w:qFormat/>
    <w:uiPriority w:val="99"/>
    <w:pPr>
      <w:ind w:left="2100" w:leftChars="1000"/>
    </w:pPr>
  </w:style>
  <w:style w:type="paragraph" w:styleId="30">
    <w:name w:val="toc 2"/>
    <w:basedOn w:val="1"/>
    <w:next w:val="1"/>
    <w:qFormat/>
    <w:uiPriority w:val="39"/>
    <w:pPr>
      <w:ind w:left="420" w:leftChars="200"/>
    </w:pPr>
  </w:style>
  <w:style w:type="paragraph" w:styleId="31">
    <w:name w:val="toc 9"/>
    <w:basedOn w:val="1"/>
    <w:next w:val="1"/>
    <w:semiHidden/>
    <w:qFormat/>
    <w:uiPriority w:val="99"/>
    <w:pPr>
      <w:ind w:left="3360" w:leftChars="1600"/>
    </w:pPr>
  </w:style>
  <w:style w:type="paragraph" w:styleId="32">
    <w:name w:val="HTML Preformatted"/>
    <w:basedOn w:val="1"/>
    <w:qFormat/>
    <w:locked/>
    <w:uiPriority w:val="99"/>
    <w:rPr>
      <w:rFonts w:ascii="Courier New" w:hAnsi="Courier New"/>
      <w:sz w:val="20"/>
      <w:szCs w:val="20"/>
    </w:rPr>
  </w:style>
  <w:style w:type="paragraph" w:styleId="33">
    <w:name w:val="Normal (Web)"/>
    <w:basedOn w:val="1"/>
    <w:qFormat/>
    <w:locked/>
    <w:uiPriority w:val="99"/>
    <w:pPr>
      <w:widowControl/>
      <w:spacing w:before="100" w:beforeAutospacing="1" w:after="100" w:afterAutospacing="1"/>
      <w:jc w:val="left"/>
    </w:pPr>
    <w:rPr>
      <w:rFonts w:ascii="宋体" w:hAnsi="宋体" w:cs="宋体"/>
      <w:kern w:val="0"/>
      <w:sz w:val="24"/>
      <w:szCs w:val="24"/>
    </w:rPr>
  </w:style>
  <w:style w:type="paragraph" w:styleId="34">
    <w:name w:val="Title"/>
    <w:basedOn w:val="1"/>
    <w:link w:val="60"/>
    <w:qFormat/>
    <w:uiPriority w:val="99"/>
    <w:pPr>
      <w:spacing w:before="240" w:after="60"/>
      <w:jc w:val="center"/>
      <w:outlineLvl w:val="0"/>
    </w:pPr>
    <w:rPr>
      <w:rFonts w:ascii="Cambria" w:hAnsi="Cambria"/>
      <w:b/>
      <w:bCs/>
      <w:sz w:val="32"/>
      <w:szCs w:val="32"/>
    </w:rPr>
  </w:style>
  <w:style w:type="paragraph" w:styleId="35">
    <w:name w:val="annotation subject"/>
    <w:basedOn w:val="14"/>
    <w:next w:val="14"/>
    <w:link w:val="63"/>
    <w:qFormat/>
    <w:uiPriority w:val="99"/>
    <w:rPr>
      <w:b/>
      <w:bCs/>
      <w:sz w:val="21"/>
    </w:rPr>
  </w:style>
  <w:style w:type="paragraph" w:styleId="36">
    <w:name w:val="Body Text First Indent 2"/>
    <w:basedOn w:val="17"/>
    <w:qFormat/>
    <w:locked/>
    <w:uiPriority w:val="0"/>
    <w:pPr>
      <w:ind w:leftChars="0" w:firstLine="420"/>
    </w:pPr>
    <w:rPr>
      <w:sz w:val="22"/>
    </w:rPr>
  </w:style>
  <w:style w:type="table" w:styleId="38">
    <w:name w:val="Table Grid"/>
    <w:basedOn w:val="3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0">
    <w:name w:val="page number"/>
    <w:basedOn w:val="39"/>
    <w:qFormat/>
    <w:uiPriority w:val="99"/>
    <w:rPr>
      <w:rFonts w:cs="Times New Roman"/>
    </w:rPr>
  </w:style>
  <w:style w:type="character" w:styleId="41">
    <w:name w:val="Hyperlink"/>
    <w:basedOn w:val="39"/>
    <w:qFormat/>
    <w:uiPriority w:val="99"/>
    <w:rPr>
      <w:rFonts w:cs="Times New Roman"/>
      <w:color w:val="0000FF"/>
      <w:u w:val="single"/>
    </w:rPr>
  </w:style>
  <w:style w:type="character" w:styleId="42">
    <w:name w:val="annotation reference"/>
    <w:basedOn w:val="39"/>
    <w:qFormat/>
    <w:uiPriority w:val="99"/>
    <w:rPr>
      <w:rFonts w:cs="Times New Roman"/>
      <w:sz w:val="21"/>
      <w:szCs w:val="21"/>
    </w:rPr>
  </w:style>
  <w:style w:type="paragraph" w:customStyle="1" w:styleId="43">
    <w:name w:val="表格文字"/>
    <w:basedOn w:val="28"/>
    <w:next w:val="1"/>
    <w:qFormat/>
    <w:uiPriority w:val="0"/>
    <w:pPr>
      <w:ind w:firstLine="0" w:firstLineChars="0"/>
      <w:jc w:val="center"/>
    </w:pPr>
    <w:rPr>
      <w:szCs w:val="20"/>
    </w:rPr>
  </w:style>
  <w:style w:type="character" w:customStyle="1" w:styleId="44">
    <w:name w:val="标题 1 字符"/>
    <w:basedOn w:val="39"/>
    <w:link w:val="3"/>
    <w:qFormat/>
    <w:locked/>
    <w:uiPriority w:val="99"/>
    <w:rPr>
      <w:b/>
      <w:bCs/>
      <w:kern w:val="44"/>
      <w:sz w:val="32"/>
      <w:szCs w:val="44"/>
    </w:rPr>
  </w:style>
  <w:style w:type="character" w:customStyle="1" w:styleId="45">
    <w:name w:val="标题 2 字符"/>
    <w:basedOn w:val="39"/>
    <w:link w:val="4"/>
    <w:qFormat/>
    <w:locked/>
    <w:uiPriority w:val="99"/>
    <w:rPr>
      <w:b/>
      <w:bCs/>
      <w:kern w:val="2"/>
      <w:sz w:val="30"/>
      <w:szCs w:val="32"/>
    </w:rPr>
  </w:style>
  <w:style w:type="character" w:customStyle="1" w:styleId="46">
    <w:name w:val="标题 3 字符"/>
    <w:basedOn w:val="39"/>
    <w:link w:val="5"/>
    <w:qFormat/>
    <w:locked/>
    <w:uiPriority w:val="99"/>
    <w:rPr>
      <w:b/>
      <w:bCs/>
      <w:kern w:val="2"/>
      <w:sz w:val="28"/>
      <w:szCs w:val="32"/>
    </w:rPr>
  </w:style>
  <w:style w:type="character" w:customStyle="1" w:styleId="47">
    <w:name w:val="标题 4 字符"/>
    <w:basedOn w:val="39"/>
    <w:link w:val="6"/>
    <w:semiHidden/>
    <w:qFormat/>
    <w:locked/>
    <w:uiPriority w:val="99"/>
    <w:rPr>
      <w:rFonts w:ascii="Cambria" w:hAnsi="Cambria" w:eastAsia="宋体" w:cs="Times New Roman"/>
      <w:b/>
      <w:bCs/>
      <w:sz w:val="28"/>
      <w:szCs w:val="28"/>
    </w:rPr>
  </w:style>
  <w:style w:type="character" w:customStyle="1" w:styleId="48">
    <w:name w:val="标题 5 字符"/>
    <w:basedOn w:val="39"/>
    <w:link w:val="7"/>
    <w:semiHidden/>
    <w:qFormat/>
    <w:locked/>
    <w:uiPriority w:val="99"/>
    <w:rPr>
      <w:rFonts w:cs="Times New Roman"/>
      <w:b/>
      <w:bCs/>
      <w:sz w:val="28"/>
      <w:szCs w:val="28"/>
    </w:rPr>
  </w:style>
  <w:style w:type="character" w:customStyle="1" w:styleId="49">
    <w:name w:val="标题 6 字符"/>
    <w:basedOn w:val="39"/>
    <w:link w:val="8"/>
    <w:semiHidden/>
    <w:qFormat/>
    <w:locked/>
    <w:uiPriority w:val="99"/>
    <w:rPr>
      <w:rFonts w:ascii="Cambria" w:hAnsi="Cambria" w:eastAsia="宋体" w:cs="Times New Roman"/>
      <w:b/>
      <w:bCs/>
      <w:sz w:val="24"/>
      <w:szCs w:val="24"/>
    </w:rPr>
  </w:style>
  <w:style w:type="character" w:customStyle="1" w:styleId="50">
    <w:name w:val="标题 7 字符"/>
    <w:basedOn w:val="39"/>
    <w:link w:val="9"/>
    <w:semiHidden/>
    <w:qFormat/>
    <w:locked/>
    <w:uiPriority w:val="99"/>
    <w:rPr>
      <w:rFonts w:cs="Times New Roman"/>
      <w:b/>
      <w:bCs/>
      <w:sz w:val="24"/>
      <w:szCs w:val="24"/>
    </w:rPr>
  </w:style>
  <w:style w:type="character" w:customStyle="1" w:styleId="51">
    <w:name w:val="标题 8 字符"/>
    <w:basedOn w:val="39"/>
    <w:link w:val="10"/>
    <w:semiHidden/>
    <w:qFormat/>
    <w:locked/>
    <w:uiPriority w:val="99"/>
    <w:rPr>
      <w:rFonts w:ascii="Cambria" w:hAnsi="Cambria" w:eastAsia="宋体" w:cs="Times New Roman"/>
      <w:sz w:val="24"/>
      <w:szCs w:val="24"/>
    </w:rPr>
  </w:style>
  <w:style w:type="character" w:customStyle="1" w:styleId="52">
    <w:name w:val="标题 9 字符"/>
    <w:basedOn w:val="39"/>
    <w:link w:val="11"/>
    <w:semiHidden/>
    <w:qFormat/>
    <w:locked/>
    <w:uiPriority w:val="99"/>
    <w:rPr>
      <w:rFonts w:ascii="Cambria" w:hAnsi="Cambria" w:eastAsia="宋体" w:cs="Times New Roman"/>
      <w:sz w:val="21"/>
      <w:szCs w:val="21"/>
    </w:rPr>
  </w:style>
  <w:style w:type="character" w:customStyle="1" w:styleId="53">
    <w:name w:val="批注文字 字符"/>
    <w:basedOn w:val="39"/>
    <w:link w:val="14"/>
    <w:semiHidden/>
    <w:qFormat/>
    <w:locked/>
    <w:uiPriority w:val="99"/>
    <w:rPr>
      <w:rFonts w:cs="Times New Roman"/>
      <w:kern w:val="2"/>
      <w:sz w:val="24"/>
      <w:szCs w:val="24"/>
    </w:rPr>
  </w:style>
  <w:style w:type="character" w:customStyle="1" w:styleId="54">
    <w:name w:val="批注框文本 字符"/>
    <w:basedOn w:val="39"/>
    <w:link w:val="23"/>
    <w:semiHidden/>
    <w:qFormat/>
    <w:locked/>
    <w:uiPriority w:val="99"/>
    <w:rPr>
      <w:rFonts w:cs="Times New Roman"/>
      <w:sz w:val="2"/>
    </w:rPr>
  </w:style>
  <w:style w:type="character" w:customStyle="1" w:styleId="55">
    <w:name w:val="正文文本缩进 字符"/>
    <w:basedOn w:val="39"/>
    <w:link w:val="17"/>
    <w:semiHidden/>
    <w:qFormat/>
    <w:locked/>
    <w:uiPriority w:val="99"/>
    <w:rPr>
      <w:rFonts w:cs="Times New Roman"/>
      <w:sz w:val="24"/>
      <w:szCs w:val="24"/>
    </w:rPr>
  </w:style>
  <w:style w:type="character" w:customStyle="1" w:styleId="56">
    <w:name w:val="日期 字符"/>
    <w:basedOn w:val="39"/>
    <w:link w:val="22"/>
    <w:qFormat/>
    <w:locked/>
    <w:uiPriority w:val="99"/>
    <w:rPr>
      <w:rFonts w:ascii="宋体" w:eastAsia="宋体" w:cs="Times New Roman"/>
      <w:kern w:val="2"/>
      <w:sz w:val="24"/>
    </w:rPr>
  </w:style>
  <w:style w:type="character" w:customStyle="1" w:styleId="57">
    <w:name w:val="页眉 字符"/>
    <w:basedOn w:val="39"/>
    <w:link w:val="25"/>
    <w:semiHidden/>
    <w:qFormat/>
    <w:locked/>
    <w:uiPriority w:val="99"/>
    <w:rPr>
      <w:rFonts w:cs="Times New Roman"/>
      <w:sz w:val="18"/>
      <w:szCs w:val="18"/>
    </w:rPr>
  </w:style>
  <w:style w:type="character" w:customStyle="1" w:styleId="58">
    <w:name w:val="页脚 字符"/>
    <w:basedOn w:val="39"/>
    <w:link w:val="24"/>
    <w:qFormat/>
    <w:locked/>
    <w:uiPriority w:val="99"/>
    <w:rPr>
      <w:rFonts w:cs="Times New Roman"/>
      <w:sz w:val="18"/>
      <w:szCs w:val="18"/>
    </w:rPr>
  </w:style>
  <w:style w:type="character" w:customStyle="1" w:styleId="59">
    <w:name w:val="文档结构图 字符"/>
    <w:basedOn w:val="39"/>
    <w:link w:val="13"/>
    <w:qFormat/>
    <w:locked/>
    <w:uiPriority w:val="99"/>
    <w:rPr>
      <w:rFonts w:ascii="宋体" w:cs="Times New Roman"/>
      <w:kern w:val="2"/>
      <w:sz w:val="18"/>
    </w:rPr>
  </w:style>
  <w:style w:type="character" w:customStyle="1" w:styleId="60">
    <w:name w:val="标题 字符"/>
    <w:basedOn w:val="39"/>
    <w:link w:val="34"/>
    <w:qFormat/>
    <w:locked/>
    <w:uiPriority w:val="99"/>
    <w:rPr>
      <w:rFonts w:ascii="Cambria" w:hAnsi="Cambria" w:cs="Times New Roman"/>
      <w:b/>
      <w:kern w:val="2"/>
      <w:sz w:val="32"/>
    </w:rPr>
  </w:style>
  <w:style w:type="paragraph" w:customStyle="1" w:styleId="61">
    <w:name w:val="列出段落1"/>
    <w:basedOn w:val="1"/>
    <w:qFormat/>
    <w:uiPriority w:val="99"/>
    <w:pPr>
      <w:ind w:firstLine="420"/>
    </w:pPr>
  </w:style>
  <w:style w:type="paragraph" w:customStyle="1" w:styleId="62">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63">
    <w:name w:val="批注主题 字符"/>
    <w:basedOn w:val="53"/>
    <w:link w:val="35"/>
    <w:qFormat/>
    <w:locked/>
    <w:uiPriority w:val="99"/>
    <w:rPr>
      <w:rFonts w:cs="Times New Roman"/>
      <w:kern w:val="2"/>
      <w:sz w:val="24"/>
      <w:szCs w:val="24"/>
    </w:rPr>
  </w:style>
  <w:style w:type="paragraph" w:styleId="64">
    <w:name w:val="List Paragraph"/>
    <w:basedOn w:val="1"/>
    <w:qFormat/>
    <w:uiPriority w:val="34"/>
    <w:pPr>
      <w:ind w:firstLine="420"/>
    </w:pPr>
  </w:style>
  <w:style w:type="character" w:customStyle="1" w:styleId="65">
    <w:name w:val="正文1 Char"/>
    <w:qFormat/>
    <w:uiPriority w:val="0"/>
    <w:rPr>
      <w:rFonts w:ascii="Arial" w:hAnsi="Arial" w:eastAsia="宋体" w:cs="宋体"/>
      <w:kern w:val="28"/>
      <w:sz w:val="24"/>
    </w:rPr>
  </w:style>
  <w:style w:type="paragraph" w:customStyle="1" w:styleId="66">
    <w:name w:val="_标题1"/>
    <w:basedOn w:val="3"/>
    <w:next w:val="1"/>
    <w:qFormat/>
    <w:uiPriority w:val="0"/>
    <w:pPr>
      <w:pageBreakBefore/>
      <w:tabs>
        <w:tab w:val="left" w:pos="0"/>
      </w:tabs>
      <w:spacing w:before="0" w:after="190" w:afterLines="50" w:line="360" w:lineRule="auto"/>
      <w:ind w:left="51"/>
      <w:jc w:val="left"/>
    </w:pPr>
    <w:rPr>
      <w:rFonts w:ascii="Arial" w:hAnsi="Arial" w:eastAsia="黑体"/>
      <w:b w:val="0"/>
      <w:bCs w:val="0"/>
      <w:sz w:val="36"/>
    </w:rPr>
  </w:style>
  <w:style w:type="paragraph" w:customStyle="1" w:styleId="67">
    <w:name w:val="_标题2"/>
    <w:basedOn w:val="4"/>
    <w:next w:val="1"/>
    <w:qFormat/>
    <w:uiPriority w:val="0"/>
    <w:pPr>
      <w:tabs>
        <w:tab w:val="left" w:pos="0"/>
      </w:tabs>
      <w:spacing w:before="0" w:after="381" w:afterLines="100"/>
      <w:ind w:left="51"/>
      <w:jc w:val="left"/>
    </w:pPr>
    <w:rPr>
      <w:rFonts w:ascii="微软雅黑" w:hAnsi="微软雅黑" w:eastAsia="黑体"/>
      <w:b w:val="0"/>
      <w:bCs w:val="0"/>
      <w:sz w:val="32"/>
    </w:rPr>
  </w:style>
  <w:style w:type="paragraph" w:customStyle="1" w:styleId="68">
    <w:name w:val="图样式"/>
    <w:basedOn w:val="1"/>
    <w:link w:val="69"/>
    <w:qFormat/>
    <w:uiPriority w:val="0"/>
    <w:pPr>
      <w:adjustRightInd w:val="0"/>
      <w:snapToGrid w:val="0"/>
      <w:spacing w:before="50" w:beforeLines="50" w:after="100" w:afterLines="100"/>
      <w:ind w:firstLine="0" w:firstLineChars="0"/>
      <w:jc w:val="center"/>
    </w:pPr>
    <w:rPr>
      <w:rFonts w:cstheme="minorBidi"/>
      <w:b/>
      <w:sz w:val="21"/>
      <w:szCs w:val="32"/>
    </w:rPr>
  </w:style>
  <w:style w:type="character" w:customStyle="1" w:styleId="69">
    <w:name w:val="图样式 字符"/>
    <w:basedOn w:val="39"/>
    <w:link w:val="68"/>
    <w:qFormat/>
    <w:uiPriority w:val="0"/>
    <w:rPr>
      <w:rFonts w:cstheme="minorBidi"/>
      <w:b/>
      <w:kern w:val="2"/>
      <w:sz w:val="21"/>
      <w:szCs w:val="32"/>
    </w:rPr>
  </w:style>
  <w:style w:type="paragraph" w:customStyle="1" w:styleId="70">
    <w:name w:val="列出段落7"/>
    <w:basedOn w:val="1"/>
    <w:qFormat/>
    <w:uiPriority w:val="0"/>
    <w:pPr>
      <w:ind w:left="400" w:firstLine="420"/>
    </w:pPr>
  </w:style>
  <w:style w:type="paragraph" w:customStyle="1" w:styleId="71">
    <w:name w:val="正文文本2"/>
    <w:basedOn w:val="1"/>
    <w:qFormat/>
    <w:uiPriority w:val="0"/>
    <w:pPr>
      <w:autoSpaceDE w:val="0"/>
      <w:autoSpaceDN w:val="0"/>
      <w:jc w:val="left"/>
    </w:pPr>
    <w:rPr>
      <w:rFonts w:ascii="宋体" w:hAnsi="宋体"/>
      <w:kern w:val="0"/>
      <w:sz w:val="20"/>
      <w:szCs w:val="21"/>
      <w:lang w:val="zh-CN"/>
    </w:rPr>
  </w:style>
  <w:style w:type="paragraph" w:customStyle="1" w:styleId="72">
    <w:name w:val="样式8"/>
    <w:basedOn w:val="73"/>
    <w:qFormat/>
    <w:uiPriority w:val="1"/>
  </w:style>
  <w:style w:type="paragraph" w:customStyle="1" w:styleId="73">
    <w:name w:val="一级标题"/>
    <w:basedOn w:val="1"/>
    <w:qFormat/>
    <w:uiPriority w:val="0"/>
    <w:pPr>
      <w:adjustRightInd w:val="0"/>
      <w:snapToGrid w:val="0"/>
      <w:jc w:val="center"/>
      <w:outlineLvl w:val="0"/>
    </w:pPr>
    <w:rPr>
      <w:rFonts w:ascii="黑体" w:eastAsia="黑体"/>
      <w:b/>
      <w:sz w:val="28"/>
      <w:szCs w:val="28"/>
    </w:rPr>
  </w:style>
  <w:style w:type="paragraph" w:customStyle="1" w:styleId="74">
    <w:name w:val="Table Paragraph"/>
    <w:basedOn w:val="1"/>
    <w:qFormat/>
    <w:uiPriority w:val="1"/>
    <w:pPr>
      <w:autoSpaceDE w:val="0"/>
      <w:autoSpaceDN w:val="0"/>
      <w:jc w:val="left"/>
    </w:pPr>
    <w:rPr>
      <w:rFonts w:ascii="宋体" w:hAnsi="宋体" w:cs="宋体"/>
      <w:kern w:val="0"/>
      <w:sz w:val="22"/>
      <w:lang w:val="zh-CN"/>
    </w:rPr>
  </w:style>
  <w:style w:type="paragraph" w:customStyle="1" w:styleId="75">
    <w:name w:val="列出段落2"/>
    <w:basedOn w:val="1"/>
    <w:qFormat/>
    <w:uiPriority w:val="0"/>
    <w:pPr>
      <w:autoSpaceDE w:val="0"/>
      <w:autoSpaceDN w:val="0"/>
      <w:ind w:left="240" w:firstLine="420"/>
      <w:jc w:val="left"/>
    </w:pPr>
    <w:rPr>
      <w:rFonts w:ascii="宋体" w:hAnsi="宋体" w:cs="宋体"/>
      <w:kern w:val="0"/>
      <w:sz w:val="22"/>
      <w:lang w:val="zh-CN"/>
    </w:rPr>
  </w:style>
  <w:style w:type="paragraph" w:customStyle="1" w:styleId="76">
    <w:name w:val="A标题3"/>
    <w:basedOn w:val="5"/>
    <w:next w:val="1"/>
    <w:qFormat/>
    <w:uiPriority w:val="0"/>
    <w:pPr>
      <w:keepNext/>
      <w:keepLines/>
      <w:tabs>
        <w:tab w:val="left" w:pos="720"/>
        <w:tab w:val="left" w:pos="851"/>
      </w:tabs>
      <w:autoSpaceDE/>
      <w:autoSpaceDN/>
      <w:adjustRightInd w:val="0"/>
      <w:spacing w:line="360" w:lineRule="auto"/>
      <w:jc w:val="both"/>
      <w:textAlignment w:val="baseline"/>
    </w:pPr>
    <w:rPr>
      <w:rFonts w:ascii="Calibri" w:hAnsi="Calibri"/>
      <w:kern w:val="24"/>
      <w:sz w:val="24"/>
      <w:szCs w:val="20"/>
    </w:rPr>
  </w:style>
  <w:style w:type="paragraph" w:customStyle="1" w:styleId="77">
    <w:name w:val="bgg"/>
    <w:basedOn w:val="78"/>
    <w:qFormat/>
    <w:uiPriority w:val="0"/>
    <w:pPr>
      <w:snapToGrid w:val="0"/>
      <w:ind w:left="52" w:leftChars="25" w:right="52" w:rightChars="25"/>
      <w:jc w:val="center"/>
    </w:pPr>
    <w:rPr>
      <w:rFonts w:ascii="Times New Roman" w:hAnsi="Times New Roman"/>
      <w:sz w:val="18"/>
      <w:szCs w:val="18"/>
    </w:rPr>
  </w:style>
  <w:style w:type="paragraph" w:customStyle="1" w:styleId="78">
    <w:name w:val="默认段落字体 Para Char Char Char Char"/>
    <w:basedOn w:val="1"/>
    <w:qFormat/>
    <w:uiPriority w:val="0"/>
    <w:rPr>
      <w:rFonts w:ascii="宋体" w:hAnsi="宋体"/>
      <w:b/>
      <w:color w:val="000000"/>
      <w:kern w:val="0"/>
      <w:sz w:val="24"/>
      <w:szCs w:val="24"/>
    </w:rPr>
  </w:style>
  <w:style w:type="paragraph" w:customStyle="1" w:styleId="79">
    <w:name w:val="p0"/>
    <w:basedOn w:val="1"/>
    <w:qFormat/>
    <w:uiPriority w:val="0"/>
    <w:pPr>
      <w:widowControl/>
    </w:pPr>
    <w:rPr>
      <w:rFonts w:eastAsia="方正仿宋_GBK"/>
      <w:kern w:val="0"/>
      <w:szCs w:val="20"/>
    </w:rPr>
  </w:style>
  <w:style w:type="paragraph" w:customStyle="1" w:styleId="80">
    <w:name w:val="列出段落111"/>
    <w:basedOn w:val="1"/>
    <w:qFormat/>
    <w:uiPriority w:val="0"/>
    <w:pPr>
      <w:autoSpaceDE w:val="0"/>
      <w:autoSpaceDN w:val="0"/>
      <w:ind w:firstLine="420" w:firstLineChars="200"/>
    </w:pPr>
    <w:rPr>
      <w:szCs w:val="20"/>
    </w:rPr>
  </w:style>
  <w:style w:type="character" w:customStyle="1" w:styleId="81">
    <w:name w:val="标题 1.1 Char1"/>
    <w:qFormat/>
    <w:uiPriority w:val="0"/>
    <w:rPr>
      <w:rFonts w:ascii="Arial" w:hAnsi="Arial" w:eastAsia="黑体"/>
      <w:b/>
      <w:bCs/>
      <w:kern w:val="2"/>
      <w:sz w:val="32"/>
      <w:szCs w:val="32"/>
    </w:rPr>
  </w:style>
  <w:style w:type="paragraph" w:customStyle="1" w:styleId="82">
    <w:name w:val="正文1"/>
    <w:next w:val="1"/>
    <w:qFormat/>
    <w:uiPriority w:val="0"/>
    <w:pPr>
      <w:widowControl w:val="0"/>
      <w:autoSpaceDE w:val="0"/>
      <w:autoSpaceDN w:val="0"/>
      <w:adjustRightInd w:val="0"/>
      <w:spacing w:line="0" w:lineRule="atLeast"/>
      <w:textAlignment w:val="bottom"/>
    </w:pPr>
    <w:rPr>
      <w:rFonts w:ascii="宋体" w:hAnsi="Times New Roman" w:eastAsia="宋体" w:cs="Times New Roman"/>
      <w:spacing w:val="10"/>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3.png"/><Relationship Id="rId12" Type="http://schemas.openxmlformats.org/officeDocument/2006/relationships/image" Target="media/image2.emf"/><Relationship Id="rId11" Type="http://schemas.openxmlformats.org/officeDocument/2006/relationships/oleObject" Target="embeddings/oleObject1.bin"/><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593331-6AEA-4096-A931-90BB7B8C155F}">
  <ds:schemaRefs/>
</ds:datastoreItem>
</file>

<file path=docProps/app.xml><?xml version="1.0" encoding="utf-8"?>
<Properties xmlns="http://schemas.openxmlformats.org/officeDocument/2006/extended-properties" xmlns:vt="http://schemas.openxmlformats.org/officeDocument/2006/docPropsVTypes">
  <Template>Normal.dotm</Template>
  <Company>xjz</Company>
  <Pages>12</Pages>
  <Words>7549</Words>
  <Characters>8068</Characters>
  <Lines>59</Lines>
  <Paragraphs>16</Paragraphs>
  <TotalTime>16</TotalTime>
  <ScaleCrop>false</ScaleCrop>
  <LinksUpToDate>false</LinksUpToDate>
  <CharactersWithSpaces>8155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2021-08-08T17:14:00Z</dcterms:created>
  <dc:creator>weida.qiu@accenture.com</dc:creator>
  <cp:lastModifiedBy>路杨</cp:lastModifiedBy>
  <cp:lastPrinted>2009-04-10T02:27:00Z</cp:lastPrinted>
  <dcterms:modified xsi:type="dcterms:W3CDTF">2025-07-15T09:28:32Z</dcterms:modified>
  <dc:title>G20峰会智能保电指挥系统功能规格书</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32D8F40D59274470B2C5B4B0BC4E30FE_13</vt:lpwstr>
  </property>
  <property fmtid="{D5CDD505-2E9C-101B-9397-08002B2CF9AE}" pid="4" name="KSOTemplateDocerSaveRecord">
    <vt:lpwstr>eyJoZGlkIjoiNjcwYzVkMTg3MWMwNGUxYzNjM2U0MDdlMWNmN2MyNTkiLCJ1c2VySWQiOiIyMzkxMTYzODAifQ==</vt:lpwstr>
  </property>
</Properties>
</file>