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F7BD6">
      <w:pPr>
        <w:spacing w:line="360" w:lineRule="auto"/>
        <w:jc w:val="center"/>
        <w:rPr>
          <w:rFonts w:hint="eastAsia" w:asciiTheme="minorEastAsia" w:hAnsiTheme="minorEastAsia" w:eastAsiaTheme="minorEastAsia" w:cstheme="minorEastAsia"/>
          <w:b/>
          <w:sz w:val="24"/>
          <w:highlight w:val="none"/>
        </w:rPr>
      </w:pPr>
    </w:p>
    <w:p w14:paraId="74FFCD77">
      <w:pPr>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 xml:space="preserve"> </w:t>
      </w:r>
    </w:p>
    <w:p w14:paraId="36D82624">
      <w:pPr>
        <w:adjustRightInd/>
        <w:spacing w:line="360" w:lineRule="auto"/>
        <w:jc w:val="center"/>
        <w:rPr>
          <w:rFonts w:hint="eastAsia" w:asciiTheme="minorEastAsia" w:hAnsiTheme="minorEastAsia" w:eastAsiaTheme="minorEastAsia" w:cstheme="minorEastAsia"/>
          <w:sz w:val="56"/>
          <w:szCs w:val="56"/>
          <w:highlight w:val="none"/>
          <w:lang w:eastAsia="zh-CN"/>
        </w:rPr>
      </w:pPr>
      <w:r>
        <w:rPr>
          <w:rFonts w:hint="eastAsia" w:asciiTheme="minorEastAsia" w:hAnsiTheme="minorEastAsia" w:eastAsiaTheme="minorEastAsia" w:cstheme="minorEastAsia"/>
          <w:sz w:val="56"/>
          <w:szCs w:val="56"/>
          <w:highlight w:val="none"/>
          <w:lang w:eastAsia="zh-CN"/>
        </w:rPr>
        <w:t>2026年-2028年龙港市交通标志标线增设和维护项目</w:t>
      </w:r>
    </w:p>
    <w:p w14:paraId="5D110161">
      <w:pPr>
        <w:adjustRightInd/>
        <w:spacing w:line="360" w:lineRule="auto"/>
        <w:jc w:val="center"/>
        <w:rPr>
          <w:rFonts w:hint="eastAsia" w:asciiTheme="minorEastAsia" w:hAnsiTheme="minorEastAsia" w:eastAsiaTheme="minorEastAsia" w:cstheme="minorEastAsia"/>
          <w:sz w:val="72"/>
          <w:szCs w:val="72"/>
          <w:highlight w:val="none"/>
        </w:rPr>
      </w:pPr>
    </w:p>
    <w:p w14:paraId="7E191F79">
      <w:pPr>
        <w:adjustRightInd/>
        <w:spacing w:line="360" w:lineRule="auto"/>
        <w:jc w:val="center"/>
        <w:rPr>
          <w:rFonts w:hint="eastAsia" w:asciiTheme="minorEastAsia" w:hAnsiTheme="minorEastAsia" w:eastAsiaTheme="minorEastAsia" w:cstheme="minorEastAsia"/>
          <w:sz w:val="72"/>
          <w:szCs w:val="72"/>
          <w:highlight w:val="none"/>
        </w:rPr>
      </w:pPr>
      <w:r>
        <w:rPr>
          <w:rFonts w:hint="eastAsia" w:asciiTheme="minorEastAsia" w:hAnsiTheme="minorEastAsia" w:eastAsiaTheme="minorEastAsia" w:cstheme="minorEastAsia"/>
          <w:sz w:val="72"/>
          <w:szCs w:val="72"/>
          <w:highlight w:val="none"/>
        </w:rPr>
        <w:t>招标文件</w:t>
      </w:r>
      <w:r>
        <w:rPr>
          <w:rFonts w:asciiTheme="minorEastAsia" w:hAnsiTheme="minorEastAsia" w:eastAsiaTheme="minorEastAsia" w:cstheme="minorEastAsia"/>
          <w:sz w:val="72"/>
          <w:szCs w:val="72"/>
          <w:highlight w:val="none"/>
        </w:rPr>
        <w:t xml:space="preserve"> </w:t>
      </w:r>
    </w:p>
    <w:p w14:paraId="7AC5F2B1">
      <w:pPr>
        <w:adjustRightInd/>
        <w:spacing w:line="360" w:lineRule="auto"/>
        <w:jc w:val="center"/>
        <w:rPr>
          <w:rFonts w:hint="eastAsia" w:asciiTheme="minorEastAsia" w:hAnsiTheme="minorEastAsia" w:eastAsiaTheme="minorEastAsia" w:cstheme="minorEastAsia"/>
          <w:b/>
          <w:sz w:val="44"/>
          <w:szCs w:val="44"/>
          <w:highlight w:val="none"/>
        </w:rPr>
      </w:pPr>
      <w:r>
        <w:rPr>
          <w:rFonts w:asciiTheme="minorEastAsia" w:hAnsiTheme="minorEastAsia" w:eastAsiaTheme="minorEastAsia" w:cstheme="minorEastAsia"/>
          <w:b/>
          <w:sz w:val="44"/>
          <w:szCs w:val="44"/>
          <w:highlight w:val="none"/>
        </w:rPr>
        <w:t xml:space="preserve"> （电子招投标）</w:t>
      </w:r>
    </w:p>
    <w:p w14:paraId="245CB966">
      <w:pPr>
        <w:snapToGrid w:val="0"/>
        <w:spacing w:line="360" w:lineRule="auto"/>
        <w:jc w:val="center"/>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rPr>
        <w:t>项目编号</w:t>
      </w:r>
      <w:r>
        <w:rPr>
          <w:rFonts w:asciiTheme="minorEastAsia" w:hAnsiTheme="minorEastAsia" w:eastAsiaTheme="minorEastAsia" w:cstheme="minorEastAsia"/>
          <w:sz w:val="30"/>
          <w:szCs w:val="30"/>
          <w:highlight w:val="none"/>
        </w:rPr>
        <w:t>:</w:t>
      </w:r>
      <w:bookmarkStart w:id="565" w:name="_GoBack"/>
      <w:bookmarkEnd w:id="565"/>
      <w:r>
        <w:rPr>
          <w:rFonts w:hint="eastAsia" w:asciiTheme="minorEastAsia" w:hAnsiTheme="minorEastAsia" w:eastAsiaTheme="minorEastAsia" w:cstheme="minorEastAsia"/>
          <w:sz w:val="30"/>
          <w:szCs w:val="30"/>
          <w:highlight w:val="none"/>
          <w:lang w:eastAsia="zh-CN"/>
        </w:rPr>
        <w:t>LGSYCG2025029</w:t>
      </w:r>
    </w:p>
    <w:p w14:paraId="4E15CF8C">
      <w:pPr>
        <w:adjustRightInd/>
        <w:spacing w:line="360" w:lineRule="auto"/>
        <w:rPr>
          <w:rFonts w:hint="eastAsia" w:asciiTheme="minorEastAsia" w:hAnsiTheme="minorEastAsia" w:eastAsiaTheme="minorEastAsia" w:cstheme="minorEastAsia"/>
          <w:sz w:val="28"/>
          <w:szCs w:val="20"/>
          <w:highlight w:val="none"/>
        </w:rPr>
      </w:pPr>
    </w:p>
    <w:p w14:paraId="41890C49">
      <w:pPr>
        <w:spacing w:line="360" w:lineRule="auto"/>
        <w:jc w:val="center"/>
        <w:rPr>
          <w:rFonts w:hint="eastAsia" w:asciiTheme="minorEastAsia" w:hAnsiTheme="minorEastAsia" w:eastAsiaTheme="minorEastAsia" w:cstheme="minorEastAsia"/>
          <w:b/>
          <w:sz w:val="44"/>
          <w:szCs w:val="44"/>
          <w:highlight w:val="none"/>
        </w:rPr>
      </w:pPr>
    </w:p>
    <w:p w14:paraId="294C8AD4">
      <w:pPr>
        <w:spacing w:line="360" w:lineRule="auto"/>
        <w:jc w:val="center"/>
        <w:rPr>
          <w:rFonts w:hint="eastAsia" w:asciiTheme="minorEastAsia" w:hAnsiTheme="minorEastAsia" w:eastAsiaTheme="minorEastAsia" w:cstheme="minorEastAsia"/>
          <w:b/>
          <w:sz w:val="44"/>
          <w:szCs w:val="44"/>
          <w:highlight w:val="none"/>
        </w:rPr>
      </w:pPr>
    </w:p>
    <w:p w14:paraId="14D5093F">
      <w:pPr>
        <w:spacing w:line="360" w:lineRule="auto"/>
        <w:jc w:val="center"/>
        <w:rPr>
          <w:rFonts w:hint="eastAsia" w:asciiTheme="minorEastAsia" w:hAnsiTheme="minorEastAsia" w:eastAsiaTheme="minorEastAsia" w:cstheme="minorEastAsia"/>
          <w:sz w:val="24"/>
          <w:highlight w:val="none"/>
        </w:rPr>
      </w:pPr>
    </w:p>
    <w:p w14:paraId="4154DEBE">
      <w:pPr>
        <w:spacing w:line="360" w:lineRule="auto"/>
        <w:jc w:val="center"/>
        <w:rPr>
          <w:rFonts w:hint="eastAsia" w:asciiTheme="minorEastAsia" w:hAnsiTheme="minorEastAsia" w:eastAsiaTheme="minorEastAsia" w:cstheme="minorEastAsia"/>
          <w:sz w:val="24"/>
          <w:highlight w:val="none"/>
        </w:rPr>
      </w:pPr>
    </w:p>
    <w:p w14:paraId="4807BA64">
      <w:pPr>
        <w:spacing w:line="360" w:lineRule="auto"/>
        <w:rPr>
          <w:rFonts w:hint="eastAsia" w:asciiTheme="minorEastAsia" w:hAnsiTheme="minorEastAsia" w:eastAsiaTheme="minorEastAsia" w:cstheme="minorEastAsia"/>
          <w:sz w:val="32"/>
          <w:szCs w:val="32"/>
          <w:highlight w:val="none"/>
        </w:rPr>
      </w:pPr>
    </w:p>
    <w:p w14:paraId="79688FE0">
      <w:pPr>
        <w:snapToGrid w:val="0"/>
        <w:spacing w:line="360" w:lineRule="auto"/>
        <w:jc w:val="center"/>
        <w:rPr>
          <w:rFonts w:hint="eastAsia" w:asciiTheme="minorEastAsia" w:hAnsiTheme="minorEastAsia" w:eastAsiaTheme="minorEastAsia" w:cstheme="minorEastAsia"/>
          <w:sz w:val="32"/>
          <w:szCs w:val="32"/>
          <w:highlight w:val="none"/>
        </w:rPr>
      </w:pPr>
      <w:bookmarkStart w:id="0" w:name="OLE_LINK1"/>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"javascript:cubeOpenHref(" \o "杭州市质量计量科学研究院"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 w:val="32"/>
          <w:szCs w:val="32"/>
          <w:highlight w:val="none"/>
          <w:lang w:eastAsia="zh-CN"/>
        </w:rPr>
        <w:t>龙港市公安局交通管理大队</w:t>
      </w:r>
      <w:r>
        <w:rPr>
          <w:rFonts w:hint="eastAsia" w:asciiTheme="minorEastAsia" w:hAnsiTheme="minorEastAsia" w:eastAsiaTheme="minorEastAsia" w:cstheme="minorEastAsia"/>
          <w:sz w:val="32"/>
          <w:szCs w:val="32"/>
          <w:highlight w:val="none"/>
        </w:rPr>
        <w:fldChar w:fldCharType="end"/>
      </w:r>
    </w:p>
    <w:bookmarkEnd w:id="0"/>
    <w:p w14:paraId="376068B8">
      <w:pPr>
        <w:spacing w:line="360" w:lineRule="auto"/>
        <w:jc w:val="center"/>
        <w:rPr>
          <w:rFonts w:hint="eastAsia" w:asciiTheme="minorEastAsia" w:hAnsiTheme="minorEastAsia" w:eastAsiaTheme="minorEastAsia" w:cstheme="minorEastAsia"/>
          <w:bCs/>
          <w:sz w:val="32"/>
          <w:szCs w:val="32"/>
          <w:highlight w:val="none"/>
          <w:lang w:eastAsia="zh-CN"/>
        </w:rPr>
      </w:pPr>
      <w:r>
        <w:rPr>
          <w:rFonts w:hint="eastAsia" w:asciiTheme="minorEastAsia" w:hAnsiTheme="minorEastAsia" w:eastAsiaTheme="minorEastAsia" w:cstheme="minorEastAsia"/>
          <w:bCs/>
          <w:sz w:val="32"/>
          <w:szCs w:val="32"/>
          <w:highlight w:val="none"/>
          <w:lang w:eastAsia="zh-CN"/>
        </w:rPr>
        <w:t>浙江晟业工程咨询有限公司</w:t>
      </w:r>
    </w:p>
    <w:p w14:paraId="198EAC20">
      <w:pPr>
        <w:snapToGrid w:val="0"/>
        <w:spacing w:line="360" w:lineRule="auto"/>
        <w:jc w:val="center"/>
        <w:rPr>
          <w:rFonts w:hint="eastAsia" w:asciiTheme="minorEastAsia" w:hAnsiTheme="minorEastAsia" w:eastAsiaTheme="minorEastAsia" w:cstheme="minorEastAsia"/>
          <w:bCs/>
          <w:sz w:val="32"/>
          <w:szCs w:val="32"/>
          <w:highlight w:val="none"/>
        </w:rPr>
      </w:pPr>
    </w:p>
    <w:p w14:paraId="3B86158A">
      <w:pPr>
        <w:snapToGrid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32"/>
          <w:szCs w:val="32"/>
          <w:highlight w:val="none"/>
        </w:rPr>
        <w:t>二〇二五年</w:t>
      </w:r>
      <w:r>
        <w:rPr>
          <w:rFonts w:hint="eastAsia" w:asciiTheme="minorEastAsia" w:hAnsiTheme="minorEastAsia" w:eastAsiaTheme="minorEastAsia" w:cstheme="minorEastAsia"/>
          <w:bCs/>
          <w:sz w:val="32"/>
          <w:szCs w:val="32"/>
          <w:highlight w:val="none"/>
          <w:lang w:val="en-US" w:eastAsia="zh-CN"/>
        </w:rPr>
        <w:t>十一</w:t>
      </w:r>
      <w:r>
        <w:rPr>
          <w:rFonts w:hint="eastAsia" w:asciiTheme="minorEastAsia" w:hAnsiTheme="minorEastAsia" w:eastAsiaTheme="minorEastAsia" w:cstheme="minorEastAsia"/>
          <w:bCs/>
          <w:sz w:val="32"/>
          <w:szCs w:val="32"/>
          <w:highlight w:val="none"/>
        </w:rPr>
        <w:t>月</w:t>
      </w:r>
      <w:r>
        <w:rPr>
          <w:rFonts w:asciiTheme="minorEastAsia" w:hAnsiTheme="minorEastAsia" w:eastAsiaTheme="minorEastAsia" w:cstheme="minorEastAsia"/>
          <w:sz w:val="24"/>
          <w:highlight w:val="none"/>
        </w:rPr>
        <w:br w:type="page"/>
      </w:r>
      <w:bookmarkStart w:id="1" w:name="_Hlt67893495"/>
      <w:bookmarkEnd w:id="1"/>
    </w:p>
    <w:p w14:paraId="0577CF44">
      <w:pPr>
        <w:spacing w:line="360" w:lineRule="auto"/>
        <w:jc w:val="center"/>
        <w:rPr>
          <w:rFonts w:hint="eastAsia" w:asciiTheme="minorEastAsia" w:hAnsiTheme="minorEastAsia" w:eastAsiaTheme="minorEastAsia" w:cstheme="minorEastAsia"/>
          <w:sz w:val="24"/>
          <w:highlight w:val="none"/>
        </w:rPr>
      </w:pPr>
    </w:p>
    <w:p w14:paraId="2227F173">
      <w:pPr>
        <w:spacing w:line="360" w:lineRule="auto"/>
        <w:jc w:val="center"/>
        <w:rPr>
          <w:rFonts w:hint="eastAsia" w:asciiTheme="minorEastAsia" w:hAnsiTheme="minorEastAsia" w:eastAsiaTheme="minorEastAsia" w:cstheme="minorEastAsia"/>
          <w:b/>
          <w:sz w:val="48"/>
          <w:szCs w:val="48"/>
          <w:highlight w:val="none"/>
        </w:rPr>
      </w:pPr>
      <w:r>
        <w:rPr>
          <w:rFonts w:hint="eastAsia" w:asciiTheme="minorEastAsia" w:hAnsiTheme="minorEastAsia" w:eastAsiaTheme="minorEastAsia" w:cstheme="minorEastAsia"/>
          <w:b/>
          <w:sz w:val="48"/>
          <w:szCs w:val="48"/>
          <w:highlight w:val="none"/>
        </w:rPr>
        <w:t>目</w:t>
      </w:r>
      <w:r>
        <w:rPr>
          <w:rFonts w:asciiTheme="minorEastAsia" w:hAnsiTheme="minorEastAsia" w:eastAsiaTheme="minorEastAsia" w:cstheme="minorEastAsia"/>
          <w:b/>
          <w:sz w:val="48"/>
          <w:szCs w:val="48"/>
          <w:highlight w:val="none"/>
        </w:rPr>
        <w:t xml:space="preserve">  </w:t>
      </w:r>
      <w:r>
        <w:rPr>
          <w:rFonts w:hint="eastAsia" w:asciiTheme="minorEastAsia" w:hAnsiTheme="minorEastAsia" w:eastAsiaTheme="minorEastAsia" w:cstheme="minorEastAsia"/>
          <w:b/>
          <w:sz w:val="48"/>
          <w:szCs w:val="48"/>
          <w:highlight w:val="none"/>
        </w:rPr>
        <w:t>录</w:t>
      </w:r>
    </w:p>
    <w:sdt>
      <w:sdtPr>
        <w:rPr>
          <w:rFonts w:ascii="宋体" w:hAnsi="宋体"/>
          <w:highlight w:val="none"/>
        </w:rPr>
        <w:id w:val="147478778"/>
        <w15:color w:val="DBDBDB"/>
        <w:docPartObj>
          <w:docPartGallery w:val="Table of Contents"/>
          <w:docPartUnique/>
        </w:docPartObj>
      </w:sdtPr>
      <w:sdtEndPr>
        <w:rPr>
          <w:rFonts w:asciiTheme="minorEastAsia" w:hAnsiTheme="minorEastAsia" w:eastAsiaTheme="minorEastAsia" w:cstheme="minorEastAsia"/>
          <w:highlight w:val="none"/>
        </w:rPr>
      </w:sdtEndPr>
      <w:sdtContent>
        <w:p w14:paraId="6319EAA4">
          <w:pPr>
            <w:jc w:val="center"/>
            <w:rPr>
              <w:highlight w:val="none"/>
            </w:rPr>
          </w:pPr>
        </w:p>
        <w:p w14:paraId="270FCBAA">
          <w:pPr>
            <w:pStyle w:val="44"/>
            <w:tabs>
              <w:tab w:val="right" w:leader="dot" w:pos="9746"/>
            </w:tabs>
            <w:rPr>
              <w:sz w:val="28"/>
              <w:szCs w:val="36"/>
              <w:highlight w:val="none"/>
            </w:rPr>
          </w:pPr>
          <w:r>
            <w:rPr>
              <w:rFonts w:asciiTheme="minorEastAsia" w:hAnsiTheme="minorEastAsia" w:eastAsiaTheme="minorEastAsia" w:cstheme="minorEastAsia"/>
              <w:sz w:val="36"/>
              <w:szCs w:val="36"/>
              <w:highlight w:val="none"/>
            </w:rPr>
            <w:fldChar w:fldCharType="begin"/>
          </w:r>
          <w:r>
            <w:rPr>
              <w:rFonts w:asciiTheme="minorEastAsia" w:hAnsiTheme="minorEastAsia" w:eastAsiaTheme="minorEastAsia" w:cstheme="minorEastAsia"/>
              <w:sz w:val="36"/>
              <w:szCs w:val="36"/>
              <w:highlight w:val="none"/>
            </w:rPr>
            <w:instrText xml:space="preserve">TOC \o "1-3" \h \u </w:instrText>
          </w:r>
          <w:r>
            <w:rPr>
              <w:rFonts w:asciiTheme="minorEastAsia" w:hAnsiTheme="minorEastAsia" w:eastAsiaTheme="minorEastAsia" w:cstheme="minorEastAsia"/>
              <w:sz w:val="36"/>
              <w:szCs w:val="36"/>
              <w:highlight w:val="none"/>
            </w:rPr>
            <w:fldChar w:fldCharType="separate"/>
          </w:r>
          <w:r>
            <w:rPr>
              <w:highlight w:val="none"/>
            </w:rPr>
            <w:fldChar w:fldCharType="begin"/>
          </w:r>
          <w:r>
            <w:rPr>
              <w:highlight w:val="none"/>
            </w:rPr>
            <w:instrText xml:space="preserve"> HYPERLINK \l "_Toc9234" </w:instrText>
          </w:r>
          <w:r>
            <w:rPr>
              <w:highlight w:val="none"/>
            </w:rPr>
            <w:fldChar w:fldCharType="separate"/>
          </w:r>
          <w:r>
            <w:rPr>
              <w:rFonts w:hint="eastAsia" w:asciiTheme="minorEastAsia" w:hAnsiTheme="minorEastAsia" w:eastAsiaTheme="minorEastAsia" w:cstheme="minorEastAsia"/>
              <w:sz w:val="28"/>
              <w:highlight w:val="none"/>
            </w:rPr>
            <w:t>第一部分</w:t>
          </w:r>
          <w:r>
            <w:rPr>
              <w:rFonts w:asciiTheme="minorEastAsia" w:hAnsiTheme="minorEastAsia" w:eastAsiaTheme="minorEastAsia" w:cstheme="minorEastAsia"/>
              <w:sz w:val="28"/>
              <w:highlight w:val="none"/>
            </w:rPr>
            <w:t xml:space="preserve"> </w:t>
          </w:r>
          <w:r>
            <w:rPr>
              <w:rFonts w:hint="eastAsia" w:asciiTheme="minorEastAsia" w:hAnsiTheme="minorEastAsia" w:eastAsiaTheme="minorEastAsia" w:cstheme="minorEastAsia"/>
              <w:sz w:val="28"/>
              <w:highlight w:val="none"/>
            </w:rPr>
            <w:t>招标公告</w:t>
          </w:r>
          <w:r>
            <w:rPr>
              <w:sz w:val="28"/>
              <w:szCs w:val="36"/>
              <w:highlight w:val="none"/>
            </w:rPr>
            <w:tab/>
          </w:r>
          <w:r>
            <w:rPr>
              <w:sz w:val="28"/>
              <w:szCs w:val="36"/>
              <w:highlight w:val="none"/>
            </w:rPr>
            <w:fldChar w:fldCharType="begin"/>
          </w:r>
          <w:r>
            <w:rPr>
              <w:sz w:val="28"/>
              <w:szCs w:val="36"/>
              <w:highlight w:val="none"/>
            </w:rPr>
            <w:instrText xml:space="preserve"> PAGEREF _Toc9234 \h </w:instrText>
          </w:r>
          <w:r>
            <w:rPr>
              <w:sz w:val="28"/>
              <w:szCs w:val="36"/>
              <w:highlight w:val="none"/>
            </w:rPr>
            <w:fldChar w:fldCharType="separate"/>
          </w:r>
          <w:r>
            <w:rPr>
              <w:sz w:val="28"/>
              <w:szCs w:val="36"/>
              <w:highlight w:val="none"/>
            </w:rPr>
            <w:t>3</w:t>
          </w:r>
          <w:r>
            <w:rPr>
              <w:sz w:val="28"/>
              <w:szCs w:val="36"/>
              <w:highlight w:val="none"/>
            </w:rPr>
            <w:fldChar w:fldCharType="end"/>
          </w:r>
          <w:r>
            <w:rPr>
              <w:sz w:val="28"/>
              <w:szCs w:val="36"/>
              <w:highlight w:val="none"/>
            </w:rPr>
            <w:fldChar w:fldCharType="end"/>
          </w:r>
        </w:p>
        <w:p w14:paraId="3DD022B5">
          <w:pPr>
            <w:pStyle w:val="44"/>
            <w:tabs>
              <w:tab w:val="right" w:leader="dot" w:pos="9746"/>
            </w:tabs>
            <w:rPr>
              <w:sz w:val="28"/>
              <w:szCs w:val="36"/>
              <w:highlight w:val="none"/>
            </w:rPr>
          </w:pPr>
          <w:r>
            <w:rPr>
              <w:highlight w:val="none"/>
            </w:rPr>
            <w:fldChar w:fldCharType="begin"/>
          </w:r>
          <w:r>
            <w:rPr>
              <w:highlight w:val="none"/>
            </w:rPr>
            <w:instrText xml:space="preserve"> HYPERLINK \l "_Toc30420" </w:instrText>
          </w:r>
          <w:r>
            <w:rPr>
              <w:highlight w:val="none"/>
            </w:rPr>
            <w:fldChar w:fldCharType="separate"/>
          </w:r>
          <w:r>
            <w:rPr>
              <w:rFonts w:hint="eastAsia" w:asciiTheme="minorEastAsia" w:hAnsiTheme="minorEastAsia" w:eastAsiaTheme="minorEastAsia" w:cstheme="minorEastAsia"/>
              <w:sz w:val="28"/>
              <w:highlight w:val="none"/>
            </w:rPr>
            <w:t>第二部分 投标人须知</w:t>
          </w:r>
          <w:r>
            <w:rPr>
              <w:sz w:val="28"/>
              <w:szCs w:val="36"/>
              <w:highlight w:val="none"/>
            </w:rPr>
            <w:tab/>
          </w:r>
          <w:r>
            <w:rPr>
              <w:sz w:val="28"/>
              <w:szCs w:val="36"/>
              <w:highlight w:val="none"/>
            </w:rPr>
            <w:fldChar w:fldCharType="begin"/>
          </w:r>
          <w:r>
            <w:rPr>
              <w:sz w:val="28"/>
              <w:szCs w:val="36"/>
              <w:highlight w:val="none"/>
            </w:rPr>
            <w:instrText xml:space="preserve"> PAGEREF _Toc30420 \h </w:instrText>
          </w:r>
          <w:r>
            <w:rPr>
              <w:sz w:val="28"/>
              <w:szCs w:val="36"/>
              <w:highlight w:val="none"/>
            </w:rPr>
            <w:fldChar w:fldCharType="separate"/>
          </w:r>
          <w:r>
            <w:rPr>
              <w:sz w:val="28"/>
              <w:szCs w:val="36"/>
              <w:highlight w:val="none"/>
            </w:rPr>
            <w:t>6</w:t>
          </w:r>
          <w:r>
            <w:rPr>
              <w:sz w:val="28"/>
              <w:szCs w:val="36"/>
              <w:highlight w:val="none"/>
            </w:rPr>
            <w:fldChar w:fldCharType="end"/>
          </w:r>
          <w:r>
            <w:rPr>
              <w:sz w:val="28"/>
              <w:szCs w:val="36"/>
              <w:highlight w:val="none"/>
            </w:rPr>
            <w:fldChar w:fldCharType="end"/>
          </w:r>
        </w:p>
        <w:p w14:paraId="114E1455">
          <w:pPr>
            <w:pStyle w:val="44"/>
            <w:tabs>
              <w:tab w:val="right" w:leader="dot" w:pos="9746"/>
            </w:tabs>
            <w:rPr>
              <w:sz w:val="28"/>
              <w:szCs w:val="36"/>
              <w:highlight w:val="none"/>
            </w:rPr>
          </w:pPr>
          <w:r>
            <w:rPr>
              <w:highlight w:val="none"/>
            </w:rPr>
            <w:fldChar w:fldCharType="begin"/>
          </w:r>
          <w:r>
            <w:rPr>
              <w:highlight w:val="none"/>
            </w:rPr>
            <w:instrText xml:space="preserve"> HYPERLINK \l "_Toc3231" </w:instrText>
          </w:r>
          <w:r>
            <w:rPr>
              <w:highlight w:val="none"/>
            </w:rPr>
            <w:fldChar w:fldCharType="separate"/>
          </w:r>
          <w:r>
            <w:rPr>
              <w:rFonts w:hint="eastAsia" w:asciiTheme="minorEastAsia" w:hAnsiTheme="minorEastAsia" w:eastAsiaTheme="minorEastAsia" w:cstheme="minorEastAsia"/>
              <w:sz w:val="28"/>
              <w:highlight w:val="none"/>
            </w:rPr>
            <w:t>前附表</w:t>
          </w:r>
          <w:r>
            <w:rPr>
              <w:sz w:val="28"/>
              <w:szCs w:val="36"/>
              <w:highlight w:val="none"/>
            </w:rPr>
            <w:tab/>
          </w:r>
          <w:r>
            <w:rPr>
              <w:sz w:val="28"/>
              <w:szCs w:val="36"/>
              <w:highlight w:val="none"/>
            </w:rPr>
            <w:fldChar w:fldCharType="begin"/>
          </w:r>
          <w:r>
            <w:rPr>
              <w:sz w:val="28"/>
              <w:szCs w:val="36"/>
              <w:highlight w:val="none"/>
            </w:rPr>
            <w:instrText xml:space="preserve"> PAGEREF _Toc3231 \h </w:instrText>
          </w:r>
          <w:r>
            <w:rPr>
              <w:sz w:val="28"/>
              <w:szCs w:val="36"/>
              <w:highlight w:val="none"/>
            </w:rPr>
            <w:fldChar w:fldCharType="separate"/>
          </w:r>
          <w:r>
            <w:rPr>
              <w:sz w:val="28"/>
              <w:szCs w:val="36"/>
              <w:highlight w:val="none"/>
            </w:rPr>
            <w:t>6</w:t>
          </w:r>
          <w:r>
            <w:rPr>
              <w:sz w:val="28"/>
              <w:szCs w:val="36"/>
              <w:highlight w:val="none"/>
            </w:rPr>
            <w:fldChar w:fldCharType="end"/>
          </w:r>
          <w:r>
            <w:rPr>
              <w:sz w:val="28"/>
              <w:szCs w:val="36"/>
              <w:highlight w:val="none"/>
            </w:rPr>
            <w:fldChar w:fldCharType="end"/>
          </w:r>
        </w:p>
        <w:p w14:paraId="5B9CBB26">
          <w:pPr>
            <w:pStyle w:val="44"/>
            <w:tabs>
              <w:tab w:val="right" w:leader="dot" w:pos="9746"/>
            </w:tabs>
            <w:rPr>
              <w:sz w:val="28"/>
              <w:szCs w:val="36"/>
              <w:highlight w:val="none"/>
            </w:rPr>
          </w:pPr>
          <w:r>
            <w:rPr>
              <w:highlight w:val="none"/>
            </w:rPr>
            <w:fldChar w:fldCharType="begin"/>
          </w:r>
          <w:r>
            <w:rPr>
              <w:highlight w:val="none"/>
            </w:rPr>
            <w:instrText xml:space="preserve"> HYPERLINK \l "_Toc27845" </w:instrText>
          </w:r>
          <w:r>
            <w:rPr>
              <w:highlight w:val="none"/>
            </w:rPr>
            <w:fldChar w:fldCharType="separate"/>
          </w:r>
          <w:r>
            <w:rPr>
              <w:rFonts w:hint="eastAsia" w:asciiTheme="minorEastAsia" w:hAnsiTheme="minorEastAsia" w:eastAsiaTheme="minorEastAsia" w:cstheme="minorEastAsia"/>
              <w:sz w:val="28"/>
              <w:highlight w:val="none"/>
            </w:rPr>
            <w:t>一、总则</w:t>
          </w:r>
          <w:r>
            <w:rPr>
              <w:sz w:val="28"/>
              <w:szCs w:val="36"/>
              <w:highlight w:val="none"/>
            </w:rPr>
            <w:tab/>
          </w:r>
          <w:r>
            <w:rPr>
              <w:sz w:val="28"/>
              <w:szCs w:val="36"/>
              <w:highlight w:val="none"/>
            </w:rPr>
            <w:fldChar w:fldCharType="begin"/>
          </w:r>
          <w:r>
            <w:rPr>
              <w:sz w:val="28"/>
              <w:szCs w:val="36"/>
              <w:highlight w:val="none"/>
            </w:rPr>
            <w:instrText xml:space="preserve"> PAGEREF _Toc27845 \h </w:instrText>
          </w:r>
          <w:r>
            <w:rPr>
              <w:sz w:val="28"/>
              <w:szCs w:val="36"/>
              <w:highlight w:val="none"/>
            </w:rPr>
            <w:fldChar w:fldCharType="separate"/>
          </w:r>
          <w:r>
            <w:rPr>
              <w:sz w:val="28"/>
              <w:szCs w:val="36"/>
              <w:highlight w:val="none"/>
            </w:rPr>
            <w:t>9</w:t>
          </w:r>
          <w:r>
            <w:rPr>
              <w:sz w:val="28"/>
              <w:szCs w:val="36"/>
              <w:highlight w:val="none"/>
            </w:rPr>
            <w:fldChar w:fldCharType="end"/>
          </w:r>
          <w:r>
            <w:rPr>
              <w:sz w:val="28"/>
              <w:szCs w:val="36"/>
              <w:highlight w:val="none"/>
            </w:rPr>
            <w:fldChar w:fldCharType="end"/>
          </w:r>
        </w:p>
        <w:p w14:paraId="76284460">
          <w:pPr>
            <w:pStyle w:val="44"/>
            <w:tabs>
              <w:tab w:val="right" w:leader="dot" w:pos="9746"/>
            </w:tabs>
            <w:rPr>
              <w:sz w:val="28"/>
              <w:szCs w:val="36"/>
              <w:highlight w:val="none"/>
            </w:rPr>
          </w:pPr>
          <w:r>
            <w:rPr>
              <w:highlight w:val="none"/>
            </w:rPr>
            <w:fldChar w:fldCharType="begin"/>
          </w:r>
          <w:r>
            <w:rPr>
              <w:highlight w:val="none"/>
            </w:rPr>
            <w:instrText xml:space="preserve"> HYPERLINK \l "_Toc21263" </w:instrText>
          </w:r>
          <w:r>
            <w:rPr>
              <w:highlight w:val="none"/>
            </w:rPr>
            <w:fldChar w:fldCharType="separate"/>
          </w:r>
          <w:r>
            <w:rPr>
              <w:rFonts w:hint="eastAsia" w:asciiTheme="minorEastAsia" w:hAnsiTheme="minorEastAsia" w:eastAsiaTheme="minorEastAsia" w:cstheme="minorEastAsia"/>
              <w:sz w:val="28"/>
              <w:highlight w:val="none"/>
            </w:rPr>
            <w:t>二、招标文件的构成、澄清、修改</w:t>
          </w:r>
          <w:r>
            <w:rPr>
              <w:sz w:val="28"/>
              <w:szCs w:val="36"/>
              <w:highlight w:val="none"/>
            </w:rPr>
            <w:tab/>
          </w:r>
          <w:r>
            <w:rPr>
              <w:sz w:val="28"/>
              <w:szCs w:val="36"/>
              <w:highlight w:val="none"/>
            </w:rPr>
            <w:fldChar w:fldCharType="begin"/>
          </w:r>
          <w:r>
            <w:rPr>
              <w:sz w:val="28"/>
              <w:szCs w:val="36"/>
              <w:highlight w:val="none"/>
            </w:rPr>
            <w:instrText xml:space="preserve"> PAGEREF _Toc21263 \h </w:instrText>
          </w:r>
          <w:r>
            <w:rPr>
              <w:sz w:val="28"/>
              <w:szCs w:val="36"/>
              <w:highlight w:val="none"/>
            </w:rPr>
            <w:fldChar w:fldCharType="separate"/>
          </w:r>
          <w:r>
            <w:rPr>
              <w:sz w:val="28"/>
              <w:szCs w:val="36"/>
              <w:highlight w:val="none"/>
            </w:rPr>
            <w:t>12</w:t>
          </w:r>
          <w:r>
            <w:rPr>
              <w:sz w:val="28"/>
              <w:szCs w:val="36"/>
              <w:highlight w:val="none"/>
            </w:rPr>
            <w:fldChar w:fldCharType="end"/>
          </w:r>
          <w:r>
            <w:rPr>
              <w:sz w:val="28"/>
              <w:szCs w:val="36"/>
              <w:highlight w:val="none"/>
            </w:rPr>
            <w:fldChar w:fldCharType="end"/>
          </w:r>
        </w:p>
        <w:p w14:paraId="2D2BBCC2">
          <w:pPr>
            <w:pStyle w:val="44"/>
            <w:tabs>
              <w:tab w:val="right" w:leader="dot" w:pos="9746"/>
            </w:tabs>
            <w:rPr>
              <w:sz w:val="28"/>
              <w:szCs w:val="36"/>
              <w:highlight w:val="none"/>
            </w:rPr>
          </w:pPr>
          <w:r>
            <w:rPr>
              <w:highlight w:val="none"/>
            </w:rPr>
            <w:fldChar w:fldCharType="begin"/>
          </w:r>
          <w:r>
            <w:rPr>
              <w:highlight w:val="none"/>
            </w:rPr>
            <w:instrText xml:space="preserve"> HYPERLINK \l "_Toc30878" </w:instrText>
          </w:r>
          <w:r>
            <w:rPr>
              <w:highlight w:val="none"/>
            </w:rPr>
            <w:fldChar w:fldCharType="separate"/>
          </w:r>
          <w:r>
            <w:rPr>
              <w:rFonts w:hint="eastAsia" w:asciiTheme="minorEastAsia" w:hAnsiTheme="minorEastAsia" w:eastAsiaTheme="minorEastAsia" w:cstheme="minorEastAsia"/>
              <w:sz w:val="28"/>
              <w:highlight w:val="none"/>
            </w:rPr>
            <w:t>三、投标</w:t>
          </w:r>
          <w:r>
            <w:rPr>
              <w:sz w:val="28"/>
              <w:szCs w:val="36"/>
              <w:highlight w:val="none"/>
            </w:rPr>
            <w:tab/>
          </w:r>
          <w:r>
            <w:rPr>
              <w:sz w:val="28"/>
              <w:szCs w:val="36"/>
              <w:highlight w:val="none"/>
            </w:rPr>
            <w:fldChar w:fldCharType="begin"/>
          </w:r>
          <w:r>
            <w:rPr>
              <w:sz w:val="28"/>
              <w:szCs w:val="36"/>
              <w:highlight w:val="none"/>
            </w:rPr>
            <w:instrText xml:space="preserve"> PAGEREF _Toc30878 \h </w:instrText>
          </w:r>
          <w:r>
            <w:rPr>
              <w:sz w:val="28"/>
              <w:szCs w:val="36"/>
              <w:highlight w:val="none"/>
            </w:rPr>
            <w:fldChar w:fldCharType="separate"/>
          </w:r>
          <w:r>
            <w:rPr>
              <w:sz w:val="28"/>
              <w:szCs w:val="36"/>
              <w:highlight w:val="none"/>
            </w:rPr>
            <w:t>12</w:t>
          </w:r>
          <w:r>
            <w:rPr>
              <w:sz w:val="28"/>
              <w:szCs w:val="36"/>
              <w:highlight w:val="none"/>
            </w:rPr>
            <w:fldChar w:fldCharType="end"/>
          </w:r>
          <w:r>
            <w:rPr>
              <w:sz w:val="28"/>
              <w:szCs w:val="36"/>
              <w:highlight w:val="none"/>
            </w:rPr>
            <w:fldChar w:fldCharType="end"/>
          </w:r>
        </w:p>
        <w:p w14:paraId="3038AA49">
          <w:pPr>
            <w:pStyle w:val="44"/>
            <w:tabs>
              <w:tab w:val="right" w:leader="dot" w:pos="9746"/>
            </w:tabs>
            <w:rPr>
              <w:sz w:val="28"/>
              <w:szCs w:val="36"/>
              <w:highlight w:val="none"/>
            </w:rPr>
          </w:pPr>
          <w:r>
            <w:rPr>
              <w:highlight w:val="none"/>
            </w:rPr>
            <w:fldChar w:fldCharType="begin"/>
          </w:r>
          <w:r>
            <w:rPr>
              <w:highlight w:val="none"/>
            </w:rPr>
            <w:instrText xml:space="preserve"> HYPERLINK \l "_Toc27996" </w:instrText>
          </w:r>
          <w:r>
            <w:rPr>
              <w:highlight w:val="none"/>
            </w:rPr>
            <w:fldChar w:fldCharType="separate"/>
          </w:r>
          <w:r>
            <w:rPr>
              <w:rFonts w:hint="eastAsia" w:asciiTheme="minorEastAsia" w:hAnsiTheme="minorEastAsia" w:eastAsiaTheme="minorEastAsia" w:cstheme="minorEastAsia"/>
              <w:sz w:val="28"/>
              <w:szCs w:val="48"/>
              <w:highlight w:val="none"/>
            </w:rPr>
            <w:t>四、开标、资格审查与信用信息查询</w:t>
          </w:r>
          <w:r>
            <w:rPr>
              <w:sz w:val="28"/>
              <w:szCs w:val="36"/>
              <w:highlight w:val="none"/>
            </w:rPr>
            <w:tab/>
          </w:r>
          <w:r>
            <w:rPr>
              <w:sz w:val="28"/>
              <w:szCs w:val="36"/>
              <w:highlight w:val="none"/>
            </w:rPr>
            <w:fldChar w:fldCharType="begin"/>
          </w:r>
          <w:r>
            <w:rPr>
              <w:sz w:val="28"/>
              <w:szCs w:val="36"/>
              <w:highlight w:val="none"/>
            </w:rPr>
            <w:instrText xml:space="preserve"> PAGEREF _Toc27996 \h </w:instrText>
          </w:r>
          <w:r>
            <w:rPr>
              <w:sz w:val="28"/>
              <w:szCs w:val="36"/>
              <w:highlight w:val="none"/>
            </w:rPr>
            <w:fldChar w:fldCharType="separate"/>
          </w:r>
          <w:r>
            <w:rPr>
              <w:sz w:val="28"/>
              <w:szCs w:val="36"/>
              <w:highlight w:val="none"/>
            </w:rPr>
            <w:t>15</w:t>
          </w:r>
          <w:r>
            <w:rPr>
              <w:sz w:val="28"/>
              <w:szCs w:val="36"/>
              <w:highlight w:val="none"/>
            </w:rPr>
            <w:fldChar w:fldCharType="end"/>
          </w:r>
          <w:r>
            <w:rPr>
              <w:sz w:val="28"/>
              <w:szCs w:val="36"/>
              <w:highlight w:val="none"/>
            </w:rPr>
            <w:fldChar w:fldCharType="end"/>
          </w:r>
        </w:p>
        <w:p w14:paraId="4741EB22">
          <w:pPr>
            <w:pStyle w:val="44"/>
            <w:tabs>
              <w:tab w:val="right" w:leader="dot" w:pos="9746"/>
            </w:tabs>
            <w:rPr>
              <w:sz w:val="28"/>
              <w:szCs w:val="36"/>
              <w:highlight w:val="none"/>
            </w:rPr>
          </w:pPr>
          <w:r>
            <w:rPr>
              <w:highlight w:val="none"/>
            </w:rPr>
            <w:fldChar w:fldCharType="begin"/>
          </w:r>
          <w:r>
            <w:rPr>
              <w:highlight w:val="none"/>
            </w:rPr>
            <w:instrText xml:space="preserve"> HYPERLINK \l "_Toc21199" </w:instrText>
          </w:r>
          <w:r>
            <w:rPr>
              <w:highlight w:val="none"/>
            </w:rPr>
            <w:fldChar w:fldCharType="separate"/>
          </w:r>
          <w:r>
            <w:rPr>
              <w:rFonts w:hint="eastAsia" w:asciiTheme="minorEastAsia" w:hAnsiTheme="minorEastAsia" w:eastAsiaTheme="minorEastAsia" w:cstheme="minorEastAsia"/>
              <w:sz w:val="28"/>
              <w:szCs w:val="48"/>
              <w:highlight w:val="none"/>
            </w:rPr>
            <w:t>五、评标</w:t>
          </w:r>
          <w:r>
            <w:rPr>
              <w:sz w:val="28"/>
              <w:szCs w:val="36"/>
              <w:highlight w:val="none"/>
            </w:rPr>
            <w:tab/>
          </w:r>
          <w:r>
            <w:rPr>
              <w:sz w:val="28"/>
              <w:szCs w:val="36"/>
              <w:highlight w:val="none"/>
            </w:rPr>
            <w:fldChar w:fldCharType="begin"/>
          </w:r>
          <w:r>
            <w:rPr>
              <w:sz w:val="28"/>
              <w:szCs w:val="36"/>
              <w:highlight w:val="none"/>
            </w:rPr>
            <w:instrText xml:space="preserve"> PAGEREF _Toc21199 \h </w:instrText>
          </w:r>
          <w:r>
            <w:rPr>
              <w:sz w:val="28"/>
              <w:szCs w:val="36"/>
              <w:highlight w:val="none"/>
            </w:rPr>
            <w:fldChar w:fldCharType="separate"/>
          </w:r>
          <w:r>
            <w:rPr>
              <w:sz w:val="28"/>
              <w:szCs w:val="36"/>
              <w:highlight w:val="none"/>
            </w:rPr>
            <w:t>15</w:t>
          </w:r>
          <w:r>
            <w:rPr>
              <w:sz w:val="28"/>
              <w:szCs w:val="36"/>
              <w:highlight w:val="none"/>
            </w:rPr>
            <w:fldChar w:fldCharType="end"/>
          </w:r>
          <w:r>
            <w:rPr>
              <w:sz w:val="28"/>
              <w:szCs w:val="36"/>
              <w:highlight w:val="none"/>
            </w:rPr>
            <w:fldChar w:fldCharType="end"/>
          </w:r>
        </w:p>
        <w:p w14:paraId="472B1C91">
          <w:pPr>
            <w:pStyle w:val="44"/>
            <w:tabs>
              <w:tab w:val="right" w:leader="dot" w:pos="9746"/>
            </w:tabs>
            <w:rPr>
              <w:sz w:val="28"/>
              <w:szCs w:val="36"/>
              <w:highlight w:val="none"/>
            </w:rPr>
          </w:pPr>
          <w:r>
            <w:rPr>
              <w:highlight w:val="none"/>
            </w:rPr>
            <w:fldChar w:fldCharType="begin"/>
          </w:r>
          <w:r>
            <w:rPr>
              <w:highlight w:val="none"/>
            </w:rPr>
            <w:instrText xml:space="preserve"> HYPERLINK \l "_Toc15268" </w:instrText>
          </w:r>
          <w:r>
            <w:rPr>
              <w:highlight w:val="none"/>
            </w:rPr>
            <w:fldChar w:fldCharType="separate"/>
          </w:r>
          <w:r>
            <w:rPr>
              <w:rFonts w:hint="eastAsia" w:asciiTheme="minorEastAsia" w:hAnsiTheme="minorEastAsia" w:eastAsiaTheme="minorEastAsia" w:cstheme="minorEastAsia"/>
              <w:sz w:val="28"/>
              <w:szCs w:val="48"/>
              <w:highlight w:val="none"/>
            </w:rPr>
            <w:t>六、定 标</w:t>
          </w:r>
          <w:r>
            <w:rPr>
              <w:sz w:val="28"/>
              <w:szCs w:val="36"/>
              <w:highlight w:val="none"/>
            </w:rPr>
            <w:tab/>
          </w:r>
          <w:r>
            <w:rPr>
              <w:sz w:val="28"/>
              <w:szCs w:val="36"/>
              <w:highlight w:val="none"/>
            </w:rPr>
            <w:fldChar w:fldCharType="begin"/>
          </w:r>
          <w:r>
            <w:rPr>
              <w:sz w:val="28"/>
              <w:szCs w:val="36"/>
              <w:highlight w:val="none"/>
            </w:rPr>
            <w:instrText xml:space="preserve"> PAGEREF _Toc15268 \h </w:instrText>
          </w:r>
          <w:r>
            <w:rPr>
              <w:sz w:val="28"/>
              <w:szCs w:val="36"/>
              <w:highlight w:val="none"/>
            </w:rPr>
            <w:fldChar w:fldCharType="separate"/>
          </w:r>
          <w:r>
            <w:rPr>
              <w:sz w:val="28"/>
              <w:szCs w:val="36"/>
              <w:highlight w:val="none"/>
            </w:rPr>
            <w:t>16</w:t>
          </w:r>
          <w:r>
            <w:rPr>
              <w:sz w:val="28"/>
              <w:szCs w:val="36"/>
              <w:highlight w:val="none"/>
            </w:rPr>
            <w:fldChar w:fldCharType="end"/>
          </w:r>
          <w:r>
            <w:rPr>
              <w:sz w:val="28"/>
              <w:szCs w:val="36"/>
              <w:highlight w:val="none"/>
            </w:rPr>
            <w:fldChar w:fldCharType="end"/>
          </w:r>
        </w:p>
        <w:p w14:paraId="29BB3916">
          <w:pPr>
            <w:pStyle w:val="44"/>
            <w:tabs>
              <w:tab w:val="right" w:leader="dot" w:pos="9746"/>
            </w:tabs>
            <w:rPr>
              <w:sz w:val="28"/>
              <w:szCs w:val="36"/>
              <w:highlight w:val="none"/>
            </w:rPr>
          </w:pPr>
          <w:r>
            <w:rPr>
              <w:highlight w:val="none"/>
            </w:rPr>
            <w:fldChar w:fldCharType="begin"/>
          </w:r>
          <w:r>
            <w:rPr>
              <w:highlight w:val="none"/>
            </w:rPr>
            <w:instrText xml:space="preserve"> HYPERLINK \l "_Toc18697" </w:instrText>
          </w:r>
          <w:r>
            <w:rPr>
              <w:highlight w:val="none"/>
            </w:rPr>
            <w:fldChar w:fldCharType="separate"/>
          </w:r>
          <w:r>
            <w:rPr>
              <w:rFonts w:hint="eastAsia" w:asciiTheme="minorEastAsia" w:hAnsiTheme="minorEastAsia" w:eastAsiaTheme="minorEastAsia" w:cstheme="minorEastAsia"/>
              <w:sz w:val="28"/>
              <w:szCs w:val="48"/>
              <w:highlight w:val="none"/>
            </w:rPr>
            <w:t>七、合同授予</w:t>
          </w:r>
          <w:r>
            <w:rPr>
              <w:sz w:val="28"/>
              <w:szCs w:val="36"/>
              <w:highlight w:val="none"/>
            </w:rPr>
            <w:tab/>
          </w:r>
          <w:r>
            <w:rPr>
              <w:sz w:val="28"/>
              <w:szCs w:val="36"/>
              <w:highlight w:val="none"/>
            </w:rPr>
            <w:fldChar w:fldCharType="begin"/>
          </w:r>
          <w:r>
            <w:rPr>
              <w:sz w:val="28"/>
              <w:szCs w:val="36"/>
              <w:highlight w:val="none"/>
            </w:rPr>
            <w:instrText xml:space="preserve"> PAGEREF _Toc18697 \h </w:instrText>
          </w:r>
          <w:r>
            <w:rPr>
              <w:sz w:val="28"/>
              <w:szCs w:val="36"/>
              <w:highlight w:val="none"/>
            </w:rPr>
            <w:fldChar w:fldCharType="separate"/>
          </w:r>
          <w:r>
            <w:rPr>
              <w:sz w:val="28"/>
              <w:szCs w:val="36"/>
              <w:highlight w:val="none"/>
            </w:rPr>
            <w:t>16</w:t>
          </w:r>
          <w:r>
            <w:rPr>
              <w:sz w:val="28"/>
              <w:szCs w:val="36"/>
              <w:highlight w:val="none"/>
            </w:rPr>
            <w:fldChar w:fldCharType="end"/>
          </w:r>
          <w:r>
            <w:rPr>
              <w:sz w:val="28"/>
              <w:szCs w:val="36"/>
              <w:highlight w:val="none"/>
            </w:rPr>
            <w:fldChar w:fldCharType="end"/>
          </w:r>
        </w:p>
        <w:p w14:paraId="78EE3268">
          <w:pPr>
            <w:pStyle w:val="44"/>
            <w:tabs>
              <w:tab w:val="right" w:leader="dot" w:pos="9746"/>
            </w:tabs>
            <w:rPr>
              <w:sz w:val="28"/>
              <w:szCs w:val="36"/>
              <w:highlight w:val="none"/>
            </w:rPr>
          </w:pPr>
          <w:r>
            <w:rPr>
              <w:highlight w:val="none"/>
            </w:rPr>
            <w:fldChar w:fldCharType="begin"/>
          </w:r>
          <w:r>
            <w:rPr>
              <w:highlight w:val="none"/>
            </w:rPr>
            <w:instrText xml:space="preserve"> HYPERLINK \l "_Toc20185" </w:instrText>
          </w:r>
          <w:r>
            <w:rPr>
              <w:highlight w:val="none"/>
            </w:rPr>
            <w:fldChar w:fldCharType="separate"/>
          </w:r>
          <w:r>
            <w:rPr>
              <w:rFonts w:hint="eastAsia" w:asciiTheme="minorEastAsia" w:hAnsiTheme="minorEastAsia" w:eastAsiaTheme="minorEastAsia" w:cstheme="minorEastAsia"/>
              <w:sz w:val="28"/>
              <w:szCs w:val="48"/>
              <w:highlight w:val="none"/>
            </w:rPr>
            <w:t>八、电子交易活动的中止</w:t>
          </w:r>
          <w:r>
            <w:rPr>
              <w:sz w:val="28"/>
              <w:szCs w:val="36"/>
              <w:highlight w:val="none"/>
            </w:rPr>
            <w:tab/>
          </w:r>
          <w:r>
            <w:rPr>
              <w:sz w:val="28"/>
              <w:szCs w:val="36"/>
              <w:highlight w:val="none"/>
            </w:rPr>
            <w:fldChar w:fldCharType="begin"/>
          </w:r>
          <w:r>
            <w:rPr>
              <w:sz w:val="28"/>
              <w:szCs w:val="36"/>
              <w:highlight w:val="none"/>
            </w:rPr>
            <w:instrText xml:space="preserve"> PAGEREF _Toc20185 \h </w:instrText>
          </w:r>
          <w:r>
            <w:rPr>
              <w:sz w:val="28"/>
              <w:szCs w:val="36"/>
              <w:highlight w:val="none"/>
            </w:rPr>
            <w:fldChar w:fldCharType="separate"/>
          </w:r>
          <w:r>
            <w:rPr>
              <w:sz w:val="28"/>
              <w:szCs w:val="36"/>
              <w:highlight w:val="none"/>
            </w:rPr>
            <w:t>17</w:t>
          </w:r>
          <w:r>
            <w:rPr>
              <w:sz w:val="28"/>
              <w:szCs w:val="36"/>
              <w:highlight w:val="none"/>
            </w:rPr>
            <w:fldChar w:fldCharType="end"/>
          </w:r>
          <w:r>
            <w:rPr>
              <w:sz w:val="28"/>
              <w:szCs w:val="36"/>
              <w:highlight w:val="none"/>
            </w:rPr>
            <w:fldChar w:fldCharType="end"/>
          </w:r>
        </w:p>
        <w:p w14:paraId="47E3B7FA">
          <w:pPr>
            <w:pStyle w:val="44"/>
            <w:tabs>
              <w:tab w:val="right" w:leader="dot" w:pos="9746"/>
            </w:tabs>
            <w:rPr>
              <w:sz w:val="28"/>
              <w:szCs w:val="36"/>
              <w:highlight w:val="none"/>
            </w:rPr>
          </w:pPr>
          <w:r>
            <w:rPr>
              <w:highlight w:val="none"/>
            </w:rPr>
            <w:fldChar w:fldCharType="begin"/>
          </w:r>
          <w:r>
            <w:rPr>
              <w:highlight w:val="none"/>
            </w:rPr>
            <w:instrText xml:space="preserve"> HYPERLINK \l "_Toc25181" </w:instrText>
          </w:r>
          <w:r>
            <w:rPr>
              <w:highlight w:val="none"/>
            </w:rPr>
            <w:fldChar w:fldCharType="separate"/>
          </w:r>
          <w:r>
            <w:rPr>
              <w:rFonts w:hint="eastAsia" w:asciiTheme="minorEastAsia" w:hAnsiTheme="minorEastAsia" w:eastAsiaTheme="minorEastAsia" w:cstheme="minorEastAsia"/>
              <w:sz w:val="28"/>
              <w:szCs w:val="48"/>
              <w:highlight w:val="none"/>
            </w:rPr>
            <w:t>九、验收</w:t>
          </w:r>
          <w:r>
            <w:rPr>
              <w:sz w:val="28"/>
              <w:szCs w:val="36"/>
              <w:highlight w:val="none"/>
            </w:rPr>
            <w:tab/>
          </w:r>
          <w:r>
            <w:rPr>
              <w:sz w:val="28"/>
              <w:szCs w:val="36"/>
              <w:highlight w:val="none"/>
            </w:rPr>
            <w:fldChar w:fldCharType="begin"/>
          </w:r>
          <w:r>
            <w:rPr>
              <w:sz w:val="28"/>
              <w:szCs w:val="36"/>
              <w:highlight w:val="none"/>
            </w:rPr>
            <w:instrText xml:space="preserve"> PAGEREF _Toc25181 \h </w:instrText>
          </w:r>
          <w:r>
            <w:rPr>
              <w:sz w:val="28"/>
              <w:szCs w:val="36"/>
              <w:highlight w:val="none"/>
            </w:rPr>
            <w:fldChar w:fldCharType="separate"/>
          </w:r>
          <w:r>
            <w:rPr>
              <w:sz w:val="28"/>
              <w:szCs w:val="36"/>
              <w:highlight w:val="none"/>
            </w:rPr>
            <w:t>17</w:t>
          </w:r>
          <w:r>
            <w:rPr>
              <w:sz w:val="28"/>
              <w:szCs w:val="36"/>
              <w:highlight w:val="none"/>
            </w:rPr>
            <w:fldChar w:fldCharType="end"/>
          </w:r>
          <w:r>
            <w:rPr>
              <w:sz w:val="28"/>
              <w:szCs w:val="36"/>
              <w:highlight w:val="none"/>
            </w:rPr>
            <w:fldChar w:fldCharType="end"/>
          </w:r>
        </w:p>
        <w:p w14:paraId="39AABFE5">
          <w:pPr>
            <w:pStyle w:val="44"/>
            <w:tabs>
              <w:tab w:val="right" w:leader="dot" w:pos="9746"/>
            </w:tabs>
            <w:rPr>
              <w:sz w:val="28"/>
              <w:szCs w:val="36"/>
              <w:highlight w:val="none"/>
            </w:rPr>
          </w:pPr>
          <w:r>
            <w:rPr>
              <w:highlight w:val="none"/>
            </w:rPr>
            <w:fldChar w:fldCharType="begin"/>
          </w:r>
          <w:r>
            <w:rPr>
              <w:highlight w:val="none"/>
            </w:rPr>
            <w:instrText xml:space="preserve"> HYPERLINK \l "_Toc27688" </w:instrText>
          </w:r>
          <w:r>
            <w:rPr>
              <w:highlight w:val="none"/>
            </w:rPr>
            <w:fldChar w:fldCharType="separate"/>
          </w:r>
          <w:r>
            <w:rPr>
              <w:rFonts w:hint="eastAsia" w:asciiTheme="minorEastAsia" w:hAnsiTheme="minorEastAsia" w:eastAsiaTheme="minorEastAsia" w:cstheme="minorEastAsia"/>
              <w:sz w:val="28"/>
              <w:szCs w:val="48"/>
              <w:highlight w:val="none"/>
            </w:rPr>
            <w:t>第三部分   采购需求</w:t>
          </w:r>
          <w:r>
            <w:rPr>
              <w:sz w:val="28"/>
              <w:szCs w:val="36"/>
              <w:highlight w:val="none"/>
            </w:rPr>
            <w:tab/>
          </w:r>
          <w:r>
            <w:rPr>
              <w:sz w:val="28"/>
              <w:szCs w:val="36"/>
              <w:highlight w:val="none"/>
            </w:rPr>
            <w:fldChar w:fldCharType="begin"/>
          </w:r>
          <w:r>
            <w:rPr>
              <w:sz w:val="28"/>
              <w:szCs w:val="36"/>
              <w:highlight w:val="none"/>
            </w:rPr>
            <w:instrText xml:space="preserve"> PAGEREF _Toc27688 \h </w:instrText>
          </w:r>
          <w:r>
            <w:rPr>
              <w:sz w:val="28"/>
              <w:szCs w:val="36"/>
              <w:highlight w:val="none"/>
            </w:rPr>
            <w:fldChar w:fldCharType="separate"/>
          </w:r>
          <w:r>
            <w:rPr>
              <w:sz w:val="28"/>
              <w:szCs w:val="36"/>
              <w:highlight w:val="none"/>
            </w:rPr>
            <w:t>18</w:t>
          </w:r>
          <w:r>
            <w:rPr>
              <w:sz w:val="28"/>
              <w:szCs w:val="36"/>
              <w:highlight w:val="none"/>
            </w:rPr>
            <w:fldChar w:fldCharType="end"/>
          </w:r>
          <w:r>
            <w:rPr>
              <w:sz w:val="28"/>
              <w:szCs w:val="36"/>
              <w:highlight w:val="none"/>
            </w:rPr>
            <w:fldChar w:fldCharType="end"/>
          </w:r>
        </w:p>
        <w:p w14:paraId="0BF80273">
          <w:pPr>
            <w:pStyle w:val="44"/>
            <w:tabs>
              <w:tab w:val="right" w:leader="dot" w:pos="9746"/>
            </w:tabs>
            <w:rPr>
              <w:sz w:val="28"/>
              <w:szCs w:val="36"/>
              <w:highlight w:val="none"/>
            </w:rPr>
          </w:pPr>
          <w:r>
            <w:rPr>
              <w:highlight w:val="none"/>
            </w:rPr>
            <w:fldChar w:fldCharType="begin"/>
          </w:r>
          <w:r>
            <w:rPr>
              <w:highlight w:val="none"/>
            </w:rPr>
            <w:instrText xml:space="preserve"> HYPERLINK \l "_Toc13439" </w:instrText>
          </w:r>
          <w:r>
            <w:rPr>
              <w:highlight w:val="none"/>
            </w:rPr>
            <w:fldChar w:fldCharType="separate"/>
          </w:r>
          <w:r>
            <w:rPr>
              <w:rFonts w:hint="eastAsia" w:asciiTheme="minorEastAsia" w:hAnsiTheme="minorEastAsia" w:eastAsiaTheme="minorEastAsia" w:cstheme="minorEastAsia"/>
              <w:sz w:val="28"/>
              <w:szCs w:val="48"/>
              <w:highlight w:val="none"/>
            </w:rPr>
            <w:t>第四部分   评标办法</w:t>
          </w:r>
          <w:r>
            <w:rPr>
              <w:sz w:val="28"/>
              <w:szCs w:val="36"/>
              <w:highlight w:val="none"/>
            </w:rPr>
            <w:tab/>
          </w:r>
          <w:r>
            <w:rPr>
              <w:sz w:val="28"/>
              <w:szCs w:val="36"/>
              <w:highlight w:val="none"/>
            </w:rPr>
            <w:fldChar w:fldCharType="begin"/>
          </w:r>
          <w:r>
            <w:rPr>
              <w:sz w:val="28"/>
              <w:szCs w:val="36"/>
              <w:highlight w:val="none"/>
            </w:rPr>
            <w:instrText xml:space="preserve"> PAGEREF _Toc13439 \h </w:instrText>
          </w:r>
          <w:r>
            <w:rPr>
              <w:sz w:val="28"/>
              <w:szCs w:val="36"/>
              <w:highlight w:val="none"/>
            </w:rPr>
            <w:fldChar w:fldCharType="separate"/>
          </w:r>
          <w:r>
            <w:rPr>
              <w:sz w:val="28"/>
              <w:szCs w:val="36"/>
              <w:highlight w:val="none"/>
            </w:rPr>
            <w:t>18</w:t>
          </w:r>
          <w:r>
            <w:rPr>
              <w:sz w:val="28"/>
              <w:szCs w:val="36"/>
              <w:highlight w:val="none"/>
            </w:rPr>
            <w:fldChar w:fldCharType="end"/>
          </w:r>
          <w:r>
            <w:rPr>
              <w:sz w:val="28"/>
              <w:szCs w:val="36"/>
              <w:highlight w:val="none"/>
            </w:rPr>
            <w:fldChar w:fldCharType="end"/>
          </w:r>
        </w:p>
        <w:p w14:paraId="0DE47B22">
          <w:pPr>
            <w:pStyle w:val="55"/>
            <w:tabs>
              <w:tab w:val="right" w:leader="dot" w:pos="9746"/>
            </w:tabs>
            <w:rPr>
              <w:sz w:val="28"/>
              <w:szCs w:val="36"/>
              <w:highlight w:val="none"/>
            </w:rPr>
          </w:pPr>
          <w:r>
            <w:rPr>
              <w:highlight w:val="none"/>
            </w:rPr>
            <w:fldChar w:fldCharType="begin"/>
          </w:r>
          <w:r>
            <w:rPr>
              <w:highlight w:val="none"/>
            </w:rPr>
            <w:instrText xml:space="preserve"> HYPERLINK \l "_Toc10307" </w:instrText>
          </w:r>
          <w:r>
            <w:rPr>
              <w:highlight w:val="none"/>
            </w:rPr>
            <w:fldChar w:fldCharType="separate"/>
          </w:r>
          <w:r>
            <w:rPr>
              <w:rFonts w:hint="eastAsia" w:ascii="宋体" w:hAnsi="宋体" w:cs="宋体"/>
              <w:sz w:val="28"/>
              <w:szCs w:val="32"/>
              <w:highlight w:val="none"/>
            </w:rPr>
            <w:t>一、评标方法</w:t>
          </w:r>
          <w:r>
            <w:rPr>
              <w:sz w:val="28"/>
              <w:szCs w:val="36"/>
              <w:highlight w:val="none"/>
            </w:rPr>
            <w:tab/>
          </w:r>
          <w:r>
            <w:rPr>
              <w:sz w:val="28"/>
              <w:szCs w:val="36"/>
              <w:highlight w:val="none"/>
            </w:rPr>
            <w:fldChar w:fldCharType="begin"/>
          </w:r>
          <w:r>
            <w:rPr>
              <w:sz w:val="28"/>
              <w:szCs w:val="36"/>
              <w:highlight w:val="none"/>
            </w:rPr>
            <w:instrText xml:space="preserve"> PAGEREF _Toc10307 \h </w:instrText>
          </w:r>
          <w:r>
            <w:rPr>
              <w:sz w:val="28"/>
              <w:szCs w:val="36"/>
              <w:highlight w:val="none"/>
            </w:rPr>
            <w:fldChar w:fldCharType="separate"/>
          </w:r>
          <w:r>
            <w:rPr>
              <w:sz w:val="28"/>
              <w:szCs w:val="36"/>
              <w:highlight w:val="none"/>
            </w:rPr>
            <w:t>48</w:t>
          </w:r>
          <w:r>
            <w:rPr>
              <w:sz w:val="28"/>
              <w:szCs w:val="36"/>
              <w:highlight w:val="none"/>
            </w:rPr>
            <w:fldChar w:fldCharType="end"/>
          </w:r>
          <w:r>
            <w:rPr>
              <w:sz w:val="28"/>
              <w:szCs w:val="36"/>
              <w:highlight w:val="none"/>
            </w:rPr>
            <w:fldChar w:fldCharType="end"/>
          </w:r>
        </w:p>
        <w:p w14:paraId="2029A26F">
          <w:pPr>
            <w:pStyle w:val="55"/>
            <w:tabs>
              <w:tab w:val="right" w:leader="dot" w:pos="9746"/>
            </w:tabs>
            <w:rPr>
              <w:sz w:val="28"/>
              <w:szCs w:val="36"/>
              <w:highlight w:val="none"/>
            </w:rPr>
          </w:pPr>
          <w:r>
            <w:rPr>
              <w:highlight w:val="none"/>
            </w:rPr>
            <w:fldChar w:fldCharType="begin"/>
          </w:r>
          <w:r>
            <w:rPr>
              <w:highlight w:val="none"/>
            </w:rPr>
            <w:instrText xml:space="preserve"> HYPERLINK \l "_Toc13618" </w:instrText>
          </w:r>
          <w:r>
            <w:rPr>
              <w:highlight w:val="none"/>
            </w:rPr>
            <w:fldChar w:fldCharType="separate"/>
          </w:r>
          <w:r>
            <w:rPr>
              <w:rFonts w:hint="eastAsia" w:ascii="宋体" w:hAnsi="宋体" w:cs="宋体"/>
              <w:sz w:val="28"/>
              <w:szCs w:val="32"/>
              <w:highlight w:val="none"/>
            </w:rPr>
            <w:t>二、评标标准</w:t>
          </w:r>
          <w:r>
            <w:rPr>
              <w:sz w:val="28"/>
              <w:szCs w:val="36"/>
              <w:highlight w:val="none"/>
            </w:rPr>
            <w:tab/>
          </w:r>
          <w:r>
            <w:rPr>
              <w:sz w:val="28"/>
              <w:szCs w:val="36"/>
              <w:highlight w:val="none"/>
            </w:rPr>
            <w:fldChar w:fldCharType="begin"/>
          </w:r>
          <w:r>
            <w:rPr>
              <w:sz w:val="28"/>
              <w:szCs w:val="36"/>
              <w:highlight w:val="none"/>
            </w:rPr>
            <w:instrText xml:space="preserve"> PAGEREF _Toc13618 \h </w:instrText>
          </w:r>
          <w:r>
            <w:rPr>
              <w:sz w:val="28"/>
              <w:szCs w:val="36"/>
              <w:highlight w:val="none"/>
            </w:rPr>
            <w:fldChar w:fldCharType="separate"/>
          </w:r>
          <w:r>
            <w:rPr>
              <w:sz w:val="28"/>
              <w:szCs w:val="36"/>
              <w:highlight w:val="none"/>
            </w:rPr>
            <w:t>48</w:t>
          </w:r>
          <w:r>
            <w:rPr>
              <w:sz w:val="28"/>
              <w:szCs w:val="36"/>
              <w:highlight w:val="none"/>
            </w:rPr>
            <w:fldChar w:fldCharType="end"/>
          </w:r>
          <w:r>
            <w:rPr>
              <w:sz w:val="28"/>
              <w:szCs w:val="36"/>
              <w:highlight w:val="none"/>
            </w:rPr>
            <w:fldChar w:fldCharType="end"/>
          </w:r>
        </w:p>
        <w:p w14:paraId="1297E5E6">
          <w:pPr>
            <w:pStyle w:val="55"/>
            <w:tabs>
              <w:tab w:val="right" w:leader="dot" w:pos="9746"/>
            </w:tabs>
            <w:rPr>
              <w:sz w:val="28"/>
              <w:szCs w:val="36"/>
              <w:highlight w:val="none"/>
            </w:rPr>
          </w:pPr>
          <w:r>
            <w:rPr>
              <w:highlight w:val="none"/>
            </w:rPr>
            <w:fldChar w:fldCharType="begin"/>
          </w:r>
          <w:r>
            <w:rPr>
              <w:highlight w:val="none"/>
            </w:rPr>
            <w:instrText xml:space="preserve"> HYPERLINK \l "_Toc32546" </w:instrText>
          </w:r>
          <w:r>
            <w:rPr>
              <w:highlight w:val="none"/>
            </w:rPr>
            <w:fldChar w:fldCharType="separate"/>
          </w:r>
          <w:r>
            <w:rPr>
              <w:rFonts w:hint="eastAsia" w:ascii="宋体" w:hAnsi="宋体" w:cs="宋体"/>
              <w:sz w:val="28"/>
              <w:szCs w:val="32"/>
              <w:highlight w:val="none"/>
            </w:rPr>
            <w:t>三、评标程序</w:t>
          </w:r>
          <w:r>
            <w:rPr>
              <w:sz w:val="28"/>
              <w:szCs w:val="36"/>
              <w:highlight w:val="none"/>
            </w:rPr>
            <w:tab/>
          </w:r>
          <w:r>
            <w:rPr>
              <w:sz w:val="28"/>
              <w:szCs w:val="36"/>
              <w:highlight w:val="none"/>
            </w:rPr>
            <w:fldChar w:fldCharType="begin"/>
          </w:r>
          <w:r>
            <w:rPr>
              <w:sz w:val="28"/>
              <w:szCs w:val="36"/>
              <w:highlight w:val="none"/>
            </w:rPr>
            <w:instrText xml:space="preserve"> PAGEREF _Toc32546 \h </w:instrText>
          </w:r>
          <w:r>
            <w:rPr>
              <w:sz w:val="28"/>
              <w:szCs w:val="36"/>
              <w:highlight w:val="none"/>
            </w:rPr>
            <w:fldChar w:fldCharType="separate"/>
          </w:r>
          <w:r>
            <w:rPr>
              <w:sz w:val="28"/>
              <w:szCs w:val="36"/>
              <w:highlight w:val="none"/>
            </w:rPr>
            <w:t>48</w:t>
          </w:r>
          <w:r>
            <w:rPr>
              <w:sz w:val="28"/>
              <w:szCs w:val="36"/>
              <w:highlight w:val="none"/>
            </w:rPr>
            <w:fldChar w:fldCharType="end"/>
          </w:r>
          <w:r>
            <w:rPr>
              <w:sz w:val="28"/>
              <w:szCs w:val="36"/>
              <w:highlight w:val="none"/>
            </w:rPr>
            <w:fldChar w:fldCharType="end"/>
          </w:r>
        </w:p>
        <w:p w14:paraId="5698D970">
          <w:pPr>
            <w:pStyle w:val="55"/>
            <w:tabs>
              <w:tab w:val="right" w:leader="dot" w:pos="9746"/>
            </w:tabs>
            <w:rPr>
              <w:sz w:val="28"/>
              <w:szCs w:val="36"/>
              <w:highlight w:val="none"/>
            </w:rPr>
          </w:pPr>
          <w:r>
            <w:rPr>
              <w:highlight w:val="none"/>
            </w:rPr>
            <w:fldChar w:fldCharType="begin"/>
          </w:r>
          <w:r>
            <w:rPr>
              <w:highlight w:val="none"/>
            </w:rPr>
            <w:instrText xml:space="preserve"> HYPERLINK \l "_Toc4809" </w:instrText>
          </w:r>
          <w:r>
            <w:rPr>
              <w:highlight w:val="none"/>
            </w:rPr>
            <w:fldChar w:fldCharType="separate"/>
          </w:r>
          <w:r>
            <w:rPr>
              <w:rFonts w:hint="eastAsia" w:ascii="宋体" w:hAnsi="宋体" w:cs="宋体"/>
              <w:sz w:val="28"/>
              <w:szCs w:val="32"/>
              <w:highlight w:val="none"/>
            </w:rPr>
            <w:t>四、评标中的其他事项</w:t>
          </w:r>
          <w:r>
            <w:rPr>
              <w:sz w:val="28"/>
              <w:szCs w:val="36"/>
              <w:highlight w:val="none"/>
            </w:rPr>
            <w:tab/>
          </w:r>
          <w:r>
            <w:rPr>
              <w:sz w:val="28"/>
              <w:szCs w:val="36"/>
              <w:highlight w:val="none"/>
            </w:rPr>
            <w:fldChar w:fldCharType="begin"/>
          </w:r>
          <w:r>
            <w:rPr>
              <w:sz w:val="28"/>
              <w:szCs w:val="36"/>
              <w:highlight w:val="none"/>
            </w:rPr>
            <w:instrText xml:space="preserve"> PAGEREF _Toc4809 \h </w:instrText>
          </w:r>
          <w:r>
            <w:rPr>
              <w:sz w:val="28"/>
              <w:szCs w:val="36"/>
              <w:highlight w:val="none"/>
            </w:rPr>
            <w:fldChar w:fldCharType="separate"/>
          </w:r>
          <w:r>
            <w:rPr>
              <w:sz w:val="28"/>
              <w:szCs w:val="36"/>
              <w:highlight w:val="none"/>
            </w:rPr>
            <w:t>49</w:t>
          </w:r>
          <w:r>
            <w:rPr>
              <w:sz w:val="28"/>
              <w:szCs w:val="36"/>
              <w:highlight w:val="none"/>
            </w:rPr>
            <w:fldChar w:fldCharType="end"/>
          </w:r>
          <w:r>
            <w:rPr>
              <w:sz w:val="28"/>
              <w:szCs w:val="36"/>
              <w:highlight w:val="none"/>
            </w:rPr>
            <w:fldChar w:fldCharType="end"/>
          </w:r>
        </w:p>
        <w:p w14:paraId="252C7DF6">
          <w:pPr>
            <w:pStyle w:val="44"/>
            <w:tabs>
              <w:tab w:val="right" w:leader="dot" w:pos="9746"/>
            </w:tabs>
            <w:rPr>
              <w:sz w:val="28"/>
              <w:szCs w:val="36"/>
              <w:highlight w:val="none"/>
            </w:rPr>
          </w:pPr>
          <w:r>
            <w:rPr>
              <w:highlight w:val="none"/>
            </w:rPr>
            <w:fldChar w:fldCharType="begin"/>
          </w:r>
          <w:r>
            <w:rPr>
              <w:highlight w:val="none"/>
            </w:rPr>
            <w:instrText xml:space="preserve"> HYPERLINK \l "_Toc30812" </w:instrText>
          </w:r>
          <w:r>
            <w:rPr>
              <w:highlight w:val="none"/>
            </w:rPr>
            <w:fldChar w:fldCharType="separate"/>
          </w:r>
          <w:r>
            <w:rPr>
              <w:rFonts w:hint="eastAsia" w:asciiTheme="minorEastAsia" w:hAnsiTheme="minorEastAsia" w:eastAsiaTheme="minorEastAsia" w:cstheme="minorEastAsia"/>
              <w:sz w:val="28"/>
              <w:szCs w:val="48"/>
              <w:highlight w:val="none"/>
            </w:rPr>
            <w:t>第五部分 拟签订的合同文本</w:t>
          </w:r>
          <w:r>
            <w:rPr>
              <w:sz w:val="28"/>
              <w:szCs w:val="36"/>
              <w:highlight w:val="none"/>
            </w:rPr>
            <w:tab/>
          </w:r>
          <w:r>
            <w:rPr>
              <w:sz w:val="28"/>
              <w:szCs w:val="36"/>
              <w:highlight w:val="none"/>
            </w:rPr>
            <w:fldChar w:fldCharType="begin"/>
          </w:r>
          <w:r>
            <w:rPr>
              <w:sz w:val="28"/>
              <w:szCs w:val="36"/>
              <w:highlight w:val="none"/>
            </w:rPr>
            <w:instrText xml:space="preserve"> PAGEREF _Toc30812 \h </w:instrText>
          </w:r>
          <w:r>
            <w:rPr>
              <w:sz w:val="28"/>
              <w:szCs w:val="36"/>
              <w:highlight w:val="none"/>
            </w:rPr>
            <w:fldChar w:fldCharType="separate"/>
          </w:r>
          <w:r>
            <w:rPr>
              <w:sz w:val="28"/>
              <w:szCs w:val="36"/>
              <w:highlight w:val="none"/>
            </w:rPr>
            <w:t>52</w:t>
          </w:r>
          <w:r>
            <w:rPr>
              <w:sz w:val="28"/>
              <w:szCs w:val="36"/>
              <w:highlight w:val="none"/>
            </w:rPr>
            <w:fldChar w:fldCharType="end"/>
          </w:r>
          <w:r>
            <w:rPr>
              <w:sz w:val="28"/>
              <w:szCs w:val="36"/>
              <w:highlight w:val="none"/>
            </w:rPr>
            <w:fldChar w:fldCharType="end"/>
          </w:r>
        </w:p>
        <w:p w14:paraId="6652DD05">
          <w:pPr>
            <w:pStyle w:val="44"/>
            <w:tabs>
              <w:tab w:val="right" w:leader="dot" w:pos="9746"/>
            </w:tabs>
            <w:rPr>
              <w:sz w:val="28"/>
              <w:szCs w:val="36"/>
              <w:highlight w:val="none"/>
            </w:rPr>
          </w:pPr>
          <w:r>
            <w:rPr>
              <w:highlight w:val="none"/>
            </w:rPr>
            <w:fldChar w:fldCharType="begin"/>
          </w:r>
          <w:r>
            <w:rPr>
              <w:highlight w:val="none"/>
            </w:rPr>
            <w:instrText xml:space="preserve"> HYPERLINK \l "_Toc18239" </w:instrText>
          </w:r>
          <w:r>
            <w:rPr>
              <w:highlight w:val="none"/>
            </w:rPr>
            <w:fldChar w:fldCharType="separate"/>
          </w:r>
          <w:r>
            <w:rPr>
              <w:rFonts w:hint="eastAsia" w:asciiTheme="minorEastAsia" w:hAnsiTheme="minorEastAsia" w:eastAsiaTheme="minorEastAsia" w:cstheme="minorEastAsia"/>
              <w:sz w:val="28"/>
              <w:highlight w:val="none"/>
            </w:rPr>
            <w:t>第六部分  应提交的有关格式范例</w:t>
          </w:r>
          <w:r>
            <w:rPr>
              <w:sz w:val="28"/>
              <w:szCs w:val="36"/>
              <w:highlight w:val="none"/>
            </w:rPr>
            <w:tab/>
          </w:r>
          <w:r>
            <w:rPr>
              <w:sz w:val="28"/>
              <w:szCs w:val="36"/>
              <w:highlight w:val="none"/>
            </w:rPr>
            <w:fldChar w:fldCharType="begin"/>
          </w:r>
          <w:r>
            <w:rPr>
              <w:sz w:val="28"/>
              <w:szCs w:val="36"/>
              <w:highlight w:val="none"/>
            </w:rPr>
            <w:instrText xml:space="preserve"> PAGEREF _Toc18239 \h </w:instrText>
          </w:r>
          <w:r>
            <w:rPr>
              <w:sz w:val="28"/>
              <w:szCs w:val="36"/>
              <w:highlight w:val="none"/>
            </w:rPr>
            <w:fldChar w:fldCharType="separate"/>
          </w:r>
          <w:r>
            <w:rPr>
              <w:sz w:val="28"/>
              <w:szCs w:val="36"/>
              <w:highlight w:val="none"/>
            </w:rPr>
            <w:t>64</w:t>
          </w:r>
          <w:r>
            <w:rPr>
              <w:sz w:val="28"/>
              <w:szCs w:val="36"/>
              <w:highlight w:val="none"/>
            </w:rPr>
            <w:fldChar w:fldCharType="end"/>
          </w:r>
          <w:r>
            <w:rPr>
              <w:sz w:val="28"/>
              <w:szCs w:val="36"/>
              <w:highlight w:val="none"/>
            </w:rPr>
            <w:fldChar w:fldCharType="end"/>
          </w:r>
        </w:p>
        <w:p w14:paraId="741BEC16">
          <w:pPr>
            <w:pStyle w:val="44"/>
            <w:tabs>
              <w:tab w:val="right" w:leader="dot" w:pos="9746"/>
            </w:tabs>
            <w:rPr>
              <w:sz w:val="28"/>
              <w:szCs w:val="36"/>
              <w:highlight w:val="none"/>
            </w:rPr>
          </w:pPr>
          <w:r>
            <w:rPr>
              <w:highlight w:val="none"/>
            </w:rPr>
            <w:fldChar w:fldCharType="begin"/>
          </w:r>
          <w:r>
            <w:rPr>
              <w:highlight w:val="none"/>
            </w:rPr>
            <w:instrText xml:space="preserve"> HYPERLINK \l "_Toc30769" </w:instrText>
          </w:r>
          <w:r>
            <w:rPr>
              <w:highlight w:val="none"/>
            </w:rPr>
            <w:fldChar w:fldCharType="separate"/>
          </w:r>
          <w:r>
            <w:rPr>
              <w:rFonts w:hint="eastAsia" w:asciiTheme="minorEastAsia" w:hAnsiTheme="minorEastAsia" w:eastAsiaTheme="minorEastAsia" w:cstheme="minorEastAsia"/>
              <w:kern w:val="0"/>
              <w:sz w:val="28"/>
              <w:szCs w:val="48"/>
              <w:highlight w:val="none"/>
            </w:rPr>
            <w:t>资格文件部分</w:t>
          </w:r>
          <w:r>
            <w:rPr>
              <w:sz w:val="28"/>
              <w:szCs w:val="36"/>
              <w:highlight w:val="none"/>
            </w:rPr>
            <w:tab/>
          </w:r>
          <w:r>
            <w:rPr>
              <w:sz w:val="28"/>
              <w:szCs w:val="36"/>
              <w:highlight w:val="none"/>
            </w:rPr>
            <w:fldChar w:fldCharType="begin"/>
          </w:r>
          <w:r>
            <w:rPr>
              <w:sz w:val="28"/>
              <w:szCs w:val="36"/>
              <w:highlight w:val="none"/>
            </w:rPr>
            <w:instrText xml:space="preserve"> PAGEREF _Toc30769 \h </w:instrText>
          </w:r>
          <w:r>
            <w:rPr>
              <w:sz w:val="28"/>
              <w:szCs w:val="36"/>
              <w:highlight w:val="none"/>
            </w:rPr>
            <w:fldChar w:fldCharType="separate"/>
          </w:r>
          <w:r>
            <w:rPr>
              <w:sz w:val="28"/>
              <w:szCs w:val="36"/>
              <w:highlight w:val="none"/>
            </w:rPr>
            <w:t>64</w:t>
          </w:r>
          <w:r>
            <w:rPr>
              <w:sz w:val="28"/>
              <w:szCs w:val="36"/>
              <w:highlight w:val="none"/>
            </w:rPr>
            <w:fldChar w:fldCharType="end"/>
          </w:r>
          <w:r>
            <w:rPr>
              <w:sz w:val="28"/>
              <w:szCs w:val="36"/>
              <w:highlight w:val="none"/>
            </w:rPr>
            <w:fldChar w:fldCharType="end"/>
          </w:r>
        </w:p>
        <w:p w14:paraId="4046D511">
          <w:pPr>
            <w:pStyle w:val="44"/>
            <w:tabs>
              <w:tab w:val="right" w:leader="dot" w:pos="9746"/>
            </w:tabs>
            <w:rPr>
              <w:sz w:val="28"/>
              <w:szCs w:val="36"/>
              <w:highlight w:val="none"/>
            </w:rPr>
          </w:pPr>
          <w:r>
            <w:rPr>
              <w:highlight w:val="none"/>
            </w:rPr>
            <w:fldChar w:fldCharType="begin"/>
          </w:r>
          <w:r>
            <w:rPr>
              <w:highlight w:val="none"/>
            </w:rPr>
            <w:instrText xml:space="preserve"> HYPERLINK \l "_Toc30211" </w:instrText>
          </w:r>
          <w:r>
            <w:rPr>
              <w:highlight w:val="none"/>
            </w:rPr>
            <w:fldChar w:fldCharType="separate"/>
          </w:r>
          <w:r>
            <w:rPr>
              <w:rFonts w:hint="eastAsia" w:asciiTheme="minorEastAsia" w:hAnsiTheme="minorEastAsia" w:eastAsiaTheme="minorEastAsia" w:cstheme="minorEastAsia"/>
              <w:kern w:val="0"/>
              <w:sz w:val="28"/>
              <w:szCs w:val="52"/>
              <w:highlight w:val="none"/>
            </w:rPr>
            <w:t>商务技术文件部分</w:t>
          </w:r>
          <w:r>
            <w:rPr>
              <w:sz w:val="28"/>
              <w:szCs w:val="36"/>
              <w:highlight w:val="none"/>
            </w:rPr>
            <w:tab/>
          </w:r>
          <w:r>
            <w:rPr>
              <w:sz w:val="28"/>
              <w:szCs w:val="36"/>
              <w:highlight w:val="none"/>
            </w:rPr>
            <w:fldChar w:fldCharType="begin"/>
          </w:r>
          <w:r>
            <w:rPr>
              <w:sz w:val="28"/>
              <w:szCs w:val="36"/>
              <w:highlight w:val="none"/>
            </w:rPr>
            <w:instrText xml:space="preserve"> PAGEREF _Toc30211 \h </w:instrText>
          </w:r>
          <w:r>
            <w:rPr>
              <w:sz w:val="28"/>
              <w:szCs w:val="36"/>
              <w:highlight w:val="none"/>
            </w:rPr>
            <w:fldChar w:fldCharType="separate"/>
          </w:r>
          <w:r>
            <w:rPr>
              <w:sz w:val="28"/>
              <w:szCs w:val="36"/>
              <w:highlight w:val="none"/>
            </w:rPr>
            <w:t>68</w:t>
          </w:r>
          <w:r>
            <w:rPr>
              <w:sz w:val="28"/>
              <w:szCs w:val="36"/>
              <w:highlight w:val="none"/>
            </w:rPr>
            <w:fldChar w:fldCharType="end"/>
          </w:r>
          <w:r>
            <w:rPr>
              <w:sz w:val="28"/>
              <w:szCs w:val="36"/>
              <w:highlight w:val="none"/>
            </w:rPr>
            <w:fldChar w:fldCharType="end"/>
          </w:r>
        </w:p>
        <w:p w14:paraId="601561FB">
          <w:pPr>
            <w:pStyle w:val="44"/>
            <w:tabs>
              <w:tab w:val="right" w:leader="dot" w:pos="9746"/>
            </w:tabs>
            <w:rPr>
              <w:sz w:val="28"/>
              <w:szCs w:val="36"/>
              <w:highlight w:val="none"/>
            </w:rPr>
          </w:pPr>
          <w:r>
            <w:rPr>
              <w:highlight w:val="none"/>
            </w:rPr>
            <w:fldChar w:fldCharType="begin"/>
          </w:r>
          <w:r>
            <w:rPr>
              <w:highlight w:val="none"/>
            </w:rPr>
            <w:instrText xml:space="preserve"> HYPERLINK \l "_Toc1261" </w:instrText>
          </w:r>
          <w:r>
            <w:rPr>
              <w:highlight w:val="none"/>
            </w:rPr>
            <w:fldChar w:fldCharType="separate"/>
          </w:r>
          <w:r>
            <w:rPr>
              <w:rFonts w:hint="eastAsia" w:asciiTheme="minorEastAsia" w:hAnsiTheme="minorEastAsia" w:eastAsiaTheme="minorEastAsia" w:cstheme="minorEastAsia"/>
              <w:kern w:val="0"/>
              <w:sz w:val="28"/>
              <w:szCs w:val="48"/>
              <w:highlight w:val="none"/>
            </w:rPr>
            <w:t>报价文件部分</w:t>
          </w:r>
          <w:r>
            <w:rPr>
              <w:sz w:val="28"/>
              <w:szCs w:val="36"/>
              <w:highlight w:val="none"/>
            </w:rPr>
            <w:tab/>
          </w:r>
          <w:r>
            <w:rPr>
              <w:sz w:val="28"/>
              <w:szCs w:val="36"/>
              <w:highlight w:val="none"/>
            </w:rPr>
            <w:fldChar w:fldCharType="begin"/>
          </w:r>
          <w:r>
            <w:rPr>
              <w:sz w:val="28"/>
              <w:szCs w:val="36"/>
              <w:highlight w:val="none"/>
            </w:rPr>
            <w:instrText xml:space="preserve"> PAGEREF _Toc1261 \h </w:instrText>
          </w:r>
          <w:r>
            <w:rPr>
              <w:sz w:val="28"/>
              <w:szCs w:val="36"/>
              <w:highlight w:val="none"/>
            </w:rPr>
            <w:fldChar w:fldCharType="separate"/>
          </w:r>
          <w:r>
            <w:rPr>
              <w:sz w:val="28"/>
              <w:szCs w:val="36"/>
              <w:highlight w:val="none"/>
            </w:rPr>
            <w:t>77</w:t>
          </w:r>
          <w:r>
            <w:rPr>
              <w:sz w:val="28"/>
              <w:szCs w:val="36"/>
              <w:highlight w:val="none"/>
            </w:rPr>
            <w:fldChar w:fldCharType="end"/>
          </w:r>
          <w:r>
            <w:rPr>
              <w:sz w:val="28"/>
              <w:szCs w:val="36"/>
              <w:highlight w:val="none"/>
            </w:rPr>
            <w:fldChar w:fldCharType="end"/>
          </w:r>
        </w:p>
        <w:p w14:paraId="0AE80FF7">
          <w:pPr>
            <w:pStyle w:val="44"/>
            <w:tabs>
              <w:tab w:val="right" w:leader="dot" w:pos="9746"/>
            </w:tabs>
            <w:rPr>
              <w:sz w:val="28"/>
              <w:szCs w:val="36"/>
              <w:highlight w:val="none"/>
            </w:rPr>
          </w:pPr>
          <w:r>
            <w:rPr>
              <w:highlight w:val="none"/>
            </w:rPr>
            <w:fldChar w:fldCharType="begin"/>
          </w:r>
          <w:r>
            <w:rPr>
              <w:highlight w:val="none"/>
            </w:rPr>
            <w:instrText xml:space="preserve"> HYPERLINK \l "_Toc15702" </w:instrText>
          </w:r>
          <w:r>
            <w:rPr>
              <w:highlight w:val="none"/>
            </w:rPr>
            <w:fldChar w:fldCharType="separate"/>
          </w:r>
          <w:r>
            <w:rPr>
              <w:rFonts w:hint="eastAsia" w:asciiTheme="minorEastAsia" w:hAnsiTheme="minorEastAsia" w:eastAsiaTheme="minorEastAsia" w:cstheme="minorEastAsia"/>
              <w:sz w:val="28"/>
              <w:szCs w:val="36"/>
              <w:highlight w:val="none"/>
            </w:rPr>
            <w:t>附件</w:t>
          </w:r>
          <w:r>
            <w:rPr>
              <w:sz w:val="28"/>
              <w:szCs w:val="36"/>
              <w:highlight w:val="none"/>
            </w:rPr>
            <w:tab/>
          </w:r>
          <w:r>
            <w:rPr>
              <w:sz w:val="28"/>
              <w:szCs w:val="36"/>
              <w:highlight w:val="none"/>
            </w:rPr>
            <w:fldChar w:fldCharType="begin"/>
          </w:r>
          <w:r>
            <w:rPr>
              <w:sz w:val="28"/>
              <w:szCs w:val="36"/>
              <w:highlight w:val="none"/>
            </w:rPr>
            <w:instrText xml:space="preserve"> PAGEREF _Toc15702 \h </w:instrText>
          </w:r>
          <w:r>
            <w:rPr>
              <w:sz w:val="28"/>
              <w:szCs w:val="36"/>
              <w:highlight w:val="none"/>
            </w:rPr>
            <w:fldChar w:fldCharType="separate"/>
          </w:r>
          <w:r>
            <w:rPr>
              <w:sz w:val="28"/>
              <w:szCs w:val="36"/>
              <w:highlight w:val="none"/>
            </w:rPr>
            <w:t>81</w:t>
          </w:r>
          <w:r>
            <w:rPr>
              <w:sz w:val="28"/>
              <w:szCs w:val="36"/>
              <w:highlight w:val="none"/>
            </w:rPr>
            <w:fldChar w:fldCharType="end"/>
          </w:r>
          <w:r>
            <w:rPr>
              <w:sz w:val="28"/>
              <w:szCs w:val="36"/>
              <w:highlight w:val="none"/>
            </w:rPr>
            <w:fldChar w:fldCharType="end"/>
          </w:r>
        </w:p>
        <w:p w14:paraId="095605F1">
          <w:pPr>
            <w:ind w:firstLine="641" w:firstLineChars="229"/>
            <w:rPr>
              <w:rFonts w:hint="eastAsia" w:asciiTheme="minorEastAsia" w:hAnsiTheme="minorEastAsia" w:eastAsiaTheme="minorEastAsia" w:cstheme="minorEastAsia"/>
              <w:highlight w:val="none"/>
            </w:rPr>
          </w:pPr>
          <w:r>
            <w:rPr>
              <w:rFonts w:asciiTheme="minorEastAsia" w:hAnsiTheme="minorEastAsia" w:eastAsiaTheme="minorEastAsia" w:cstheme="minorEastAsia"/>
              <w:sz w:val="28"/>
              <w:szCs w:val="36"/>
              <w:highlight w:val="none"/>
            </w:rPr>
            <w:fldChar w:fldCharType="end"/>
          </w:r>
        </w:p>
      </w:sdtContent>
    </w:sdt>
    <w:p w14:paraId="758EBFA2">
      <w:pPr>
        <w:pStyle w:val="23"/>
        <w:rPr>
          <w:highlight w:val="none"/>
        </w:rPr>
      </w:pPr>
    </w:p>
    <w:p w14:paraId="2AC8BD35">
      <w:pPr>
        <w:spacing w:line="360" w:lineRule="auto"/>
        <w:ind w:firstLine="549" w:firstLineChars="229"/>
        <w:rPr>
          <w:rFonts w:hint="eastAsia" w:asciiTheme="minorEastAsia" w:hAnsiTheme="minorEastAsia" w:eastAsiaTheme="minorEastAsia" w:cstheme="minorEastAsia"/>
          <w:sz w:val="24"/>
          <w:highlight w:val="none"/>
        </w:rPr>
      </w:pPr>
    </w:p>
    <w:p w14:paraId="519FB17E">
      <w:pPr>
        <w:spacing w:line="360" w:lineRule="auto"/>
        <w:ind w:firstLine="549" w:firstLineChars="229"/>
        <w:rPr>
          <w:rFonts w:hint="eastAsia" w:asciiTheme="minorEastAsia" w:hAnsiTheme="minorEastAsia" w:eastAsiaTheme="minorEastAsia" w:cstheme="minorEastAsia"/>
          <w:sz w:val="24"/>
          <w:highlight w:val="none"/>
        </w:rPr>
      </w:pPr>
    </w:p>
    <w:p w14:paraId="1CD16446">
      <w:pPr>
        <w:spacing w:line="360" w:lineRule="auto"/>
        <w:ind w:firstLine="549" w:firstLineChars="229"/>
        <w:rPr>
          <w:rFonts w:hint="eastAsia" w:asciiTheme="minorEastAsia" w:hAnsiTheme="minorEastAsia" w:eastAsiaTheme="minorEastAsia" w:cstheme="minorEastAsia"/>
          <w:sz w:val="24"/>
          <w:highlight w:val="none"/>
        </w:rPr>
      </w:pPr>
    </w:p>
    <w:p w14:paraId="7DEEC3D0">
      <w:pPr>
        <w:rPr>
          <w:rFonts w:hint="eastAsia" w:asciiTheme="minorEastAsia" w:hAnsiTheme="minorEastAsia" w:eastAsiaTheme="minorEastAsia" w:cstheme="minorEastAsia"/>
          <w:highlight w:val="none"/>
        </w:rPr>
      </w:pPr>
      <w:bookmarkStart w:id="2" w:name="第二部分"/>
      <w:bookmarkStart w:id="3" w:name="_Toc91899870"/>
      <w:bookmarkStart w:id="4" w:name="_Toc91899871"/>
    </w:p>
    <w:p w14:paraId="7C19774B">
      <w:pPr>
        <w:rPr>
          <w:rFonts w:hint="eastAsia" w:asciiTheme="minorEastAsia" w:hAnsiTheme="minorEastAsia" w:eastAsiaTheme="minorEastAsia" w:cstheme="minorEastAsia"/>
          <w:b/>
          <w:sz w:val="36"/>
          <w:szCs w:val="20"/>
          <w:highlight w:val="none"/>
        </w:rPr>
      </w:pPr>
      <w:bookmarkStart w:id="5" w:name="_Toc9234"/>
      <w:r>
        <w:rPr>
          <w:rFonts w:hint="eastAsia" w:asciiTheme="minorEastAsia" w:hAnsiTheme="minorEastAsia" w:eastAsiaTheme="minorEastAsia" w:cstheme="minorEastAsia"/>
          <w:b/>
          <w:sz w:val="36"/>
          <w:szCs w:val="20"/>
          <w:highlight w:val="none"/>
        </w:rPr>
        <w:br w:type="page"/>
      </w:r>
    </w:p>
    <w:p w14:paraId="5B509A34">
      <w:pPr>
        <w:adjustRightInd/>
        <w:spacing w:line="360" w:lineRule="auto"/>
        <w:jc w:val="center"/>
        <w:outlineLvl w:val="0"/>
        <w:rPr>
          <w:rFonts w:hint="eastAsia" w:asciiTheme="minorEastAsia" w:hAnsiTheme="minorEastAsia" w:eastAsiaTheme="minorEastAsia" w:cstheme="minorEastAsia"/>
          <w:b/>
          <w:sz w:val="36"/>
          <w:szCs w:val="20"/>
          <w:highlight w:val="none"/>
        </w:rPr>
      </w:pPr>
      <w:r>
        <w:rPr>
          <w:rFonts w:hint="eastAsia" w:asciiTheme="minorEastAsia" w:hAnsiTheme="minorEastAsia" w:eastAsiaTheme="minorEastAsia" w:cstheme="minorEastAsia"/>
          <w:b/>
          <w:sz w:val="36"/>
          <w:szCs w:val="20"/>
          <w:highlight w:val="none"/>
        </w:rPr>
        <w:t>第一部分</w:t>
      </w:r>
      <w:r>
        <w:rPr>
          <w:rFonts w:asciiTheme="minorEastAsia" w:hAnsiTheme="minorEastAsia" w:eastAsiaTheme="minorEastAsia" w:cstheme="minorEastAsia"/>
          <w:b/>
          <w:sz w:val="36"/>
          <w:szCs w:val="20"/>
          <w:highlight w:val="none"/>
        </w:rPr>
        <w:t xml:space="preserve"> </w:t>
      </w:r>
      <w:r>
        <w:rPr>
          <w:rFonts w:hint="eastAsia" w:asciiTheme="minorEastAsia" w:hAnsiTheme="minorEastAsia" w:eastAsiaTheme="minorEastAsia" w:cstheme="minorEastAsia"/>
          <w:b/>
          <w:sz w:val="36"/>
          <w:szCs w:val="20"/>
          <w:highlight w:val="none"/>
        </w:rPr>
        <w:t>招标公告</w:t>
      </w:r>
      <w:bookmarkEnd w:id="5"/>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3BE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A778903">
            <w:pPr>
              <w:pStyle w:val="59"/>
              <w:spacing w:before="0" w:beforeAutospacing="0" w:after="0" w:afterAutospacing="0" w:line="400" w:lineRule="exact"/>
              <w:ind w:firstLine="420"/>
              <w:rPr>
                <w:rFonts w:hint="eastAsia" w:cs="宋体"/>
                <w:sz w:val="22"/>
                <w:szCs w:val="22"/>
                <w:highlight w:val="none"/>
              </w:rPr>
            </w:pPr>
            <w:r>
              <w:rPr>
                <w:rFonts w:hint="eastAsia" w:cs="宋体"/>
                <w:b/>
                <w:bCs/>
                <w:sz w:val="22"/>
                <w:szCs w:val="22"/>
                <w:highlight w:val="none"/>
              </w:rPr>
              <w:t>项目概况</w:t>
            </w:r>
            <w:r>
              <w:rPr>
                <w:rFonts w:hint="eastAsia" w:cs="宋体"/>
                <w:sz w:val="22"/>
                <w:szCs w:val="22"/>
                <w:highlight w:val="none"/>
              </w:rPr>
              <w:t>        </w:t>
            </w:r>
          </w:p>
          <w:p w14:paraId="278923F3">
            <w:pPr>
              <w:pStyle w:val="59"/>
              <w:spacing w:before="0" w:beforeAutospacing="0" w:after="0" w:afterAutospacing="0" w:line="400" w:lineRule="exact"/>
              <w:ind w:firstLine="440" w:firstLineChars="200"/>
              <w:rPr>
                <w:rFonts w:hint="eastAsia" w:cs="宋体"/>
                <w:b/>
                <w:bCs/>
                <w:sz w:val="22"/>
                <w:szCs w:val="22"/>
                <w:highlight w:val="none"/>
              </w:rPr>
            </w:pPr>
            <w:r>
              <w:rPr>
                <w:rFonts w:hint="eastAsia" w:cs="宋体"/>
                <w:sz w:val="22"/>
                <w:szCs w:val="22"/>
                <w:highlight w:val="none"/>
                <w:lang w:eastAsia="zh-CN"/>
              </w:rPr>
              <w:t>2026年-2028年龙港市交通标志标线增设和维护项目</w:t>
            </w:r>
            <w:r>
              <w:rPr>
                <w:rFonts w:hint="eastAsia" w:cs="宋体"/>
                <w:sz w:val="22"/>
                <w:szCs w:val="22"/>
                <w:highlight w:val="none"/>
              </w:rPr>
              <w:t>招标项目的潜在投标人应在政采云平台线上获取（下载）招标文件，并于</w:t>
            </w:r>
            <w:r>
              <w:rPr>
                <w:rFonts w:hint="eastAsia" w:cs="宋体"/>
                <w:sz w:val="22"/>
                <w:szCs w:val="22"/>
                <w:highlight w:val="none"/>
                <w:lang w:eastAsia="zh-CN"/>
              </w:rPr>
              <w:t>2025年</w:t>
            </w:r>
            <w:r>
              <w:rPr>
                <w:rFonts w:hint="eastAsia" w:cs="宋体"/>
                <w:sz w:val="22"/>
                <w:szCs w:val="22"/>
                <w:highlight w:val="none"/>
                <w:lang w:val="en-US" w:eastAsia="zh-CN"/>
              </w:rPr>
              <w:t xml:space="preserve"> </w:t>
            </w:r>
            <w:r>
              <w:rPr>
                <w:rFonts w:hint="eastAsia" w:cs="宋体"/>
                <w:sz w:val="22"/>
                <w:szCs w:val="22"/>
                <w:highlight w:val="none"/>
                <w:lang w:eastAsia="zh-CN"/>
              </w:rPr>
              <w:t>月</w:t>
            </w:r>
            <w:r>
              <w:rPr>
                <w:rFonts w:hint="eastAsia" w:cs="宋体"/>
                <w:sz w:val="22"/>
                <w:szCs w:val="22"/>
                <w:highlight w:val="none"/>
                <w:lang w:val="en-US" w:eastAsia="zh-CN"/>
              </w:rPr>
              <w:t xml:space="preserve"> </w:t>
            </w:r>
            <w:r>
              <w:rPr>
                <w:rFonts w:hint="eastAsia" w:cs="宋体"/>
                <w:sz w:val="22"/>
                <w:szCs w:val="22"/>
                <w:highlight w:val="none"/>
                <w:lang w:eastAsia="zh-CN"/>
              </w:rPr>
              <w:t>日</w:t>
            </w:r>
            <w:r>
              <w:rPr>
                <w:rFonts w:hint="eastAsia" w:cs="宋体"/>
                <w:sz w:val="22"/>
                <w:szCs w:val="22"/>
                <w:highlight w:val="none"/>
              </w:rPr>
              <w:t xml:space="preserve">09:30（北京时间）前递交（上传）投标文件。 </w:t>
            </w:r>
          </w:p>
        </w:tc>
      </w:tr>
    </w:tbl>
    <w:p w14:paraId="6E1C5490">
      <w:pPr>
        <w:pStyle w:val="59"/>
        <w:spacing w:before="0" w:beforeAutospacing="0" w:after="0" w:afterAutospacing="0" w:line="400" w:lineRule="exact"/>
        <w:rPr>
          <w:rFonts w:hint="eastAsia" w:cs="宋体"/>
          <w:b/>
          <w:bCs/>
          <w:sz w:val="22"/>
          <w:szCs w:val="22"/>
          <w:highlight w:val="none"/>
        </w:rPr>
      </w:pPr>
      <w:r>
        <w:rPr>
          <w:rFonts w:hint="eastAsia" w:cs="宋体"/>
          <w:b/>
          <w:bCs/>
          <w:sz w:val="22"/>
          <w:szCs w:val="22"/>
          <w:highlight w:val="none"/>
        </w:rPr>
        <w:t>一、项目基本情况</w:t>
      </w:r>
    </w:p>
    <w:p w14:paraId="664F48D5">
      <w:pPr>
        <w:pStyle w:val="59"/>
        <w:spacing w:before="0" w:beforeAutospacing="0" w:after="0" w:afterAutospacing="0" w:line="400" w:lineRule="exact"/>
        <w:ind w:firstLine="420"/>
        <w:rPr>
          <w:rFonts w:hint="eastAsia" w:eastAsia="宋体" w:cs="宋体"/>
          <w:sz w:val="22"/>
          <w:szCs w:val="22"/>
          <w:highlight w:val="none"/>
          <w:lang w:eastAsia="zh-CN"/>
        </w:rPr>
      </w:pPr>
      <w:r>
        <w:rPr>
          <w:rFonts w:hint="eastAsia" w:cs="宋体"/>
          <w:sz w:val="22"/>
          <w:szCs w:val="22"/>
          <w:highlight w:val="none"/>
        </w:rPr>
        <w:t>项目编号：</w:t>
      </w:r>
      <w:r>
        <w:rPr>
          <w:rFonts w:hint="eastAsia" w:cs="宋体"/>
          <w:sz w:val="22"/>
          <w:szCs w:val="22"/>
          <w:highlight w:val="none"/>
          <w:lang w:eastAsia="zh-CN"/>
        </w:rPr>
        <w:t>LGSYCG2025029</w:t>
      </w:r>
    </w:p>
    <w:p w14:paraId="7516E190">
      <w:pPr>
        <w:pStyle w:val="59"/>
        <w:spacing w:before="0" w:beforeAutospacing="0" w:after="0" w:afterAutospacing="0" w:line="400" w:lineRule="exact"/>
        <w:ind w:firstLine="420"/>
        <w:rPr>
          <w:rFonts w:hint="eastAsia" w:eastAsia="宋体" w:cs="宋体"/>
          <w:sz w:val="22"/>
          <w:szCs w:val="22"/>
          <w:highlight w:val="none"/>
          <w:lang w:eastAsia="zh-CN"/>
        </w:rPr>
      </w:pPr>
      <w:r>
        <w:rPr>
          <w:rFonts w:hint="eastAsia" w:cs="宋体"/>
          <w:sz w:val="22"/>
          <w:szCs w:val="22"/>
          <w:highlight w:val="none"/>
        </w:rPr>
        <w:t>项目名称：</w:t>
      </w:r>
      <w:r>
        <w:rPr>
          <w:rFonts w:hint="eastAsia" w:cs="宋体"/>
          <w:sz w:val="22"/>
          <w:szCs w:val="22"/>
          <w:highlight w:val="none"/>
          <w:lang w:eastAsia="zh-CN"/>
        </w:rPr>
        <w:t>2026年-2028年龙港市交通标志标线增设和维护项目</w:t>
      </w:r>
    </w:p>
    <w:p w14:paraId="14407C0C">
      <w:pPr>
        <w:pStyle w:val="59"/>
        <w:spacing w:before="0" w:beforeAutospacing="0" w:after="0" w:afterAutospacing="0" w:line="400" w:lineRule="exact"/>
        <w:ind w:firstLine="420"/>
        <w:rPr>
          <w:rFonts w:hint="eastAsia" w:eastAsia="宋体" w:cs="宋体"/>
          <w:sz w:val="22"/>
          <w:szCs w:val="22"/>
          <w:highlight w:val="none"/>
          <w:lang w:eastAsia="zh-CN"/>
        </w:rPr>
      </w:pPr>
      <w:r>
        <w:rPr>
          <w:rFonts w:hint="eastAsia" w:cs="宋体"/>
          <w:sz w:val="22"/>
          <w:szCs w:val="22"/>
          <w:highlight w:val="none"/>
        </w:rPr>
        <w:t>预算金额（元）：</w:t>
      </w:r>
      <w:r>
        <w:rPr>
          <w:rFonts w:hint="eastAsia" w:cs="宋体"/>
          <w:sz w:val="22"/>
          <w:szCs w:val="22"/>
          <w:highlight w:val="none"/>
          <w:lang w:eastAsia="zh-CN"/>
        </w:rPr>
        <w:t>7800000</w:t>
      </w:r>
    </w:p>
    <w:p w14:paraId="7BEDDA27">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最高限价（元）：/</w:t>
      </w:r>
    </w:p>
    <w:p w14:paraId="74450B2E">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lang w:bidi="ar"/>
        </w:rPr>
        <w:t>采购需</w:t>
      </w:r>
      <w:r>
        <w:rPr>
          <w:rFonts w:hint="eastAsia" w:cs="宋体"/>
          <w:sz w:val="22"/>
          <w:szCs w:val="22"/>
          <w:highlight w:val="none"/>
        </w:rPr>
        <w:t>求：  </w:t>
      </w:r>
    </w:p>
    <w:p w14:paraId="7F4D264D">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标项名称：</w:t>
      </w:r>
      <w:r>
        <w:rPr>
          <w:rFonts w:hint="eastAsia" w:cs="宋体"/>
          <w:sz w:val="22"/>
          <w:szCs w:val="22"/>
          <w:highlight w:val="none"/>
          <w:lang w:eastAsia="zh-CN"/>
        </w:rPr>
        <w:t>2026年-2028年龙港市交通标志标线增设和维护项目</w:t>
      </w:r>
      <w:r>
        <w:rPr>
          <w:rFonts w:hint="eastAsia" w:cs="宋体"/>
          <w:sz w:val="22"/>
          <w:szCs w:val="22"/>
          <w:highlight w:val="none"/>
        </w:rPr>
        <w:t>    </w:t>
      </w:r>
    </w:p>
    <w:p w14:paraId="476949DB">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数量：</w:t>
      </w:r>
      <w:r>
        <w:rPr>
          <w:rFonts w:hint="eastAsia" w:cs="宋体"/>
          <w:sz w:val="22"/>
          <w:szCs w:val="22"/>
          <w:highlight w:val="none"/>
          <w:lang w:val="en-US" w:eastAsia="zh-CN"/>
        </w:rPr>
        <w:t>3</w:t>
      </w:r>
      <w:r>
        <w:rPr>
          <w:rFonts w:hint="eastAsia" w:cs="宋体"/>
          <w:sz w:val="22"/>
          <w:szCs w:val="22"/>
          <w:highlight w:val="none"/>
        </w:rPr>
        <w:t>    </w:t>
      </w:r>
    </w:p>
    <w:p w14:paraId="58F08F7F">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预算金额（元）：</w:t>
      </w:r>
      <w:r>
        <w:rPr>
          <w:rFonts w:hint="eastAsia" w:cs="宋体"/>
          <w:sz w:val="22"/>
          <w:szCs w:val="22"/>
          <w:highlight w:val="none"/>
          <w:lang w:eastAsia="zh-CN"/>
        </w:rPr>
        <w:t>7800000</w:t>
      </w:r>
      <w:r>
        <w:rPr>
          <w:rFonts w:hint="eastAsia" w:cs="宋体"/>
          <w:sz w:val="22"/>
          <w:szCs w:val="22"/>
          <w:highlight w:val="none"/>
        </w:rPr>
        <w:t>    </w:t>
      </w:r>
    </w:p>
    <w:p w14:paraId="244FB4FC">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简要规格描述或项目基本概况介绍、用途：详见招标文件    </w:t>
      </w:r>
    </w:p>
    <w:p w14:paraId="21D7B1E4">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备注：    </w:t>
      </w:r>
    </w:p>
    <w:p w14:paraId="1E196A4C">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合同履约期限：标项 1，详见招标文件</w:t>
      </w:r>
    </w:p>
    <w:p w14:paraId="0D1215F7">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本项目（</w:t>
      </w:r>
      <w:r>
        <w:rPr>
          <w:rFonts w:hint="eastAsia" w:cs="宋体"/>
          <w:color w:val="C00000"/>
          <w:sz w:val="22"/>
          <w:szCs w:val="22"/>
          <w:highlight w:val="none"/>
          <w:lang w:eastAsia="zh-CN"/>
        </w:rPr>
        <w:t>否</w:t>
      </w:r>
      <w:r>
        <w:rPr>
          <w:rFonts w:hint="eastAsia" w:cs="宋体"/>
          <w:sz w:val="22"/>
          <w:szCs w:val="22"/>
          <w:highlight w:val="none"/>
        </w:rPr>
        <w:t>）接受联合体投标。</w:t>
      </w:r>
    </w:p>
    <w:p w14:paraId="2E03EFA4">
      <w:pPr>
        <w:pStyle w:val="59"/>
        <w:spacing w:before="0" w:beforeAutospacing="0" w:after="0" w:afterAutospacing="0" w:line="400" w:lineRule="exact"/>
        <w:rPr>
          <w:rFonts w:hint="eastAsia" w:cs="宋体"/>
          <w:b/>
          <w:bCs/>
          <w:sz w:val="22"/>
          <w:szCs w:val="22"/>
          <w:highlight w:val="none"/>
        </w:rPr>
      </w:pPr>
      <w:r>
        <w:rPr>
          <w:rFonts w:hint="eastAsia" w:cs="宋体"/>
          <w:b/>
          <w:bCs/>
          <w:sz w:val="22"/>
          <w:szCs w:val="22"/>
          <w:highlight w:val="none"/>
        </w:rPr>
        <w:t>二、申请人的资格要求：</w:t>
      </w:r>
    </w:p>
    <w:p w14:paraId="729D2E7C">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031A7A41">
      <w:pPr>
        <w:pStyle w:val="59"/>
        <w:spacing w:before="0" w:beforeAutospacing="0" w:after="0" w:afterAutospacing="0" w:line="400" w:lineRule="exact"/>
        <w:ind w:firstLine="420"/>
        <w:rPr>
          <w:rFonts w:hint="default" w:eastAsia="宋体" w:cs="宋体"/>
          <w:sz w:val="22"/>
          <w:szCs w:val="22"/>
          <w:highlight w:val="none"/>
          <w:lang w:val="en-US" w:eastAsia="zh-CN"/>
        </w:rPr>
      </w:pPr>
      <w:r>
        <w:rPr>
          <w:rFonts w:hint="eastAsia" w:cs="宋体"/>
          <w:sz w:val="22"/>
          <w:szCs w:val="22"/>
          <w:highlight w:val="none"/>
        </w:rPr>
        <w:t>2.落实政府采购政策需满足的资格要求：</w:t>
      </w:r>
      <w:r>
        <w:rPr>
          <w:rFonts w:hint="eastAsia" w:cs="宋体"/>
          <w:sz w:val="22"/>
          <w:szCs w:val="22"/>
          <w:highlight w:val="none"/>
          <w:lang w:val="en-US" w:eastAsia="zh-CN"/>
        </w:rPr>
        <w:t>专门面向中小企业采购</w:t>
      </w:r>
    </w:p>
    <w:p w14:paraId="309C1B21">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3.本项目的特定资格要求：</w:t>
      </w:r>
      <w:r>
        <w:rPr>
          <w:rFonts w:hint="eastAsia" w:ascii="宋体" w:hAnsi="宋体"/>
          <w:sz w:val="22"/>
          <w:szCs w:val="22"/>
        </w:rPr>
        <w:t>具有公路交通工程专业承包公路安全设施分项二级及以上资质</w:t>
      </w:r>
      <w:r>
        <w:rPr>
          <w:rFonts w:hint="eastAsia"/>
          <w:sz w:val="22"/>
          <w:szCs w:val="22"/>
          <w:highlight w:val="none"/>
        </w:rPr>
        <w:t>。</w:t>
      </w:r>
    </w:p>
    <w:p w14:paraId="4A10FA0D">
      <w:pPr>
        <w:pStyle w:val="59"/>
        <w:spacing w:before="0" w:beforeAutospacing="0" w:after="0" w:afterAutospacing="0" w:line="400" w:lineRule="exact"/>
        <w:rPr>
          <w:rFonts w:hint="eastAsia" w:cs="宋体"/>
          <w:b/>
          <w:bCs/>
          <w:sz w:val="22"/>
          <w:szCs w:val="22"/>
          <w:highlight w:val="none"/>
        </w:rPr>
      </w:pPr>
      <w:r>
        <w:rPr>
          <w:rFonts w:hint="eastAsia" w:cs="宋体"/>
          <w:b/>
          <w:bCs/>
          <w:sz w:val="22"/>
          <w:szCs w:val="22"/>
          <w:highlight w:val="none"/>
        </w:rPr>
        <w:t>三、获取招标文件</w:t>
      </w:r>
    </w:p>
    <w:p w14:paraId="2532EA76">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时间：/至</w:t>
      </w:r>
      <w:r>
        <w:rPr>
          <w:rFonts w:hint="eastAsia" w:cs="宋体"/>
          <w:sz w:val="22"/>
          <w:szCs w:val="22"/>
          <w:highlight w:val="none"/>
          <w:lang w:eastAsia="zh-CN"/>
        </w:rPr>
        <w:t>2025年</w:t>
      </w:r>
      <w:r>
        <w:rPr>
          <w:rFonts w:hint="eastAsia" w:cs="宋体"/>
          <w:sz w:val="22"/>
          <w:szCs w:val="22"/>
          <w:highlight w:val="none"/>
          <w:lang w:val="en-US" w:eastAsia="zh-CN"/>
        </w:rPr>
        <w:t xml:space="preserve"> </w:t>
      </w:r>
      <w:r>
        <w:rPr>
          <w:rFonts w:hint="eastAsia" w:cs="宋体"/>
          <w:sz w:val="22"/>
          <w:szCs w:val="22"/>
          <w:highlight w:val="none"/>
          <w:lang w:eastAsia="zh-CN"/>
        </w:rPr>
        <w:t>月</w:t>
      </w:r>
      <w:r>
        <w:rPr>
          <w:rFonts w:hint="eastAsia" w:cs="宋体"/>
          <w:sz w:val="22"/>
          <w:szCs w:val="22"/>
          <w:highlight w:val="none"/>
          <w:lang w:val="en-US" w:eastAsia="zh-CN"/>
        </w:rPr>
        <w:t xml:space="preserve"> </w:t>
      </w:r>
      <w:r>
        <w:rPr>
          <w:rFonts w:hint="eastAsia" w:cs="宋体"/>
          <w:sz w:val="22"/>
          <w:szCs w:val="22"/>
          <w:highlight w:val="none"/>
          <w:lang w:eastAsia="zh-CN"/>
        </w:rPr>
        <w:t>日</w:t>
      </w:r>
      <w:r>
        <w:rPr>
          <w:rFonts w:hint="eastAsia" w:cs="宋体"/>
          <w:sz w:val="22"/>
          <w:szCs w:val="22"/>
          <w:highlight w:val="none"/>
        </w:rPr>
        <w:t>，每天上午00:00至12:00 ，下午12:00至23:59（北京时间，线上获取法定节假日均可，线下获取文件法定节假日除外）</w:t>
      </w:r>
    </w:p>
    <w:p w14:paraId="16816A77">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地点（网址）：政采云平台线上获取</w:t>
      </w:r>
    </w:p>
    <w:p w14:paraId="67C9AAE3">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方式：投标人登录政采云平台https://www.zcygov.cn/在线申请获取采购文件（进入“项目采购”应用，在获取采购文件菜单中选择项目，申请获取采购文件）</w:t>
      </w:r>
    </w:p>
    <w:p w14:paraId="56B4717A">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售价（元）：0</w:t>
      </w:r>
    </w:p>
    <w:p w14:paraId="01B504C1">
      <w:pPr>
        <w:pStyle w:val="59"/>
        <w:spacing w:before="0" w:beforeAutospacing="0" w:after="0" w:afterAutospacing="0" w:line="400" w:lineRule="exact"/>
        <w:rPr>
          <w:rFonts w:hint="eastAsia" w:cs="宋体"/>
          <w:b/>
          <w:bCs/>
          <w:sz w:val="22"/>
          <w:szCs w:val="22"/>
          <w:highlight w:val="none"/>
        </w:rPr>
      </w:pPr>
      <w:r>
        <w:rPr>
          <w:rFonts w:hint="eastAsia" w:cs="宋体"/>
          <w:b/>
          <w:bCs/>
          <w:sz w:val="22"/>
          <w:szCs w:val="22"/>
          <w:highlight w:val="none"/>
        </w:rPr>
        <w:t>四、提交投标文件截止时间、开标时间和地点</w:t>
      </w:r>
    </w:p>
    <w:p w14:paraId="2A4AD5B3">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提交投标文件截止时间：</w:t>
      </w:r>
      <w:r>
        <w:rPr>
          <w:rFonts w:hint="eastAsia" w:cs="宋体"/>
          <w:sz w:val="22"/>
          <w:szCs w:val="22"/>
          <w:highlight w:val="none"/>
          <w:lang w:eastAsia="zh-CN"/>
        </w:rPr>
        <w:t>2025年</w:t>
      </w:r>
      <w:r>
        <w:rPr>
          <w:rFonts w:hint="eastAsia" w:cs="宋体"/>
          <w:sz w:val="22"/>
          <w:szCs w:val="22"/>
          <w:highlight w:val="none"/>
          <w:lang w:val="en-US" w:eastAsia="zh-CN"/>
        </w:rPr>
        <w:t xml:space="preserve"> </w:t>
      </w:r>
      <w:r>
        <w:rPr>
          <w:rFonts w:hint="eastAsia" w:cs="宋体"/>
          <w:sz w:val="22"/>
          <w:szCs w:val="22"/>
          <w:highlight w:val="none"/>
          <w:lang w:eastAsia="zh-CN"/>
        </w:rPr>
        <w:t>月</w:t>
      </w:r>
      <w:r>
        <w:rPr>
          <w:rFonts w:hint="eastAsia" w:cs="宋体"/>
          <w:sz w:val="22"/>
          <w:szCs w:val="22"/>
          <w:highlight w:val="none"/>
          <w:lang w:val="en-US" w:eastAsia="zh-CN"/>
        </w:rPr>
        <w:t xml:space="preserve"> </w:t>
      </w:r>
      <w:r>
        <w:rPr>
          <w:rFonts w:hint="eastAsia" w:cs="宋体"/>
          <w:sz w:val="22"/>
          <w:szCs w:val="22"/>
          <w:highlight w:val="none"/>
          <w:lang w:eastAsia="zh-CN"/>
        </w:rPr>
        <w:t>日</w:t>
      </w:r>
      <w:r>
        <w:rPr>
          <w:rFonts w:hint="eastAsia" w:cs="宋体"/>
          <w:sz w:val="22"/>
          <w:szCs w:val="22"/>
          <w:highlight w:val="none"/>
        </w:rPr>
        <w:t>09:30（北京时间）</w:t>
      </w:r>
    </w:p>
    <w:p w14:paraId="5F573A87">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投标地点（网址）：请登录政采云投标客户端投标</w:t>
      </w:r>
    </w:p>
    <w:p w14:paraId="6545AFFE">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开标时间：</w:t>
      </w:r>
      <w:r>
        <w:rPr>
          <w:rFonts w:hint="eastAsia" w:cs="宋体"/>
          <w:sz w:val="22"/>
          <w:szCs w:val="22"/>
          <w:highlight w:val="none"/>
          <w:lang w:eastAsia="zh-CN"/>
        </w:rPr>
        <w:t>2025年</w:t>
      </w:r>
      <w:r>
        <w:rPr>
          <w:rFonts w:hint="eastAsia" w:cs="宋体"/>
          <w:sz w:val="22"/>
          <w:szCs w:val="22"/>
          <w:highlight w:val="none"/>
          <w:lang w:val="en-US" w:eastAsia="zh-CN"/>
        </w:rPr>
        <w:t xml:space="preserve"> </w:t>
      </w:r>
      <w:r>
        <w:rPr>
          <w:rFonts w:hint="eastAsia" w:cs="宋体"/>
          <w:sz w:val="22"/>
          <w:szCs w:val="22"/>
          <w:highlight w:val="none"/>
          <w:lang w:eastAsia="zh-CN"/>
        </w:rPr>
        <w:t>月</w:t>
      </w:r>
      <w:r>
        <w:rPr>
          <w:rFonts w:hint="eastAsia" w:cs="宋体"/>
          <w:sz w:val="22"/>
          <w:szCs w:val="22"/>
          <w:highlight w:val="none"/>
          <w:lang w:val="en-US" w:eastAsia="zh-CN"/>
        </w:rPr>
        <w:t xml:space="preserve"> </w:t>
      </w:r>
      <w:r>
        <w:rPr>
          <w:rFonts w:hint="eastAsia" w:cs="宋体"/>
          <w:sz w:val="22"/>
          <w:szCs w:val="22"/>
          <w:highlight w:val="none"/>
          <w:lang w:eastAsia="zh-CN"/>
        </w:rPr>
        <w:t>日</w:t>
      </w:r>
      <w:r>
        <w:rPr>
          <w:rFonts w:hint="eastAsia" w:cs="宋体"/>
          <w:sz w:val="22"/>
          <w:szCs w:val="22"/>
          <w:highlight w:val="none"/>
        </w:rPr>
        <w:t>09:30</w:t>
      </w:r>
    </w:p>
    <w:p w14:paraId="6C34A9EA">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开标地点（网址）：龙港市世纪大道4518号龙港市政务客厅4楼（龙港市公共资源交易中心）</w:t>
      </w:r>
      <w:r>
        <w:rPr>
          <w:rFonts w:hint="eastAsia"/>
          <w:sz w:val="22"/>
          <w:szCs w:val="22"/>
          <w:highlight w:val="none"/>
          <w:lang w:bidi="ar"/>
        </w:rPr>
        <w:t>（政府采购云平台（https://www.zcygov.cn/））</w:t>
      </w:r>
    </w:p>
    <w:p w14:paraId="7DA743AA">
      <w:pPr>
        <w:pStyle w:val="59"/>
        <w:spacing w:before="0" w:beforeAutospacing="0" w:after="0" w:afterAutospacing="0" w:line="400" w:lineRule="exact"/>
        <w:rPr>
          <w:rFonts w:hint="eastAsia" w:cs="宋体"/>
          <w:b/>
          <w:bCs/>
          <w:sz w:val="22"/>
          <w:szCs w:val="22"/>
          <w:highlight w:val="none"/>
        </w:rPr>
      </w:pPr>
      <w:r>
        <w:rPr>
          <w:rFonts w:hint="eastAsia" w:cs="宋体"/>
          <w:b/>
          <w:bCs/>
          <w:sz w:val="22"/>
          <w:szCs w:val="22"/>
          <w:highlight w:val="none"/>
        </w:rPr>
        <w:t>五、公告期限</w:t>
      </w:r>
    </w:p>
    <w:p w14:paraId="2C39ECAD">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自本公告发布之日起5个工作日。</w:t>
      </w:r>
    </w:p>
    <w:p w14:paraId="658AC05B">
      <w:pPr>
        <w:pStyle w:val="59"/>
        <w:spacing w:before="0" w:beforeAutospacing="0" w:after="0" w:afterAutospacing="0" w:line="400" w:lineRule="exact"/>
        <w:rPr>
          <w:rFonts w:hint="eastAsia" w:cs="宋体"/>
          <w:b/>
          <w:bCs/>
          <w:sz w:val="22"/>
          <w:szCs w:val="22"/>
          <w:highlight w:val="none"/>
        </w:rPr>
      </w:pPr>
      <w:r>
        <w:rPr>
          <w:rFonts w:hint="eastAsia" w:cs="宋体"/>
          <w:b/>
          <w:bCs/>
          <w:sz w:val="22"/>
          <w:szCs w:val="22"/>
          <w:highlight w:val="none"/>
        </w:rPr>
        <w:t>六、其他补充事宜</w:t>
      </w:r>
    </w:p>
    <w:p w14:paraId="353CCE5C">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C7A3D05">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2.根据《浙江省财政厅关于进一步促进政府采购公平竞争打造最优营商环境的通知》（浙财采监（2021）22号）文件关于“健全行政裁决机制”要求，鼓励投标人在线提起询问，路径为：政采云-项目采购-询问质疑投诉-询问列表:鼓励投标人在线提起质疑，路径为：政采云-项目采购-询问质疑投诉-质疑列表。质疑投标人对在线质疑答复不满意的，可在线提起投诉，路径为：浙江政务服务网-政府采购投诉处理-在线办理。</w:t>
      </w:r>
    </w:p>
    <w:p w14:paraId="0D1CB83F">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3.投标人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投标人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F4C2E39">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4.其他事项：无。</w:t>
      </w:r>
    </w:p>
    <w:p w14:paraId="2FC00CB9">
      <w:pPr>
        <w:pStyle w:val="59"/>
        <w:spacing w:before="0" w:beforeAutospacing="0" w:after="0" w:afterAutospacing="0" w:line="400" w:lineRule="exact"/>
        <w:rPr>
          <w:rFonts w:hint="eastAsia" w:cs="宋体"/>
          <w:b/>
          <w:bCs/>
          <w:sz w:val="22"/>
          <w:szCs w:val="22"/>
          <w:highlight w:val="none"/>
        </w:rPr>
      </w:pPr>
      <w:r>
        <w:rPr>
          <w:rFonts w:hint="eastAsia" w:cs="宋体"/>
          <w:b/>
          <w:bCs/>
          <w:sz w:val="22"/>
          <w:szCs w:val="22"/>
          <w:highlight w:val="none"/>
        </w:rPr>
        <w:t>七、对本次采购提出询问、质疑、投诉，请按以下方式联系</w:t>
      </w:r>
    </w:p>
    <w:p w14:paraId="3936FD42">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1.采购人信息</w:t>
      </w:r>
    </w:p>
    <w:p w14:paraId="27540334">
      <w:pPr>
        <w:pStyle w:val="59"/>
        <w:spacing w:before="0" w:beforeAutospacing="0" w:after="0" w:afterAutospacing="0" w:line="400" w:lineRule="exact"/>
        <w:ind w:firstLine="420"/>
        <w:rPr>
          <w:rFonts w:hint="eastAsia" w:eastAsia="宋体" w:cs="宋体"/>
          <w:sz w:val="22"/>
          <w:szCs w:val="22"/>
          <w:highlight w:val="none"/>
          <w:lang w:eastAsia="zh-CN"/>
        </w:rPr>
      </w:pPr>
      <w:r>
        <w:rPr>
          <w:rFonts w:hint="eastAsia" w:cs="宋体"/>
          <w:sz w:val="22"/>
          <w:szCs w:val="22"/>
          <w:highlight w:val="none"/>
        </w:rPr>
        <w:t>名</w:t>
      </w:r>
      <w:r>
        <w:rPr>
          <w:rFonts w:hint="eastAsia" w:cs="宋体"/>
          <w:sz w:val="22"/>
          <w:szCs w:val="22"/>
          <w:highlight w:val="none"/>
          <w:lang w:val="en-US" w:eastAsia="zh-CN"/>
        </w:rPr>
        <w:t xml:space="preserve">     </w:t>
      </w:r>
      <w:r>
        <w:rPr>
          <w:rFonts w:hint="eastAsia" w:cs="宋体"/>
          <w:sz w:val="22"/>
          <w:szCs w:val="22"/>
          <w:highlight w:val="none"/>
        </w:rPr>
        <w:t>称：</w:t>
      </w:r>
      <w:r>
        <w:rPr>
          <w:rFonts w:hint="eastAsia" w:cs="宋体"/>
          <w:sz w:val="22"/>
          <w:szCs w:val="22"/>
          <w:highlight w:val="none"/>
          <w:lang w:eastAsia="zh-CN"/>
        </w:rPr>
        <w:t>龙港市公安局交通管理大队</w:t>
      </w:r>
    </w:p>
    <w:p w14:paraId="01C870A7">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地</w:t>
      </w:r>
      <w:r>
        <w:rPr>
          <w:rFonts w:hint="eastAsia" w:cs="宋体"/>
          <w:sz w:val="22"/>
          <w:szCs w:val="22"/>
          <w:highlight w:val="none"/>
          <w:lang w:val="en-US" w:eastAsia="zh-CN"/>
        </w:rPr>
        <w:t xml:space="preserve">     </w:t>
      </w:r>
      <w:r>
        <w:rPr>
          <w:rFonts w:hint="eastAsia" w:cs="宋体"/>
          <w:sz w:val="22"/>
          <w:szCs w:val="22"/>
          <w:highlight w:val="none"/>
        </w:rPr>
        <w:t>址：浙江省温州市龙港市西城路666号 </w:t>
      </w:r>
    </w:p>
    <w:p w14:paraId="52D60912">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传</w:t>
      </w:r>
      <w:r>
        <w:rPr>
          <w:rFonts w:hint="eastAsia" w:cs="宋体"/>
          <w:sz w:val="22"/>
          <w:szCs w:val="22"/>
          <w:highlight w:val="none"/>
          <w:lang w:val="en-US" w:eastAsia="zh-CN"/>
        </w:rPr>
        <w:t xml:space="preserve">     </w:t>
      </w:r>
      <w:r>
        <w:rPr>
          <w:rFonts w:hint="eastAsia" w:cs="宋体"/>
          <w:sz w:val="22"/>
          <w:szCs w:val="22"/>
          <w:highlight w:val="none"/>
        </w:rPr>
        <w:t>真：/</w:t>
      </w:r>
    </w:p>
    <w:p w14:paraId="67AA804E">
      <w:pPr>
        <w:pStyle w:val="59"/>
        <w:spacing w:before="0" w:beforeAutospacing="0" w:after="0" w:afterAutospacing="0" w:line="400" w:lineRule="exact"/>
        <w:ind w:firstLine="420"/>
        <w:rPr>
          <w:rFonts w:hint="default" w:eastAsia="宋体" w:cs="宋体"/>
          <w:sz w:val="22"/>
          <w:szCs w:val="22"/>
          <w:highlight w:val="none"/>
          <w:lang w:val="en-US" w:eastAsia="zh-CN"/>
        </w:rPr>
      </w:pPr>
      <w:r>
        <w:rPr>
          <w:rFonts w:hint="eastAsia" w:cs="宋体"/>
          <w:sz w:val="22"/>
          <w:szCs w:val="22"/>
          <w:highlight w:val="none"/>
        </w:rPr>
        <w:t>项目联系人（询问）：</w:t>
      </w:r>
      <w:r>
        <w:rPr>
          <w:rFonts w:hint="eastAsia" w:cs="宋体"/>
          <w:sz w:val="22"/>
          <w:szCs w:val="22"/>
          <w:highlight w:val="none"/>
          <w:lang w:val="en-US" w:eastAsia="zh-CN"/>
        </w:rPr>
        <w:t>王先生</w:t>
      </w:r>
    </w:p>
    <w:p w14:paraId="37C74EBD">
      <w:pPr>
        <w:pStyle w:val="59"/>
        <w:spacing w:before="0" w:beforeAutospacing="0" w:after="0" w:afterAutospacing="0" w:line="400" w:lineRule="exact"/>
        <w:ind w:firstLine="420"/>
        <w:rPr>
          <w:rFonts w:hint="eastAsia" w:eastAsia="宋体" w:cs="宋体"/>
          <w:sz w:val="22"/>
          <w:szCs w:val="22"/>
          <w:highlight w:val="none"/>
          <w:lang w:eastAsia="zh-CN"/>
        </w:rPr>
      </w:pPr>
      <w:r>
        <w:rPr>
          <w:rFonts w:hint="eastAsia" w:cs="宋体"/>
          <w:sz w:val="22"/>
          <w:szCs w:val="22"/>
          <w:highlight w:val="none"/>
        </w:rPr>
        <w:t>项目联系方式（询问）：0577-59906987 </w:t>
      </w:r>
      <w:r>
        <w:rPr>
          <w:rFonts w:hint="eastAsia" w:cs="宋体"/>
          <w:sz w:val="22"/>
          <w:szCs w:val="22"/>
          <w:highlight w:val="none"/>
          <w:lang w:val="en-US" w:eastAsia="zh-CN"/>
        </w:rPr>
        <w:t xml:space="preserve"> </w:t>
      </w:r>
    </w:p>
    <w:p w14:paraId="07C0BB56">
      <w:pPr>
        <w:pStyle w:val="59"/>
        <w:spacing w:before="0" w:beforeAutospacing="0" w:after="0" w:afterAutospacing="0" w:line="400" w:lineRule="exact"/>
        <w:ind w:firstLine="420"/>
        <w:rPr>
          <w:rFonts w:hint="eastAsia" w:eastAsia="宋体" w:cs="宋体"/>
          <w:sz w:val="22"/>
          <w:szCs w:val="22"/>
          <w:highlight w:val="none"/>
          <w:lang w:eastAsia="zh-CN"/>
        </w:rPr>
      </w:pPr>
      <w:r>
        <w:rPr>
          <w:rFonts w:hint="eastAsia" w:cs="宋体"/>
          <w:sz w:val="22"/>
          <w:szCs w:val="22"/>
          <w:highlight w:val="none"/>
        </w:rPr>
        <w:t>质疑联系人：</w:t>
      </w:r>
      <w:r>
        <w:rPr>
          <w:rFonts w:hint="eastAsia" w:cs="宋体"/>
          <w:sz w:val="22"/>
          <w:szCs w:val="22"/>
          <w:highlight w:val="none"/>
          <w:lang w:val="en-US" w:eastAsia="zh-CN"/>
        </w:rPr>
        <w:t xml:space="preserve">王先生 </w:t>
      </w:r>
    </w:p>
    <w:p w14:paraId="12B1D8F7">
      <w:pPr>
        <w:pStyle w:val="59"/>
        <w:spacing w:before="0" w:beforeAutospacing="0" w:after="0" w:afterAutospacing="0" w:line="400" w:lineRule="exact"/>
        <w:ind w:firstLine="420"/>
        <w:rPr>
          <w:rFonts w:hint="eastAsia" w:eastAsia="宋体" w:cs="宋体"/>
          <w:sz w:val="22"/>
          <w:szCs w:val="22"/>
          <w:highlight w:val="none"/>
          <w:lang w:eastAsia="zh-CN"/>
        </w:rPr>
      </w:pPr>
      <w:r>
        <w:rPr>
          <w:rFonts w:hint="eastAsia" w:cs="宋体"/>
          <w:sz w:val="22"/>
          <w:szCs w:val="22"/>
          <w:highlight w:val="none"/>
        </w:rPr>
        <w:t>质疑联系方式：0577-59906987 </w:t>
      </w:r>
      <w:r>
        <w:rPr>
          <w:rFonts w:hint="eastAsia" w:cs="宋体"/>
          <w:sz w:val="22"/>
          <w:szCs w:val="22"/>
          <w:highlight w:val="none"/>
          <w:lang w:val="en-US" w:eastAsia="zh-CN"/>
        </w:rPr>
        <w:t xml:space="preserve"> </w:t>
      </w:r>
    </w:p>
    <w:p w14:paraId="54083534">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2.采购代理机构信息</w:t>
      </w:r>
    </w:p>
    <w:p w14:paraId="2D1984A2">
      <w:pPr>
        <w:pStyle w:val="59"/>
        <w:spacing w:before="0" w:beforeAutospacing="0" w:after="0" w:afterAutospacing="0" w:line="400" w:lineRule="exact"/>
        <w:ind w:firstLine="420"/>
        <w:rPr>
          <w:rFonts w:hint="eastAsia" w:eastAsia="宋体" w:cs="宋体"/>
          <w:sz w:val="22"/>
          <w:szCs w:val="22"/>
          <w:highlight w:val="none"/>
          <w:lang w:eastAsia="zh-CN"/>
        </w:rPr>
      </w:pPr>
      <w:r>
        <w:rPr>
          <w:rFonts w:hint="eastAsia" w:cs="宋体"/>
          <w:sz w:val="22"/>
          <w:szCs w:val="22"/>
          <w:highlight w:val="none"/>
        </w:rPr>
        <w:t>名</w:t>
      </w:r>
      <w:r>
        <w:rPr>
          <w:rFonts w:hint="eastAsia" w:cs="宋体"/>
          <w:sz w:val="22"/>
          <w:szCs w:val="22"/>
          <w:highlight w:val="none"/>
          <w:lang w:val="en-US" w:eastAsia="zh-CN"/>
        </w:rPr>
        <w:t xml:space="preserve">     </w:t>
      </w:r>
      <w:r>
        <w:rPr>
          <w:rFonts w:hint="eastAsia" w:cs="宋体"/>
          <w:sz w:val="22"/>
          <w:szCs w:val="22"/>
          <w:highlight w:val="none"/>
        </w:rPr>
        <w:t>称：</w:t>
      </w:r>
      <w:r>
        <w:rPr>
          <w:rFonts w:hint="eastAsia" w:cs="宋体"/>
          <w:sz w:val="22"/>
          <w:szCs w:val="22"/>
          <w:highlight w:val="none"/>
          <w:lang w:eastAsia="zh-CN"/>
        </w:rPr>
        <w:t>浙江晟业工程咨询有限公司</w:t>
      </w:r>
    </w:p>
    <w:p w14:paraId="7160248A">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地</w:t>
      </w:r>
      <w:r>
        <w:rPr>
          <w:rFonts w:hint="eastAsia" w:cs="宋体"/>
          <w:sz w:val="22"/>
          <w:szCs w:val="22"/>
          <w:highlight w:val="none"/>
          <w:lang w:val="en-US" w:eastAsia="zh-CN"/>
        </w:rPr>
        <w:t xml:space="preserve">     </w:t>
      </w:r>
      <w:r>
        <w:rPr>
          <w:rFonts w:hint="eastAsia" w:cs="宋体"/>
          <w:sz w:val="22"/>
          <w:szCs w:val="22"/>
          <w:highlight w:val="none"/>
        </w:rPr>
        <w:t>址：</w:t>
      </w:r>
      <w:r>
        <w:rPr>
          <w:rFonts w:hint="eastAsia" w:ascii="宋体" w:hAnsi="宋体" w:cs="宋体"/>
          <w:bCs/>
          <w:kern w:val="0"/>
          <w:sz w:val="22"/>
          <w:szCs w:val="22"/>
          <w:lang w:val="en-US" w:eastAsia="zh-CN"/>
        </w:rPr>
        <w:t>龙港市瑞鸿嘉园（华鸿中央原墅）1幢110室</w:t>
      </w:r>
    </w:p>
    <w:p w14:paraId="6429283F">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传</w:t>
      </w:r>
      <w:r>
        <w:rPr>
          <w:rFonts w:hint="eastAsia" w:cs="宋体"/>
          <w:sz w:val="22"/>
          <w:szCs w:val="22"/>
          <w:highlight w:val="none"/>
          <w:lang w:val="en-US" w:eastAsia="zh-CN"/>
        </w:rPr>
        <w:t xml:space="preserve">     </w:t>
      </w:r>
      <w:r>
        <w:rPr>
          <w:rFonts w:hint="eastAsia" w:cs="宋体"/>
          <w:sz w:val="22"/>
          <w:szCs w:val="22"/>
          <w:highlight w:val="none"/>
        </w:rPr>
        <w:t>真：/</w:t>
      </w:r>
    </w:p>
    <w:p w14:paraId="398CDD0A">
      <w:pPr>
        <w:pStyle w:val="59"/>
        <w:spacing w:before="0" w:beforeAutospacing="0" w:after="0" w:afterAutospacing="0" w:line="400" w:lineRule="exact"/>
        <w:ind w:firstLine="420"/>
        <w:rPr>
          <w:rFonts w:hint="default" w:cs="宋体"/>
          <w:sz w:val="22"/>
          <w:szCs w:val="22"/>
          <w:highlight w:val="none"/>
          <w:lang w:val="en-US"/>
        </w:rPr>
      </w:pPr>
      <w:r>
        <w:rPr>
          <w:rFonts w:hint="eastAsia" w:cs="宋体"/>
          <w:sz w:val="22"/>
          <w:szCs w:val="22"/>
          <w:highlight w:val="none"/>
        </w:rPr>
        <w:t>项目联系人（询问）：</w:t>
      </w:r>
      <w:r>
        <w:rPr>
          <w:rFonts w:hint="eastAsia" w:ascii="宋体" w:hAnsi="宋体" w:cs="宋体"/>
          <w:bCs/>
          <w:kern w:val="0"/>
          <w:sz w:val="22"/>
          <w:szCs w:val="22"/>
          <w:highlight w:val="none"/>
          <w:lang w:val="en-US" w:eastAsia="zh-CN"/>
        </w:rPr>
        <w:t>黄女士/蒋先生</w:t>
      </w:r>
    </w:p>
    <w:p w14:paraId="0227C31C">
      <w:pPr>
        <w:pStyle w:val="59"/>
        <w:spacing w:before="0" w:beforeAutospacing="0" w:after="0" w:afterAutospacing="0" w:line="400" w:lineRule="exact"/>
        <w:ind w:firstLine="420"/>
        <w:rPr>
          <w:rFonts w:hint="default" w:cs="宋体"/>
          <w:sz w:val="22"/>
          <w:szCs w:val="22"/>
          <w:highlight w:val="none"/>
          <w:lang w:val="en-US"/>
        </w:rPr>
      </w:pPr>
      <w:r>
        <w:rPr>
          <w:rFonts w:hint="eastAsia" w:cs="宋体"/>
          <w:sz w:val="22"/>
          <w:szCs w:val="22"/>
          <w:highlight w:val="none"/>
        </w:rPr>
        <w:t>项目联系方式（询问）：</w:t>
      </w:r>
      <w:r>
        <w:rPr>
          <w:rFonts w:hint="eastAsia" w:ascii="宋体" w:hAnsi="宋体" w:cs="宋体"/>
          <w:bCs/>
          <w:kern w:val="0"/>
          <w:sz w:val="22"/>
          <w:szCs w:val="22"/>
          <w:highlight w:val="none"/>
          <w:lang w:val="en-US" w:eastAsia="zh-CN"/>
        </w:rPr>
        <w:t>13958717253/15258671700</w:t>
      </w:r>
    </w:p>
    <w:p w14:paraId="6CF4AFDD">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质疑联系人：</w:t>
      </w:r>
      <w:r>
        <w:rPr>
          <w:rFonts w:hint="eastAsia" w:ascii="宋体" w:hAnsi="宋体" w:cs="宋体"/>
          <w:bCs/>
          <w:kern w:val="0"/>
          <w:sz w:val="22"/>
          <w:szCs w:val="22"/>
          <w:lang w:val="en-US" w:eastAsia="zh-CN"/>
        </w:rPr>
        <w:t>林先生</w:t>
      </w:r>
    </w:p>
    <w:p w14:paraId="0D05A733">
      <w:pPr>
        <w:pStyle w:val="59"/>
        <w:spacing w:before="0" w:beforeAutospacing="0" w:after="0" w:afterAutospacing="0" w:line="400" w:lineRule="exact"/>
        <w:ind w:firstLine="420"/>
        <w:rPr>
          <w:rFonts w:hint="eastAsia" w:cs="宋体"/>
          <w:sz w:val="22"/>
          <w:szCs w:val="22"/>
          <w:highlight w:val="none"/>
          <w:lang w:eastAsia="zh-CN"/>
        </w:rPr>
      </w:pPr>
      <w:r>
        <w:rPr>
          <w:rFonts w:hint="eastAsia" w:cs="宋体"/>
          <w:sz w:val="22"/>
          <w:szCs w:val="22"/>
          <w:highlight w:val="none"/>
        </w:rPr>
        <w:t>质疑联系方式：</w:t>
      </w:r>
      <w:r>
        <w:rPr>
          <w:rFonts w:hint="eastAsia" w:cs="宋体"/>
          <w:sz w:val="22"/>
          <w:szCs w:val="22"/>
          <w:highlight w:val="none"/>
          <w:lang w:eastAsia="zh-CN"/>
        </w:rPr>
        <w:t>1</w:t>
      </w:r>
      <w:r>
        <w:rPr>
          <w:rFonts w:hint="eastAsia" w:cs="宋体"/>
          <w:sz w:val="22"/>
          <w:szCs w:val="22"/>
          <w:highlight w:val="none"/>
          <w:lang w:val="en-US" w:eastAsia="zh-CN"/>
        </w:rPr>
        <w:t>3732088488</w:t>
      </w:r>
    </w:p>
    <w:p w14:paraId="74268350">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3.</w:t>
      </w:r>
      <w:r>
        <w:rPr>
          <w:rStyle w:val="82"/>
          <w:rFonts w:hint="eastAsia" w:ascii="宋体" w:hAnsi="宋体" w:cs="宋体"/>
          <w:sz w:val="22"/>
          <w:szCs w:val="22"/>
          <w:highlight w:val="none"/>
        </w:rPr>
        <w:t>同级政府采购监督管理部门</w:t>
      </w:r>
    </w:p>
    <w:p w14:paraId="59B4BCC7">
      <w:pPr>
        <w:pStyle w:val="59"/>
        <w:spacing w:before="0" w:beforeAutospacing="0" w:after="0" w:afterAutospacing="0" w:line="400" w:lineRule="exact"/>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名    称：龙港市财政局（浙江省政府采购行政裁决服务中心（温州））</w:t>
      </w:r>
    </w:p>
    <w:p w14:paraId="0D93DC32">
      <w:pPr>
        <w:pStyle w:val="59"/>
        <w:spacing w:before="0" w:beforeAutospacing="0" w:after="0" w:afterAutospacing="0" w:line="400" w:lineRule="exact"/>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地    址：温州市鹿城区滨江街道瓯江路展银大厦1606室</w:t>
      </w:r>
    </w:p>
    <w:p w14:paraId="0AC699DA">
      <w:pPr>
        <w:pStyle w:val="59"/>
        <w:spacing w:before="0" w:beforeAutospacing="0" w:after="0" w:afterAutospacing="0" w:line="400" w:lineRule="exact"/>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传    真：</w:t>
      </w:r>
    </w:p>
    <w:p w14:paraId="4062617E">
      <w:pPr>
        <w:pStyle w:val="59"/>
        <w:spacing w:before="0" w:beforeAutospacing="0" w:after="0" w:afterAutospacing="0" w:line="400" w:lineRule="exact"/>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联 系 人：李老师、王老师</w:t>
      </w:r>
    </w:p>
    <w:p w14:paraId="2AD9DEB4">
      <w:pPr>
        <w:pStyle w:val="59"/>
        <w:spacing w:before="0" w:beforeAutospacing="0" w:after="0" w:afterAutospacing="0" w:line="400" w:lineRule="exact"/>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监督投诉电话：0577-85501561，0577-85501562</w:t>
      </w:r>
    </w:p>
    <w:p w14:paraId="41BA77F8">
      <w:pPr>
        <w:widowControl/>
        <w:spacing w:line="400" w:lineRule="exact"/>
        <w:jc w:val="left"/>
        <w:rPr>
          <w:rFonts w:hint="eastAsia" w:ascii="宋体" w:hAnsi="宋体" w:cs="宋体"/>
          <w:sz w:val="22"/>
          <w:szCs w:val="22"/>
          <w:highlight w:val="none"/>
        </w:rPr>
      </w:pPr>
      <w:r>
        <w:rPr>
          <w:rFonts w:hint="eastAsia" w:ascii="宋体" w:hAnsi="宋体" w:cs="宋体"/>
          <w:kern w:val="0"/>
          <w:sz w:val="22"/>
          <w:szCs w:val="22"/>
          <w:highlight w:val="none"/>
          <w:lang w:bidi="ar"/>
        </w:rPr>
        <w:t> </w:t>
      </w:r>
    </w:p>
    <w:p w14:paraId="77A32100">
      <w:pPr>
        <w:pStyle w:val="59"/>
        <w:spacing w:before="0" w:beforeAutospacing="0" w:after="0" w:afterAutospacing="0" w:line="400" w:lineRule="exact"/>
        <w:rPr>
          <w:rFonts w:hint="eastAsia" w:cs="宋体"/>
          <w:sz w:val="22"/>
          <w:szCs w:val="22"/>
          <w:highlight w:val="none"/>
        </w:rPr>
      </w:pPr>
      <w:r>
        <w:rPr>
          <w:rFonts w:hint="eastAsia" w:cs="宋体"/>
          <w:sz w:val="22"/>
          <w:szCs w:val="22"/>
          <w:highlight w:val="none"/>
        </w:rPr>
        <w:t>若对项目采购电子交易系统操作有疑问，可登录政采云（https://www.zcygov.cn/），点击右侧咨询小采，获取采小蜜智能服务管家帮助，或拨打政采云服务热线95763获取热线服务帮助。</w:t>
      </w:r>
    </w:p>
    <w:p w14:paraId="6364C8C5">
      <w:pPr>
        <w:pStyle w:val="59"/>
        <w:spacing w:before="0" w:beforeAutospacing="0" w:after="0" w:afterAutospacing="0" w:line="400" w:lineRule="exact"/>
        <w:rPr>
          <w:rFonts w:hint="eastAsia" w:cs="宋体"/>
          <w:sz w:val="22"/>
          <w:szCs w:val="22"/>
          <w:highlight w:val="none"/>
        </w:rPr>
      </w:pPr>
      <w:r>
        <w:rPr>
          <w:rFonts w:hint="eastAsia" w:cs="宋体"/>
          <w:sz w:val="22"/>
          <w:szCs w:val="22"/>
          <w:highlight w:val="none"/>
        </w:rPr>
        <w:t>CA问题联系电话（人工）：汇信CA 400-888-4636；天谷CA 400-087-8198。</w:t>
      </w:r>
    </w:p>
    <w:p w14:paraId="3F186334">
      <w:pPr>
        <w:adjustRightInd/>
        <w:spacing w:line="360" w:lineRule="auto"/>
        <w:jc w:val="center"/>
        <w:outlineLvl w:val="0"/>
        <w:rPr>
          <w:rFonts w:hint="eastAsia" w:ascii="宋体" w:hAnsi="宋体" w:cs="宋体"/>
          <w:b/>
          <w:sz w:val="22"/>
          <w:szCs w:val="22"/>
          <w:highlight w:val="none"/>
        </w:rPr>
        <w:sectPr>
          <w:headerReference r:id="rId5" w:type="first"/>
          <w:footerReference r:id="rId8" w:type="first"/>
          <w:headerReference r:id="rId4" w:type="default"/>
          <w:footerReference r:id="rId6" w:type="default"/>
          <w:footerReference r:id="rId7" w:type="even"/>
          <w:pgSz w:w="11906" w:h="16838"/>
          <w:pgMar w:top="1440" w:right="1080" w:bottom="1440" w:left="1080" w:header="851" w:footer="992" w:gutter="0"/>
          <w:cols w:space="720" w:num="1"/>
          <w:titlePg/>
          <w:docGrid w:linePitch="312" w:charSpace="0"/>
        </w:sectPr>
      </w:pPr>
    </w:p>
    <w:p w14:paraId="7E9A15DF">
      <w:pPr>
        <w:adjustRightInd/>
        <w:spacing w:line="360" w:lineRule="auto"/>
        <w:jc w:val="center"/>
        <w:outlineLvl w:val="0"/>
        <w:rPr>
          <w:rFonts w:hint="eastAsia" w:asciiTheme="minorEastAsia" w:hAnsiTheme="minorEastAsia" w:eastAsiaTheme="minorEastAsia" w:cstheme="minorEastAsia"/>
          <w:b/>
          <w:sz w:val="36"/>
          <w:szCs w:val="20"/>
          <w:highlight w:val="none"/>
        </w:rPr>
      </w:pPr>
      <w:bookmarkStart w:id="6" w:name="_Toc30420"/>
      <w:r>
        <w:rPr>
          <w:rFonts w:hint="eastAsia" w:asciiTheme="minorEastAsia" w:hAnsiTheme="minorEastAsia" w:eastAsiaTheme="minorEastAsia" w:cstheme="minorEastAsia"/>
          <w:b/>
          <w:sz w:val="36"/>
          <w:szCs w:val="20"/>
          <w:highlight w:val="none"/>
        </w:rPr>
        <w:t>第二部分</w:t>
      </w:r>
      <w:bookmarkEnd w:id="2"/>
      <w:r>
        <w:rPr>
          <w:rFonts w:hint="eastAsia" w:asciiTheme="minorEastAsia" w:hAnsiTheme="minorEastAsia" w:eastAsiaTheme="minorEastAsia" w:cstheme="minorEastAsia"/>
          <w:b/>
          <w:sz w:val="36"/>
          <w:szCs w:val="20"/>
          <w:highlight w:val="none"/>
        </w:rPr>
        <w:t xml:space="preserve"> 投标人须知</w:t>
      </w:r>
      <w:bookmarkEnd w:id="3"/>
      <w:bookmarkEnd w:id="6"/>
    </w:p>
    <w:p w14:paraId="6652295F">
      <w:pPr>
        <w:adjustRightInd/>
        <w:spacing w:line="360" w:lineRule="auto"/>
        <w:ind w:firstLine="3845" w:firstLineChars="1197"/>
        <w:outlineLvl w:val="0"/>
        <w:rPr>
          <w:rFonts w:hint="eastAsia" w:asciiTheme="minorEastAsia" w:hAnsiTheme="minorEastAsia" w:eastAsiaTheme="minorEastAsia" w:cstheme="minorEastAsia"/>
          <w:b/>
          <w:sz w:val="32"/>
          <w:szCs w:val="20"/>
          <w:highlight w:val="none"/>
        </w:rPr>
      </w:pPr>
      <w:bookmarkStart w:id="7" w:name="_Toc3231"/>
      <w:r>
        <w:rPr>
          <w:rFonts w:hint="eastAsia" w:asciiTheme="minorEastAsia" w:hAnsiTheme="minorEastAsia" w:eastAsiaTheme="minorEastAsia" w:cstheme="minorEastAsia"/>
          <w:b/>
          <w:sz w:val="32"/>
          <w:szCs w:val="20"/>
          <w:highlight w:val="none"/>
        </w:rPr>
        <w:t>前附表</w:t>
      </w:r>
      <w:bookmarkEnd w:id="7"/>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700"/>
        <w:gridCol w:w="7712"/>
      </w:tblGrid>
      <w:tr w14:paraId="3603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24AB2BB8">
            <w:pPr>
              <w:snapToGrid w:val="0"/>
              <w:spacing w:line="400" w:lineRule="exact"/>
              <w:jc w:val="center"/>
              <w:rPr>
                <w:highlight w:val="none"/>
              </w:rPr>
            </w:pPr>
            <w:r>
              <w:rPr>
                <w:rFonts w:hint="eastAsia" w:asciiTheme="minorEastAsia" w:hAnsiTheme="minorEastAsia" w:eastAsiaTheme="minorEastAsia" w:cstheme="minorEastAsia"/>
                <w:b/>
                <w:sz w:val="22"/>
                <w:szCs w:val="22"/>
                <w:highlight w:val="none"/>
              </w:rPr>
              <w:t>序号</w:t>
            </w:r>
          </w:p>
        </w:tc>
        <w:tc>
          <w:tcPr>
            <w:tcW w:w="1700" w:type="dxa"/>
            <w:vAlign w:val="center"/>
          </w:tcPr>
          <w:p w14:paraId="28F4FF19">
            <w:pPr>
              <w:snapToGrid w:val="0"/>
              <w:spacing w:line="400" w:lineRule="exact"/>
              <w:jc w:val="center"/>
              <w:rPr>
                <w:highlight w:val="none"/>
              </w:rPr>
            </w:pPr>
            <w:r>
              <w:rPr>
                <w:rFonts w:hint="eastAsia" w:asciiTheme="minorEastAsia" w:hAnsiTheme="minorEastAsia" w:eastAsiaTheme="minorEastAsia" w:cstheme="minorEastAsia"/>
                <w:b/>
                <w:sz w:val="22"/>
                <w:szCs w:val="22"/>
                <w:highlight w:val="none"/>
              </w:rPr>
              <w:t>事项</w:t>
            </w:r>
          </w:p>
        </w:tc>
        <w:tc>
          <w:tcPr>
            <w:tcW w:w="7712" w:type="dxa"/>
            <w:vAlign w:val="center"/>
          </w:tcPr>
          <w:p w14:paraId="62A6369E">
            <w:pPr>
              <w:snapToGrid w:val="0"/>
              <w:spacing w:line="400" w:lineRule="exact"/>
              <w:jc w:val="center"/>
              <w:rPr>
                <w:highlight w:val="none"/>
              </w:rPr>
            </w:pPr>
            <w:r>
              <w:rPr>
                <w:rFonts w:hint="eastAsia" w:asciiTheme="minorEastAsia" w:hAnsiTheme="minorEastAsia" w:eastAsiaTheme="minorEastAsia" w:cstheme="minorEastAsia"/>
                <w:b/>
                <w:sz w:val="22"/>
                <w:szCs w:val="22"/>
                <w:highlight w:val="none"/>
              </w:rPr>
              <w:t>本项目的特别规定</w:t>
            </w:r>
          </w:p>
        </w:tc>
      </w:tr>
      <w:tr w14:paraId="6873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0" w:type="dxa"/>
            <w:vAlign w:val="center"/>
          </w:tcPr>
          <w:p w14:paraId="748E71A1">
            <w:pPr>
              <w:snapToGrid w:val="0"/>
              <w:spacing w:line="400" w:lineRule="exact"/>
              <w:jc w:val="center"/>
              <w:rPr>
                <w:highlight w:val="none"/>
              </w:rPr>
            </w:pPr>
            <w:r>
              <w:rPr>
                <w:rFonts w:hint="eastAsia" w:asciiTheme="minorEastAsia" w:hAnsiTheme="minorEastAsia" w:eastAsiaTheme="minorEastAsia" w:cstheme="minorEastAsia"/>
                <w:sz w:val="22"/>
                <w:szCs w:val="22"/>
                <w:highlight w:val="none"/>
              </w:rPr>
              <w:t>1</w:t>
            </w:r>
          </w:p>
        </w:tc>
        <w:tc>
          <w:tcPr>
            <w:tcW w:w="1700" w:type="dxa"/>
            <w:vAlign w:val="center"/>
          </w:tcPr>
          <w:p w14:paraId="1C967BE5">
            <w:pPr>
              <w:snapToGrid w:val="0"/>
              <w:spacing w:line="400" w:lineRule="exact"/>
              <w:jc w:val="center"/>
              <w:rPr>
                <w:highlight w:val="none"/>
              </w:rPr>
            </w:pPr>
            <w:r>
              <w:rPr>
                <w:rFonts w:hint="eastAsia" w:asciiTheme="minorEastAsia" w:hAnsiTheme="minorEastAsia" w:eastAsiaTheme="minorEastAsia" w:cstheme="minorEastAsia"/>
                <w:b/>
                <w:sz w:val="22"/>
                <w:szCs w:val="22"/>
                <w:highlight w:val="none"/>
              </w:rPr>
              <w:t>项目属性</w:t>
            </w:r>
          </w:p>
        </w:tc>
        <w:tc>
          <w:tcPr>
            <w:tcW w:w="7712" w:type="dxa"/>
            <w:vAlign w:val="center"/>
          </w:tcPr>
          <w:p w14:paraId="5DA21203">
            <w:pPr>
              <w:spacing w:line="400" w:lineRule="exact"/>
              <w:rPr>
                <w:highlight w:val="none"/>
              </w:rPr>
            </w:pPr>
            <w:r>
              <w:rPr>
                <w:rFonts w:hint="eastAsia" w:asciiTheme="minorEastAsia" w:hAnsiTheme="minorEastAsia" w:eastAsiaTheme="minorEastAsia" w:cstheme="minorEastAsia"/>
                <w:sz w:val="22"/>
                <w:szCs w:val="22"/>
                <w:highlight w:val="none"/>
              </w:rPr>
              <w:t>服务类。</w:t>
            </w:r>
          </w:p>
        </w:tc>
      </w:tr>
      <w:tr w14:paraId="3581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72BCAD2A">
            <w:pPr>
              <w:snapToGrid w:val="0"/>
              <w:spacing w:line="400" w:lineRule="exact"/>
              <w:jc w:val="center"/>
              <w:rPr>
                <w:highlight w:val="none"/>
              </w:rPr>
            </w:pPr>
            <w:r>
              <w:rPr>
                <w:rFonts w:hint="eastAsia" w:asciiTheme="minorEastAsia" w:hAnsiTheme="minorEastAsia" w:eastAsiaTheme="minorEastAsia" w:cstheme="minorEastAsia"/>
                <w:sz w:val="22"/>
                <w:szCs w:val="22"/>
                <w:highlight w:val="none"/>
              </w:rPr>
              <w:t>2</w:t>
            </w:r>
          </w:p>
        </w:tc>
        <w:tc>
          <w:tcPr>
            <w:tcW w:w="1700" w:type="dxa"/>
            <w:vAlign w:val="center"/>
          </w:tcPr>
          <w:p w14:paraId="5D1489F5">
            <w:pPr>
              <w:snapToGrid w:val="0"/>
              <w:spacing w:line="400" w:lineRule="exact"/>
              <w:jc w:val="center"/>
              <w:rPr>
                <w:highlight w:val="none"/>
              </w:rPr>
            </w:pPr>
            <w:r>
              <w:rPr>
                <w:rFonts w:hint="eastAsia" w:ascii="宋体" w:hAnsi="宋体" w:cs="宋体"/>
                <w:b/>
                <w:sz w:val="22"/>
                <w:szCs w:val="22"/>
                <w:highlight w:val="none"/>
              </w:rPr>
              <w:t>采购标的及其对应的中小企业划分标准所属行业</w:t>
            </w:r>
          </w:p>
        </w:tc>
        <w:tc>
          <w:tcPr>
            <w:tcW w:w="7712" w:type="dxa"/>
            <w:vAlign w:val="center"/>
          </w:tcPr>
          <w:p w14:paraId="5DFFF77F">
            <w:pPr>
              <w:snapToGrid w:val="0"/>
              <w:spacing w:line="400" w:lineRule="exact"/>
              <w:rPr>
                <w:rFonts w:hint="eastAsia" w:ascii="宋体" w:hAnsi="宋体" w:cs="宋体"/>
                <w:sz w:val="22"/>
                <w:szCs w:val="22"/>
                <w:highlight w:val="none"/>
                <w:u w:val="none"/>
              </w:rPr>
            </w:pPr>
            <w:r>
              <w:rPr>
                <w:rFonts w:hint="eastAsia" w:ascii="宋体" w:hAnsi="宋体" w:cs="宋体"/>
                <w:kern w:val="0"/>
                <w:sz w:val="22"/>
                <w:szCs w:val="22"/>
                <w:highlight w:val="none"/>
              </w:rPr>
              <w:t>1、标的：</w:t>
            </w:r>
            <w:r>
              <w:rPr>
                <w:rFonts w:hint="eastAsia" w:ascii="宋体" w:hAnsi="宋体" w:cs="宋体"/>
                <w:kern w:val="0"/>
                <w:sz w:val="22"/>
                <w:szCs w:val="22"/>
                <w:highlight w:val="none"/>
                <w:u w:val="single"/>
                <w:lang w:eastAsia="zh-CN"/>
              </w:rPr>
              <w:t>2026年-2028年龙港市交通标志标线增设和维护项目</w:t>
            </w:r>
            <w:r>
              <w:rPr>
                <w:rFonts w:hint="eastAsia" w:ascii="宋体" w:hAnsi="宋体" w:cs="宋体"/>
                <w:kern w:val="0"/>
                <w:sz w:val="22"/>
                <w:szCs w:val="22"/>
                <w:highlight w:val="none"/>
              </w:rPr>
              <w:t>，属于</w:t>
            </w:r>
            <w:r>
              <w:rPr>
                <w:rFonts w:hint="eastAsia" w:ascii="宋体" w:hAnsi="宋体" w:cs="宋体"/>
                <w:b w:val="0"/>
                <w:bCs w:val="0"/>
                <w:color w:val="C00000"/>
                <w:kern w:val="0"/>
                <w:sz w:val="22"/>
                <w:szCs w:val="22"/>
                <w:highlight w:val="none"/>
                <w:u w:val="single"/>
              </w:rPr>
              <w:t>建筑业</w:t>
            </w:r>
            <w:r>
              <w:rPr>
                <w:rFonts w:hint="eastAsia" w:ascii="宋体" w:hAnsi="宋体" w:cs="宋体"/>
                <w:kern w:val="0"/>
                <w:sz w:val="22"/>
                <w:szCs w:val="22"/>
                <w:highlight w:val="none"/>
                <w:u w:val="none"/>
                <w:lang w:val="en-US" w:eastAsia="zh-CN"/>
              </w:rPr>
              <w:t>行业</w:t>
            </w:r>
            <w:r>
              <w:rPr>
                <w:rFonts w:hint="eastAsia" w:ascii="宋体" w:hAnsi="宋体" w:cs="宋体"/>
                <w:kern w:val="0"/>
                <w:sz w:val="22"/>
                <w:szCs w:val="22"/>
                <w:highlight w:val="none"/>
                <w:u w:val="none"/>
              </w:rPr>
              <w:t>。</w:t>
            </w:r>
          </w:p>
          <w:p w14:paraId="3C5FE4AD">
            <w:pPr>
              <w:pStyle w:val="3"/>
              <w:spacing w:line="400" w:lineRule="exact"/>
              <w:ind w:left="0" w:firstLine="0"/>
              <w:rPr>
                <w:rFonts w:hint="eastAsia"/>
                <w:highlight w:val="none"/>
              </w:rPr>
            </w:pPr>
            <w:bookmarkStart w:id="8" w:name="_Toc24187"/>
            <w:r>
              <w:rPr>
                <w:rFonts w:hint="eastAsia" w:ascii="宋体" w:hAnsi="宋体" w:eastAsia="宋体" w:cs="宋体"/>
                <w:b w:val="0"/>
                <w:bCs w:val="0"/>
                <w:kern w:val="0"/>
                <w:sz w:val="22"/>
                <w:szCs w:val="22"/>
                <w:highlight w:val="none"/>
                <w:lang w:val="en-US" w:eastAsia="zh-CN"/>
              </w:rPr>
              <w:t>注</w:t>
            </w:r>
            <w:r>
              <w:rPr>
                <w:rFonts w:hint="eastAsia" w:ascii="宋体" w:hAnsi="宋体" w:eastAsia="宋体" w:cs="宋体"/>
                <w:b w:val="0"/>
                <w:bCs w:val="0"/>
                <w:kern w:val="0"/>
                <w:sz w:val="22"/>
                <w:szCs w:val="22"/>
                <w:highlight w:val="none"/>
                <w:lang w:val="en-US"/>
              </w:rPr>
              <w:t>、</w:t>
            </w:r>
            <w:bookmarkEnd w:id="8"/>
            <w:r>
              <w:rPr>
                <w:rFonts w:hint="eastAsia" w:ascii="宋体" w:hAnsi="宋体" w:eastAsia="宋体" w:cs="宋体"/>
                <w:b w:val="0"/>
                <w:bCs w:val="0"/>
                <w:kern w:val="0"/>
                <w:sz w:val="22"/>
                <w:szCs w:val="22"/>
                <w:highlight w:val="none"/>
                <w:lang w:val="en-US"/>
              </w:rPr>
              <w:t>建筑业</w:t>
            </w:r>
            <w:r>
              <w:rPr>
                <w:rFonts w:hint="eastAsia" w:ascii="宋体" w:hAnsi="宋体" w:eastAsia="宋体" w:cs="宋体"/>
                <w:b w:val="0"/>
                <w:bCs w:val="0"/>
                <w:kern w:val="0"/>
                <w:sz w:val="22"/>
                <w:szCs w:val="22"/>
                <w:highlight w:val="none"/>
                <w:lang w:val="en-US" w:eastAsia="zh-CN"/>
              </w:rPr>
              <w:t>行业：</w:t>
            </w:r>
            <w:r>
              <w:rPr>
                <w:rFonts w:hint="eastAsia" w:ascii="宋体" w:hAnsi="宋体" w:eastAsia="宋体" w:cs="宋体"/>
                <w:b w:val="0"/>
                <w:bCs w:val="0"/>
                <w:kern w:val="0"/>
                <w:sz w:val="22"/>
                <w:szCs w:val="22"/>
                <w:highlight w:val="none"/>
                <w:lang w:val="en-US"/>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39BC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12094F7F">
            <w:pPr>
              <w:snapToGrid w:val="0"/>
              <w:spacing w:line="400" w:lineRule="exact"/>
              <w:jc w:val="center"/>
              <w:rPr>
                <w:highlight w:val="none"/>
              </w:rPr>
            </w:pPr>
            <w:r>
              <w:rPr>
                <w:rFonts w:hint="eastAsia" w:asciiTheme="minorEastAsia" w:hAnsiTheme="minorEastAsia" w:eastAsiaTheme="minorEastAsia" w:cstheme="minorEastAsia"/>
                <w:sz w:val="22"/>
                <w:szCs w:val="22"/>
                <w:highlight w:val="none"/>
              </w:rPr>
              <w:t>3</w:t>
            </w:r>
          </w:p>
        </w:tc>
        <w:tc>
          <w:tcPr>
            <w:tcW w:w="1700" w:type="dxa"/>
            <w:vAlign w:val="center"/>
          </w:tcPr>
          <w:p w14:paraId="46B1C02D">
            <w:pPr>
              <w:snapToGrid w:val="0"/>
              <w:spacing w:line="400" w:lineRule="exact"/>
              <w:jc w:val="center"/>
              <w:rPr>
                <w:highlight w:val="none"/>
              </w:rPr>
            </w:pPr>
            <w:r>
              <w:rPr>
                <w:rFonts w:hint="eastAsia" w:asciiTheme="minorEastAsia" w:hAnsiTheme="minorEastAsia" w:eastAsiaTheme="minorEastAsia" w:cstheme="minorEastAsia"/>
                <w:b/>
                <w:sz w:val="22"/>
                <w:szCs w:val="22"/>
                <w:highlight w:val="none"/>
              </w:rPr>
              <w:t>是否允许采购进口产品</w:t>
            </w:r>
          </w:p>
        </w:tc>
        <w:tc>
          <w:tcPr>
            <w:tcW w:w="7712" w:type="dxa"/>
            <w:vAlign w:val="center"/>
          </w:tcPr>
          <w:p w14:paraId="4D3D5810">
            <w:pPr>
              <w:spacing w:line="400" w:lineRule="exact"/>
              <w:rPr>
                <w:highlight w:val="none"/>
              </w:rPr>
            </w:pPr>
            <w:r>
              <w:rPr>
                <w:rFonts w:hint="eastAsia" w:asciiTheme="minorEastAsia" w:hAnsiTheme="minorEastAsia" w:eastAsiaTheme="minorEastAsia" w:cstheme="minorEastAsia"/>
                <w:kern w:val="0"/>
                <w:sz w:val="22"/>
                <w:szCs w:val="22"/>
                <w:highlight w:val="none"/>
              </w:rPr>
              <w:t>本项目不允许采购进口产品。</w:t>
            </w:r>
          </w:p>
        </w:tc>
      </w:tr>
      <w:tr w14:paraId="6C3E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47016726">
            <w:pPr>
              <w:snapToGrid w:val="0"/>
              <w:spacing w:line="400" w:lineRule="exact"/>
              <w:jc w:val="center"/>
              <w:rPr>
                <w:highlight w:val="none"/>
              </w:rPr>
            </w:pPr>
            <w:r>
              <w:rPr>
                <w:rFonts w:hint="eastAsia" w:asciiTheme="minorEastAsia" w:hAnsiTheme="minorEastAsia" w:eastAsiaTheme="minorEastAsia" w:cstheme="minorEastAsia"/>
                <w:sz w:val="22"/>
                <w:szCs w:val="22"/>
                <w:highlight w:val="none"/>
              </w:rPr>
              <w:t>4</w:t>
            </w:r>
          </w:p>
        </w:tc>
        <w:tc>
          <w:tcPr>
            <w:tcW w:w="1700" w:type="dxa"/>
            <w:vAlign w:val="center"/>
          </w:tcPr>
          <w:p w14:paraId="16CE55F4">
            <w:pPr>
              <w:snapToGrid w:val="0"/>
              <w:spacing w:line="400" w:lineRule="exact"/>
              <w:jc w:val="center"/>
              <w:rPr>
                <w:rFonts w:eastAsiaTheme="minorEastAsia"/>
                <w:highlight w:val="none"/>
              </w:rPr>
            </w:pPr>
            <w:r>
              <w:rPr>
                <w:rFonts w:hint="eastAsia" w:asciiTheme="minorEastAsia" w:hAnsiTheme="minorEastAsia" w:eastAsiaTheme="minorEastAsia" w:cstheme="minorEastAsia"/>
                <w:b/>
                <w:sz w:val="22"/>
                <w:szCs w:val="22"/>
                <w:highlight w:val="none"/>
              </w:rPr>
              <w:t>分包、转包</w:t>
            </w:r>
          </w:p>
        </w:tc>
        <w:tc>
          <w:tcPr>
            <w:tcW w:w="7712" w:type="dxa"/>
            <w:vAlign w:val="center"/>
          </w:tcPr>
          <w:p w14:paraId="6BB33575">
            <w:pPr>
              <w:numPr>
                <w:ilvl w:val="0"/>
                <w:numId w:val="2"/>
              </w:numPr>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分包：</w:t>
            </w:r>
            <w:sdt>
              <w:sdtPr>
                <w:rPr>
                  <w:rFonts w:hint="eastAsia" w:asciiTheme="minorEastAsia" w:hAnsiTheme="minorEastAsia" w:eastAsiaTheme="minorEastAsia" w:cstheme="minorEastAsia"/>
                  <w:kern w:val="0"/>
                  <w:sz w:val="22"/>
                  <w:szCs w:val="22"/>
                  <w:highlight w:val="none"/>
                </w:rPr>
                <w:id w:val="147483418"/>
              </w:sdtPr>
              <w:sdtEndPr>
                <w:rPr>
                  <w:rFonts w:hint="eastAsia" w:asciiTheme="minorEastAsia" w:hAnsiTheme="minorEastAsia" w:eastAsiaTheme="minorEastAsia" w:cstheme="minorEastAsia"/>
                  <w:kern w:val="0"/>
                  <w:sz w:val="22"/>
                  <w:szCs w:val="22"/>
                  <w:highlight w:val="none"/>
                </w:rPr>
              </w:sdtEndPr>
              <w:sdtContent>
                <w:r>
                  <w:rPr>
                    <w:rFonts w:hint="eastAsia" w:asciiTheme="minorEastAsia" w:hAnsiTheme="minorEastAsia" w:eastAsiaTheme="minorEastAsia" w:cstheme="minorEastAsia"/>
                    <w:kern w:val="0"/>
                    <w:sz w:val="22"/>
                    <w:szCs w:val="22"/>
                    <w:highlight w:val="none"/>
                  </w:rPr>
                  <w:sym w:font="Wingdings" w:char="00FE"/>
                </w:r>
              </w:sdtContent>
            </w:sdt>
            <w:r>
              <w:rPr>
                <w:rFonts w:hint="eastAsia" w:asciiTheme="minorEastAsia" w:hAnsiTheme="minorEastAsia" w:eastAsiaTheme="minorEastAsia" w:cstheme="minorEastAsia"/>
                <w:kern w:val="0"/>
                <w:sz w:val="22"/>
                <w:szCs w:val="22"/>
                <w:highlight w:val="none"/>
                <w:lang w:val="en-US" w:eastAsia="zh-CN"/>
              </w:rPr>
              <w:t>不同意分包；</w:t>
            </w:r>
          </w:p>
          <w:p w14:paraId="06CA45E7">
            <w:pPr>
              <w:numPr>
                <w:ilvl w:val="0"/>
                <w:numId w:val="0"/>
              </w:numPr>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lang w:val="en-US" w:eastAsia="zh-CN"/>
              </w:rPr>
              <w:t>理由：分包会增加服务环节，易出现质量失控风险，责任界限模糊等情形。</w:t>
            </w:r>
          </w:p>
          <w:p w14:paraId="06BD53ED">
            <w:pPr>
              <w:spacing w:line="400" w:lineRule="exact"/>
              <w:rPr>
                <w:rFonts w:hint="eastAsia" w:asciiTheme="minorEastAsia" w:hAnsiTheme="minorEastAsia" w:eastAsiaTheme="minorEastAsia" w:cstheme="minorEastAsia"/>
                <w:sz w:val="22"/>
                <w:szCs w:val="22"/>
                <w:highlight w:val="none"/>
              </w:rPr>
            </w:pPr>
            <w:sdt>
              <w:sdtPr>
                <w:rPr>
                  <w:rFonts w:hint="eastAsia" w:asciiTheme="minorEastAsia" w:hAnsiTheme="minorEastAsia" w:eastAsiaTheme="minorEastAsia" w:cstheme="minorEastAsia"/>
                  <w:sz w:val="22"/>
                  <w:szCs w:val="22"/>
                  <w:highlight w:val="none"/>
                </w:rPr>
                <w:id w:val="147465886"/>
              </w:sdtPr>
              <w:sdtEndPr>
                <w:rPr>
                  <w:rFonts w:hint="eastAsia" w:asciiTheme="minorEastAsia" w:hAnsiTheme="minorEastAsia" w:eastAsiaTheme="minorEastAsia" w:cstheme="minorEastAsia"/>
                  <w:sz w:val="22"/>
                  <w:szCs w:val="22"/>
                  <w:highlight w:val="none"/>
                </w:rPr>
              </w:sdtEndPr>
              <w:sdtContent>
                <w:r>
                  <w:rPr>
                    <w:rFonts w:hint="eastAsia" w:asciiTheme="minorEastAsia" w:hAnsiTheme="minorEastAsia" w:eastAsiaTheme="minorEastAsia" w:cstheme="minorEastAsia"/>
                    <w:sz w:val="22"/>
                    <w:szCs w:val="22"/>
                    <w:highlight w:val="none"/>
                  </w:rPr>
                  <w:sym w:font="Wingdings" w:char="00A8"/>
                </w:r>
              </w:sdtContent>
            </w:sdt>
            <w:r>
              <w:rPr>
                <w:rFonts w:hint="eastAsia" w:asciiTheme="minorEastAsia" w:hAnsiTheme="minorEastAsia" w:eastAsiaTheme="minorEastAsia" w:cstheme="minorEastAsia"/>
                <w:sz w:val="22"/>
                <w:szCs w:val="22"/>
                <w:highlight w:val="none"/>
                <w:lang w:val="en-US" w:eastAsia="zh-CN"/>
              </w:rPr>
              <w:t xml:space="preserve">同意分包  </w:t>
            </w:r>
            <w:r>
              <w:rPr>
                <w:rFonts w:hint="eastAsia" w:asciiTheme="minorEastAsia" w:hAnsiTheme="minorEastAsia" w:eastAsiaTheme="minorEastAsia" w:cstheme="minorEastAsia"/>
                <w:sz w:val="22"/>
                <w:szCs w:val="22"/>
                <w:highlight w:val="none"/>
              </w:rPr>
              <w:t>同意将非主体、非关键性的工作分包。</w:t>
            </w:r>
          </w:p>
          <w:p w14:paraId="682A6D53">
            <w:pPr>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7CF94237">
            <w:pPr>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当分包份额占到合同总金额100%时，视为转包。此情况根据《中华人民共和国政府采购法实施条例》（国务院令第658号）文件第七十二条规定，将依照政府采购法第七十七条第一款的规定追究相应法律责任。</w:t>
            </w:r>
          </w:p>
          <w:p w14:paraId="7989AE10">
            <w:pPr>
              <w:spacing w:line="400" w:lineRule="exact"/>
              <w:rPr>
                <w:highlight w:val="none"/>
              </w:rPr>
            </w:pPr>
            <w:r>
              <w:rPr>
                <w:rFonts w:hint="eastAsia" w:asciiTheme="minorEastAsia" w:hAnsiTheme="minorEastAsia" w:eastAsiaTheme="minorEastAsia" w:cstheme="minorEastAsia"/>
                <w:sz w:val="22"/>
                <w:szCs w:val="22"/>
                <w:highlight w:val="none"/>
              </w:rPr>
              <w:t>2、转包：本项目不允许转包。</w:t>
            </w:r>
          </w:p>
        </w:tc>
      </w:tr>
      <w:tr w14:paraId="6B95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7A6C7FD2">
            <w:pPr>
              <w:snapToGrid w:val="0"/>
              <w:spacing w:line="400" w:lineRule="exact"/>
              <w:jc w:val="center"/>
              <w:rPr>
                <w:highlight w:val="none"/>
              </w:rPr>
            </w:pPr>
            <w:r>
              <w:rPr>
                <w:rFonts w:hint="eastAsia" w:asciiTheme="minorEastAsia" w:hAnsiTheme="minorEastAsia" w:eastAsiaTheme="minorEastAsia" w:cstheme="minorEastAsia"/>
                <w:sz w:val="22"/>
                <w:szCs w:val="22"/>
                <w:highlight w:val="none"/>
              </w:rPr>
              <w:t>5</w:t>
            </w:r>
          </w:p>
        </w:tc>
        <w:tc>
          <w:tcPr>
            <w:tcW w:w="1700" w:type="dxa"/>
            <w:vAlign w:val="center"/>
          </w:tcPr>
          <w:p w14:paraId="365CEC1A">
            <w:pPr>
              <w:snapToGrid w:val="0"/>
              <w:spacing w:line="400" w:lineRule="exact"/>
              <w:jc w:val="center"/>
              <w:rPr>
                <w:highlight w:val="none"/>
              </w:rPr>
            </w:pPr>
            <w:r>
              <w:rPr>
                <w:rFonts w:hint="eastAsia" w:asciiTheme="minorEastAsia" w:hAnsiTheme="minorEastAsia" w:eastAsiaTheme="minorEastAsia" w:cstheme="minorEastAsia"/>
                <w:b/>
                <w:sz w:val="22"/>
                <w:szCs w:val="22"/>
                <w:highlight w:val="none"/>
              </w:rPr>
              <w:t>开标前答疑会或现场考察</w:t>
            </w:r>
          </w:p>
        </w:tc>
        <w:tc>
          <w:tcPr>
            <w:tcW w:w="7712" w:type="dxa"/>
            <w:vAlign w:val="center"/>
          </w:tcPr>
          <w:p w14:paraId="39CBFED1">
            <w:pPr>
              <w:pStyle w:val="92"/>
              <w:widowControl w:val="0"/>
              <w:ind w:firstLine="0" w:firstLineChars="0"/>
              <w:jc w:val="both"/>
              <w:rPr>
                <w:rFonts w:hint="eastAsia"/>
                <w:highlight w:val="none"/>
              </w:rPr>
            </w:pPr>
            <w:r>
              <w:rPr>
                <w:rFonts w:hint="eastAsia" w:asciiTheme="minorEastAsia" w:hAnsiTheme="minorEastAsia" w:eastAsiaTheme="minorEastAsia" w:cstheme="minorEastAsia"/>
                <w:kern w:val="2"/>
                <w:szCs w:val="22"/>
                <w:highlight w:val="none"/>
              </w:rPr>
              <w:t>不组织</w:t>
            </w:r>
          </w:p>
        </w:tc>
      </w:tr>
      <w:tr w14:paraId="0FEE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1335085B">
            <w:pPr>
              <w:snapToGrid w:val="0"/>
              <w:spacing w:line="40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w:t>
            </w:r>
          </w:p>
        </w:tc>
        <w:tc>
          <w:tcPr>
            <w:tcW w:w="1700" w:type="dxa"/>
            <w:vAlign w:val="center"/>
          </w:tcPr>
          <w:p w14:paraId="3755B324">
            <w:pPr>
              <w:snapToGrid w:val="0"/>
              <w:spacing w:line="400" w:lineRule="exact"/>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方案讲解演示</w:t>
            </w:r>
          </w:p>
        </w:tc>
        <w:tc>
          <w:tcPr>
            <w:tcW w:w="7712" w:type="dxa"/>
            <w:vAlign w:val="center"/>
          </w:tcPr>
          <w:p w14:paraId="0BE126A6">
            <w:pPr>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不组织。</w:t>
            </w:r>
          </w:p>
        </w:tc>
      </w:tr>
      <w:tr w14:paraId="2644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0FC388AC">
            <w:pPr>
              <w:snapToGrid w:val="0"/>
              <w:spacing w:line="400"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7</w:t>
            </w:r>
          </w:p>
        </w:tc>
        <w:tc>
          <w:tcPr>
            <w:tcW w:w="1700" w:type="dxa"/>
            <w:vAlign w:val="center"/>
          </w:tcPr>
          <w:p w14:paraId="38D1DB22">
            <w:pPr>
              <w:snapToGrid w:val="0"/>
              <w:spacing w:line="400" w:lineRule="exact"/>
              <w:jc w:val="center"/>
              <w:rPr>
                <w:rFonts w:hint="eastAsia" w:asciiTheme="minorEastAsia" w:hAnsiTheme="minorEastAsia" w:eastAsiaTheme="minorEastAsia" w:cstheme="minorEastAsia"/>
                <w:b/>
                <w:sz w:val="22"/>
                <w:szCs w:val="22"/>
                <w:highlight w:val="none"/>
              </w:rPr>
            </w:pPr>
            <w:r>
              <w:rPr>
                <w:rFonts w:hint="eastAsia" w:ascii="宋体" w:hAnsi="宋体" w:cs="宋体"/>
                <w:bCs/>
                <w:color w:val="auto"/>
                <w:sz w:val="22"/>
                <w:szCs w:val="22"/>
                <w:highlight w:val="none"/>
              </w:rPr>
              <w:t>样品提供</w:t>
            </w:r>
          </w:p>
        </w:tc>
        <w:tc>
          <w:tcPr>
            <w:tcW w:w="7712" w:type="dxa"/>
            <w:vAlign w:val="center"/>
          </w:tcPr>
          <w:p w14:paraId="72DD99D8">
            <w:pPr>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宋体"/>
                <w:color w:val="auto"/>
                <w:sz w:val="22"/>
                <w:szCs w:val="22"/>
                <w:highlight w:val="none"/>
              </w:rPr>
              <w:t xml:space="preserve"> 不要求提供</w:t>
            </w:r>
          </w:p>
          <w:p w14:paraId="271B6990">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sym w:font="Wingdings" w:char="00FE"/>
            </w:r>
            <w:r>
              <w:rPr>
                <w:rFonts w:hint="eastAsia" w:ascii="宋体" w:hAnsi="宋体" w:cs="宋体"/>
                <w:color w:val="auto"/>
                <w:kern w:val="0"/>
                <w:sz w:val="22"/>
                <w:szCs w:val="22"/>
                <w:highlight w:val="none"/>
              </w:rPr>
              <w:t xml:space="preserve"> 要求提供：</w:t>
            </w:r>
          </w:p>
          <w:p w14:paraId="62BC7B1B">
            <w:pPr>
              <w:numPr>
                <w:ilvl w:val="0"/>
                <w:numId w:val="3"/>
              </w:numPr>
              <w:spacing w:line="240" w:lineRule="auto"/>
              <w:rPr>
                <w:rFonts w:hint="eastAsia" w:ascii="宋体" w:hAnsi="宋体" w:cs="宋体"/>
                <w:snapToGrid w:val="0"/>
                <w:color w:val="auto"/>
                <w:kern w:val="28"/>
                <w:sz w:val="22"/>
                <w:szCs w:val="22"/>
                <w:highlight w:val="none"/>
              </w:rPr>
            </w:pPr>
            <w:r>
              <w:rPr>
                <w:rFonts w:hint="eastAsia" w:ascii="宋体" w:hAnsi="宋体" w:cs="宋体"/>
                <w:snapToGrid w:val="0"/>
                <w:color w:val="auto"/>
                <w:kern w:val="28"/>
                <w:sz w:val="22"/>
                <w:szCs w:val="22"/>
                <w:highlight w:val="none"/>
              </w:rPr>
              <w:t>样品：</w:t>
            </w:r>
          </w:p>
          <w:p w14:paraId="556EC1B2">
            <w:pPr>
              <w:numPr>
                <w:ilvl w:val="0"/>
                <w:numId w:val="4"/>
              </w:numPr>
              <w:spacing w:line="240" w:lineRule="auto"/>
              <w:ind w:left="210" w:leftChars="0" w:firstLineChars="0"/>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color w:val="C00000"/>
                <w:szCs w:val="21"/>
                <w:highlight w:val="none"/>
                <w:lang w:val="en-US" w:eastAsia="zh-CN"/>
              </w:rPr>
              <w:t>样品</w:t>
            </w:r>
            <w:r>
              <w:rPr>
                <w:rFonts w:hint="eastAsia" w:ascii="宋体" w:hAnsi="宋体" w:cs="宋体"/>
                <w:color w:val="C00000"/>
                <w:szCs w:val="21"/>
                <w:highlight w:val="none"/>
                <w:lang w:val="en-US" w:eastAsia="zh-CN"/>
              </w:rPr>
              <w:t>一：</w:t>
            </w:r>
            <w:r>
              <w:rPr>
                <w:rFonts w:hint="eastAsia" w:ascii="宋体" w:hAnsi="宋体" w:cs="宋体"/>
                <w:b/>
                <w:bCs/>
                <w:color w:val="C00000"/>
                <w:szCs w:val="21"/>
                <w:highlight w:val="none"/>
                <w:lang w:val="en-US" w:eastAsia="zh-CN"/>
              </w:rPr>
              <w:t>序号79</w:t>
            </w:r>
            <w:r>
              <w:rPr>
                <w:rFonts w:hint="eastAsia"/>
                <w:b/>
                <w:bCs/>
                <w:color w:val="C00000"/>
                <w:highlight w:val="none"/>
                <w:lang w:val="en-US" w:eastAsia="zh-CN"/>
              </w:rPr>
              <w:t>警示标识</w:t>
            </w:r>
            <w:r>
              <w:rPr>
                <w:rFonts w:hint="eastAsia" w:ascii="宋体" w:hAnsi="宋体" w:cs="宋体"/>
                <w:b/>
                <w:bCs/>
                <w:color w:val="C00000"/>
                <w:szCs w:val="21"/>
                <w:highlight w:val="none"/>
                <w:lang w:val="en-US" w:eastAsia="zh-CN"/>
              </w:rPr>
              <w:t>（</w:t>
            </w:r>
            <w:r>
              <w:rPr>
                <w:rFonts w:hint="eastAsia" w:ascii="宋体" w:hAnsi="宋体" w:eastAsia="宋体" w:cs="宋体"/>
                <w:b/>
                <w:bCs/>
                <w:color w:val="C00000"/>
                <w:szCs w:val="21"/>
                <w:highlight w:val="none"/>
                <w:lang w:val="en-US" w:eastAsia="zh-CN"/>
              </w:rPr>
              <w:t>样品</w:t>
            </w:r>
            <w:r>
              <w:rPr>
                <w:rFonts w:hint="eastAsia"/>
                <w:b/>
                <w:bCs/>
                <w:color w:val="C00000"/>
                <w:highlight w:val="none"/>
              </w:rPr>
              <w:t>产品尺寸：</w:t>
            </w:r>
            <w:r>
              <w:rPr>
                <w:rFonts w:hint="eastAsia"/>
                <w:b/>
                <w:bCs/>
                <w:color w:val="C00000"/>
                <w:highlight w:val="none"/>
                <w:lang w:val="en-US" w:eastAsia="zh-CN"/>
              </w:rPr>
              <w:t>2095*200*200mm</w:t>
            </w:r>
            <w:r>
              <w:rPr>
                <w:rFonts w:hint="eastAsia" w:ascii="宋体" w:hAnsi="宋体" w:cs="宋体"/>
                <w:b/>
                <w:bCs/>
                <w:color w:val="C00000"/>
                <w:szCs w:val="21"/>
                <w:highlight w:val="none"/>
                <w:lang w:val="en-US" w:eastAsia="zh-CN"/>
              </w:rPr>
              <w:t>）</w:t>
            </w:r>
          </w:p>
          <w:p w14:paraId="10C2FE60">
            <w:pPr>
              <w:numPr>
                <w:ilvl w:val="0"/>
                <w:numId w:val="3"/>
              </w:numPr>
              <w:spacing w:line="240" w:lineRule="auto"/>
              <w:rPr>
                <w:rFonts w:hint="eastAsia" w:ascii="宋体" w:hAnsi="宋体" w:cs="宋体"/>
                <w:snapToGrid w:val="0"/>
                <w:color w:val="auto"/>
                <w:kern w:val="28"/>
                <w:sz w:val="22"/>
                <w:szCs w:val="22"/>
                <w:highlight w:val="none"/>
              </w:rPr>
            </w:pPr>
            <w:r>
              <w:rPr>
                <w:rFonts w:hint="eastAsia" w:ascii="宋体" w:hAnsi="宋体"/>
                <w:bCs/>
                <w:sz w:val="22"/>
                <w:szCs w:val="22"/>
                <w:highlight w:val="none"/>
                <w:lang w:val="en-US" w:eastAsia="zh-CN"/>
              </w:rPr>
              <w:t>样品二：</w:t>
            </w:r>
            <w:r>
              <w:rPr>
                <w:rFonts w:hint="eastAsia" w:ascii="宋体" w:hAnsi="宋体" w:cs="宋体"/>
                <w:b/>
                <w:bCs/>
                <w:color w:val="auto"/>
                <w:szCs w:val="21"/>
                <w:highlight w:val="none"/>
                <w:u w:val="single"/>
                <w:lang w:val="en-US" w:eastAsia="zh-CN"/>
              </w:rPr>
              <w:t>序号7</w:t>
            </w:r>
            <w:r>
              <w:rPr>
                <w:rFonts w:hint="eastAsia" w:ascii="宋体" w:hAnsi="宋体"/>
                <w:b/>
                <w:bCs/>
                <w:sz w:val="22"/>
                <w:szCs w:val="22"/>
                <w:highlight w:val="none"/>
                <w:u w:val="single"/>
                <w:lang w:val="en-US" w:eastAsia="zh-CN"/>
              </w:rPr>
              <w:t>热熔雨夜标线（样品规格约20</w:t>
            </w:r>
            <w:r>
              <w:rPr>
                <w:rFonts w:ascii="Arial" w:hAnsi="Arial" w:eastAsia="宋体" w:cs="Arial"/>
                <w:b/>
                <w:bCs/>
                <w:i w:val="0"/>
                <w:iCs w:val="0"/>
                <w:caps w:val="0"/>
                <w:color w:val="000000"/>
                <w:spacing w:val="0"/>
                <w:sz w:val="20"/>
                <w:szCs w:val="20"/>
                <w:highlight w:val="none"/>
                <w:u w:val="single"/>
                <w:shd w:val="clear" w:color="auto" w:fill="FFFFFF"/>
              </w:rPr>
              <w:t>cm</w:t>
            </w:r>
            <w:r>
              <w:rPr>
                <w:rFonts w:hint="eastAsia" w:ascii="Arial" w:hAnsi="Arial" w:eastAsia="宋体" w:cs="Arial"/>
                <w:b/>
                <w:bCs/>
                <w:i w:val="0"/>
                <w:iCs w:val="0"/>
                <w:caps w:val="0"/>
                <w:color w:val="000000"/>
                <w:spacing w:val="0"/>
                <w:sz w:val="20"/>
                <w:szCs w:val="20"/>
                <w:highlight w:val="none"/>
                <w:u w:val="single"/>
                <w:shd w:val="clear" w:color="auto" w:fill="FFFFFF"/>
                <w:lang w:eastAsia="zh-CN"/>
              </w:rPr>
              <w:t>*50</w:t>
            </w:r>
            <w:r>
              <w:rPr>
                <w:rFonts w:ascii="Arial" w:hAnsi="Arial" w:eastAsia="宋体" w:cs="Arial"/>
                <w:b/>
                <w:bCs/>
                <w:i w:val="0"/>
                <w:iCs w:val="0"/>
                <w:caps w:val="0"/>
                <w:color w:val="000000"/>
                <w:spacing w:val="0"/>
                <w:sz w:val="20"/>
                <w:szCs w:val="20"/>
                <w:highlight w:val="none"/>
                <w:u w:val="single"/>
                <w:shd w:val="clear" w:color="auto" w:fill="FFFFFF"/>
              </w:rPr>
              <w:t>cm</w:t>
            </w:r>
            <w:r>
              <w:rPr>
                <w:rFonts w:hint="eastAsia" w:ascii="宋体" w:hAnsi="宋体"/>
                <w:b/>
                <w:bCs/>
                <w:sz w:val="22"/>
                <w:szCs w:val="22"/>
                <w:highlight w:val="none"/>
                <w:u w:val="single"/>
                <w:lang w:val="en-US" w:eastAsia="zh-CN"/>
              </w:rPr>
              <w:t>）</w:t>
            </w:r>
          </w:p>
          <w:p w14:paraId="7FED954B">
            <w:pPr>
              <w:numPr>
                <w:ilvl w:val="0"/>
                <w:numId w:val="0"/>
              </w:numPr>
              <w:spacing w:line="240" w:lineRule="auto"/>
              <w:rPr>
                <w:rFonts w:hint="eastAsia" w:ascii="宋体" w:hAnsi="宋体" w:cs="宋体"/>
                <w:snapToGrid w:val="0"/>
                <w:color w:val="auto"/>
                <w:kern w:val="28"/>
                <w:sz w:val="22"/>
                <w:szCs w:val="22"/>
                <w:highlight w:val="none"/>
              </w:rPr>
            </w:pPr>
            <w:r>
              <w:rPr>
                <w:rFonts w:hint="eastAsia" w:ascii="宋体" w:hAnsi="宋体" w:cs="宋体"/>
                <w:snapToGrid w:val="0"/>
                <w:color w:val="auto"/>
                <w:kern w:val="28"/>
                <w:sz w:val="22"/>
                <w:szCs w:val="22"/>
                <w:highlight w:val="none"/>
              </w:rPr>
              <w:t>样品制作的标准和要求：</w:t>
            </w:r>
          </w:p>
          <w:p w14:paraId="6B29E288">
            <w:pPr>
              <w:spacing w:line="240" w:lineRule="auto"/>
              <w:ind w:firstLine="220" w:firstLineChars="100"/>
              <w:rPr>
                <w:rFonts w:hint="eastAsia" w:ascii="宋体" w:hAnsi="宋体" w:cs="宋体"/>
                <w:color w:val="auto"/>
                <w:kern w:val="0"/>
                <w:sz w:val="22"/>
                <w:szCs w:val="22"/>
                <w:highlight w:val="none"/>
                <w:u w:val="single"/>
              </w:rPr>
            </w:pPr>
            <w:r>
              <w:rPr>
                <w:rFonts w:hint="eastAsia" w:ascii="宋体" w:hAnsi="宋体" w:cs="宋体"/>
                <w:color w:val="auto"/>
                <w:sz w:val="22"/>
                <w:szCs w:val="22"/>
                <w:highlight w:val="none"/>
                <w:u w:val="single"/>
              </w:rPr>
              <w:t>① 样品采用</w:t>
            </w:r>
            <w:r>
              <w:rPr>
                <w:rFonts w:hint="eastAsia" w:ascii="宋体" w:hAnsi="宋体" w:cs="宋体"/>
                <w:color w:val="auto"/>
                <w:sz w:val="22"/>
                <w:szCs w:val="22"/>
                <w:highlight w:val="none"/>
                <w:u w:val="single"/>
                <w:lang w:val="en-US" w:eastAsia="zh-CN"/>
              </w:rPr>
              <w:t>现场</w:t>
            </w:r>
            <w:r>
              <w:rPr>
                <w:rFonts w:hint="eastAsia" w:ascii="宋体" w:hAnsi="宋体" w:cs="宋体"/>
                <w:color w:val="auto"/>
                <w:sz w:val="22"/>
                <w:szCs w:val="22"/>
                <w:highlight w:val="none"/>
                <w:u w:val="single"/>
              </w:rPr>
              <w:t>递交及评审；</w:t>
            </w:r>
          </w:p>
          <w:p w14:paraId="692533AE">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（3）样品的评审方法以及评审标准</w:t>
            </w:r>
            <w:r>
              <w:rPr>
                <w:rFonts w:hint="eastAsia" w:ascii="宋体" w:hAnsi="宋体" w:cs="宋体"/>
                <w:snapToGrid w:val="0"/>
                <w:color w:val="auto"/>
                <w:kern w:val="28"/>
                <w:sz w:val="22"/>
                <w:szCs w:val="22"/>
                <w:highlight w:val="none"/>
              </w:rPr>
              <w:t>：详见</w:t>
            </w:r>
            <w:r>
              <w:rPr>
                <w:rFonts w:hint="eastAsia" w:ascii="宋体" w:hAnsi="宋体" w:cs="宋体"/>
                <w:color w:val="auto"/>
                <w:sz w:val="22"/>
                <w:szCs w:val="22"/>
                <w:highlight w:val="none"/>
                <w:u w:val="single"/>
              </w:rPr>
              <w:t>评审办法</w:t>
            </w:r>
            <w:r>
              <w:rPr>
                <w:rFonts w:hint="eastAsia" w:ascii="宋体" w:hAnsi="宋体" w:cs="宋体"/>
                <w:color w:val="auto"/>
                <w:kern w:val="0"/>
                <w:sz w:val="22"/>
                <w:szCs w:val="22"/>
                <w:highlight w:val="none"/>
              </w:rPr>
              <w:t>；</w:t>
            </w:r>
          </w:p>
          <w:p w14:paraId="6084A053">
            <w:pPr>
              <w:spacing w:line="240" w:lineRule="auto"/>
              <w:rPr>
                <w:rFonts w:hint="eastAsia" w:ascii="宋体" w:hAnsi="宋体" w:cs="宋体"/>
                <w:b/>
                <w:bCs/>
                <w:color w:val="auto"/>
                <w:kern w:val="0"/>
                <w:sz w:val="22"/>
                <w:szCs w:val="22"/>
                <w:highlight w:val="none"/>
                <w:u w:val="single"/>
              </w:rPr>
            </w:pPr>
            <w:r>
              <w:rPr>
                <w:rFonts w:hint="eastAsia" w:ascii="宋体" w:hAnsi="宋体" w:cs="宋体"/>
                <w:color w:val="auto"/>
                <w:kern w:val="0"/>
                <w:sz w:val="22"/>
                <w:szCs w:val="22"/>
                <w:highlight w:val="none"/>
              </w:rPr>
              <w:t>（4）是否需要随样品提交检测报告：</w:t>
            </w:r>
            <w:r>
              <w:rPr>
                <w:rFonts w:hint="eastAsia" w:ascii="宋体" w:hAnsi="宋体" w:cs="宋体"/>
                <w:b/>
                <w:bCs/>
                <w:color w:val="auto"/>
                <w:kern w:val="0"/>
                <w:sz w:val="22"/>
                <w:szCs w:val="22"/>
                <w:highlight w:val="none"/>
                <w:u w:val="single"/>
              </w:rPr>
              <w:sym w:font="Wingdings" w:char="00FE"/>
            </w:r>
            <w:r>
              <w:rPr>
                <w:rFonts w:hint="eastAsia" w:ascii="宋体" w:hAnsi="宋体" w:cs="宋体"/>
                <w:b/>
                <w:bCs/>
                <w:color w:val="auto"/>
                <w:kern w:val="0"/>
                <w:sz w:val="22"/>
                <w:szCs w:val="22"/>
                <w:highlight w:val="none"/>
                <w:u w:val="single"/>
                <w:lang w:val="en-US" w:eastAsia="zh-CN"/>
              </w:rPr>
              <w:t>否</w:t>
            </w:r>
            <w:r>
              <w:rPr>
                <w:rFonts w:hint="eastAsia" w:ascii="宋体" w:hAnsi="宋体" w:cs="宋体"/>
                <w:b/>
                <w:bCs/>
                <w:color w:val="auto"/>
                <w:kern w:val="0"/>
                <w:sz w:val="22"/>
                <w:szCs w:val="22"/>
                <w:highlight w:val="none"/>
                <w:u w:val="single"/>
              </w:rPr>
              <w:t>。</w:t>
            </w:r>
          </w:p>
          <w:p w14:paraId="06FE3BC7">
            <w:pPr>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（5）提供样品的时间：</w:t>
            </w:r>
            <w:r>
              <w:rPr>
                <w:rFonts w:hint="eastAsia" w:ascii="宋体" w:hAnsi="宋体" w:cs="宋体"/>
                <w:color w:val="auto"/>
                <w:sz w:val="22"/>
                <w:szCs w:val="22"/>
                <w:highlight w:val="none"/>
                <w:u w:val="single"/>
              </w:rPr>
              <w:t>投标截止时间前</w:t>
            </w:r>
            <w:r>
              <w:rPr>
                <w:rFonts w:hint="eastAsia" w:ascii="宋体" w:hAnsi="宋体" w:cs="宋体"/>
                <w:color w:val="auto"/>
                <w:kern w:val="0"/>
                <w:sz w:val="22"/>
                <w:szCs w:val="22"/>
                <w:highlight w:val="none"/>
              </w:rPr>
              <w:t>；地点：</w:t>
            </w:r>
            <w:r>
              <w:rPr>
                <w:rFonts w:hint="eastAsia" w:ascii="宋体" w:hAnsi="宋体" w:cs="宋体"/>
                <w:b/>
                <w:bCs/>
                <w:color w:val="auto"/>
                <w:kern w:val="0"/>
                <w:sz w:val="22"/>
                <w:szCs w:val="22"/>
                <w:highlight w:val="none"/>
                <w:u w:val="single"/>
              </w:rPr>
              <w:t>龙港市世纪大道4518号龙港市政务客厅4楼（龙港市公共资源交易中心）</w:t>
            </w:r>
            <w:r>
              <w:rPr>
                <w:rFonts w:hint="eastAsia" w:ascii="宋体" w:hAnsi="宋体" w:cs="宋体"/>
                <w:color w:val="auto"/>
                <w:kern w:val="0"/>
                <w:sz w:val="22"/>
                <w:szCs w:val="22"/>
                <w:highlight w:val="none"/>
              </w:rPr>
              <w:t>；联系人</w:t>
            </w:r>
            <w:r>
              <w:rPr>
                <w:rFonts w:hint="eastAsia" w:ascii="宋体" w:hAnsi="宋体" w:cs="宋体"/>
                <w:color w:val="auto"/>
                <w:sz w:val="22"/>
                <w:szCs w:val="22"/>
                <w:highlight w:val="none"/>
              </w:rPr>
              <w:t>：</w:t>
            </w:r>
            <w:r>
              <w:rPr>
                <w:rFonts w:hint="eastAsia" w:ascii="宋体" w:hAnsi="宋体" w:cs="宋体"/>
                <w:bCs/>
                <w:kern w:val="0"/>
                <w:sz w:val="22"/>
                <w:szCs w:val="22"/>
                <w:highlight w:val="none"/>
                <w:lang w:val="en-US" w:eastAsia="zh-CN"/>
              </w:rPr>
              <w:t>黄女士</w:t>
            </w:r>
            <w:r>
              <w:rPr>
                <w:rFonts w:hint="eastAsia" w:ascii="宋体" w:hAnsi="宋体" w:cs="宋体"/>
                <w:color w:val="auto"/>
                <w:sz w:val="22"/>
                <w:szCs w:val="22"/>
                <w:highlight w:val="none"/>
              </w:rPr>
              <w:t>，</w:t>
            </w:r>
            <w:r>
              <w:rPr>
                <w:rFonts w:hint="eastAsia" w:ascii="宋体" w:hAnsi="宋体" w:cs="宋体"/>
                <w:color w:val="auto"/>
                <w:kern w:val="28"/>
                <w:sz w:val="22"/>
                <w:szCs w:val="22"/>
                <w:highlight w:val="none"/>
              </w:rPr>
              <w:t>联系电话：</w:t>
            </w:r>
            <w:r>
              <w:rPr>
                <w:rFonts w:hint="eastAsia" w:ascii="宋体" w:hAnsi="宋体" w:cs="宋体"/>
                <w:color w:val="auto"/>
                <w:kern w:val="28"/>
                <w:sz w:val="22"/>
                <w:szCs w:val="22"/>
                <w:highlight w:val="none"/>
                <w:lang w:val="en-US" w:eastAsia="zh-CN"/>
              </w:rPr>
              <w:t>13958717253</w:t>
            </w:r>
            <w:r>
              <w:rPr>
                <w:rFonts w:hint="eastAsia" w:ascii="宋体" w:hAnsi="宋体" w:cs="宋体"/>
                <w:color w:val="auto"/>
                <w:sz w:val="22"/>
                <w:szCs w:val="22"/>
                <w:highlight w:val="none"/>
              </w:rPr>
              <w:t>。请供应商在上述时间内提供样品。超过截止时间的，采购人或采购代理机构将不予接收，并将清场并封闭样品现场。</w:t>
            </w:r>
          </w:p>
          <w:p w14:paraId="060906EE">
            <w:pPr>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（6）样品的标记：</w:t>
            </w:r>
          </w:p>
          <w:p w14:paraId="4A84295B">
            <w:pPr>
              <w:spacing w:line="240" w:lineRule="auto"/>
              <w:rPr>
                <w:rFonts w:hint="default" w:ascii="宋体" w:hAnsi="宋体" w:eastAsia="宋体" w:cs="宋体"/>
                <w:color w:val="auto"/>
                <w:sz w:val="22"/>
                <w:szCs w:val="22"/>
                <w:highlight w:val="none"/>
                <w:u w:val="single"/>
                <w:lang w:val="en-US" w:eastAsia="zh-CN"/>
              </w:rPr>
            </w:pPr>
            <w:r>
              <w:rPr>
                <w:rFonts w:hint="eastAsia" w:ascii="宋体" w:hAnsi="宋体" w:cs="宋体"/>
                <w:color w:val="auto"/>
                <w:kern w:val="0"/>
                <w:sz w:val="22"/>
                <w:szCs w:val="22"/>
                <w:highlight w:val="none"/>
              </w:rPr>
              <w:sym w:font="Wingdings" w:char="00FE"/>
            </w:r>
            <w:r>
              <w:rPr>
                <w:rFonts w:hint="eastAsia" w:ascii="宋体" w:hAnsi="宋体" w:cs="宋体"/>
                <w:color w:val="auto"/>
                <w:sz w:val="22"/>
                <w:szCs w:val="22"/>
                <w:highlight w:val="none"/>
                <w:u w:val="single"/>
              </w:rPr>
              <w:t>样品</w:t>
            </w:r>
            <w:r>
              <w:rPr>
                <w:rFonts w:hint="eastAsia" w:ascii="宋体" w:hAnsi="宋体" w:cs="宋体"/>
                <w:color w:val="auto"/>
                <w:sz w:val="22"/>
                <w:szCs w:val="22"/>
                <w:highlight w:val="none"/>
                <w:u w:val="single"/>
                <w:lang w:val="en-US" w:eastAsia="zh-CN"/>
              </w:rPr>
              <w:t>需注明以下信息：1、样品名称；2、样品主要规格；3、</w:t>
            </w:r>
            <w:r>
              <w:rPr>
                <w:rFonts w:hint="eastAsia" w:ascii="宋体" w:hAnsi="宋体" w:cs="宋体"/>
                <w:b/>
                <w:bCs/>
                <w:color w:val="auto"/>
                <w:sz w:val="22"/>
                <w:szCs w:val="22"/>
                <w:highlight w:val="none"/>
                <w:u w:val="single"/>
                <w:lang w:val="en-US" w:eastAsia="zh-CN"/>
              </w:rPr>
              <w:t>投标单位名称（并加盖单位公章）</w:t>
            </w:r>
          </w:p>
          <w:p w14:paraId="35CE4FAE">
            <w:pPr>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(7)采购活动结束后，对于未成交供应商提供的样品，采购人、采购代理机构将通知未成交供应商在规定的时间内取回，逾期未取回的，采购人、采购代理机构不负保管义务；对于成交供应商提供的样品，采购人将进行保管、封存，并作为履约验收的参考。</w:t>
            </w:r>
          </w:p>
          <w:p w14:paraId="24241083">
            <w:pPr>
              <w:snapToGrid w:val="0"/>
              <w:spacing w:line="400" w:lineRule="exact"/>
              <w:rPr>
                <w:rFonts w:hint="eastAsia" w:asciiTheme="minorEastAsia" w:hAnsiTheme="minorEastAsia" w:eastAsiaTheme="minorEastAsia" w:cstheme="minorEastAsia"/>
                <w:sz w:val="22"/>
                <w:szCs w:val="22"/>
                <w:highlight w:val="none"/>
              </w:rPr>
            </w:pPr>
            <w:r>
              <w:rPr>
                <w:rFonts w:hint="eastAsia" w:ascii="宋体" w:hAnsi="宋体" w:cs="宋体"/>
                <w:color w:val="auto"/>
                <w:sz w:val="22"/>
                <w:szCs w:val="22"/>
                <w:highlight w:val="none"/>
              </w:rPr>
              <w:t>（8）制作、运输、安装和保管样品所发生的一切费用由供应商自理。</w:t>
            </w:r>
          </w:p>
        </w:tc>
      </w:tr>
      <w:tr w14:paraId="3EE3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255E21E2">
            <w:pPr>
              <w:snapToGrid w:val="0"/>
              <w:spacing w:line="400" w:lineRule="exact"/>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8</w:t>
            </w:r>
          </w:p>
        </w:tc>
        <w:tc>
          <w:tcPr>
            <w:tcW w:w="1700" w:type="dxa"/>
            <w:vAlign w:val="center"/>
          </w:tcPr>
          <w:p w14:paraId="702E9CD9">
            <w:pPr>
              <w:snapToGrid w:val="0"/>
              <w:spacing w:line="400" w:lineRule="exact"/>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投标人应当提供的资格证明文件</w:t>
            </w:r>
          </w:p>
        </w:tc>
        <w:tc>
          <w:tcPr>
            <w:tcW w:w="7712" w:type="dxa"/>
            <w:vAlign w:val="center"/>
          </w:tcPr>
          <w:p w14:paraId="6CDF51A8">
            <w:pPr>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见招标文件。</w:t>
            </w:r>
            <w:r>
              <w:rPr>
                <w:rFonts w:hint="eastAsia" w:asciiTheme="minorEastAsia" w:hAnsiTheme="minorEastAsia" w:eastAsiaTheme="minorEastAsia" w:cstheme="minorEastAsia"/>
                <w:kern w:val="0"/>
                <w:sz w:val="22"/>
                <w:szCs w:val="22"/>
                <w:highlight w:val="none"/>
                <w:lang w:val="zh-CN"/>
              </w:rPr>
              <w:t>投标人未提供有效的资格文件的，视为投标人不具备招标文件中规定的资格要求，投标无效。</w:t>
            </w:r>
          </w:p>
        </w:tc>
      </w:tr>
      <w:tr w14:paraId="1FD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shd w:val="clear" w:color="auto" w:fill="auto"/>
            <w:vAlign w:val="center"/>
          </w:tcPr>
          <w:p w14:paraId="6D8C5BE7">
            <w:pPr>
              <w:snapToGrid w:val="0"/>
              <w:spacing w:line="400" w:lineRule="exact"/>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9</w:t>
            </w:r>
          </w:p>
        </w:tc>
        <w:tc>
          <w:tcPr>
            <w:tcW w:w="1700" w:type="dxa"/>
            <w:vAlign w:val="center"/>
          </w:tcPr>
          <w:p w14:paraId="77F9273E">
            <w:pPr>
              <w:snapToGrid w:val="0"/>
              <w:spacing w:line="400" w:lineRule="exact"/>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节能产品、环境标志产品</w:t>
            </w:r>
          </w:p>
        </w:tc>
        <w:tc>
          <w:tcPr>
            <w:tcW w:w="7712" w:type="dxa"/>
            <w:vAlign w:val="center"/>
          </w:tcPr>
          <w:p w14:paraId="622E725B">
            <w:pPr>
              <w:snapToGrid w:val="0"/>
              <w:spacing w:line="400"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rPr>
              <w:t>本项目不适用</w:t>
            </w:r>
          </w:p>
        </w:tc>
      </w:tr>
      <w:tr w14:paraId="1339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shd w:val="clear" w:color="auto" w:fill="auto"/>
            <w:vAlign w:val="center"/>
          </w:tcPr>
          <w:p w14:paraId="00D349FC">
            <w:pPr>
              <w:snapToGrid w:val="0"/>
              <w:spacing w:line="400" w:lineRule="exact"/>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10</w:t>
            </w:r>
          </w:p>
        </w:tc>
        <w:tc>
          <w:tcPr>
            <w:tcW w:w="1700" w:type="dxa"/>
            <w:vAlign w:val="center"/>
          </w:tcPr>
          <w:p w14:paraId="21759574">
            <w:pPr>
              <w:snapToGrid w:val="0"/>
              <w:spacing w:line="400" w:lineRule="exact"/>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报价要求</w:t>
            </w:r>
          </w:p>
        </w:tc>
        <w:tc>
          <w:tcPr>
            <w:tcW w:w="7712" w:type="dxa"/>
            <w:vAlign w:val="center"/>
          </w:tcPr>
          <w:p w14:paraId="29686050">
            <w:pPr>
              <w:snapToGrid w:val="0"/>
              <w:spacing w:line="400" w:lineRule="exact"/>
              <w:jc w:val="left"/>
              <w:rPr>
                <w:rFonts w:hint="eastAsia" w:asciiTheme="minorEastAsia" w:hAnsiTheme="minorEastAsia" w:eastAsiaTheme="minorEastAsia" w:cstheme="minorEastAsia"/>
                <w:b/>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有关本项目实施所需的所有费用（含税费）均计入报价。</w:t>
            </w:r>
            <w:r>
              <w:rPr>
                <w:rFonts w:hint="eastAsia" w:asciiTheme="minorEastAsia" w:hAnsiTheme="minorEastAsia" w:eastAsiaTheme="minorEastAsia" w:cstheme="minorEastAsia"/>
                <w:b/>
                <w:bCs/>
                <w:kern w:val="0"/>
                <w:sz w:val="22"/>
                <w:szCs w:val="22"/>
                <w:highlight w:val="none"/>
                <w:lang w:val="zh-CN"/>
              </w:rPr>
              <w:t>投标文件</w:t>
            </w:r>
            <w:r>
              <w:rPr>
                <w:rFonts w:hint="eastAsia" w:asciiTheme="minorEastAsia" w:hAnsiTheme="minorEastAsia" w:eastAsiaTheme="minorEastAsia" w:cstheme="minorEastAsia"/>
                <w:b/>
                <w:bCs/>
                <w:sz w:val="22"/>
                <w:szCs w:val="22"/>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Theme="minorEastAsia" w:hAnsiTheme="minorEastAsia" w:eastAsiaTheme="minorEastAsia" w:cstheme="minorEastAsia"/>
                <w:kern w:val="0"/>
                <w:sz w:val="22"/>
                <w:szCs w:val="22"/>
                <w:highlight w:val="none"/>
                <w:lang w:val="zh-CN"/>
              </w:rPr>
              <w:t>投标文件中价格全部采用人民币报价。招标文件未列明，而投标人认为必需的费用也需列入报价。</w:t>
            </w:r>
          </w:p>
          <w:p w14:paraId="5C88CEFD">
            <w:pPr>
              <w:snapToGrid w:val="0"/>
              <w:spacing w:line="400" w:lineRule="exact"/>
              <w:jc w:val="left"/>
              <w:rPr>
                <w:rFonts w:hint="eastAsia" w:asciiTheme="minorEastAsia" w:hAnsiTheme="minorEastAsia" w:eastAsiaTheme="minorEastAsia" w:cstheme="minorEastAsia"/>
                <w:b/>
                <w:kern w:val="0"/>
                <w:sz w:val="22"/>
                <w:szCs w:val="22"/>
                <w:highlight w:val="none"/>
                <w:u w:val="single"/>
                <w:lang w:val="zh-CN"/>
              </w:rPr>
            </w:pP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b/>
                <w:kern w:val="0"/>
                <w:sz w:val="22"/>
                <w:szCs w:val="22"/>
                <w:highlight w:val="none"/>
                <w:u w:val="single"/>
                <w:lang w:val="zh-CN"/>
              </w:rPr>
              <w:t>投标报价出现下列情形的，投标无效：</w:t>
            </w:r>
          </w:p>
          <w:p w14:paraId="4A49A8D7">
            <w:pPr>
              <w:snapToGrid w:val="0"/>
              <w:spacing w:line="400" w:lineRule="exact"/>
              <w:ind w:firstLine="221" w:firstLineChars="100"/>
              <w:jc w:val="left"/>
              <w:rPr>
                <w:rFonts w:hint="eastAsia" w:asciiTheme="minorEastAsia" w:hAnsiTheme="minorEastAsia" w:eastAsiaTheme="minorEastAsia" w:cstheme="minorEastAsia"/>
                <w:b/>
                <w:kern w:val="0"/>
                <w:sz w:val="22"/>
                <w:szCs w:val="22"/>
                <w:highlight w:val="none"/>
                <w:u w:val="single"/>
                <w:lang w:val="zh-CN"/>
              </w:rPr>
            </w:pPr>
            <w:r>
              <w:rPr>
                <w:rFonts w:hint="eastAsia" w:asciiTheme="minorEastAsia" w:hAnsiTheme="minorEastAsia" w:eastAsiaTheme="minorEastAsia" w:cstheme="minorEastAsia"/>
                <w:b/>
                <w:kern w:val="0"/>
                <w:sz w:val="22"/>
                <w:szCs w:val="22"/>
                <w:highlight w:val="none"/>
                <w:u w:val="single"/>
                <w:lang w:val="zh-CN"/>
              </w:rPr>
              <w:t>投标文件出现不是唯一的、有选择性投标报价的；</w:t>
            </w:r>
          </w:p>
          <w:p w14:paraId="156A49DF">
            <w:pPr>
              <w:snapToGrid w:val="0"/>
              <w:spacing w:line="400" w:lineRule="exact"/>
              <w:ind w:firstLine="221" w:firstLineChars="100"/>
              <w:jc w:val="left"/>
              <w:rPr>
                <w:rFonts w:hint="eastAsia" w:asciiTheme="minorEastAsia" w:hAnsiTheme="minorEastAsia" w:eastAsiaTheme="minorEastAsia" w:cstheme="minorEastAsia"/>
                <w:kern w:val="0"/>
                <w:sz w:val="22"/>
                <w:szCs w:val="22"/>
                <w:highlight w:val="none"/>
                <w:u w:val="single"/>
                <w:lang w:val="zh-CN"/>
              </w:rPr>
            </w:pPr>
            <w:r>
              <w:rPr>
                <w:rFonts w:hint="eastAsia" w:asciiTheme="minorEastAsia" w:hAnsiTheme="minorEastAsia" w:eastAsiaTheme="minorEastAsia" w:cstheme="minorEastAsia"/>
                <w:b/>
                <w:kern w:val="0"/>
                <w:sz w:val="22"/>
                <w:szCs w:val="22"/>
                <w:highlight w:val="none"/>
                <w:u w:val="single"/>
                <w:lang w:val="zh-CN"/>
              </w:rPr>
              <w:t>投标报价超过招标文件中规定的预算金额或者最高限价的；</w:t>
            </w:r>
          </w:p>
          <w:p w14:paraId="38A9BDB7">
            <w:pPr>
              <w:spacing w:line="400" w:lineRule="exact"/>
              <w:ind w:firstLine="221" w:firstLineChars="100"/>
              <w:rPr>
                <w:rFonts w:hint="eastAsia" w:asciiTheme="minorEastAsia" w:hAnsiTheme="minorEastAsia" w:eastAsiaTheme="minorEastAsia" w:cstheme="minorEastAsia"/>
                <w:b/>
                <w:sz w:val="22"/>
                <w:szCs w:val="22"/>
                <w:highlight w:val="none"/>
                <w:u w:val="single"/>
              </w:rPr>
            </w:pPr>
            <w:r>
              <w:rPr>
                <w:rFonts w:hint="eastAsia" w:asciiTheme="minorEastAsia" w:hAnsiTheme="minorEastAsia" w:eastAsiaTheme="minorEastAsia" w:cstheme="minorEastAsia"/>
                <w:b/>
                <w:kern w:val="0"/>
                <w:sz w:val="22"/>
                <w:szCs w:val="22"/>
                <w:highlight w:val="none"/>
                <w:u w:val="single"/>
              </w:rPr>
              <w:t>报价明显低于其他通过符合性审查投标人的报价，有可能影响产品质量或者不能诚信履约的，未能按要求提供书面说明或者提交相关证明材料证明其报价合理性的</w:t>
            </w:r>
            <w:r>
              <w:rPr>
                <w:rFonts w:hint="eastAsia" w:asciiTheme="minorEastAsia" w:hAnsiTheme="minorEastAsia" w:eastAsiaTheme="minorEastAsia" w:cstheme="minorEastAsia"/>
                <w:b/>
                <w:sz w:val="22"/>
                <w:szCs w:val="22"/>
                <w:highlight w:val="none"/>
                <w:u w:val="single"/>
              </w:rPr>
              <w:t>；</w:t>
            </w:r>
          </w:p>
          <w:p w14:paraId="7F001807">
            <w:pPr>
              <w:spacing w:line="400" w:lineRule="exact"/>
              <w:ind w:firstLine="221" w:firstLineChars="1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kern w:val="0"/>
                <w:sz w:val="22"/>
                <w:szCs w:val="22"/>
                <w:highlight w:val="none"/>
                <w:u w:val="single"/>
              </w:rPr>
              <w:t>投标人对根据修正原则修正后的报价不确认的</w:t>
            </w:r>
            <w:r>
              <w:rPr>
                <w:rFonts w:hint="eastAsia" w:asciiTheme="minorEastAsia" w:hAnsiTheme="minorEastAsia" w:eastAsiaTheme="minorEastAsia" w:cstheme="minorEastAsia"/>
                <w:b/>
                <w:sz w:val="22"/>
                <w:szCs w:val="22"/>
                <w:highlight w:val="none"/>
                <w:u w:val="single"/>
              </w:rPr>
              <w:t>。</w:t>
            </w:r>
          </w:p>
        </w:tc>
      </w:tr>
      <w:tr w14:paraId="24BB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shd w:val="clear" w:color="auto" w:fill="auto"/>
            <w:vAlign w:val="center"/>
          </w:tcPr>
          <w:p w14:paraId="2E865430">
            <w:pPr>
              <w:snapToGrid w:val="0"/>
              <w:spacing w:line="400" w:lineRule="exact"/>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11</w:t>
            </w:r>
          </w:p>
        </w:tc>
        <w:tc>
          <w:tcPr>
            <w:tcW w:w="1700" w:type="dxa"/>
            <w:vAlign w:val="center"/>
          </w:tcPr>
          <w:p w14:paraId="4368D108">
            <w:pPr>
              <w:snapToGrid w:val="0"/>
              <w:spacing w:line="400" w:lineRule="exact"/>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中小企业信用融资</w:t>
            </w:r>
          </w:p>
        </w:tc>
        <w:tc>
          <w:tcPr>
            <w:tcW w:w="7712" w:type="dxa"/>
            <w:vAlign w:val="center"/>
          </w:tcPr>
          <w:p w14:paraId="1E816B70">
            <w:pPr>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napToGrid w:val="0"/>
                <w:kern w:val="28"/>
                <w:sz w:val="22"/>
                <w:szCs w:val="22"/>
                <w:highlight w:val="none"/>
              </w:rPr>
              <w:t>投标人中标后也可在“政采云”平台申请政采贷：操作路径：登录政采云平台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A60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shd w:val="clear" w:color="auto" w:fill="auto"/>
            <w:vAlign w:val="center"/>
          </w:tcPr>
          <w:p w14:paraId="07CDE3E3">
            <w:pPr>
              <w:snapToGrid w:val="0"/>
              <w:spacing w:line="400" w:lineRule="exact"/>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12</w:t>
            </w:r>
          </w:p>
        </w:tc>
        <w:tc>
          <w:tcPr>
            <w:tcW w:w="1700" w:type="dxa"/>
            <w:vAlign w:val="center"/>
          </w:tcPr>
          <w:p w14:paraId="443AE64D">
            <w:pPr>
              <w:snapToGrid w:val="0"/>
              <w:spacing w:line="400" w:lineRule="exact"/>
              <w:jc w:val="center"/>
              <w:rPr>
                <w:rFonts w:hint="eastAsia" w:ascii="宋体" w:hAnsi="宋体" w:cs="宋体"/>
                <w:b/>
                <w:sz w:val="22"/>
                <w:szCs w:val="22"/>
                <w:highlight w:val="none"/>
              </w:rPr>
            </w:pPr>
            <w:r>
              <w:rPr>
                <w:rFonts w:hint="eastAsia" w:ascii="宋体" w:hAnsi="宋体" w:cs="宋体"/>
                <w:b/>
                <w:sz w:val="22"/>
                <w:szCs w:val="22"/>
                <w:highlight w:val="none"/>
              </w:rPr>
              <w:t xml:space="preserve">备份投标文件送达地点和签收人员 </w:t>
            </w:r>
          </w:p>
        </w:tc>
        <w:tc>
          <w:tcPr>
            <w:tcW w:w="7712" w:type="dxa"/>
            <w:vAlign w:val="center"/>
          </w:tcPr>
          <w:p w14:paraId="50869966">
            <w:pPr>
              <w:pStyle w:val="34"/>
              <w:adjustRightInd/>
              <w:spacing w:line="400" w:lineRule="exact"/>
              <w:rPr>
                <w:rFonts w:hint="eastAsia" w:hAnsi="宋体" w:cs="宋体"/>
                <w:sz w:val="22"/>
                <w:szCs w:val="22"/>
                <w:highlight w:val="none"/>
              </w:rPr>
            </w:pPr>
            <w:r>
              <w:rPr>
                <w:rFonts w:hint="eastAsia" w:hAnsi="宋体" w:cs="宋体"/>
                <w:kern w:val="28"/>
                <w:sz w:val="22"/>
                <w:szCs w:val="22"/>
                <w:highlight w:val="none"/>
              </w:rPr>
              <w:t>备份投标文件送达地点：</w:t>
            </w:r>
            <w:r>
              <w:rPr>
                <w:rFonts w:hint="eastAsia" w:hAnsi="宋体" w:cs="宋体"/>
                <w:sz w:val="22"/>
                <w:szCs w:val="22"/>
                <w:highlight w:val="none"/>
                <w:u w:val="single"/>
                <w:lang w:eastAsia="zh-CN"/>
              </w:rPr>
              <w:t>龙港市瑞鸿嘉园（华鸿中央原墅）1幢110室</w:t>
            </w:r>
            <w:r>
              <w:rPr>
                <w:rFonts w:hint="eastAsia" w:hAnsi="宋体" w:cs="宋体"/>
                <w:sz w:val="22"/>
                <w:szCs w:val="22"/>
                <w:highlight w:val="none"/>
                <w:u w:val="single"/>
              </w:rPr>
              <w:t>或发送至</w:t>
            </w:r>
            <w:r>
              <w:rPr>
                <w:rFonts w:hint="eastAsia" w:hAnsi="宋体" w:cs="宋体"/>
                <w:sz w:val="22"/>
                <w:szCs w:val="22"/>
                <w:highlight w:val="none"/>
                <w:u w:val="single"/>
                <w:lang w:eastAsia="zh-CN"/>
              </w:rPr>
              <w:t>2645610819</w:t>
            </w:r>
            <w:r>
              <w:rPr>
                <w:rFonts w:hint="eastAsia" w:hAnsi="宋体" w:cs="宋体"/>
                <w:sz w:val="22"/>
                <w:szCs w:val="22"/>
                <w:highlight w:val="none"/>
                <w:u w:val="single"/>
              </w:rPr>
              <w:t xml:space="preserve">@qq.com </w:t>
            </w:r>
            <w:r>
              <w:rPr>
                <w:rFonts w:hint="eastAsia" w:hAnsi="宋体" w:cs="宋体"/>
                <w:kern w:val="28"/>
                <w:sz w:val="22"/>
                <w:szCs w:val="22"/>
                <w:highlight w:val="none"/>
              </w:rPr>
              <w:t>；备份投标文件签收人员：</w:t>
            </w:r>
            <w:r>
              <w:rPr>
                <w:rFonts w:hint="eastAsia" w:hAnsi="宋体" w:cs="宋体"/>
                <w:kern w:val="28"/>
                <w:sz w:val="22"/>
                <w:szCs w:val="22"/>
                <w:highlight w:val="none"/>
                <w:lang w:val="en-US" w:eastAsia="zh-CN"/>
              </w:rPr>
              <w:t>黄女士</w:t>
            </w:r>
            <w:r>
              <w:rPr>
                <w:rFonts w:hint="eastAsia" w:hAnsi="宋体" w:cs="宋体"/>
                <w:kern w:val="28"/>
                <w:sz w:val="22"/>
                <w:szCs w:val="22"/>
                <w:highlight w:val="none"/>
              </w:rPr>
              <w:t>，联系电话：</w:t>
            </w:r>
            <w:r>
              <w:rPr>
                <w:rFonts w:hint="eastAsia" w:ascii="宋体" w:hAnsi="宋体" w:cs="宋体"/>
                <w:bCs/>
                <w:kern w:val="0"/>
                <w:sz w:val="22"/>
                <w:szCs w:val="22"/>
                <w:highlight w:val="none"/>
                <w:lang w:val="en-US" w:eastAsia="zh-CN"/>
              </w:rPr>
              <w:t>13958717253</w:t>
            </w:r>
            <w:r>
              <w:rPr>
                <w:rFonts w:hint="eastAsia" w:hAnsi="宋体" w:cs="宋体"/>
                <w:sz w:val="22"/>
                <w:szCs w:val="22"/>
                <w:highlight w:val="none"/>
              </w:rPr>
              <w:t>。</w:t>
            </w:r>
          </w:p>
          <w:p w14:paraId="5742D47D">
            <w:pPr>
              <w:pStyle w:val="34"/>
              <w:spacing w:line="400" w:lineRule="exact"/>
              <w:rPr>
                <w:rFonts w:hint="eastAsia" w:hAnsi="宋体" w:cs="宋体"/>
                <w:sz w:val="22"/>
                <w:szCs w:val="22"/>
                <w:highlight w:val="none"/>
              </w:rPr>
            </w:pPr>
            <w:r>
              <w:rPr>
                <w:rFonts w:hint="eastAsia" w:hAnsi="宋体" w:cs="宋体"/>
                <w:b/>
                <w:sz w:val="22"/>
                <w:szCs w:val="22"/>
                <w:highlight w:val="none"/>
              </w:rPr>
              <w:t>采购人、采购代理机构不强制或变相强制投标人提交备份投标文件。</w:t>
            </w:r>
          </w:p>
        </w:tc>
      </w:tr>
      <w:tr w14:paraId="3C81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shd w:val="clear" w:color="auto" w:fill="auto"/>
            <w:vAlign w:val="center"/>
          </w:tcPr>
          <w:p w14:paraId="31EE131E">
            <w:pPr>
              <w:snapToGrid w:val="0"/>
              <w:spacing w:line="400" w:lineRule="exact"/>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13</w:t>
            </w:r>
          </w:p>
        </w:tc>
        <w:tc>
          <w:tcPr>
            <w:tcW w:w="1700" w:type="dxa"/>
            <w:vAlign w:val="center"/>
          </w:tcPr>
          <w:p w14:paraId="356F93CA">
            <w:pPr>
              <w:snapToGrid w:val="0"/>
              <w:spacing w:line="400" w:lineRule="exact"/>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特别说明</w:t>
            </w:r>
          </w:p>
        </w:tc>
        <w:tc>
          <w:tcPr>
            <w:tcW w:w="7712" w:type="dxa"/>
            <w:vAlign w:val="center"/>
          </w:tcPr>
          <w:p w14:paraId="2F99F062">
            <w:pPr>
              <w:spacing w:line="400" w:lineRule="exact"/>
              <w:rPr>
                <w:rFonts w:hint="eastAsia" w:asciiTheme="minorEastAsia" w:hAnsiTheme="minorEastAsia" w:eastAsiaTheme="minorEastAsia" w:cstheme="minorEastAsia"/>
                <w:kern w:val="28"/>
                <w:sz w:val="22"/>
                <w:szCs w:val="22"/>
                <w:highlight w:val="none"/>
              </w:rPr>
            </w:pPr>
            <w:r>
              <w:rPr>
                <w:rFonts w:hint="eastAsia" w:asciiTheme="minorEastAsia" w:hAnsiTheme="minorEastAsia" w:eastAsiaTheme="minorEastAsia" w:cstheme="minorEastAsia"/>
                <w:snapToGrid w:val="0"/>
                <w:kern w:val="28"/>
                <w:sz w:val="22"/>
                <w:szCs w:val="22"/>
                <w:highlight w:val="none"/>
              </w:rPr>
              <w:t>联合体投标的，联合体各方分别提供与联合体协议中规定的分工内容相应的业绩证明材料，业绩数量以提供材料较少的一方为准。</w:t>
            </w:r>
          </w:p>
        </w:tc>
      </w:tr>
      <w:tr w14:paraId="720E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Merge w:val="restart"/>
            <w:vAlign w:val="center"/>
          </w:tcPr>
          <w:p w14:paraId="7D0B99CC">
            <w:pPr>
              <w:snapToGrid w:val="0"/>
              <w:spacing w:line="40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14</w:t>
            </w:r>
          </w:p>
        </w:tc>
        <w:tc>
          <w:tcPr>
            <w:tcW w:w="1700" w:type="dxa"/>
            <w:vMerge w:val="restart"/>
            <w:vAlign w:val="center"/>
          </w:tcPr>
          <w:p w14:paraId="3E51B7B6">
            <w:pPr>
              <w:snapToGrid w:val="0"/>
              <w:spacing w:line="400" w:lineRule="exact"/>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中标候选人数量</w:t>
            </w:r>
          </w:p>
        </w:tc>
        <w:tc>
          <w:tcPr>
            <w:tcW w:w="7712" w:type="dxa"/>
            <w:vAlign w:val="center"/>
          </w:tcPr>
          <w:p w14:paraId="6D22344D">
            <w:pPr>
              <w:spacing w:line="400" w:lineRule="exact"/>
              <w:rPr>
                <w:rFonts w:hint="eastAsia" w:asciiTheme="minorEastAsia" w:hAnsiTheme="minorEastAsia" w:eastAsiaTheme="minorEastAsia" w:cstheme="minorEastAsia"/>
                <w:snapToGrid w:val="0"/>
                <w:kern w:val="28"/>
                <w:sz w:val="22"/>
                <w:szCs w:val="22"/>
                <w:highlight w:val="none"/>
              </w:rPr>
            </w:pPr>
            <w:sdt>
              <w:sdtPr>
                <w:rPr>
                  <w:rFonts w:hint="eastAsia" w:asciiTheme="minorEastAsia" w:hAnsiTheme="minorEastAsia" w:eastAsiaTheme="minorEastAsia" w:cstheme="minorEastAsia"/>
                  <w:kern w:val="0"/>
                  <w:sz w:val="22"/>
                  <w:szCs w:val="22"/>
                  <w:highlight w:val="none"/>
                </w:rPr>
                <w:id w:val="147477143"/>
              </w:sdtPr>
              <w:sdtEndPr>
                <w:rPr>
                  <w:rFonts w:hint="eastAsia" w:asciiTheme="minorEastAsia" w:hAnsiTheme="minorEastAsia" w:eastAsiaTheme="minorEastAsia" w:cstheme="minorEastAsia"/>
                  <w:kern w:val="0"/>
                  <w:sz w:val="22"/>
                  <w:szCs w:val="22"/>
                  <w:highlight w:val="none"/>
                </w:rPr>
              </w:sdtEndPr>
              <w:sdtContent>
                <w:r>
                  <w:rPr>
                    <w:rFonts w:hint="eastAsia" w:asciiTheme="minorEastAsia" w:hAnsiTheme="minorEastAsia" w:eastAsiaTheme="minorEastAsia" w:cstheme="minorEastAsia"/>
                    <w:kern w:val="0"/>
                    <w:sz w:val="22"/>
                    <w:szCs w:val="22"/>
                    <w:highlight w:val="none"/>
                  </w:rPr>
                  <w:t>☐</w:t>
                </w:r>
              </w:sdtContent>
            </w:sdt>
            <w:r>
              <w:rPr>
                <w:rFonts w:hint="eastAsia" w:asciiTheme="minorEastAsia" w:hAnsiTheme="minorEastAsia" w:eastAsiaTheme="minorEastAsia" w:cstheme="minorEastAsia"/>
                <w:snapToGrid w:val="0"/>
                <w:kern w:val="28"/>
                <w:sz w:val="22"/>
                <w:szCs w:val="22"/>
                <w:highlight w:val="none"/>
              </w:rPr>
              <w:t>联合体投标的，联合体各方均需按招标文件第四部分评标标准要求提供资信证明文件，否则视为不符合相关要求。</w:t>
            </w:r>
          </w:p>
          <w:p w14:paraId="5EBE2945">
            <w:pPr>
              <w:spacing w:line="400" w:lineRule="exact"/>
              <w:rPr>
                <w:rFonts w:hint="eastAsia" w:asciiTheme="minorEastAsia" w:hAnsiTheme="minorEastAsia" w:eastAsiaTheme="minorEastAsia" w:cstheme="minorEastAsia"/>
                <w:snapToGrid w:val="0"/>
                <w:kern w:val="28"/>
                <w:sz w:val="22"/>
                <w:szCs w:val="22"/>
                <w:highlight w:val="none"/>
              </w:rPr>
            </w:pPr>
            <w:sdt>
              <w:sdtPr>
                <w:rPr>
                  <w:rFonts w:hint="eastAsia" w:asciiTheme="minorEastAsia" w:hAnsiTheme="minorEastAsia" w:eastAsiaTheme="minorEastAsia" w:cstheme="minorEastAsia"/>
                  <w:kern w:val="0"/>
                  <w:sz w:val="22"/>
                  <w:szCs w:val="22"/>
                  <w:highlight w:val="none"/>
                </w:rPr>
                <w:id w:val="147456983"/>
              </w:sdtPr>
              <w:sdtEndPr>
                <w:rPr>
                  <w:rFonts w:hint="eastAsia" w:asciiTheme="minorEastAsia" w:hAnsiTheme="minorEastAsia" w:eastAsiaTheme="minorEastAsia" w:cstheme="minorEastAsia"/>
                  <w:kern w:val="0"/>
                  <w:sz w:val="22"/>
                  <w:szCs w:val="22"/>
                  <w:highlight w:val="none"/>
                </w:rPr>
              </w:sdtEndPr>
              <w:sdtContent>
                <w:r>
                  <w:rPr>
                    <w:rFonts w:hint="eastAsia" w:asciiTheme="minorEastAsia" w:hAnsiTheme="minorEastAsia" w:eastAsiaTheme="minorEastAsia" w:cstheme="minorEastAsia"/>
                    <w:color w:val="C00000"/>
                    <w:kern w:val="0"/>
                    <w:sz w:val="22"/>
                    <w:szCs w:val="22"/>
                    <w:highlight w:val="none"/>
                  </w:rPr>
                  <w:sym w:font="Wingdings" w:char="00A8"/>
                </w:r>
              </w:sdtContent>
            </w:sdt>
            <w:r>
              <w:rPr>
                <w:rFonts w:hint="eastAsia" w:asciiTheme="minorEastAsia" w:hAnsiTheme="minorEastAsia" w:eastAsiaTheme="minorEastAsia" w:cstheme="minorEastAsia"/>
                <w:snapToGrid w:val="0"/>
                <w:kern w:val="28"/>
                <w:sz w:val="22"/>
                <w:szCs w:val="22"/>
                <w:highlight w:val="none"/>
              </w:rPr>
              <w:t>联合体投标的，联合体中有一方或者联合体成员根据分工按招标文件第四部分评标标准要求提供资信证明文件的，视为符合了相关要求。</w:t>
            </w:r>
          </w:p>
        </w:tc>
      </w:tr>
      <w:tr w14:paraId="4EDD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50" w:type="dxa"/>
            <w:vMerge w:val="continue"/>
            <w:shd w:val="clear" w:color="auto" w:fill="auto"/>
            <w:vAlign w:val="center"/>
          </w:tcPr>
          <w:p w14:paraId="313D3398">
            <w:pPr>
              <w:snapToGrid w:val="0"/>
              <w:spacing w:line="400" w:lineRule="exact"/>
              <w:jc w:val="center"/>
              <w:rPr>
                <w:rFonts w:hint="eastAsia" w:asciiTheme="minorEastAsia" w:hAnsiTheme="minorEastAsia" w:eastAsiaTheme="minorEastAsia" w:cstheme="minorEastAsia"/>
                <w:kern w:val="2"/>
                <w:sz w:val="22"/>
                <w:szCs w:val="22"/>
                <w:highlight w:val="none"/>
                <w:lang w:val="en-US" w:eastAsia="zh-CN" w:bidi="ar-SA"/>
              </w:rPr>
            </w:pPr>
          </w:p>
        </w:tc>
        <w:tc>
          <w:tcPr>
            <w:tcW w:w="1700" w:type="dxa"/>
            <w:vMerge w:val="continue"/>
            <w:vAlign w:val="center"/>
          </w:tcPr>
          <w:p w14:paraId="4BE895ED">
            <w:pPr>
              <w:snapToGrid w:val="0"/>
              <w:spacing w:line="400" w:lineRule="exact"/>
              <w:jc w:val="center"/>
              <w:rPr>
                <w:rFonts w:hint="eastAsia" w:asciiTheme="minorEastAsia" w:hAnsiTheme="minorEastAsia" w:eastAsiaTheme="minorEastAsia" w:cstheme="minorEastAsia"/>
                <w:b/>
                <w:sz w:val="22"/>
                <w:szCs w:val="22"/>
                <w:highlight w:val="none"/>
              </w:rPr>
            </w:pPr>
          </w:p>
        </w:tc>
        <w:tc>
          <w:tcPr>
            <w:tcW w:w="7712" w:type="dxa"/>
            <w:vAlign w:val="center"/>
          </w:tcPr>
          <w:p w14:paraId="4EBAA174">
            <w:pPr>
              <w:spacing w:line="400" w:lineRule="exact"/>
              <w:rPr>
                <w:rFonts w:hint="eastAsia" w:asciiTheme="minorEastAsia" w:hAnsiTheme="minorEastAsia" w:eastAsiaTheme="minorEastAsia" w:cstheme="minorEastAsia"/>
                <w:snapToGrid w:val="0"/>
                <w:kern w:val="28"/>
                <w:sz w:val="22"/>
                <w:szCs w:val="22"/>
                <w:highlight w:val="none"/>
              </w:rPr>
            </w:pPr>
            <w:r>
              <w:rPr>
                <w:rFonts w:hint="eastAsia" w:asciiTheme="minorEastAsia" w:hAnsiTheme="minorEastAsia" w:eastAsiaTheme="minorEastAsia" w:cstheme="minorEastAsia"/>
                <w:kern w:val="0"/>
                <w:sz w:val="22"/>
                <w:szCs w:val="22"/>
                <w:highlight w:val="none"/>
              </w:rPr>
              <w:t>本项目推荐的中标候选人数量：</w:t>
            </w:r>
            <w:r>
              <w:rPr>
                <w:rFonts w:hint="eastAsia" w:asciiTheme="minorEastAsia" w:hAnsiTheme="minorEastAsia" w:eastAsiaTheme="minorEastAsia" w:cstheme="minorEastAsia"/>
                <w:kern w:val="0"/>
                <w:sz w:val="22"/>
                <w:szCs w:val="22"/>
                <w:highlight w:val="none"/>
                <w:u w:val="single"/>
                <w:lang w:val="en-US" w:eastAsia="zh-CN"/>
              </w:rPr>
              <w:t>1</w:t>
            </w:r>
            <w:r>
              <w:rPr>
                <w:rFonts w:hint="eastAsia" w:asciiTheme="minorEastAsia" w:hAnsiTheme="minorEastAsia" w:eastAsiaTheme="minorEastAsia" w:cstheme="minorEastAsia"/>
                <w:kern w:val="0"/>
                <w:sz w:val="22"/>
                <w:szCs w:val="22"/>
                <w:highlight w:val="none"/>
                <w:u w:val="single"/>
              </w:rPr>
              <w:t xml:space="preserve">名 </w:t>
            </w:r>
            <w:r>
              <w:rPr>
                <w:rFonts w:hint="eastAsia" w:asciiTheme="minorEastAsia" w:hAnsiTheme="minorEastAsia" w:eastAsiaTheme="minorEastAsia" w:cstheme="minorEastAsia"/>
                <w:kern w:val="0"/>
                <w:sz w:val="22"/>
                <w:szCs w:val="22"/>
                <w:highlight w:val="none"/>
              </w:rPr>
              <w:t>。</w:t>
            </w:r>
          </w:p>
        </w:tc>
      </w:tr>
      <w:tr w14:paraId="1148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shd w:val="clear" w:color="auto" w:fill="auto"/>
            <w:vAlign w:val="center"/>
          </w:tcPr>
          <w:p w14:paraId="722EC4D1">
            <w:pPr>
              <w:snapToGrid w:val="0"/>
              <w:spacing w:line="400" w:lineRule="exact"/>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15</w:t>
            </w:r>
          </w:p>
        </w:tc>
        <w:tc>
          <w:tcPr>
            <w:tcW w:w="1700" w:type="dxa"/>
            <w:vAlign w:val="center"/>
          </w:tcPr>
          <w:p w14:paraId="39B4D1DA">
            <w:pPr>
              <w:snapToGrid w:val="0"/>
              <w:spacing w:line="400" w:lineRule="exact"/>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代理费用、论证费收取方式及标准</w:t>
            </w:r>
          </w:p>
        </w:tc>
        <w:tc>
          <w:tcPr>
            <w:tcW w:w="7712" w:type="dxa"/>
            <w:vAlign w:val="center"/>
          </w:tcPr>
          <w:p w14:paraId="69BFB4C8">
            <w:pPr>
              <w:widowControl/>
              <w:wordWrap w:val="0"/>
              <w:spacing w:line="360" w:lineRule="auto"/>
              <w:jc w:val="left"/>
              <w:outlineLvl w:val="0"/>
              <w:rPr>
                <w:rFonts w:hint="eastAsia" w:ascii="宋体" w:hAnsi="宋体" w:cs="宋体"/>
                <w:b/>
                <w:bCs/>
                <w:sz w:val="22"/>
                <w:highlight w:val="none"/>
              </w:rPr>
            </w:pPr>
            <w:bookmarkStart w:id="9" w:name="_Toc14045"/>
            <w:r>
              <w:rPr>
                <w:rFonts w:hint="eastAsia" w:ascii="宋体" w:hAnsi="宋体" w:cs="宋体"/>
                <w:b/>
                <w:bCs/>
                <w:spacing w:val="-6"/>
                <w:sz w:val="22"/>
                <w:szCs w:val="22"/>
                <w:highlight w:val="none"/>
              </w:rPr>
              <w:t>1、</w:t>
            </w:r>
            <w:r>
              <w:rPr>
                <w:rFonts w:hint="eastAsia" w:ascii="宋体" w:hAnsi="宋体" w:cs="宋体"/>
                <w:kern w:val="0"/>
                <w:sz w:val="22"/>
                <w:szCs w:val="22"/>
                <w:highlight w:val="none"/>
              </w:rPr>
              <w:t>本次招标(采购)代理服务费根据国家计委计价格【2002】1980号《招标代理服务收费管理暂行办法》规定按中标金额的差额定率累计法计算收取,由中标人在领取中标通知书之前支付给采购代理机构。</w:t>
            </w:r>
            <w:bookmarkEnd w:id="9"/>
          </w:p>
          <w:p w14:paraId="0E07257D">
            <w:pPr>
              <w:spacing w:line="400" w:lineRule="exact"/>
              <w:rPr>
                <w:rFonts w:hint="eastAsia" w:ascii="宋体" w:hAnsi="宋体" w:cs="宋体"/>
                <w:sz w:val="22"/>
                <w:highlight w:val="none"/>
              </w:rPr>
            </w:pPr>
            <w:r>
              <w:rPr>
                <w:rFonts w:hint="eastAsia" w:asciiTheme="minorEastAsia" w:hAnsiTheme="minorEastAsia" w:eastAsiaTheme="minorEastAsia" w:cstheme="minorEastAsia"/>
                <w:kern w:val="0"/>
                <w:sz w:val="22"/>
                <w:szCs w:val="22"/>
                <w:highlight w:val="none"/>
              </w:rPr>
              <w:t>2、中标人放弃中标资格导致重新采购的，应当承担支付代理服务费、论证费等费用在内的赔偿责任。</w:t>
            </w:r>
            <w:r>
              <w:rPr>
                <w:rFonts w:hint="eastAsia" w:ascii="宋体" w:hAnsi="宋体" w:cs="宋体"/>
                <w:b/>
                <w:bCs/>
                <w:sz w:val="22"/>
                <w:highlight w:val="none"/>
              </w:rPr>
              <w:t>请各投标人将以上费用包含在投标总报价中，但不单独列出。</w:t>
            </w:r>
            <w:r>
              <w:rPr>
                <w:rFonts w:hint="eastAsia" w:ascii="宋体" w:hAnsi="宋体" w:cs="宋体"/>
                <w:sz w:val="22"/>
                <w:highlight w:val="none"/>
              </w:rPr>
              <w:t>以上费用可以是现金、支票或汇票。</w:t>
            </w:r>
          </w:p>
          <w:p w14:paraId="663209B2">
            <w:pPr>
              <w:spacing w:line="400" w:lineRule="exact"/>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户  名：</w:t>
            </w:r>
            <w:r>
              <w:rPr>
                <w:rFonts w:hint="eastAsia" w:asciiTheme="minorEastAsia" w:hAnsiTheme="minorEastAsia" w:eastAsiaTheme="minorEastAsia" w:cstheme="minorEastAsia"/>
                <w:kern w:val="0"/>
                <w:sz w:val="22"/>
                <w:szCs w:val="22"/>
                <w:highlight w:val="none"/>
                <w:lang w:eastAsia="zh-CN"/>
              </w:rPr>
              <w:t>浙江晟业工程咨询有限公司</w:t>
            </w:r>
            <w:r>
              <w:rPr>
                <w:rFonts w:hint="eastAsia" w:asciiTheme="minorEastAsia" w:hAnsiTheme="minorEastAsia" w:eastAsiaTheme="minorEastAsia" w:cstheme="minorEastAsia"/>
                <w:kern w:val="0"/>
                <w:sz w:val="22"/>
                <w:szCs w:val="22"/>
                <w:highlight w:val="none"/>
              </w:rPr>
              <w:t xml:space="preserve">龙港分公司 </w:t>
            </w:r>
          </w:p>
          <w:p w14:paraId="533FD952">
            <w:pPr>
              <w:spacing w:line="400" w:lineRule="exact"/>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 xml:space="preserve"> 帐  号：</w:t>
            </w:r>
            <w:r>
              <w:rPr>
                <w:rFonts w:hint="eastAsia" w:asciiTheme="minorEastAsia" w:hAnsiTheme="minorEastAsia" w:eastAsiaTheme="minorEastAsia" w:cstheme="minorEastAsia"/>
                <w:kern w:val="0"/>
                <w:sz w:val="22"/>
                <w:szCs w:val="22"/>
                <w:highlight w:val="none"/>
                <w:lang w:val="en-US" w:eastAsia="zh-CN"/>
              </w:rPr>
              <w:t>19255601040071885</w:t>
            </w:r>
            <w:r>
              <w:rPr>
                <w:rFonts w:hint="eastAsia" w:asciiTheme="minorEastAsia" w:hAnsiTheme="minorEastAsia" w:eastAsiaTheme="minorEastAsia" w:cstheme="minorEastAsia"/>
                <w:kern w:val="0"/>
                <w:sz w:val="22"/>
                <w:szCs w:val="22"/>
                <w:highlight w:val="none"/>
              </w:rPr>
              <w:tab/>
            </w:r>
          </w:p>
          <w:p w14:paraId="765D676F">
            <w:pPr>
              <w:spacing w:line="400" w:lineRule="exact"/>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开户银行：</w:t>
            </w:r>
            <w:r>
              <w:rPr>
                <w:rFonts w:hint="eastAsia" w:asciiTheme="minorEastAsia" w:hAnsiTheme="minorEastAsia" w:eastAsiaTheme="minorEastAsia" w:cstheme="minorEastAsia"/>
                <w:kern w:val="0"/>
                <w:sz w:val="22"/>
                <w:szCs w:val="22"/>
                <w:highlight w:val="none"/>
                <w:lang w:eastAsia="zh-CN"/>
              </w:rPr>
              <w:t>中国农业银行股份有限公司龙港市支行</w:t>
            </w:r>
          </w:p>
        </w:tc>
      </w:tr>
      <w:tr w14:paraId="5F2C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7FE6106F">
            <w:pPr>
              <w:snapToGrid w:val="0"/>
              <w:spacing w:line="400" w:lineRule="exact"/>
              <w:jc w:val="center"/>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16</w:t>
            </w:r>
          </w:p>
        </w:tc>
        <w:tc>
          <w:tcPr>
            <w:tcW w:w="1700" w:type="dxa"/>
            <w:vAlign w:val="center"/>
          </w:tcPr>
          <w:p w14:paraId="3519DB10">
            <w:pPr>
              <w:snapToGrid w:val="0"/>
              <w:spacing w:line="400" w:lineRule="exact"/>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特别提醒</w:t>
            </w:r>
          </w:p>
        </w:tc>
        <w:tc>
          <w:tcPr>
            <w:tcW w:w="7712" w:type="dxa"/>
            <w:vAlign w:val="center"/>
          </w:tcPr>
          <w:p w14:paraId="0C32A0BB">
            <w:pPr>
              <w:pStyle w:val="23"/>
              <w:autoSpaceDE/>
              <w:autoSpaceDN/>
              <w:snapToGrid w:val="0"/>
              <w:spacing w:line="400" w:lineRule="exact"/>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lang w:val="en-US"/>
              </w:rPr>
              <w:t>1、</w:t>
            </w:r>
            <w:r>
              <w:rPr>
                <w:rFonts w:hint="eastAsia" w:asciiTheme="minorEastAsia" w:hAnsiTheme="minorEastAsia" w:eastAsiaTheme="minorEastAsia" w:cstheme="minorEastAsia"/>
                <w:b/>
                <w:bCs/>
                <w:sz w:val="22"/>
                <w:szCs w:val="22"/>
                <w:highlight w:val="none"/>
              </w:rPr>
              <w:t>参与同一个采购包（标段）的投标人存在下列情形之一的，且</w:t>
            </w:r>
            <w:r>
              <w:rPr>
                <w:rFonts w:hint="eastAsia" w:asciiTheme="minorEastAsia" w:hAnsiTheme="minorEastAsia" w:eastAsiaTheme="minorEastAsia" w:cstheme="minorEastAsia"/>
                <w:b/>
                <w:bCs/>
                <w:kern w:val="0"/>
                <w:sz w:val="22"/>
                <w:szCs w:val="22"/>
                <w:highlight w:val="none"/>
                <w:lang w:val="en-US"/>
              </w:rPr>
              <w:t>投标人无法做出合理解释的</w:t>
            </w:r>
            <w:r>
              <w:rPr>
                <w:rFonts w:hint="eastAsia" w:asciiTheme="minorEastAsia" w:hAnsiTheme="minorEastAsia" w:eastAsiaTheme="minorEastAsia" w:cstheme="minorEastAsia"/>
                <w:b/>
                <w:bCs/>
                <w:sz w:val="22"/>
                <w:szCs w:val="22"/>
                <w:highlight w:val="none"/>
              </w:rPr>
              <w:t>，其投标（响应）文件无效：</w:t>
            </w:r>
          </w:p>
          <w:p w14:paraId="11FA76B8">
            <w:pPr>
              <w:pStyle w:val="23"/>
              <w:autoSpaceDE/>
              <w:autoSpaceDN/>
              <w:snapToGrid w:val="0"/>
              <w:spacing w:line="400" w:lineRule="exact"/>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（1）不同投标人的电子投标（响应）文件上传计算机的IP地址、网卡MAC地址、CPU序列号和硬盘序列号等硬件信息相同的；</w:t>
            </w:r>
          </w:p>
          <w:p w14:paraId="552965C1">
            <w:pPr>
              <w:pStyle w:val="23"/>
              <w:autoSpaceDE/>
              <w:autoSpaceDN/>
              <w:snapToGrid w:val="0"/>
              <w:spacing w:line="400" w:lineRule="exact"/>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（2）上传的电子投标（响应）文件若出现使用本项目其他投标（响应）投标人的数字证书加密的，或者加盖本项目其他投标（响应）投标人的电子印章的；</w:t>
            </w:r>
          </w:p>
          <w:p w14:paraId="6B66F6B0">
            <w:pPr>
              <w:pStyle w:val="23"/>
              <w:autoSpaceDE/>
              <w:autoSpaceDN/>
              <w:snapToGrid w:val="0"/>
              <w:spacing w:line="400" w:lineRule="exact"/>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（3）不同投标人的投标（响应）文件的内容存在三处（含）以上错误一致；</w:t>
            </w:r>
          </w:p>
          <w:p w14:paraId="58151490">
            <w:pPr>
              <w:pStyle w:val="23"/>
              <w:autoSpaceDE/>
              <w:autoSpaceDN/>
              <w:snapToGrid w:val="0"/>
              <w:spacing w:line="400" w:lineRule="exact"/>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（4）不同投标人联系人为同一人或不同联系人的联系电话一致。</w:t>
            </w:r>
          </w:p>
          <w:p w14:paraId="3CBF175C">
            <w:pPr>
              <w:pStyle w:val="23"/>
              <w:autoSpaceDE/>
              <w:autoSpaceDN/>
              <w:snapToGrid w:val="0"/>
              <w:spacing w:line="400" w:lineRule="exact"/>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b/>
                <w:bCs/>
                <w:sz w:val="22"/>
                <w:szCs w:val="22"/>
                <w:highlight w:val="none"/>
                <w:lang w:val="en-US"/>
              </w:rPr>
              <w:t>2、根据《浙江省财政厅关于进一步规范政府采购秩序促进公平竞争的通知》（浙财采监〔2025〕2号文件）的要求，在评审结束后、合同签订前，采购人、采购代理机构将通过网站查询、原件核对等方式对中标（成交）投标人在投标（响应）文件中涉及客观分评审内容的业绩、检测报告、认证证书等资料的真实性进行复核，发现投标人提供虚假材料的，将书面报告本级财政部门。</w:t>
            </w:r>
          </w:p>
        </w:tc>
      </w:tr>
      <w:bookmarkEnd w:id="4"/>
    </w:tbl>
    <w:p w14:paraId="23EE550D">
      <w:pPr>
        <w:rPr>
          <w:highlight w:val="none"/>
        </w:rPr>
        <w:sectPr>
          <w:pgSz w:w="11906" w:h="16838"/>
          <w:pgMar w:top="1440" w:right="1080" w:bottom="1440" w:left="1080" w:header="851" w:footer="992" w:gutter="0"/>
          <w:cols w:space="720" w:num="1"/>
          <w:titlePg/>
          <w:docGrid w:linePitch="312" w:charSpace="0"/>
        </w:sectPr>
      </w:pPr>
      <w:bookmarkStart w:id="10" w:name="第三部分"/>
      <w:bookmarkStart w:id="11" w:name="_Toc164416483"/>
    </w:p>
    <w:p w14:paraId="65E87979">
      <w:pPr>
        <w:adjustRightInd/>
        <w:spacing w:line="360" w:lineRule="auto"/>
        <w:ind w:firstLine="3845" w:firstLineChars="1197"/>
        <w:outlineLvl w:val="0"/>
        <w:rPr>
          <w:rFonts w:hint="eastAsia" w:asciiTheme="minorEastAsia" w:hAnsiTheme="minorEastAsia" w:eastAsiaTheme="minorEastAsia" w:cstheme="minorEastAsia"/>
          <w:b/>
          <w:sz w:val="32"/>
          <w:szCs w:val="20"/>
          <w:highlight w:val="none"/>
        </w:rPr>
      </w:pPr>
      <w:bookmarkStart w:id="12" w:name="_Toc27845"/>
      <w:r>
        <w:rPr>
          <w:rFonts w:hint="eastAsia" w:asciiTheme="minorEastAsia" w:hAnsiTheme="minorEastAsia" w:eastAsiaTheme="minorEastAsia" w:cstheme="minorEastAsia"/>
          <w:b/>
          <w:sz w:val="32"/>
          <w:szCs w:val="20"/>
          <w:highlight w:val="none"/>
        </w:rPr>
        <w:t>一、总则</w:t>
      </w:r>
      <w:bookmarkEnd w:id="12"/>
    </w:p>
    <w:p w14:paraId="2AC969AF">
      <w:pPr>
        <w:snapToGrid w:val="0"/>
        <w:spacing w:line="400" w:lineRule="exact"/>
        <w:ind w:firstLine="442" w:firstLineChars="200"/>
        <w:jc w:val="left"/>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1. 适用范围</w:t>
      </w:r>
    </w:p>
    <w:p w14:paraId="3CEE6A56">
      <w:pPr>
        <w:snapToGrid w:val="0"/>
        <w:spacing w:line="400" w:lineRule="exact"/>
        <w:ind w:firstLine="440" w:firstLineChars="200"/>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本招标文件适用于该项目的招标、投标、开标、资格审查及信用信息查询、评标、定标、合同、验收等行为（法律、法规另有规定的，从其规定）。</w:t>
      </w:r>
    </w:p>
    <w:p w14:paraId="2C2C3BE1">
      <w:pPr>
        <w:snapToGrid w:val="0"/>
        <w:spacing w:line="400" w:lineRule="exact"/>
        <w:ind w:firstLine="442" w:firstLineChars="200"/>
        <w:jc w:val="left"/>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2.</w:t>
      </w:r>
      <w:r>
        <w:rPr>
          <w:rFonts w:hint="eastAsia" w:asciiTheme="minorEastAsia" w:hAnsiTheme="minorEastAsia" w:eastAsiaTheme="minorEastAsia" w:cstheme="minorEastAsia"/>
          <w:b/>
          <w:bCs/>
          <w:sz w:val="22"/>
          <w:szCs w:val="22"/>
          <w:highlight w:val="none"/>
        </w:rPr>
        <w:t>定义</w:t>
      </w:r>
    </w:p>
    <w:p w14:paraId="1EF8DF2E">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2.1 “</w:t>
      </w:r>
      <w:r>
        <w:rPr>
          <w:rFonts w:hint="eastAsia" w:asciiTheme="minorEastAsia" w:hAnsiTheme="minorEastAsia" w:eastAsiaTheme="minorEastAsia" w:cstheme="minorEastAsia"/>
          <w:sz w:val="22"/>
          <w:szCs w:val="22"/>
          <w:highlight w:val="none"/>
          <w:lang w:eastAsia="zh-CN"/>
        </w:rPr>
        <w:t>龙港市公安局交通管理大队</w:t>
      </w:r>
      <w:r>
        <w:rPr>
          <w:rFonts w:hint="eastAsia" w:asciiTheme="minorEastAsia" w:hAnsiTheme="minorEastAsia" w:eastAsiaTheme="minorEastAsia" w:cstheme="minorEastAsia"/>
          <w:sz w:val="22"/>
          <w:szCs w:val="22"/>
          <w:highlight w:val="none"/>
        </w:rPr>
        <w:t>”系指招标公告中载明的本项目的采购人。</w:t>
      </w:r>
    </w:p>
    <w:p w14:paraId="60B97D4F">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2.2 “</w:t>
      </w:r>
      <w:r>
        <w:rPr>
          <w:rFonts w:hint="eastAsia" w:asciiTheme="minorEastAsia" w:hAnsiTheme="minorEastAsia" w:eastAsiaTheme="minorEastAsia" w:cstheme="minorEastAsia"/>
          <w:sz w:val="22"/>
          <w:szCs w:val="22"/>
          <w:highlight w:val="none"/>
          <w:lang w:eastAsia="zh-CN"/>
        </w:rPr>
        <w:t>浙江晟业工程咨询有限公司</w:t>
      </w:r>
      <w:r>
        <w:rPr>
          <w:rFonts w:hint="eastAsia" w:asciiTheme="minorEastAsia" w:hAnsiTheme="minorEastAsia" w:eastAsiaTheme="minorEastAsia" w:cstheme="minorEastAsia"/>
          <w:sz w:val="22"/>
          <w:szCs w:val="22"/>
          <w:highlight w:val="none"/>
        </w:rPr>
        <w:t>”系指招标公告中载明的本项目的采购代理机构。</w:t>
      </w:r>
    </w:p>
    <w:p w14:paraId="70759057">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2.3 “投标人”系指响应招标、参加投标竞争的法人、其他组织或者自然人。</w:t>
      </w:r>
    </w:p>
    <w:p w14:paraId="5DA1B7F8">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2.4 “负责人”系指法人企业的法定负责人，或其他组织为法律、行政法规规定代表单位行使职权的主要负责人，或自然人本人。</w:t>
      </w:r>
    </w:p>
    <w:p w14:paraId="6BED4CAD">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2）。</w:t>
      </w:r>
    </w:p>
    <w:p w14:paraId="3BFA1077">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2.6“电子交易平台”系指本项目政府采购活动所依托的政府采购云平台（https://www.zcygov.cn/）。</w:t>
      </w:r>
    </w:p>
    <w:p w14:paraId="6AA98C79">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2.7 “▲加下划线” 系指实质性要求条款，“</w:t>
      </w:r>
      <w:sdt>
        <w:sdtPr>
          <w:rPr>
            <w:rFonts w:hint="eastAsia" w:asciiTheme="minorEastAsia" w:hAnsiTheme="minorEastAsia" w:eastAsiaTheme="minorEastAsia" w:cstheme="minorEastAsia"/>
            <w:kern w:val="0"/>
            <w:sz w:val="22"/>
            <w:szCs w:val="22"/>
            <w:highlight w:val="none"/>
          </w:rPr>
          <w:id w:val="512970236"/>
        </w:sdtPr>
        <w:sdtEndPr>
          <w:rPr>
            <w:rFonts w:hint="eastAsia" w:asciiTheme="minorEastAsia" w:hAnsiTheme="minorEastAsia" w:eastAsiaTheme="minorEastAsia" w:cstheme="minorEastAsia"/>
            <w:kern w:val="0"/>
            <w:sz w:val="22"/>
            <w:szCs w:val="22"/>
            <w:highlight w:val="none"/>
          </w:rPr>
        </w:sdtEndPr>
        <w:sdtContent>
          <w:sdt>
            <w:sdtPr>
              <w:rPr>
                <w:rFonts w:hint="eastAsia" w:asciiTheme="minorEastAsia" w:hAnsiTheme="minorEastAsia" w:eastAsiaTheme="minorEastAsia" w:cstheme="minorEastAsia"/>
                <w:kern w:val="0"/>
                <w:sz w:val="22"/>
                <w:szCs w:val="22"/>
                <w:highlight w:val="none"/>
              </w:rPr>
              <w:id w:val="147458566"/>
            </w:sdtPr>
            <w:sdtEndPr>
              <w:rPr>
                <w:rFonts w:hint="eastAsia" w:asciiTheme="minorEastAsia" w:hAnsiTheme="minorEastAsia" w:eastAsiaTheme="minorEastAsia" w:cstheme="minorEastAsia"/>
                <w:kern w:val="0"/>
                <w:sz w:val="22"/>
                <w:szCs w:val="22"/>
                <w:highlight w:val="none"/>
              </w:rPr>
            </w:sdtEndPr>
            <w:sdtContent>
              <w:r>
                <w:rPr>
                  <w:rFonts w:hint="eastAsia" w:asciiTheme="minorEastAsia" w:hAnsiTheme="minorEastAsia" w:eastAsiaTheme="minorEastAsia" w:cstheme="minorEastAsia"/>
                  <w:kern w:val="0"/>
                  <w:sz w:val="22"/>
                  <w:szCs w:val="22"/>
                  <w:highlight w:val="none"/>
                </w:rPr>
                <w:sym w:font="Wingdings" w:char="00FE"/>
              </w:r>
            </w:sdtContent>
          </w:sdt>
        </w:sdtContent>
      </w:sdt>
      <w:r>
        <w:rPr>
          <w:rFonts w:hint="eastAsia" w:asciiTheme="minorEastAsia" w:hAnsiTheme="minorEastAsia" w:eastAsiaTheme="minorEastAsia" w:cstheme="minorEastAsia"/>
          <w:sz w:val="22"/>
          <w:szCs w:val="22"/>
          <w:highlight w:val="none"/>
        </w:rPr>
        <w:t>”或“</w:t>
      </w:r>
      <w:sdt>
        <w:sdtPr>
          <w:rPr>
            <w:rFonts w:hint="eastAsia" w:asciiTheme="minorEastAsia" w:hAnsiTheme="minorEastAsia" w:eastAsiaTheme="minorEastAsia" w:cstheme="minorEastAsia"/>
            <w:kern w:val="0"/>
            <w:sz w:val="22"/>
            <w:szCs w:val="22"/>
            <w:highlight w:val="none"/>
          </w:rPr>
          <w:id w:val="147467183"/>
        </w:sdtPr>
        <w:sdtEndPr>
          <w:rPr>
            <w:rFonts w:hint="eastAsia" w:asciiTheme="minorEastAsia" w:hAnsiTheme="minorEastAsia" w:eastAsiaTheme="minorEastAsia" w:cstheme="minorEastAsia"/>
            <w:kern w:val="0"/>
            <w:sz w:val="22"/>
            <w:szCs w:val="22"/>
            <w:highlight w:val="none"/>
          </w:rPr>
        </w:sdtEndPr>
        <w:sdtContent>
          <w:r>
            <w:rPr>
              <w:rFonts w:hint="eastAsia" w:ascii="仿宋" w:hAnsi="仿宋" w:eastAsia="仿宋" w:cs="仿宋"/>
              <w:sz w:val="22"/>
              <w:szCs w:val="22"/>
              <w:highlight w:val="none"/>
            </w:rPr>
            <w:t>■</w:t>
          </w:r>
        </w:sdtContent>
      </w:sdt>
      <w:r>
        <w:rPr>
          <w:rFonts w:hint="eastAsia" w:asciiTheme="minorEastAsia" w:hAnsiTheme="minorEastAsia" w:eastAsiaTheme="minorEastAsia" w:cstheme="minorEastAsia"/>
          <w:sz w:val="22"/>
          <w:szCs w:val="22"/>
          <w:highlight w:val="none"/>
        </w:rPr>
        <w:t>” 系指适用本项目的要求，“</w:t>
      </w:r>
      <w:sdt>
        <w:sdtPr>
          <w:rPr>
            <w:rFonts w:hint="eastAsia" w:asciiTheme="minorEastAsia" w:hAnsiTheme="minorEastAsia" w:eastAsiaTheme="minorEastAsia" w:cstheme="minorEastAsia"/>
            <w:kern w:val="0"/>
            <w:sz w:val="22"/>
            <w:szCs w:val="22"/>
            <w:highlight w:val="none"/>
          </w:rPr>
          <w:id w:val="404888855"/>
        </w:sdtPr>
        <w:sdtEndPr>
          <w:rPr>
            <w:rFonts w:hint="eastAsia" w:asciiTheme="minorEastAsia" w:hAnsiTheme="minorEastAsia" w:eastAsiaTheme="minorEastAsia" w:cstheme="minorEastAsia"/>
            <w:kern w:val="0"/>
            <w:sz w:val="22"/>
            <w:szCs w:val="22"/>
            <w:highlight w:val="none"/>
          </w:rPr>
        </w:sdtEndPr>
        <w:sdtContent>
          <w:r>
            <w:rPr>
              <w:rFonts w:hint="eastAsia" w:asciiTheme="minorEastAsia" w:hAnsiTheme="minorEastAsia" w:eastAsiaTheme="minorEastAsia" w:cstheme="minorEastAsia"/>
              <w:kern w:val="0"/>
              <w:sz w:val="22"/>
              <w:szCs w:val="22"/>
              <w:highlight w:val="none"/>
            </w:rPr>
            <w:t>☐</w:t>
          </w:r>
        </w:sdtContent>
      </w:sdt>
      <w:r>
        <w:rPr>
          <w:rFonts w:hint="eastAsia" w:asciiTheme="minorEastAsia" w:hAnsiTheme="minorEastAsia" w:eastAsiaTheme="minorEastAsia" w:cstheme="minorEastAsia"/>
          <w:sz w:val="22"/>
          <w:szCs w:val="22"/>
          <w:highlight w:val="none"/>
        </w:rPr>
        <w:t>” 系指不适用本项目的要求。</w:t>
      </w:r>
    </w:p>
    <w:p w14:paraId="069533EE">
      <w:pPr>
        <w:snapToGrid w:val="0"/>
        <w:spacing w:line="400" w:lineRule="exact"/>
        <w:ind w:firstLine="442" w:firstLineChars="200"/>
        <w:jc w:val="left"/>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3.采购项目需要落实的政府采购政策</w:t>
      </w:r>
    </w:p>
    <w:p w14:paraId="1523ADBF">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Theme="minorEastAsia" w:hAnsiTheme="minorEastAsia" w:eastAsiaTheme="minorEastAsia" w:cstheme="minorEastAsia"/>
          <w:kern w:val="0"/>
          <w:sz w:val="22"/>
          <w:szCs w:val="22"/>
          <w:highlight w:val="none"/>
        </w:rPr>
        <w:t>优先采购向我国企业转让技术、与我国企业签订消化吸收再创新方案的投标人的进口产品</w:t>
      </w:r>
      <w:r>
        <w:rPr>
          <w:rFonts w:hint="eastAsia" w:asciiTheme="minorEastAsia" w:hAnsiTheme="minorEastAsia" w:eastAsiaTheme="minorEastAsia" w:cstheme="minorEastAsia"/>
          <w:sz w:val="22"/>
          <w:szCs w:val="22"/>
          <w:highlight w:val="none"/>
        </w:rPr>
        <w:t>。</w:t>
      </w:r>
    </w:p>
    <w:p w14:paraId="73835C24">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3.2 支持绿色发展</w:t>
      </w:r>
    </w:p>
    <w:p w14:paraId="74F17B4E">
      <w:pPr>
        <w:spacing w:line="400" w:lineRule="exact"/>
        <w:ind w:firstLine="440" w:firstLineChars="200"/>
        <w:rPr>
          <w:rFonts w:hint="eastAsia" w:asciiTheme="minorEastAsia" w:hAnsiTheme="minorEastAsia" w:eastAsiaTheme="minorEastAsia" w:cstheme="minorEastAsia"/>
          <w:b/>
          <w:sz w:val="22"/>
          <w:szCs w:val="22"/>
          <w:highlight w:val="none"/>
          <w:u w:val="single"/>
        </w:rPr>
      </w:pPr>
      <w:r>
        <w:rPr>
          <w:rFonts w:hint="eastAsia" w:asciiTheme="minorEastAsia" w:hAnsiTheme="minorEastAsia" w:eastAsiaTheme="minorEastAsia" w:cstheme="minorEastAsia"/>
          <w:sz w:val="22"/>
          <w:szCs w:val="22"/>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Theme="minorEastAsia" w:hAnsiTheme="minorEastAsia" w:eastAsiaTheme="minorEastAsia" w:cstheme="minorEastAsia"/>
          <w:b/>
          <w:sz w:val="22"/>
          <w:szCs w:val="22"/>
          <w:highlight w:val="none"/>
        </w:rPr>
        <w:t>▲</w:t>
      </w:r>
      <w:r>
        <w:rPr>
          <w:rFonts w:hint="eastAsia" w:asciiTheme="minorEastAsia" w:hAnsiTheme="minorEastAsia" w:eastAsiaTheme="minorEastAsia" w:cstheme="minorEastAsia"/>
          <w:b/>
          <w:sz w:val="22"/>
          <w:szCs w:val="22"/>
          <w:highlight w:val="none"/>
          <w:u w:val="single"/>
        </w:rPr>
        <w:t>采购人拟采购的产品属于政府强制采购的节能产品品目清单范围的，投标人相应的投标产品未获得国家确定的认证机构出具的、处于有效期之内的节能产品认证证书的，投标无效。</w:t>
      </w:r>
    </w:p>
    <w:p w14:paraId="7C2EE7A7">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3.2.2 纳入政府采购管理的修缮、装修类项目采购建材的，鼓励采购人将绿色建材性能、指标等作为实质性条件纳入采购文件和合同，具体性能指标要求参考相关绿色建材政府采购需求标准。</w:t>
      </w:r>
    </w:p>
    <w:p w14:paraId="451F7570">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3.2.3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bookmarkStart w:id="13" w:name="_Hlk107568539"/>
      <w:r>
        <w:rPr>
          <w:rFonts w:hint="eastAsia" w:asciiTheme="minorEastAsia" w:hAnsiTheme="minorEastAsia" w:eastAsiaTheme="minorEastAsia" w:cstheme="minorEastAsia"/>
          <w:sz w:val="22"/>
          <w:szCs w:val="22"/>
          <w:highlight w:val="none"/>
        </w:rPr>
        <w:t>鼓励采购人优先采购秸秆环保板材等资源综合利用产品。鼓励采购人优先采购绿色物流配送服务、提供新能源交通工具的租赁服务。</w:t>
      </w:r>
    </w:p>
    <w:p w14:paraId="7682CCAA">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3.2.4 鼓励投标人在参加政府采购过程中开展绿色设计、选择绿色材料、打造绿色制造工艺、开展绿色运输、做好废弃产品回收处理，实现产品全周期的绿色环保。鼓励采购人对其提高预付款比例、免收履约保证金。</w:t>
      </w:r>
      <w:bookmarkEnd w:id="13"/>
    </w:p>
    <w:p w14:paraId="025703CB">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3.3支持中小企业发展</w:t>
      </w:r>
    </w:p>
    <w:p w14:paraId="23506EF2">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398E623">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符合中小企业划分标准的个体工商户，在政府采购活动中视同中小企业。</w:t>
      </w:r>
    </w:p>
    <w:p w14:paraId="12232FFE">
      <w:pPr>
        <w:widowControl/>
        <w:spacing w:line="400" w:lineRule="exact"/>
        <w:ind w:firstLine="440" w:firstLineChars="200"/>
        <w:jc w:val="left"/>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bCs/>
          <w:sz w:val="22"/>
          <w:szCs w:val="22"/>
          <w:highlight w:val="none"/>
        </w:rPr>
        <w:t>3.3.2</w:t>
      </w:r>
      <w:r>
        <w:rPr>
          <w:rFonts w:hint="eastAsia" w:asciiTheme="minorEastAsia" w:hAnsiTheme="minorEastAsia" w:eastAsiaTheme="minorEastAsia" w:cstheme="minorEastAsia"/>
          <w:kern w:val="0"/>
          <w:sz w:val="22"/>
          <w:szCs w:val="22"/>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383DC78">
      <w:pPr>
        <w:widowControl/>
        <w:spacing w:line="400" w:lineRule="exact"/>
        <w:ind w:firstLine="440" w:firstLineChars="200"/>
        <w:jc w:val="left"/>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以联合体形式参加政府采购活动，联合体各方均为中小企业的，联合体视同中小企业。其中，联合体各方均为小微企业的，联合体视同小微企业。</w:t>
      </w:r>
    </w:p>
    <w:p w14:paraId="56F1F22C">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w:t>
      </w:r>
      <w:bookmarkStart w:id="14" w:name="_Hlk101132181"/>
      <w:r>
        <w:rPr>
          <w:rFonts w:hint="eastAsia" w:asciiTheme="minorEastAsia" w:hAnsiTheme="minorEastAsia" w:eastAsiaTheme="minorEastAsia" w:cstheme="minorEastAsia"/>
          <w:sz w:val="22"/>
          <w:szCs w:val="22"/>
          <w:highlight w:val="none"/>
        </w:rPr>
        <w:t>联合协议或者分包意向协议约定小微企业的合同份额占到合同总金额30%以上的</w:t>
      </w:r>
      <w:bookmarkEnd w:id="14"/>
      <w:r>
        <w:rPr>
          <w:rFonts w:hint="eastAsia" w:asciiTheme="minorEastAsia" w:hAnsiTheme="minorEastAsia" w:eastAsiaTheme="minorEastAsia" w:cstheme="minorEastAsia"/>
          <w:sz w:val="22"/>
          <w:szCs w:val="22"/>
          <w:highlight w:val="none"/>
        </w:rPr>
        <w:t>，对联合体或者大中型企业的报价给予4%的扣除，用扣除后的价格参加评审。组成联合体或者接受分包的小微企业与联合体内其他企业、分包企业之间存在直接控股、管理关系的，不享受价格扣除优惠政策。（本项目不适用）</w:t>
      </w:r>
    </w:p>
    <w:p w14:paraId="204F43BC">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3.3.4符合《关于促进残疾人就业政府采购政策的通知》（财库〔2017〕141号）规定的条件并提供《残疾人福利性单位声明函》（附件1）的残疾人福利性单位视同小型、微型企业；</w:t>
      </w:r>
    </w:p>
    <w:p w14:paraId="4082A075">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87801FD">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41C92ABC">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3.3.7中小企业享受扶持政策获得政府采购合同的，小微企业不得将合同分包给大中型企业，中型企业不得将合同分包给大型企业。</w:t>
      </w:r>
    </w:p>
    <w:p w14:paraId="56D6F74A">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3.4</w:t>
      </w:r>
      <w:r>
        <w:rPr>
          <w:rFonts w:hint="eastAsia" w:asciiTheme="minorEastAsia" w:hAnsiTheme="minorEastAsia" w:eastAsiaTheme="minorEastAsia" w:cstheme="minorEastAsia"/>
          <w:bCs/>
          <w:sz w:val="22"/>
          <w:szCs w:val="22"/>
          <w:highlight w:val="none"/>
        </w:rPr>
        <w:t>支持创新发展</w:t>
      </w:r>
    </w:p>
    <w:p w14:paraId="5D561E5B">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3.4.1 首台套、“制造精品”、“专精特新”等创新产品按规定享受政府采购支持政策。</w:t>
      </w:r>
    </w:p>
    <w:p w14:paraId="484731F7">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3.4.2 采购人应当贯彻落实知识产权保护相关法律法规，应当采购使用正版软件。</w:t>
      </w:r>
    </w:p>
    <w:p w14:paraId="29A6B56C">
      <w:pPr>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3.5平等对待内外资企业和符合条件的破产重整企业</w:t>
      </w:r>
    </w:p>
    <w:p w14:paraId="4B9E7244">
      <w:pPr>
        <w:spacing w:line="40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val="zh-CN"/>
        </w:rPr>
        <w:t>平等对待内外资企业和符合条件的破产重整企业，切实保障企业公平竞争，平等维护企业的合法利益。</w:t>
      </w:r>
      <w:r>
        <w:rPr>
          <w:rFonts w:hint="eastAsia" w:ascii="宋体" w:hAnsi="宋体" w:cs="宋体"/>
          <w:sz w:val="22"/>
          <w:szCs w:val="22"/>
          <w:highlight w:val="none"/>
        </w:rPr>
        <w:cr/>
      </w:r>
      <w:r>
        <w:rPr>
          <w:rFonts w:hint="eastAsia" w:ascii="宋体" w:hAnsi="宋体" w:cs="宋体"/>
          <w:sz w:val="22"/>
          <w:szCs w:val="22"/>
          <w:highlight w:val="none"/>
        </w:rPr>
        <w:t xml:space="preserve">    </w:t>
      </w:r>
      <w:r>
        <w:rPr>
          <w:rFonts w:hint="eastAsia" w:ascii="宋体" w:hAnsi="宋体" w:cs="宋体"/>
          <w:sz w:val="22"/>
          <w:szCs w:val="22"/>
          <w:highlight w:val="none"/>
          <w:lang w:val="zh-CN"/>
        </w:rPr>
        <w:t>4. 询问、质疑、投诉、补偿救济</w:t>
      </w:r>
    </w:p>
    <w:p w14:paraId="484B541E">
      <w:pPr>
        <w:spacing w:line="40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val="zh-CN"/>
        </w:rPr>
        <w:t>4.1在线询问、质疑、投诉</w:t>
      </w:r>
    </w:p>
    <w:p w14:paraId="2261F332">
      <w:pPr>
        <w:spacing w:line="40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val="zh-CN"/>
        </w:rPr>
        <w:t>根据《浙江省财政厅关于进一步促进政府采购公平竞争打造最优营商环境的通知》（浙财采监（2021）22号）文件关于“健全行政裁决机制”要求，鼓励投标人在线提起询问，路径为：政采云-项目采购-询问质疑投诉-询问列表；鼓励投标人在线提起质疑，路径为：政采云-项目采购-询问质疑投诉-质疑列表。质疑投标人对在线质疑答复不满意的，可在线提起投诉，路径为：浙江政府服务网-政府采购投诉处理-在线办理。</w:t>
      </w:r>
    </w:p>
    <w:p w14:paraId="352095A6">
      <w:pPr>
        <w:autoSpaceDE w:val="0"/>
        <w:autoSpaceDN w:val="0"/>
        <w:spacing w:line="400" w:lineRule="exact"/>
        <w:ind w:firstLine="440" w:firstLineChars="200"/>
        <w:jc w:val="left"/>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4.2投标人询问</w:t>
      </w:r>
    </w:p>
    <w:p w14:paraId="5E40B5D0">
      <w:pPr>
        <w:autoSpaceDE w:val="0"/>
        <w:autoSpaceDN w:val="0"/>
        <w:spacing w:line="400" w:lineRule="exact"/>
        <w:ind w:firstLine="440" w:firstLineChars="200"/>
        <w:jc w:val="left"/>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5DD09C09">
      <w:pPr>
        <w:autoSpaceDE w:val="0"/>
        <w:autoSpaceDN w:val="0"/>
        <w:spacing w:line="400" w:lineRule="exact"/>
        <w:ind w:firstLine="440" w:firstLineChars="200"/>
        <w:jc w:val="left"/>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4.3投标人质疑</w:t>
      </w:r>
    </w:p>
    <w:p w14:paraId="61FBABD7">
      <w:pPr>
        <w:pStyle w:val="34"/>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lang w:val="zh-CN"/>
        </w:rPr>
        <w:t>4.3</w:t>
      </w:r>
      <w:r>
        <w:rPr>
          <w:rFonts w:hint="eastAsia" w:asciiTheme="minorEastAsia" w:hAnsiTheme="minorEastAsia" w:eastAsiaTheme="minorEastAsia" w:cstheme="minorEastAsia"/>
          <w:sz w:val="22"/>
          <w:szCs w:val="22"/>
          <w:highlight w:val="none"/>
        </w:rPr>
        <w:t>.1提出质疑的投标人应当是参与所质疑项目采购活动的投标人。潜在投标人已依法获取其可质疑的招标文件的，可以对该文件提出质疑。</w:t>
      </w:r>
    </w:p>
    <w:p w14:paraId="1285D888">
      <w:pPr>
        <w:pStyle w:val="34"/>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lang w:val="zh-CN"/>
        </w:rPr>
        <w:t>4.3</w:t>
      </w:r>
      <w:r>
        <w:rPr>
          <w:rFonts w:hint="eastAsia" w:asciiTheme="minorEastAsia" w:hAnsiTheme="minorEastAsia" w:eastAsiaTheme="minorEastAsia" w:cstheme="minorEastAsia"/>
          <w:sz w:val="22"/>
          <w:szCs w:val="22"/>
          <w:highlight w:val="none"/>
        </w:rPr>
        <w:t>.2投标人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98642A3">
      <w:pPr>
        <w:pStyle w:val="15"/>
        <w:spacing w:line="400" w:lineRule="exact"/>
        <w:ind w:firstLine="440" w:firstLineChars="200"/>
        <w:rPr>
          <w:rFonts w:hint="eastAsia" w:asciiTheme="minorEastAsia" w:hAnsiTheme="minorEastAsia" w:eastAsiaTheme="minorEastAsia" w:cstheme="minorEastAsia"/>
          <w:snapToGrid/>
          <w:color w:val="auto"/>
          <w:kern w:val="2"/>
          <w:sz w:val="22"/>
          <w:szCs w:val="22"/>
          <w:highlight w:val="none"/>
        </w:rPr>
      </w:pPr>
      <w:r>
        <w:rPr>
          <w:rFonts w:hint="eastAsia" w:asciiTheme="minorEastAsia" w:hAnsiTheme="minorEastAsia" w:eastAsiaTheme="minorEastAsia" w:cstheme="minorEastAsia"/>
          <w:snapToGrid/>
          <w:color w:val="auto"/>
          <w:kern w:val="2"/>
          <w:sz w:val="22"/>
          <w:szCs w:val="22"/>
          <w:highlight w:val="none"/>
        </w:rPr>
        <w:t>4.3.2.1对招标文件提出质疑的，质疑期限为投标人获得招标文件之日或者招标文件公告期限届满之日起计算。</w:t>
      </w:r>
    </w:p>
    <w:p w14:paraId="19D1442A">
      <w:pPr>
        <w:pStyle w:val="34"/>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4.3.2.2对采购过程提出质疑的，质疑期限为各采购程序环节结束之日起计算。</w:t>
      </w:r>
    </w:p>
    <w:p w14:paraId="620477F8">
      <w:pPr>
        <w:pStyle w:val="34"/>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4.3.2.3对采购结果提出质疑的，质疑期限自采购结果公告期限届满之日起计算。</w:t>
      </w:r>
    </w:p>
    <w:p w14:paraId="114A4736">
      <w:pPr>
        <w:pStyle w:val="34"/>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lang w:val="zh-CN"/>
        </w:rPr>
        <w:t>4.3.3</w:t>
      </w:r>
      <w:r>
        <w:rPr>
          <w:rFonts w:hint="eastAsia" w:asciiTheme="minorEastAsia" w:hAnsiTheme="minorEastAsia" w:eastAsiaTheme="minorEastAsia" w:cstheme="minorEastAsia"/>
          <w:sz w:val="22"/>
          <w:szCs w:val="22"/>
          <w:highlight w:val="none"/>
        </w:rPr>
        <w:t>投标人提出质疑应当提交质疑函和必要的证明材料。质疑函应当包括下列内容：</w:t>
      </w:r>
    </w:p>
    <w:p w14:paraId="049676E4">
      <w:pPr>
        <w:pStyle w:val="34"/>
        <w:spacing w:line="400" w:lineRule="exact"/>
        <w:ind w:firstLine="440" w:firstLineChars="200"/>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4.3.3.1投标人的姓名或者名称、地址、邮编、联系人及联系电话；</w:t>
      </w:r>
    </w:p>
    <w:p w14:paraId="0351A80F">
      <w:pPr>
        <w:pStyle w:val="34"/>
        <w:spacing w:line="400" w:lineRule="exact"/>
        <w:ind w:firstLine="440" w:firstLineChars="200"/>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4.3.3.2质疑项目的名称、编号；</w:t>
      </w:r>
    </w:p>
    <w:p w14:paraId="2770B87D">
      <w:pPr>
        <w:pStyle w:val="34"/>
        <w:spacing w:line="400" w:lineRule="exact"/>
        <w:ind w:firstLine="440" w:firstLineChars="200"/>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4.3.3.3具体、明确的质疑事项和与质疑事项相关的请求；</w:t>
      </w:r>
    </w:p>
    <w:p w14:paraId="7AA1519F">
      <w:pPr>
        <w:pStyle w:val="34"/>
        <w:spacing w:line="400" w:lineRule="exact"/>
        <w:ind w:firstLine="440" w:firstLineChars="200"/>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4.3.3.4事实依据；</w:t>
      </w:r>
    </w:p>
    <w:p w14:paraId="58F50EB1">
      <w:pPr>
        <w:pStyle w:val="34"/>
        <w:spacing w:line="400" w:lineRule="exact"/>
        <w:ind w:firstLine="440" w:firstLineChars="200"/>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4.3.3.5必要的法律依据；</w:t>
      </w:r>
    </w:p>
    <w:p w14:paraId="01BE5F6A">
      <w:pPr>
        <w:pStyle w:val="34"/>
        <w:spacing w:line="400" w:lineRule="exact"/>
        <w:ind w:firstLine="440" w:firstLineChars="200"/>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4.3.3.6提出质疑的日期。</w:t>
      </w:r>
    </w:p>
    <w:p w14:paraId="4059138F">
      <w:pPr>
        <w:pStyle w:val="894"/>
        <w:shd w:val="clear" w:color="auto" w:fill="FFFFFF"/>
        <w:snapToGrid w:val="0"/>
        <w:spacing w:before="0" w:beforeAutospacing="0" w:after="0" w:afterAutospacing="0" w:line="400" w:lineRule="exact"/>
        <w:ind w:firstLine="403"/>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投标人提交的质疑函需一式三份。投标人为自然人的，应当由本人签字；投标人为法人或者其他组织的，应当由法定代表人、主要负责人，或者其授权代表签字或者盖章，并加盖公章。</w:t>
      </w:r>
    </w:p>
    <w:p w14:paraId="4965BA2C">
      <w:pPr>
        <w:pStyle w:val="894"/>
        <w:shd w:val="clear" w:color="auto" w:fill="FFFFFF"/>
        <w:snapToGrid w:val="0"/>
        <w:spacing w:before="0" w:beforeAutospacing="0" w:after="0" w:afterAutospacing="0" w:line="400" w:lineRule="exact"/>
        <w:ind w:firstLine="400"/>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质疑函范本请到浙江政府采购网下载专区下载。</w:t>
      </w:r>
    </w:p>
    <w:p w14:paraId="7E3FF788">
      <w:pPr>
        <w:pStyle w:val="894"/>
        <w:shd w:val="clear" w:color="auto" w:fill="FFFFFF"/>
        <w:snapToGrid w:val="0"/>
        <w:spacing w:before="0" w:beforeAutospacing="0" w:after="0" w:afterAutospacing="0" w:line="400" w:lineRule="exact"/>
        <w:ind w:firstLine="400"/>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4.3.4对同一采购程序环节的质疑，投标人须在法定质疑期内一次性提出。</w:t>
      </w:r>
    </w:p>
    <w:p w14:paraId="169B8247">
      <w:pPr>
        <w:pStyle w:val="894"/>
        <w:shd w:val="clear" w:color="auto" w:fill="FFFFFF"/>
        <w:snapToGrid w:val="0"/>
        <w:spacing w:before="0" w:beforeAutospacing="0" w:after="0" w:afterAutospacing="0" w:line="400" w:lineRule="exact"/>
        <w:ind w:firstLine="440" w:firstLineChars="200"/>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zh-CN"/>
        </w:rPr>
        <w:t>4.3</w:t>
      </w:r>
      <w:r>
        <w:rPr>
          <w:rFonts w:hint="eastAsia" w:asciiTheme="minorEastAsia" w:hAnsiTheme="minorEastAsia" w:eastAsiaTheme="minorEastAsia" w:cstheme="minorEastAsia"/>
          <w:sz w:val="22"/>
          <w:szCs w:val="22"/>
          <w:highlight w:val="none"/>
        </w:rPr>
        <w:t>.5采购人或者采购代理机构应当在收到投标人的书面质疑后七个工作日内作出答复，并以书面形式通知质疑投标人和其他与质疑处理结果有利害关系的政府采购当事人，但答复的内容不得涉及商业秘密。</w:t>
      </w:r>
      <w:r>
        <w:rPr>
          <w:rFonts w:hint="eastAsia" w:asciiTheme="minorEastAsia" w:hAnsiTheme="minorEastAsia" w:eastAsiaTheme="minorEastAsia" w:cstheme="minorEastAsia"/>
          <w:sz w:val="22"/>
          <w:szCs w:val="22"/>
          <w:highlight w:val="none"/>
          <w:lang w:val="zh-CN"/>
        </w:rPr>
        <w:t>根据《浙江省财政厅关于进一步促进政府采购公平竞争打造最优营商环境的通知》（浙财采监〔2021〕22号）</w:t>
      </w:r>
      <w:r>
        <w:rPr>
          <w:rFonts w:hint="eastAsia" w:asciiTheme="minorEastAsia" w:hAnsiTheme="minorEastAsia" w:eastAsiaTheme="minorEastAsia" w:cstheme="minorEastAsia"/>
          <w:sz w:val="22"/>
          <w:szCs w:val="22"/>
          <w:highlight w:val="none"/>
        </w:rPr>
        <w:t>,采购人或者采购代理机构在质疑回复后5个工作日内，在浙江政府采购网的“其他公告”栏目公开质疑答复，答复内容应当完整。质疑函作为附件上传。</w:t>
      </w:r>
    </w:p>
    <w:p w14:paraId="62752B81">
      <w:pPr>
        <w:pStyle w:val="894"/>
        <w:shd w:val="clear" w:color="auto" w:fill="FFFFFF"/>
        <w:snapToGrid w:val="0"/>
        <w:spacing w:before="0" w:beforeAutospacing="0" w:after="0" w:afterAutospacing="0" w:line="400" w:lineRule="exact"/>
        <w:ind w:firstLine="440" w:firstLineChars="200"/>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zh-CN"/>
        </w:rPr>
        <w:t>4.3</w:t>
      </w:r>
      <w:r>
        <w:rPr>
          <w:rFonts w:hint="eastAsia" w:asciiTheme="minorEastAsia" w:hAnsiTheme="minorEastAsia" w:eastAsiaTheme="minorEastAsia" w:cstheme="minorEastAsia"/>
          <w:sz w:val="22"/>
          <w:szCs w:val="22"/>
          <w:highlight w:val="none"/>
        </w:rPr>
        <w:t>.6询问或者质疑事项可能影响采购结果的，采购人应当暂停签订合同，已经签订合同的，应当中止履行合同。</w:t>
      </w:r>
    </w:p>
    <w:p w14:paraId="47ACF628">
      <w:pPr>
        <w:pStyle w:val="894"/>
        <w:shd w:val="clear" w:color="auto" w:fill="FFFFFF"/>
        <w:snapToGrid w:val="0"/>
        <w:spacing w:before="0" w:beforeAutospacing="0" w:after="0" w:afterAutospacing="0" w:line="400" w:lineRule="exact"/>
        <w:ind w:firstLine="440" w:firstLineChars="200"/>
        <w:contextualSpacing/>
        <w:rPr>
          <w:rFonts w:hint="eastAsia" w:asciiTheme="minorEastAsia" w:hAnsiTheme="minorEastAsia" w:eastAsiaTheme="minorEastAsia" w:cstheme="minorEastAsia"/>
          <w:sz w:val="22"/>
          <w:szCs w:val="22"/>
          <w:highlight w:val="none"/>
          <w:lang w:val="zh-CN"/>
        </w:rPr>
      </w:pPr>
      <w:r>
        <w:rPr>
          <w:rFonts w:hint="eastAsia" w:asciiTheme="minorEastAsia" w:hAnsiTheme="minorEastAsia" w:eastAsiaTheme="minorEastAsia" w:cstheme="minorEastAsia"/>
          <w:sz w:val="22"/>
          <w:szCs w:val="22"/>
          <w:highlight w:val="none"/>
          <w:lang w:val="zh-CN"/>
        </w:rPr>
        <w:t>4.4投标人投诉</w:t>
      </w:r>
    </w:p>
    <w:p w14:paraId="432C20B5">
      <w:pPr>
        <w:pStyle w:val="894"/>
        <w:shd w:val="clear" w:color="auto" w:fill="FFFFFF"/>
        <w:snapToGrid w:val="0"/>
        <w:spacing w:before="0" w:beforeAutospacing="0" w:after="0" w:afterAutospacing="0" w:line="400" w:lineRule="exact"/>
        <w:ind w:firstLine="440" w:firstLineChars="200"/>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4.4.1质疑投标人对采购人、采购代理机构的答复不满意或者采购人、采购代理机构未在规定的时间内作出答复的，可以在答复期满后十五个工作日内向同级政府采购监督管理部门提出投诉。</w:t>
      </w:r>
    </w:p>
    <w:p w14:paraId="3E7DFB25">
      <w:pPr>
        <w:pStyle w:val="894"/>
        <w:shd w:val="clear" w:color="auto" w:fill="FFFFFF"/>
        <w:snapToGrid w:val="0"/>
        <w:spacing w:before="0" w:beforeAutospacing="0" w:after="0" w:afterAutospacing="0" w:line="400" w:lineRule="exact"/>
        <w:ind w:firstLine="440" w:firstLineChars="200"/>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4.4.</w:t>
      </w:r>
      <w:r>
        <w:rPr>
          <w:rFonts w:hint="eastAsia" w:asciiTheme="minorEastAsia" w:hAnsiTheme="minorEastAsia" w:eastAsiaTheme="minorEastAsia" w:cstheme="minorEastAsia"/>
          <w:sz w:val="22"/>
          <w:szCs w:val="22"/>
          <w:highlight w:val="none"/>
          <w:lang w:val="zh-CN"/>
        </w:rPr>
        <w:t>2</w:t>
      </w:r>
      <w:r>
        <w:rPr>
          <w:rFonts w:hint="eastAsia" w:asciiTheme="minorEastAsia" w:hAnsiTheme="minorEastAsia" w:eastAsiaTheme="minorEastAsia" w:cstheme="minorEastAsia"/>
          <w:sz w:val="22"/>
          <w:szCs w:val="22"/>
          <w:highlight w:val="none"/>
        </w:rPr>
        <w:t>投标人投诉的事项不得超出已质疑事项的范围，基于质疑答复内容提出的投诉事项除外。</w:t>
      </w:r>
    </w:p>
    <w:p w14:paraId="5866212F">
      <w:pPr>
        <w:pStyle w:val="894"/>
        <w:shd w:val="clear" w:color="auto" w:fill="FFFFFF"/>
        <w:snapToGrid w:val="0"/>
        <w:spacing w:before="0" w:beforeAutospacing="0" w:after="0" w:afterAutospacing="0" w:line="400" w:lineRule="exact"/>
        <w:ind w:firstLine="440" w:firstLineChars="200"/>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4.4.3投标人投诉应当有明确的请求和必要的证明材料。</w:t>
      </w:r>
    </w:p>
    <w:p w14:paraId="7DC2042D">
      <w:pPr>
        <w:pStyle w:val="894"/>
        <w:shd w:val="clear" w:color="auto" w:fill="FFFFFF"/>
        <w:snapToGrid w:val="0"/>
        <w:spacing w:before="0" w:beforeAutospacing="0" w:after="0" w:afterAutospacing="0" w:line="400" w:lineRule="exact"/>
        <w:ind w:firstLine="440" w:firstLineChars="200"/>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4.4.4 以联合体形式参加政府采购活动的，其投诉应当由组成联合体的所有投标人共同提出。</w:t>
      </w:r>
    </w:p>
    <w:p w14:paraId="5D71109F">
      <w:pPr>
        <w:pStyle w:val="894"/>
        <w:shd w:val="clear" w:color="auto" w:fill="FFFFFF"/>
        <w:snapToGrid w:val="0"/>
        <w:spacing w:before="0" w:beforeAutospacing="0" w:after="0" w:afterAutospacing="0" w:line="400" w:lineRule="exact"/>
        <w:ind w:firstLine="440" w:firstLineChars="200"/>
        <w:contextualSpacing/>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2"/>
          <w:szCs w:val="22"/>
          <w:highlight w:val="none"/>
        </w:rPr>
        <w:t>4.4.5投诉书范本请到浙江政府采购网下载专区下载。</w:t>
      </w:r>
    </w:p>
    <w:p w14:paraId="5659304D">
      <w:pPr>
        <w:adjustRightInd/>
        <w:spacing w:line="360" w:lineRule="auto"/>
        <w:jc w:val="center"/>
        <w:outlineLvl w:val="0"/>
        <w:rPr>
          <w:rFonts w:hint="eastAsia" w:asciiTheme="minorEastAsia" w:hAnsiTheme="minorEastAsia" w:eastAsiaTheme="minorEastAsia" w:cstheme="minorEastAsia"/>
          <w:b/>
          <w:sz w:val="32"/>
          <w:szCs w:val="20"/>
          <w:highlight w:val="none"/>
        </w:rPr>
      </w:pPr>
      <w:bookmarkStart w:id="15" w:name="_Toc21263"/>
      <w:r>
        <w:rPr>
          <w:rFonts w:hint="eastAsia" w:asciiTheme="minorEastAsia" w:hAnsiTheme="minorEastAsia" w:eastAsiaTheme="minorEastAsia" w:cstheme="minorEastAsia"/>
          <w:b/>
          <w:sz w:val="32"/>
          <w:szCs w:val="20"/>
          <w:highlight w:val="none"/>
        </w:rPr>
        <w:t>二、招标文件的构成、澄清、修改</w:t>
      </w:r>
      <w:bookmarkEnd w:id="15"/>
    </w:p>
    <w:p w14:paraId="5E348078">
      <w:pPr>
        <w:pStyle w:val="894"/>
        <w:shd w:val="clear" w:color="auto" w:fill="FFFFFF"/>
        <w:snapToGrid w:val="0"/>
        <w:spacing w:before="0" w:beforeAutospacing="0" w:after="0" w:afterAutospacing="0" w:line="400" w:lineRule="exact"/>
        <w:ind w:firstLine="442" w:firstLineChars="200"/>
        <w:contextualSpacing/>
        <w:rPr>
          <w:rFonts w:hint="eastAsia" w:asciiTheme="minorEastAsia" w:hAnsiTheme="minorEastAsia" w:eastAsiaTheme="minorEastAsia" w:cstheme="minorEastAsia"/>
          <w:b/>
          <w:bCs/>
          <w:sz w:val="22"/>
          <w:szCs w:val="22"/>
          <w:highlight w:val="none"/>
          <w:lang w:val="zh-CN"/>
        </w:rPr>
      </w:pPr>
      <w:r>
        <w:rPr>
          <w:rFonts w:hint="eastAsia" w:asciiTheme="minorEastAsia" w:hAnsiTheme="minorEastAsia" w:eastAsiaTheme="minorEastAsia" w:cstheme="minorEastAsia"/>
          <w:b/>
          <w:bCs/>
          <w:sz w:val="22"/>
          <w:szCs w:val="22"/>
          <w:highlight w:val="none"/>
          <w:lang w:val="zh-CN"/>
        </w:rPr>
        <w:t>5．招标文件的构成</w:t>
      </w:r>
    </w:p>
    <w:p w14:paraId="25AEC379">
      <w:pPr>
        <w:pStyle w:val="34"/>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5.1 招标文件包括下列文件及附件：</w:t>
      </w:r>
    </w:p>
    <w:p w14:paraId="3A4C5C03">
      <w:pPr>
        <w:pStyle w:val="34"/>
        <w:tabs>
          <w:tab w:val="left" w:pos="840"/>
        </w:tabs>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5.1.1招标公告；</w:t>
      </w:r>
    </w:p>
    <w:p w14:paraId="66DC3FD0">
      <w:pPr>
        <w:pStyle w:val="34"/>
        <w:tabs>
          <w:tab w:val="left" w:pos="840"/>
        </w:tabs>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5.1.2投标人须知；</w:t>
      </w:r>
    </w:p>
    <w:p w14:paraId="5F590360">
      <w:pPr>
        <w:pStyle w:val="34"/>
        <w:tabs>
          <w:tab w:val="left" w:pos="840"/>
        </w:tabs>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5.1.3采购需求；</w:t>
      </w:r>
    </w:p>
    <w:p w14:paraId="02B37CAD">
      <w:pPr>
        <w:pStyle w:val="34"/>
        <w:tabs>
          <w:tab w:val="left" w:pos="840"/>
        </w:tabs>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5.1.4评标办法；</w:t>
      </w:r>
    </w:p>
    <w:p w14:paraId="541E4B09">
      <w:pPr>
        <w:pStyle w:val="34"/>
        <w:tabs>
          <w:tab w:val="left" w:pos="840"/>
        </w:tabs>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5.1.5拟签订的合同文本；</w:t>
      </w:r>
    </w:p>
    <w:p w14:paraId="72236808">
      <w:pPr>
        <w:pStyle w:val="34"/>
        <w:tabs>
          <w:tab w:val="left" w:pos="840"/>
        </w:tabs>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5.1.6应提交的有关格式范例。</w:t>
      </w:r>
    </w:p>
    <w:p w14:paraId="2FFFFFE5">
      <w:pPr>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5.2与本项目有关的</w:t>
      </w:r>
      <w:r>
        <w:rPr>
          <w:rFonts w:hint="eastAsia" w:asciiTheme="minorEastAsia" w:hAnsiTheme="minorEastAsia" w:eastAsiaTheme="minorEastAsia" w:cstheme="minorEastAsia"/>
          <w:bCs/>
          <w:sz w:val="22"/>
          <w:szCs w:val="22"/>
          <w:highlight w:val="none"/>
        </w:rPr>
        <w:t>澄清或者修改的内容为招标文件的组成部分</w:t>
      </w:r>
      <w:r>
        <w:rPr>
          <w:rFonts w:hint="eastAsia" w:asciiTheme="minorEastAsia" w:hAnsiTheme="minorEastAsia" w:eastAsiaTheme="minorEastAsia" w:cstheme="minorEastAsia"/>
          <w:sz w:val="22"/>
          <w:szCs w:val="22"/>
          <w:highlight w:val="none"/>
        </w:rPr>
        <w:t>。</w:t>
      </w:r>
    </w:p>
    <w:p w14:paraId="70A4705B">
      <w:pPr>
        <w:pStyle w:val="894"/>
        <w:shd w:val="clear" w:color="auto" w:fill="FFFFFF"/>
        <w:snapToGrid w:val="0"/>
        <w:spacing w:before="0" w:beforeAutospacing="0" w:after="0" w:afterAutospacing="0" w:line="400" w:lineRule="exact"/>
        <w:ind w:firstLine="442" w:firstLineChars="200"/>
        <w:contextualSpacing/>
        <w:rPr>
          <w:rFonts w:hint="eastAsia" w:asciiTheme="minorEastAsia" w:hAnsiTheme="minorEastAsia" w:eastAsiaTheme="minorEastAsia" w:cstheme="minorEastAsia"/>
          <w:b/>
          <w:bCs/>
          <w:sz w:val="22"/>
          <w:szCs w:val="22"/>
          <w:highlight w:val="none"/>
          <w:lang w:val="zh-CN"/>
        </w:rPr>
      </w:pPr>
      <w:r>
        <w:rPr>
          <w:rFonts w:hint="eastAsia" w:asciiTheme="minorEastAsia" w:hAnsiTheme="minorEastAsia" w:eastAsiaTheme="minorEastAsia" w:cstheme="minorEastAsia"/>
          <w:b/>
          <w:bCs/>
          <w:sz w:val="22"/>
          <w:szCs w:val="22"/>
          <w:highlight w:val="none"/>
          <w:lang w:val="zh-CN"/>
        </w:rPr>
        <w:t>6. 招标文件的澄清、修改</w:t>
      </w:r>
    </w:p>
    <w:p w14:paraId="42F9A4F4">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6.1已获取招标文件的潜在投标人，若有问题需要澄清，应于投标截止时间前，以书面形式向采购代理机构提出。</w:t>
      </w:r>
    </w:p>
    <w:p w14:paraId="3C2CBD50">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171510C">
      <w:pPr>
        <w:adjustRightInd/>
        <w:spacing w:line="360" w:lineRule="auto"/>
        <w:jc w:val="center"/>
        <w:outlineLvl w:val="0"/>
        <w:rPr>
          <w:rFonts w:hint="eastAsia" w:asciiTheme="minorEastAsia" w:hAnsiTheme="minorEastAsia" w:eastAsiaTheme="minorEastAsia" w:cstheme="minorEastAsia"/>
          <w:b/>
          <w:sz w:val="30"/>
          <w:szCs w:val="20"/>
          <w:highlight w:val="none"/>
        </w:rPr>
      </w:pPr>
      <w:bookmarkStart w:id="16" w:name="_Toc30878"/>
      <w:r>
        <w:rPr>
          <w:rFonts w:hint="eastAsia" w:asciiTheme="minorEastAsia" w:hAnsiTheme="minorEastAsia" w:eastAsiaTheme="minorEastAsia" w:cstheme="minorEastAsia"/>
          <w:b/>
          <w:sz w:val="30"/>
          <w:szCs w:val="20"/>
          <w:highlight w:val="none"/>
        </w:rPr>
        <w:t>三、投标</w:t>
      </w:r>
      <w:bookmarkEnd w:id="16"/>
    </w:p>
    <w:p w14:paraId="7B322EDE">
      <w:pPr>
        <w:pStyle w:val="894"/>
        <w:shd w:val="clear" w:color="auto" w:fill="FFFFFF"/>
        <w:snapToGrid w:val="0"/>
        <w:spacing w:before="0" w:beforeAutospacing="0" w:after="0" w:afterAutospacing="0" w:line="400" w:lineRule="exact"/>
        <w:ind w:firstLine="442" w:firstLineChars="200"/>
        <w:contextualSpacing/>
        <w:rPr>
          <w:rFonts w:hint="eastAsia"/>
          <w:b/>
          <w:sz w:val="22"/>
          <w:szCs w:val="22"/>
          <w:highlight w:val="none"/>
        </w:rPr>
      </w:pPr>
      <w:r>
        <w:rPr>
          <w:rFonts w:hint="eastAsia"/>
          <w:b/>
          <w:sz w:val="22"/>
          <w:szCs w:val="22"/>
          <w:highlight w:val="none"/>
        </w:rPr>
        <w:t>7. 招标文件的获取</w:t>
      </w:r>
    </w:p>
    <w:p w14:paraId="32EFE921">
      <w:pPr>
        <w:spacing w:line="400" w:lineRule="exact"/>
        <w:ind w:firstLine="440" w:firstLineChars="200"/>
        <w:rPr>
          <w:rFonts w:hint="eastAsia" w:ascii="宋体" w:hAnsi="宋体" w:cs="宋体"/>
          <w:snapToGrid w:val="0"/>
          <w:kern w:val="28"/>
          <w:sz w:val="22"/>
          <w:szCs w:val="22"/>
          <w:highlight w:val="none"/>
        </w:rPr>
      </w:pPr>
      <w:r>
        <w:rPr>
          <w:rFonts w:hint="eastAsia" w:ascii="宋体" w:hAnsi="宋体" w:cs="宋体"/>
          <w:snapToGrid w:val="0"/>
          <w:kern w:val="28"/>
          <w:sz w:val="22"/>
          <w:szCs w:val="22"/>
          <w:highlight w:val="none"/>
        </w:rPr>
        <w:t>详见招标公告中获取招标文件的时间期限、地点、方式及招标文件售价。</w:t>
      </w:r>
    </w:p>
    <w:p w14:paraId="3EC5403D">
      <w:pPr>
        <w:pStyle w:val="894"/>
        <w:shd w:val="clear" w:color="auto" w:fill="FFFFFF"/>
        <w:snapToGrid w:val="0"/>
        <w:spacing w:before="0" w:beforeAutospacing="0" w:after="0" w:afterAutospacing="0" w:line="400" w:lineRule="exact"/>
        <w:ind w:firstLine="442" w:firstLineChars="200"/>
        <w:contextualSpacing/>
        <w:rPr>
          <w:rFonts w:hint="eastAsia"/>
          <w:b/>
          <w:sz w:val="22"/>
          <w:szCs w:val="22"/>
          <w:highlight w:val="none"/>
        </w:rPr>
      </w:pPr>
      <w:r>
        <w:rPr>
          <w:rFonts w:hint="eastAsia"/>
          <w:b/>
          <w:sz w:val="22"/>
          <w:szCs w:val="22"/>
          <w:highlight w:val="none"/>
        </w:rPr>
        <w:t>8.开标前答疑会或现场考察</w:t>
      </w:r>
    </w:p>
    <w:p w14:paraId="7B35378E">
      <w:pPr>
        <w:pStyle w:val="34"/>
        <w:spacing w:line="400" w:lineRule="exact"/>
        <w:ind w:firstLine="440" w:firstLineChars="200"/>
        <w:rPr>
          <w:rFonts w:hint="eastAsia" w:hAnsi="宋体" w:cs="宋体"/>
          <w:sz w:val="22"/>
          <w:szCs w:val="22"/>
          <w:highlight w:val="none"/>
        </w:rPr>
      </w:pPr>
      <w:r>
        <w:rPr>
          <w:rFonts w:hint="eastAsia" w:hAnsi="宋体" w:cs="宋体"/>
          <w:sz w:val="22"/>
          <w:szCs w:val="22"/>
          <w:highlight w:val="none"/>
        </w:rPr>
        <w:t>采购人组织潜在投标人现场考察或者召开开标前答疑会的，潜在投标人按第二部分投标人须知前附表的规定参加现场考察或者开标前答疑会。</w:t>
      </w:r>
    </w:p>
    <w:p w14:paraId="58929F4B">
      <w:pPr>
        <w:pStyle w:val="894"/>
        <w:shd w:val="clear" w:color="auto" w:fill="FFFFFF"/>
        <w:snapToGrid w:val="0"/>
        <w:spacing w:before="0" w:beforeAutospacing="0" w:after="0" w:afterAutospacing="0" w:line="400" w:lineRule="exact"/>
        <w:ind w:firstLine="442" w:firstLineChars="200"/>
        <w:contextualSpacing/>
        <w:rPr>
          <w:rFonts w:hint="eastAsia"/>
          <w:b/>
          <w:sz w:val="22"/>
          <w:szCs w:val="22"/>
          <w:highlight w:val="none"/>
        </w:rPr>
      </w:pPr>
      <w:r>
        <w:rPr>
          <w:rFonts w:hint="eastAsia"/>
          <w:b/>
          <w:kern w:val="28"/>
          <w:sz w:val="22"/>
          <w:szCs w:val="22"/>
          <w:highlight w:val="none"/>
        </w:rPr>
        <w:t>9.投标</w:t>
      </w:r>
      <w:r>
        <w:rPr>
          <w:rFonts w:hint="eastAsia"/>
          <w:b/>
          <w:sz w:val="22"/>
          <w:szCs w:val="22"/>
          <w:highlight w:val="none"/>
        </w:rPr>
        <w:t>保证金</w:t>
      </w:r>
    </w:p>
    <w:p w14:paraId="00566970">
      <w:pPr>
        <w:pStyle w:val="15"/>
        <w:spacing w:line="400" w:lineRule="exact"/>
        <w:ind w:firstLine="431" w:firstLineChars="196"/>
        <w:rPr>
          <w:rFonts w:hint="eastAsia" w:hAnsi="宋体" w:cs="宋体"/>
          <w:color w:val="auto"/>
          <w:sz w:val="22"/>
          <w:szCs w:val="22"/>
          <w:highlight w:val="none"/>
        </w:rPr>
      </w:pPr>
      <w:r>
        <w:rPr>
          <w:rFonts w:hint="eastAsia" w:hAnsi="宋体" w:cs="宋体"/>
          <w:color w:val="auto"/>
          <w:sz w:val="22"/>
          <w:szCs w:val="22"/>
          <w:highlight w:val="none"/>
        </w:rPr>
        <w:t>本项目不需缴纳投标保证金。</w:t>
      </w:r>
    </w:p>
    <w:p w14:paraId="5DBAA5EB">
      <w:pPr>
        <w:pStyle w:val="894"/>
        <w:shd w:val="clear" w:color="auto" w:fill="FFFFFF"/>
        <w:snapToGrid w:val="0"/>
        <w:spacing w:before="0" w:beforeAutospacing="0" w:after="0" w:afterAutospacing="0" w:line="400" w:lineRule="exact"/>
        <w:ind w:firstLine="442" w:firstLineChars="200"/>
        <w:contextualSpacing/>
        <w:rPr>
          <w:rFonts w:hint="eastAsia"/>
          <w:b/>
          <w:kern w:val="28"/>
          <w:sz w:val="22"/>
          <w:szCs w:val="22"/>
          <w:highlight w:val="none"/>
        </w:rPr>
      </w:pPr>
      <w:r>
        <w:rPr>
          <w:rFonts w:hint="eastAsia"/>
          <w:b/>
          <w:kern w:val="28"/>
          <w:sz w:val="22"/>
          <w:szCs w:val="22"/>
          <w:highlight w:val="none"/>
        </w:rPr>
        <w:t>10.投标</w:t>
      </w:r>
      <w:r>
        <w:rPr>
          <w:rFonts w:hint="eastAsia"/>
          <w:b/>
          <w:sz w:val="22"/>
          <w:szCs w:val="22"/>
          <w:highlight w:val="none"/>
        </w:rPr>
        <w:t>文件</w:t>
      </w:r>
      <w:r>
        <w:rPr>
          <w:rFonts w:hint="eastAsia"/>
          <w:b/>
          <w:kern w:val="28"/>
          <w:sz w:val="22"/>
          <w:szCs w:val="22"/>
          <w:highlight w:val="none"/>
        </w:rPr>
        <w:t>的语言</w:t>
      </w:r>
    </w:p>
    <w:p w14:paraId="34BC3CE6">
      <w:pPr>
        <w:autoSpaceDE w:val="0"/>
        <w:autoSpaceDN w:val="0"/>
        <w:spacing w:line="40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rPr>
        <w:t>投标文件及投标人与采购有关的来往通知、函件和文件均应使用中文。</w:t>
      </w:r>
    </w:p>
    <w:p w14:paraId="5D7094DA">
      <w:pPr>
        <w:pStyle w:val="894"/>
        <w:shd w:val="clear" w:color="auto" w:fill="FFFFFF"/>
        <w:snapToGrid w:val="0"/>
        <w:spacing w:before="0" w:beforeAutospacing="0" w:after="0" w:afterAutospacing="0" w:line="400" w:lineRule="exact"/>
        <w:ind w:firstLine="442" w:firstLineChars="200"/>
        <w:contextualSpacing/>
        <w:rPr>
          <w:rFonts w:hint="eastAsia"/>
          <w:b/>
          <w:kern w:val="28"/>
          <w:sz w:val="22"/>
          <w:szCs w:val="22"/>
          <w:highlight w:val="none"/>
        </w:rPr>
      </w:pPr>
      <w:r>
        <w:rPr>
          <w:rFonts w:hint="eastAsia"/>
          <w:b/>
          <w:kern w:val="28"/>
          <w:sz w:val="22"/>
          <w:szCs w:val="22"/>
          <w:highlight w:val="none"/>
        </w:rPr>
        <w:t>11.投标文件的组成</w:t>
      </w:r>
    </w:p>
    <w:p w14:paraId="6959F274">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11.1</w:t>
      </w:r>
      <w:r>
        <w:rPr>
          <w:rFonts w:hint="eastAsia" w:ascii="宋体" w:hAnsi="宋体" w:cs="宋体"/>
          <w:b/>
          <w:sz w:val="22"/>
          <w:szCs w:val="22"/>
          <w:highlight w:val="none"/>
        </w:rPr>
        <w:t>资格文件</w:t>
      </w:r>
      <w:r>
        <w:rPr>
          <w:rFonts w:hint="eastAsia" w:ascii="宋体" w:hAnsi="宋体" w:cs="宋体"/>
          <w:sz w:val="22"/>
          <w:szCs w:val="22"/>
          <w:highlight w:val="none"/>
        </w:rPr>
        <w:t>：</w:t>
      </w:r>
    </w:p>
    <w:p w14:paraId="1D19A59B">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11.1.1有效的法人或者其他组织的营业执照等证明文件，自然人的身份证明（五选一）；</w:t>
      </w:r>
    </w:p>
    <w:p w14:paraId="663E181D">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11.1.2符合参加政府采购活动应当具备的一般条件的承诺函；</w:t>
      </w:r>
    </w:p>
    <w:p w14:paraId="6EFAB0C2">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11.1.</w:t>
      </w:r>
      <w:bookmarkStart w:id="17" w:name="_Hlk101259339"/>
      <w:r>
        <w:rPr>
          <w:rFonts w:hint="eastAsia" w:ascii="宋体" w:hAnsi="宋体" w:cs="宋体"/>
          <w:sz w:val="22"/>
          <w:szCs w:val="22"/>
          <w:highlight w:val="none"/>
        </w:rPr>
        <w:t>3</w:t>
      </w:r>
      <w:r>
        <w:rPr>
          <w:rFonts w:hint="eastAsia" w:ascii="宋体" w:hAnsi="宋体" w:cs="宋体"/>
          <w:snapToGrid w:val="0"/>
          <w:kern w:val="28"/>
          <w:sz w:val="22"/>
          <w:szCs w:val="22"/>
          <w:highlight w:val="none"/>
        </w:rPr>
        <w:t>联合协议</w:t>
      </w:r>
      <w:bookmarkEnd w:id="17"/>
      <w:r>
        <w:rPr>
          <w:rFonts w:hint="eastAsia" w:ascii="宋体" w:hAnsi="宋体" w:cs="宋体"/>
          <w:snapToGrid w:val="0"/>
          <w:kern w:val="28"/>
          <w:sz w:val="22"/>
          <w:szCs w:val="22"/>
          <w:highlight w:val="none"/>
        </w:rPr>
        <w:t>（如有)；</w:t>
      </w:r>
    </w:p>
    <w:p w14:paraId="4818FA6F">
      <w:pPr>
        <w:pStyle w:val="59"/>
        <w:spacing w:before="0" w:beforeAutospacing="0" w:after="0" w:afterAutospacing="0" w:line="400" w:lineRule="exact"/>
        <w:ind w:firstLine="420"/>
        <w:rPr>
          <w:rFonts w:hint="default" w:eastAsia="宋体" w:cs="宋体"/>
          <w:sz w:val="22"/>
          <w:szCs w:val="22"/>
          <w:highlight w:val="none"/>
          <w:lang w:val="en-US" w:eastAsia="zh-CN"/>
        </w:rPr>
      </w:pPr>
      <w:r>
        <w:rPr>
          <w:rFonts w:hint="eastAsia" w:ascii="宋体" w:hAnsi="宋体" w:cs="宋体"/>
          <w:sz w:val="22"/>
          <w:szCs w:val="22"/>
          <w:highlight w:val="none"/>
        </w:rPr>
        <w:t>11.1.4落实政府采购政策需满足的资格要求</w:t>
      </w:r>
      <w:r>
        <w:rPr>
          <w:rFonts w:hint="eastAsia" w:ascii="宋体" w:hAnsi="宋体" w:cs="宋体"/>
          <w:b/>
          <w:bCs/>
          <w:sz w:val="22"/>
          <w:szCs w:val="22"/>
          <w:highlight w:val="none"/>
          <w:u w:val="single"/>
        </w:rPr>
        <w:t>：</w:t>
      </w:r>
      <w:r>
        <w:rPr>
          <w:rFonts w:hint="eastAsia" w:cs="宋体"/>
          <w:sz w:val="22"/>
          <w:szCs w:val="22"/>
          <w:highlight w:val="none"/>
          <w:u w:val="single"/>
          <w:lang w:val="en-US" w:eastAsia="zh-CN"/>
        </w:rPr>
        <w:t>专门面向中小企业采购，提供中小企业声明函。</w:t>
      </w:r>
    </w:p>
    <w:p w14:paraId="3C922599">
      <w:pPr>
        <w:pStyle w:val="59"/>
        <w:spacing w:before="0" w:beforeAutospacing="0" w:after="0" w:afterAutospacing="0" w:line="400" w:lineRule="exact"/>
        <w:ind w:firstLine="420"/>
        <w:rPr>
          <w:rFonts w:hint="eastAsia" w:cs="宋体"/>
          <w:sz w:val="22"/>
          <w:szCs w:val="22"/>
          <w:highlight w:val="none"/>
        </w:rPr>
      </w:pPr>
      <w:r>
        <w:rPr>
          <w:rFonts w:hint="eastAsia" w:cs="宋体"/>
          <w:sz w:val="22"/>
          <w:szCs w:val="22"/>
          <w:highlight w:val="none"/>
        </w:rPr>
        <w:t>11.1.5本项目的特定资格要求：</w:t>
      </w:r>
      <w:r>
        <w:rPr>
          <w:rFonts w:hint="eastAsia" w:ascii="宋体" w:hAnsi="宋体"/>
          <w:sz w:val="22"/>
          <w:szCs w:val="22"/>
          <w:u w:val="single"/>
        </w:rPr>
        <w:t>具有公路交通工程专业承包公路安全设施分项二级及以上资质</w:t>
      </w:r>
      <w:r>
        <w:rPr>
          <w:rFonts w:hint="eastAsia" w:cs="宋体"/>
          <w:b/>
          <w:bCs/>
          <w:sz w:val="22"/>
          <w:szCs w:val="22"/>
          <w:highlight w:val="none"/>
          <w:u w:val="single"/>
        </w:rPr>
        <w:t>。</w:t>
      </w:r>
    </w:p>
    <w:p w14:paraId="7E41256E">
      <w:pPr>
        <w:pStyle w:val="894"/>
        <w:shd w:val="clear" w:color="auto" w:fill="FFFFFF"/>
        <w:snapToGrid w:val="0"/>
        <w:spacing w:before="0" w:beforeAutospacing="0" w:after="0" w:afterAutospacing="0" w:line="400" w:lineRule="exact"/>
        <w:ind w:firstLine="442" w:firstLineChars="200"/>
        <w:contextualSpacing/>
        <w:rPr>
          <w:rFonts w:hint="eastAsia"/>
          <w:b/>
          <w:bCs/>
          <w:sz w:val="22"/>
          <w:szCs w:val="22"/>
          <w:highlight w:val="none"/>
          <w:lang w:val="zh-CN"/>
        </w:rPr>
      </w:pPr>
      <w:r>
        <w:rPr>
          <w:rFonts w:hint="eastAsia"/>
          <w:b/>
          <w:bCs/>
          <w:sz w:val="22"/>
          <w:szCs w:val="22"/>
          <w:highlight w:val="none"/>
          <w:lang w:val="zh-CN"/>
        </w:rPr>
        <w:t>11.</w:t>
      </w:r>
      <w:r>
        <w:rPr>
          <w:rFonts w:hint="eastAsia"/>
          <w:b/>
          <w:bCs/>
          <w:sz w:val="22"/>
          <w:szCs w:val="22"/>
          <w:highlight w:val="none"/>
        </w:rPr>
        <w:t>2商务</w:t>
      </w:r>
      <w:r>
        <w:rPr>
          <w:rFonts w:hint="eastAsia"/>
          <w:b/>
          <w:kern w:val="28"/>
          <w:sz w:val="22"/>
          <w:szCs w:val="22"/>
          <w:highlight w:val="none"/>
        </w:rPr>
        <w:t>技术</w:t>
      </w:r>
      <w:r>
        <w:rPr>
          <w:rFonts w:hint="eastAsia"/>
          <w:b/>
          <w:bCs/>
          <w:sz w:val="22"/>
          <w:szCs w:val="22"/>
          <w:highlight w:val="none"/>
          <w:lang w:val="zh-CN"/>
        </w:rPr>
        <w:t>文件：</w:t>
      </w:r>
    </w:p>
    <w:p w14:paraId="25949509">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11.2.1投标函；</w:t>
      </w:r>
    </w:p>
    <w:p w14:paraId="2F361EB5">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11.2.2授权委托书或法定代表人（单位负责人、自然人本人）身份证明；授权代表近一个月内在投标单位缴纳社保的参保证明（适用于法定代表人授权代表参加投标活动）；</w:t>
      </w:r>
    </w:p>
    <w:p w14:paraId="58BBE8C5">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11.2.3分包意向协议</w:t>
      </w:r>
      <w:r>
        <w:rPr>
          <w:rFonts w:hint="eastAsia" w:ascii="宋体" w:hAnsi="宋体" w:cs="宋体"/>
          <w:snapToGrid w:val="0"/>
          <w:kern w:val="28"/>
          <w:sz w:val="22"/>
          <w:szCs w:val="22"/>
          <w:highlight w:val="none"/>
        </w:rPr>
        <w:t>（如有)</w:t>
      </w:r>
      <w:r>
        <w:rPr>
          <w:rFonts w:hint="eastAsia" w:ascii="宋体" w:hAnsi="宋体" w:cs="宋体"/>
          <w:sz w:val="22"/>
          <w:szCs w:val="22"/>
          <w:highlight w:val="none"/>
        </w:rPr>
        <w:t>；</w:t>
      </w:r>
    </w:p>
    <w:p w14:paraId="417B4284">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11.2.4符合性审查资料；</w:t>
      </w:r>
    </w:p>
    <w:p w14:paraId="1BD5C249">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11.2.5评标标准相应的商务技术资料；</w:t>
      </w:r>
    </w:p>
    <w:p w14:paraId="5DCA5ED7">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11.2.6投标标的清单；</w:t>
      </w:r>
    </w:p>
    <w:p w14:paraId="69299F5F">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11.2.7商务技术偏离表；</w:t>
      </w:r>
    </w:p>
    <w:p w14:paraId="52E7FC85">
      <w:pPr>
        <w:snapToGrid w:val="0"/>
        <w:spacing w:line="40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val="zh-CN"/>
        </w:rPr>
        <w:t>11.</w:t>
      </w:r>
      <w:r>
        <w:rPr>
          <w:rFonts w:hint="eastAsia" w:ascii="宋体" w:hAnsi="宋体" w:cs="宋体"/>
          <w:sz w:val="22"/>
          <w:szCs w:val="22"/>
          <w:highlight w:val="none"/>
        </w:rPr>
        <w:t>2</w:t>
      </w:r>
      <w:r>
        <w:rPr>
          <w:rFonts w:hint="eastAsia" w:ascii="宋体" w:hAnsi="宋体" w:cs="宋体"/>
          <w:sz w:val="22"/>
          <w:szCs w:val="22"/>
          <w:highlight w:val="none"/>
          <w:lang w:val="zh-CN"/>
        </w:rPr>
        <w:t>.</w:t>
      </w:r>
      <w:r>
        <w:rPr>
          <w:rFonts w:hint="eastAsia" w:ascii="宋体" w:hAnsi="宋体" w:cs="宋体"/>
          <w:sz w:val="22"/>
          <w:szCs w:val="22"/>
          <w:highlight w:val="none"/>
        </w:rPr>
        <w:t>8</w:t>
      </w:r>
      <w:r>
        <w:rPr>
          <w:rFonts w:hint="eastAsia" w:ascii="宋体" w:hAnsi="宋体" w:cs="宋体"/>
          <w:sz w:val="22"/>
          <w:szCs w:val="22"/>
          <w:highlight w:val="none"/>
          <w:lang w:val="zh-CN"/>
        </w:rPr>
        <w:t>政府采购投标人廉洁自律承诺书；</w:t>
      </w:r>
    </w:p>
    <w:p w14:paraId="4DD68C41">
      <w:pPr>
        <w:pStyle w:val="894"/>
        <w:shd w:val="clear" w:color="auto" w:fill="FFFFFF"/>
        <w:snapToGrid w:val="0"/>
        <w:spacing w:before="0" w:beforeAutospacing="0" w:after="0" w:afterAutospacing="0" w:line="400" w:lineRule="exact"/>
        <w:ind w:firstLine="440" w:firstLineChars="200"/>
        <w:contextualSpacing/>
        <w:rPr>
          <w:rFonts w:hint="eastAsia"/>
          <w:sz w:val="22"/>
          <w:szCs w:val="22"/>
          <w:highlight w:val="none"/>
          <w:u w:val="single"/>
          <w:lang w:val="zh-CN"/>
        </w:rPr>
      </w:pPr>
      <w:r>
        <w:rPr>
          <w:rFonts w:hint="eastAsia"/>
          <w:sz w:val="22"/>
          <w:szCs w:val="22"/>
          <w:highlight w:val="none"/>
          <w:lang w:val="zh-CN"/>
        </w:rPr>
        <w:t>11.</w:t>
      </w:r>
      <w:r>
        <w:rPr>
          <w:rFonts w:hint="eastAsia"/>
          <w:sz w:val="22"/>
          <w:szCs w:val="22"/>
          <w:highlight w:val="none"/>
        </w:rPr>
        <w:t>3</w:t>
      </w:r>
      <w:r>
        <w:rPr>
          <w:rFonts w:hint="eastAsia"/>
          <w:b/>
          <w:sz w:val="22"/>
          <w:szCs w:val="22"/>
          <w:highlight w:val="none"/>
        </w:rPr>
        <w:t>报价文件：</w:t>
      </w:r>
    </w:p>
    <w:p w14:paraId="64B92A13">
      <w:pPr>
        <w:snapToGrid w:val="0"/>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11.3.1开标一览表（报价表）；</w:t>
      </w:r>
    </w:p>
    <w:p w14:paraId="555CA2A2">
      <w:pPr>
        <w:spacing w:line="400" w:lineRule="exact"/>
        <w:ind w:firstLine="442" w:firstLineChars="200"/>
        <w:rPr>
          <w:rFonts w:hint="eastAsia" w:ascii="宋体" w:hAnsi="宋体" w:cs="宋体"/>
          <w:b/>
          <w:sz w:val="22"/>
          <w:szCs w:val="22"/>
          <w:highlight w:val="none"/>
        </w:rPr>
      </w:pPr>
      <w:r>
        <w:rPr>
          <w:rFonts w:hint="eastAsia" w:ascii="宋体" w:hAnsi="宋体" w:cs="宋体"/>
          <w:b/>
          <w:sz w:val="22"/>
          <w:szCs w:val="22"/>
          <w:highlight w:val="none"/>
        </w:rPr>
        <w:t>投标文件含有采购人不能接受的附加条件的，投标无效；</w:t>
      </w:r>
    </w:p>
    <w:p w14:paraId="54385778">
      <w:pPr>
        <w:spacing w:line="400" w:lineRule="exact"/>
        <w:ind w:firstLine="442" w:firstLineChars="200"/>
        <w:rPr>
          <w:rFonts w:hint="eastAsia" w:ascii="宋体" w:hAnsi="宋体" w:cs="宋体"/>
          <w:b/>
          <w:sz w:val="22"/>
          <w:szCs w:val="22"/>
          <w:highlight w:val="none"/>
        </w:rPr>
      </w:pPr>
      <w:r>
        <w:rPr>
          <w:rFonts w:hint="eastAsia" w:ascii="宋体" w:hAnsi="宋体" w:cs="宋体"/>
          <w:b/>
          <w:sz w:val="22"/>
          <w:szCs w:val="22"/>
          <w:highlight w:val="none"/>
        </w:rPr>
        <w:t>投标人提供虚假材料投标的，投标无效。</w:t>
      </w:r>
    </w:p>
    <w:p w14:paraId="2B7B926F">
      <w:pPr>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shd w:val="clear" w:color="auto" w:fill="FFFFFF"/>
        </w:rPr>
        <w:t>投标人应对投标文件中材料的真实性、合法性负责。投标人可事先在公开官网查询、核对相关证书和报告内容，确保投标（响应）文件资料准确无误。</w:t>
      </w:r>
    </w:p>
    <w:p w14:paraId="100B7EA6">
      <w:pPr>
        <w:pStyle w:val="894"/>
        <w:shd w:val="clear" w:color="auto" w:fill="FFFFFF"/>
        <w:snapToGrid w:val="0"/>
        <w:spacing w:before="0" w:beforeAutospacing="0" w:after="0" w:afterAutospacing="0" w:line="400" w:lineRule="exact"/>
        <w:ind w:firstLine="442" w:firstLineChars="200"/>
        <w:contextualSpacing/>
        <w:rPr>
          <w:rFonts w:hint="eastAsia"/>
          <w:b/>
          <w:kern w:val="28"/>
          <w:sz w:val="22"/>
          <w:szCs w:val="22"/>
          <w:highlight w:val="none"/>
        </w:rPr>
      </w:pPr>
      <w:r>
        <w:rPr>
          <w:rFonts w:hint="eastAsia"/>
          <w:b/>
          <w:kern w:val="28"/>
          <w:sz w:val="22"/>
          <w:szCs w:val="22"/>
          <w:highlight w:val="none"/>
        </w:rPr>
        <w:t>12</w:t>
      </w:r>
      <w:r>
        <w:rPr>
          <w:rFonts w:hint="eastAsia"/>
          <w:b/>
          <w:kern w:val="28"/>
          <w:sz w:val="22"/>
          <w:szCs w:val="22"/>
          <w:highlight w:val="none"/>
          <w:lang w:val="zh-CN"/>
        </w:rPr>
        <w:t xml:space="preserve">. </w:t>
      </w:r>
      <w:r>
        <w:rPr>
          <w:rFonts w:hint="eastAsia"/>
          <w:b/>
          <w:kern w:val="28"/>
          <w:sz w:val="22"/>
          <w:szCs w:val="22"/>
          <w:highlight w:val="none"/>
        </w:rPr>
        <w:t>投标文件的编制</w:t>
      </w:r>
    </w:p>
    <w:p w14:paraId="63F4898F">
      <w:pPr>
        <w:spacing w:line="400" w:lineRule="exact"/>
        <w:ind w:firstLine="440" w:firstLineChars="200"/>
        <w:rPr>
          <w:rFonts w:hint="eastAsia" w:ascii="宋体" w:hAnsi="宋体" w:cs="宋体"/>
          <w:b/>
          <w:sz w:val="22"/>
          <w:szCs w:val="22"/>
          <w:highlight w:val="none"/>
        </w:rPr>
      </w:pPr>
      <w:r>
        <w:rPr>
          <w:rFonts w:hint="eastAsia" w:ascii="宋体" w:hAnsi="宋体" w:cs="宋体"/>
          <w:kern w:val="0"/>
          <w:sz w:val="22"/>
          <w:szCs w:val="22"/>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CE85E62">
      <w:pPr>
        <w:spacing w:line="400" w:lineRule="exact"/>
        <w:ind w:firstLine="440" w:firstLineChars="20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F200814">
      <w:pPr>
        <w:spacing w:line="400" w:lineRule="exact"/>
        <w:ind w:firstLine="440" w:firstLineChars="20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12.3使用“政采云电子交易客户端”需要提前申领CA数字证书，申领流程请自行前往“浙江政府采购网-下载专区-电子交易客户端-CA驱动和申领流程”进行查阅。</w:t>
      </w:r>
    </w:p>
    <w:p w14:paraId="1A0AF5A0">
      <w:pPr>
        <w:pStyle w:val="894"/>
        <w:shd w:val="clear" w:color="auto" w:fill="FFFFFF"/>
        <w:snapToGrid w:val="0"/>
        <w:spacing w:before="0" w:beforeAutospacing="0" w:after="0" w:afterAutospacing="0" w:line="400" w:lineRule="exact"/>
        <w:ind w:firstLine="442" w:firstLineChars="200"/>
        <w:contextualSpacing/>
        <w:rPr>
          <w:rFonts w:hint="eastAsia"/>
          <w:b/>
          <w:kern w:val="28"/>
          <w:sz w:val="22"/>
          <w:szCs w:val="22"/>
          <w:highlight w:val="none"/>
        </w:rPr>
      </w:pPr>
      <w:r>
        <w:rPr>
          <w:rFonts w:hint="eastAsia"/>
          <w:b/>
          <w:kern w:val="28"/>
          <w:sz w:val="22"/>
          <w:szCs w:val="22"/>
          <w:highlight w:val="none"/>
        </w:rPr>
        <w:t>13.投标文件的签署、盖章</w:t>
      </w:r>
    </w:p>
    <w:p w14:paraId="2720F5C3">
      <w:pPr>
        <w:pStyle w:val="144"/>
        <w:snapToGrid w:val="0"/>
        <w:spacing w:before="0" w:line="400" w:lineRule="exact"/>
        <w:ind w:firstLine="440"/>
        <w:rPr>
          <w:rFonts w:hint="eastAsia" w:ascii="宋体" w:hAnsi="宋体" w:cs="宋体"/>
          <w:b/>
          <w:sz w:val="22"/>
          <w:szCs w:val="22"/>
          <w:highlight w:val="none"/>
          <w:u w:val="single"/>
        </w:rPr>
      </w:pPr>
      <w:r>
        <w:rPr>
          <w:rFonts w:hint="eastAsia" w:ascii="宋体" w:hAnsi="宋体" w:cs="宋体"/>
          <w:sz w:val="22"/>
          <w:szCs w:val="22"/>
          <w:highlight w:val="none"/>
        </w:rPr>
        <w:t>13.1投标文件按照招标文件第六部分格式要求进行签署、盖章。</w:t>
      </w:r>
      <w:r>
        <w:rPr>
          <w:rFonts w:hint="eastAsia" w:ascii="宋体" w:hAnsi="宋体" w:cs="宋体"/>
          <w:b/>
          <w:sz w:val="22"/>
          <w:szCs w:val="22"/>
          <w:highlight w:val="none"/>
          <w:u w:val="single"/>
        </w:rPr>
        <w:t>▲投标人的投标文件未按照招标文件要求签署、盖章的，其投标无效</w:t>
      </w:r>
      <w:r>
        <w:rPr>
          <w:rFonts w:hint="eastAsia" w:ascii="宋体" w:hAnsi="宋体" w:cs="宋体"/>
          <w:sz w:val="22"/>
          <w:szCs w:val="22"/>
          <w:highlight w:val="none"/>
          <w:u w:val="single"/>
        </w:rPr>
        <w:t>。</w:t>
      </w:r>
    </w:p>
    <w:p w14:paraId="5C68EC6A">
      <w:pPr>
        <w:pStyle w:val="144"/>
        <w:snapToGrid w:val="0"/>
        <w:spacing w:before="0" w:line="400" w:lineRule="exact"/>
        <w:ind w:firstLine="440"/>
        <w:rPr>
          <w:rFonts w:hint="eastAsia" w:ascii="宋体" w:hAnsi="宋体" w:cs="宋体"/>
          <w:sz w:val="22"/>
          <w:szCs w:val="22"/>
          <w:highlight w:val="none"/>
        </w:rPr>
      </w:pPr>
      <w:r>
        <w:rPr>
          <w:rFonts w:hint="eastAsia" w:ascii="宋体" w:hAnsi="宋体" w:cs="宋体"/>
          <w:sz w:val="22"/>
          <w:szCs w:val="22"/>
          <w:highlight w:val="none"/>
        </w:rPr>
        <w:t>13.2为确保网上操作合法、有效和安全，投标人应当在投标截止时间前完成在“政府采购云平台”的身份认证，确保在电子投标过程中能够对相关数据电文进行加密和使用电子签名。</w:t>
      </w:r>
    </w:p>
    <w:p w14:paraId="16B954AA">
      <w:pPr>
        <w:pStyle w:val="144"/>
        <w:snapToGrid w:val="0"/>
        <w:spacing w:before="0" w:line="400" w:lineRule="exact"/>
        <w:ind w:firstLine="440"/>
        <w:rPr>
          <w:rFonts w:hint="eastAsia" w:ascii="宋体" w:hAnsi="宋体" w:cs="宋体"/>
          <w:sz w:val="22"/>
          <w:szCs w:val="22"/>
          <w:highlight w:val="none"/>
        </w:rPr>
      </w:pPr>
      <w:r>
        <w:rPr>
          <w:rFonts w:hint="eastAsia" w:ascii="宋体" w:hAnsi="宋体" w:cs="宋体"/>
          <w:sz w:val="22"/>
          <w:szCs w:val="22"/>
          <w:highlight w:val="none"/>
        </w:rPr>
        <w:t>13.3招标文件对投标文件签署、盖章的要求适用于电子签名。</w:t>
      </w:r>
    </w:p>
    <w:p w14:paraId="1A1AF6FE">
      <w:pPr>
        <w:pStyle w:val="894"/>
        <w:shd w:val="clear" w:color="auto" w:fill="FFFFFF"/>
        <w:snapToGrid w:val="0"/>
        <w:spacing w:before="0" w:beforeAutospacing="0" w:after="0" w:afterAutospacing="0" w:line="400" w:lineRule="exact"/>
        <w:ind w:firstLine="442" w:firstLineChars="200"/>
        <w:contextualSpacing/>
        <w:rPr>
          <w:rFonts w:hint="eastAsia"/>
          <w:b/>
          <w:kern w:val="28"/>
          <w:sz w:val="22"/>
          <w:szCs w:val="22"/>
          <w:highlight w:val="none"/>
        </w:rPr>
      </w:pPr>
      <w:r>
        <w:rPr>
          <w:rFonts w:hint="eastAsia"/>
          <w:b/>
          <w:kern w:val="28"/>
          <w:sz w:val="22"/>
          <w:szCs w:val="22"/>
          <w:highlight w:val="none"/>
        </w:rPr>
        <w:t>14. 投标文件的提交、补充、修改、撤回</w:t>
      </w:r>
    </w:p>
    <w:p w14:paraId="699A4316">
      <w:pPr>
        <w:pStyle w:val="144"/>
        <w:spacing w:before="0" w:line="400" w:lineRule="exact"/>
        <w:ind w:firstLine="440"/>
        <w:rPr>
          <w:rFonts w:hint="eastAsia" w:ascii="宋体" w:hAnsi="宋体" w:cs="宋体"/>
          <w:sz w:val="22"/>
          <w:szCs w:val="22"/>
          <w:highlight w:val="none"/>
        </w:rPr>
      </w:pPr>
      <w:r>
        <w:rPr>
          <w:rFonts w:hint="eastAsia" w:ascii="宋体" w:hAnsi="宋体" w:cs="宋体"/>
          <w:sz w:val="22"/>
          <w:szCs w:val="22"/>
          <w:highlight w:val="none"/>
        </w:rPr>
        <w:t>14.1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C15D698">
      <w:pPr>
        <w:pStyle w:val="144"/>
        <w:spacing w:before="0" w:line="400" w:lineRule="exact"/>
        <w:ind w:firstLine="440"/>
        <w:rPr>
          <w:rFonts w:hint="eastAsia" w:ascii="宋体" w:hAnsi="宋体" w:cs="宋体"/>
          <w:sz w:val="22"/>
          <w:szCs w:val="22"/>
          <w:highlight w:val="none"/>
        </w:rPr>
      </w:pPr>
      <w:r>
        <w:rPr>
          <w:rFonts w:hint="eastAsia" w:ascii="宋体" w:hAnsi="宋体" w:cs="宋体"/>
          <w:sz w:val="22"/>
          <w:szCs w:val="22"/>
          <w:highlight w:val="none"/>
        </w:rPr>
        <w:t>14.2电子交易平台收到投标文件，将妥善保存并即时向投标人发出确认回执通知。在投标截止时间前，除投标人补充、修改或者撤回投标文件外，任何单位和个人不得解密或提取投标文件。</w:t>
      </w:r>
    </w:p>
    <w:p w14:paraId="29C8349D">
      <w:pPr>
        <w:pStyle w:val="144"/>
        <w:spacing w:before="0" w:line="400" w:lineRule="exact"/>
        <w:ind w:firstLine="440"/>
        <w:rPr>
          <w:rFonts w:hint="eastAsia" w:ascii="宋体" w:hAnsi="宋体" w:cs="宋体"/>
          <w:sz w:val="22"/>
          <w:szCs w:val="22"/>
          <w:highlight w:val="none"/>
        </w:rPr>
      </w:pPr>
      <w:r>
        <w:rPr>
          <w:rFonts w:hint="eastAsia" w:ascii="宋体" w:hAnsi="宋体" w:cs="宋体"/>
          <w:sz w:val="22"/>
          <w:szCs w:val="22"/>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1A2C397E">
      <w:pPr>
        <w:pStyle w:val="894"/>
        <w:shd w:val="clear" w:color="auto" w:fill="FFFFFF"/>
        <w:snapToGrid w:val="0"/>
        <w:spacing w:before="0" w:beforeAutospacing="0" w:after="0" w:afterAutospacing="0" w:line="400" w:lineRule="exact"/>
        <w:ind w:firstLine="442" w:firstLineChars="200"/>
        <w:contextualSpacing/>
        <w:rPr>
          <w:rFonts w:hint="eastAsia"/>
          <w:b/>
          <w:kern w:val="28"/>
          <w:sz w:val="22"/>
          <w:szCs w:val="22"/>
          <w:highlight w:val="none"/>
        </w:rPr>
      </w:pPr>
      <w:r>
        <w:rPr>
          <w:rFonts w:hint="eastAsia"/>
          <w:b/>
          <w:kern w:val="28"/>
          <w:sz w:val="22"/>
          <w:szCs w:val="22"/>
          <w:highlight w:val="none"/>
        </w:rPr>
        <w:t>15.备份投标文件</w:t>
      </w:r>
    </w:p>
    <w:p w14:paraId="324CD108">
      <w:pPr>
        <w:pStyle w:val="34"/>
        <w:spacing w:line="400" w:lineRule="exact"/>
        <w:ind w:firstLine="330" w:firstLineChars="150"/>
        <w:rPr>
          <w:rFonts w:hint="eastAsia" w:hAnsi="宋体" w:cs="宋体"/>
          <w:b/>
          <w:sz w:val="22"/>
          <w:szCs w:val="22"/>
          <w:highlight w:val="none"/>
        </w:rPr>
      </w:pPr>
      <w:r>
        <w:rPr>
          <w:rFonts w:hint="eastAsia" w:hAnsi="宋体" w:cs="宋体"/>
          <w:sz w:val="22"/>
          <w:szCs w:val="22"/>
          <w:highlight w:val="none"/>
        </w:rPr>
        <w:t xml:space="preserve"> 15.1投标人在电子交易平台传输递交投标文件后，还可以在投标截止时间前直接提交或者以邮政快递方式递交备份投标文件1份，</w:t>
      </w:r>
      <w:r>
        <w:rPr>
          <w:rFonts w:hint="eastAsia" w:hAnsi="宋体" w:cs="宋体"/>
          <w:b/>
          <w:bCs/>
          <w:sz w:val="22"/>
          <w:szCs w:val="22"/>
          <w:highlight w:val="none"/>
        </w:rPr>
        <w:t>采购人、采购代理机构不强制或变相强制投标人提交备份投标文件。</w:t>
      </w:r>
    </w:p>
    <w:p w14:paraId="7A47502A">
      <w:pPr>
        <w:pStyle w:val="34"/>
        <w:spacing w:line="400" w:lineRule="exact"/>
        <w:ind w:firstLine="440" w:firstLineChars="200"/>
        <w:rPr>
          <w:rFonts w:hint="eastAsia" w:hAnsi="宋体" w:cs="宋体"/>
          <w:b/>
          <w:sz w:val="22"/>
          <w:szCs w:val="22"/>
          <w:highlight w:val="none"/>
        </w:rPr>
      </w:pPr>
      <w:r>
        <w:rPr>
          <w:rFonts w:hint="eastAsia" w:hAnsi="宋体" w:cs="宋体"/>
          <w:sz w:val="22"/>
          <w:szCs w:val="22"/>
          <w:highlight w:val="none"/>
        </w:rPr>
        <w:t>15.2备份投标文件须在“政采云投标客户端”制作生成，并储存在U盘等存储介质中。备份投标文件应当密封包装并在包装上加盖公章并注明投标项目名称，投标人名称(联合体投标的，包装物封面需注明联合体投标，并注明联合体成员各方的名称和联合协议中约定的牵头人的名称)。</w:t>
      </w:r>
    </w:p>
    <w:p w14:paraId="68F4DAC8">
      <w:pPr>
        <w:pStyle w:val="34"/>
        <w:spacing w:line="400" w:lineRule="exact"/>
        <w:ind w:firstLine="440" w:firstLineChars="200"/>
        <w:rPr>
          <w:rFonts w:hint="eastAsia" w:hAnsi="宋体" w:cs="宋体"/>
          <w:sz w:val="22"/>
          <w:szCs w:val="22"/>
          <w:highlight w:val="none"/>
        </w:rPr>
      </w:pPr>
      <w:r>
        <w:rPr>
          <w:rFonts w:hint="eastAsia" w:hAnsi="宋体" w:cs="宋体"/>
          <w:sz w:val="22"/>
          <w:szCs w:val="22"/>
          <w:highlight w:val="none"/>
        </w:rPr>
        <w:t>15.3直接提交备份投标文件的，投标人应于投标截止时间前在招标公告中载明的开标地点将备份投标文件提交给采购代理机构，采购代理机构将拒绝接受逾期送达的备份投标文件。</w:t>
      </w:r>
    </w:p>
    <w:p w14:paraId="0F5FCED8">
      <w:pPr>
        <w:pStyle w:val="34"/>
        <w:spacing w:line="400" w:lineRule="exact"/>
        <w:ind w:firstLine="440" w:firstLineChars="200"/>
        <w:rPr>
          <w:rFonts w:hint="eastAsia" w:hAnsi="宋体" w:cs="宋体"/>
          <w:sz w:val="22"/>
          <w:szCs w:val="22"/>
          <w:highlight w:val="none"/>
        </w:rPr>
      </w:pPr>
      <w:r>
        <w:rPr>
          <w:rFonts w:hint="eastAsia" w:hAnsi="宋体" w:cs="宋体"/>
          <w:sz w:val="22"/>
          <w:szCs w:val="22"/>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2"/>
          <w:szCs w:val="22"/>
          <w:highlight w:val="none"/>
        </w:rPr>
        <w:t>招标文件第二部分投标人须知前附表规定的备份投标文件送达地点；</w:t>
      </w:r>
      <w:r>
        <w:rPr>
          <w:rFonts w:hint="eastAsia" w:hAnsi="宋体" w:cs="宋体"/>
          <w:sz w:val="22"/>
          <w:szCs w:val="22"/>
          <w:highlight w:val="none"/>
        </w:rPr>
        <w:t>送达时间以签收人签收时间为准。采购代理机构将拒绝接受逾期送达的备份投标文件。邮寄过程中，电子备份投标文件发生泄露、遗失、损坏或延期送达等情况的，由投标人自行负责。</w:t>
      </w:r>
    </w:p>
    <w:p w14:paraId="59AFE526">
      <w:pPr>
        <w:pStyle w:val="34"/>
        <w:spacing w:line="400" w:lineRule="exact"/>
        <w:ind w:firstLine="440" w:firstLineChars="199"/>
        <w:rPr>
          <w:rFonts w:hint="eastAsia" w:hAnsi="宋体" w:cs="宋体"/>
          <w:b/>
          <w:sz w:val="22"/>
          <w:szCs w:val="22"/>
          <w:highlight w:val="none"/>
        </w:rPr>
      </w:pPr>
      <w:r>
        <w:rPr>
          <w:rFonts w:hint="eastAsia" w:hAnsi="宋体" w:cs="宋体"/>
          <w:b/>
          <w:sz w:val="22"/>
          <w:szCs w:val="22"/>
          <w:highlight w:val="none"/>
        </w:rPr>
        <w:t>15.5投标人仅提交备份投标文件，未在电子交易平台传输递交投标文件的，投标无效。</w:t>
      </w:r>
    </w:p>
    <w:p w14:paraId="151B8A56">
      <w:pPr>
        <w:pStyle w:val="894"/>
        <w:shd w:val="clear" w:color="auto" w:fill="FFFFFF"/>
        <w:snapToGrid w:val="0"/>
        <w:spacing w:before="0" w:beforeAutospacing="0" w:after="0" w:afterAutospacing="0" w:line="400" w:lineRule="exact"/>
        <w:ind w:firstLine="442" w:firstLineChars="200"/>
        <w:contextualSpacing/>
        <w:rPr>
          <w:rFonts w:hint="eastAsia"/>
          <w:b/>
          <w:kern w:val="28"/>
          <w:sz w:val="22"/>
          <w:szCs w:val="22"/>
          <w:highlight w:val="none"/>
        </w:rPr>
      </w:pPr>
      <w:r>
        <w:rPr>
          <w:rFonts w:hint="eastAsia"/>
          <w:b/>
          <w:kern w:val="28"/>
          <w:sz w:val="22"/>
          <w:szCs w:val="22"/>
          <w:highlight w:val="none"/>
        </w:rPr>
        <w:t>16.投标文件的无效处理</w:t>
      </w:r>
    </w:p>
    <w:p w14:paraId="324CEE37">
      <w:pPr>
        <w:pStyle w:val="25"/>
        <w:spacing w:line="400" w:lineRule="exact"/>
        <w:ind w:firstLine="440"/>
        <w:rPr>
          <w:rFonts w:hint="eastAsia" w:cs="宋体"/>
          <w:sz w:val="22"/>
          <w:szCs w:val="22"/>
          <w:highlight w:val="none"/>
        </w:rPr>
      </w:pPr>
      <w:r>
        <w:rPr>
          <w:rFonts w:hint="eastAsia" w:cs="宋体"/>
          <w:sz w:val="22"/>
          <w:szCs w:val="22"/>
          <w:highlight w:val="none"/>
        </w:rPr>
        <w:t>有招标文件第四部分4.2规定的情形之一的，投标无效：</w:t>
      </w:r>
    </w:p>
    <w:p w14:paraId="5614D627">
      <w:pPr>
        <w:pStyle w:val="894"/>
        <w:shd w:val="clear" w:color="auto" w:fill="FFFFFF"/>
        <w:snapToGrid w:val="0"/>
        <w:spacing w:before="0" w:beforeAutospacing="0" w:after="0" w:afterAutospacing="0" w:line="400" w:lineRule="exact"/>
        <w:ind w:firstLine="442" w:firstLineChars="200"/>
        <w:contextualSpacing/>
        <w:rPr>
          <w:rFonts w:hint="eastAsia"/>
          <w:b/>
          <w:kern w:val="28"/>
          <w:sz w:val="22"/>
          <w:szCs w:val="22"/>
          <w:highlight w:val="none"/>
        </w:rPr>
      </w:pPr>
      <w:r>
        <w:rPr>
          <w:rFonts w:hint="eastAsia"/>
          <w:b/>
          <w:kern w:val="28"/>
          <w:sz w:val="22"/>
          <w:szCs w:val="22"/>
          <w:highlight w:val="none"/>
        </w:rPr>
        <w:t>17.投标有效期</w:t>
      </w:r>
    </w:p>
    <w:p w14:paraId="645EB88D">
      <w:pPr>
        <w:spacing w:line="400" w:lineRule="exact"/>
        <w:ind w:firstLine="440" w:firstLineChars="200"/>
        <w:rPr>
          <w:rFonts w:hint="eastAsia" w:ascii="宋体" w:hAnsi="宋体" w:cs="宋体"/>
          <w:b/>
          <w:sz w:val="22"/>
          <w:szCs w:val="22"/>
          <w:highlight w:val="none"/>
          <w:u w:val="single"/>
        </w:rPr>
      </w:pPr>
      <w:r>
        <w:rPr>
          <w:rFonts w:hint="eastAsia" w:ascii="宋体" w:hAnsi="宋体" w:cs="宋体"/>
          <w:sz w:val="22"/>
          <w:szCs w:val="22"/>
          <w:highlight w:val="none"/>
        </w:rPr>
        <w:t>17.1投标有效期为从提交投标文件的截止之日起90天。▲</w:t>
      </w:r>
      <w:r>
        <w:rPr>
          <w:rFonts w:hint="eastAsia" w:ascii="宋体" w:hAnsi="宋体" w:cs="宋体"/>
          <w:b/>
          <w:sz w:val="22"/>
          <w:szCs w:val="22"/>
          <w:highlight w:val="none"/>
          <w:u w:val="single"/>
        </w:rPr>
        <w:t>投标人的投标文件中承诺的投标有效期少于招标文件中载明的投标有效期的，投标无效。</w:t>
      </w:r>
    </w:p>
    <w:p w14:paraId="22C0E81D">
      <w:pPr>
        <w:pStyle w:val="144"/>
        <w:spacing w:before="0" w:line="400" w:lineRule="exact"/>
        <w:ind w:firstLine="440"/>
        <w:rPr>
          <w:rFonts w:hint="eastAsia" w:ascii="宋体" w:hAnsi="宋体" w:cs="宋体"/>
          <w:sz w:val="22"/>
          <w:szCs w:val="22"/>
          <w:highlight w:val="none"/>
        </w:rPr>
      </w:pPr>
      <w:r>
        <w:rPr>
          <w:rFonts w:hint="eastAsia" w:ascii="宋体" w:hAnsi="宋体" w:cs="宋体"/>
          <w:sz w:val="22"/>
          <w:szCs w:val="22"/>
          <w:highlight w:val="none"/>
        </w:rPr>
        <w:t>17.2投标文件合格投递后，自投标截止日期起，在投标有效期内有效。</w:t>
      </w:r>
    </w:p>
    <w:p w14:paraId="143C234F">
      <w:pPr>
        <w:pStyle w:val="144"/>
        <w:spacing w:before="0" w:line="400" w:lineRule="exact"/>
        <w:ind w:firstLine="440"/>
        <w:rPr>
          <w:rFonts w:hint="eastAsia" w:ascii="宋体" w:hAnsi="宋体" w:cs="宋体"/>
          <w:b/>
          <w:sz w:val="22"/>
          <w:szCs w:val="22"/>
          <w:highlight w:val="none"/>
        </w:rPr>
      </w:pPr>
      <w:r>
        <w:rPr>
          <w:rFonts w:hint="eastAsia" w:ascii="宋体" w:hAnsi="宋体" w:cs="宋体"/>
          <w:sz w:val="22"/>
          <w:szCs w:val="22"/>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6657D01">
      <w:pPr>
        <w:snapToGrid w:val="0"/>
        <w:spacing w:line="360" w:lineRule="auto"/>
        <w:jc w:val="center"/>
        <w:outlineLvl w:val="0"/>
        <w:rPr>
          <w:rFonts w:hint="eastAsia" w:asciiTheme="minorEastAsia" w:hAnsiTheme="minorEastAsia" w:eastAsiaTheme="minorEastAsia" w:cstheme="minorEastAsia"/>
          <w:b/>
          <w:sz w:val="36"/>
          <w:szCs w:val="36"/>
          <w:highlight w:val="none"/>
        </w:rPr>
      </w:pPr>
      <w:bookmarkStart w:id="18" w:name="_Toc27996"/>
      <w:r>
        <w:rPr>
          <w:rFonts w:hint="eastAsia" w:asciiTheme="minorEastAsia" w:hAnsiTheme="minorEastAsia" w:eastAsiaTheme="minorEastAsia" w:cstheme="minorEastAsia"/>
          <w:b/>
          <w:sz w:val="36"/>
          <w:szCs w:val="36"/>
          <w:highlight w:val="none"/>
        </w:rPr>
        <w:t>四、开标、资格审查与信用信息查询</w:t>
      </w:r>
      <w:bookmarkEnd w:id="18"/>
    </w:p>
    <w:p w14:paraId="298CC921">
      <w:pPr>
        <w:pStyle w:val="894"/>
        <w:shd w:val="clear" w:color="auto" w:fill="FFFFFF"/>
        <w:snapToGrid w:val="0"/>
        <w:spacing w:before="0" w:beforeAutospacing="0" w:after="0" w:afterAutospacing="0" w:line="400" w:lineRule="exact"/>
        <w:ind w:firstLine="442" w:firstLineChars="200"/>
        <w:contextualSpacing/>
        <w:rPr>
          <w:rFonts w:hint="eastAsia" w:asciiTheme="minorEastAsia" w:hAnsiTheme="minorEastAsia" w:eastAsiaTheme="minorEastAsia" w:cstheme="minorEastAsia"/>
          <w:b/>
          <w:kern w:val="28"/>
          <w:sz w:val="22"/>
          <w:szCs w:val="22"/>
          <w:highlight w:val="none"/>
        </w:rPr>
      </w:pPr>
      <w:r>
        <w:rPr>
          <w:rFonts w:hint="eastAsia" w:asciiTheme="minorEastAsia" w:hAnsiTheme="minorEastAsia" w:eastAsiaTheme="minorEastAsia" w:cstheme="minorEastAsia"/>
          <w:b/>
          <w:kern w:val="28"/>
          <w:sz w:val="22"/>
          <w:szCs w:val="22"/>
          <w:highlight w:val="none"/>
        </w:rPr>
        <w:t>18.</w:t>
      </w:r>
      <w:r>
        <w:rPr>
          <w:rFonts w:hint="eastAsia"/>
          <w:b/>
          <w:kern w:val="28"/>
          <w:sz w:val="22"/>
          <w:szCs w:val="22"/>
          <w:highlight w:val="none"/>
        </w:rPr>
        <w:t>开标</w:t>
      </w:r>
    </w:p>
    <w:p w14:paraId="162973C9">
      <w:pPr>
        <w:pStyle w:val="563"/>
        <w:spacing w:before="0" w:line="400" w:lineRule="exact"/>
        <w:ind w:left="0" w:firstLine="440" w:firstLineChars="200"/>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18.1采购代理机构按照招标文件规定的时间通过电子交易平台组织开标，所有投标人均应当准时在线参加。投标人不足3家的，不得开标。</w:t>
      </w:r>
    </w:p>
    <w:p w14:paraId="28A0CE7D">
      <w:pPr>
        <w:pStyle w:val="563"/>
        <w:spacing w:before="0" w:line="400" w:lineRule="exact"/>
        <w:ind w:left="0" w:firstLine="220" w:firstLineChars="100"/>
        <w:contextualSpacing/>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18.2开标时，电子交易平台按开标时间自动提取所有投标文件。采购代理机构依托电子交易平台发起开始解密指令，投标人按照平台提示和招标文件的规定在半小时内完成在线解密。</w:t>
      </w:r>
    </w:p>
    <w:p w14:paraId="18B4181E">
      <w:pPr>
        <w:pStyle w:val="563"/>
        <w:spacing w:before="0" w:line="400" w:lineRule="exact"/>
        <w:ind w:left="0" w:firstLine="220" w:firstLineChars="100"/>
        <w:contextualSpacing/>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sz w:val="22"/>
          <w:szCs w:val="22"/>
          <w:highlight w:val="none"/>
        </w:rPr>
        <w:t>　18.3</w:t>
      </w:r>
      <w:r>
        <w:rPr>
          <w:rFonts w:hint="eastAsia" w:asciiTheme="minorEastAsia" w:hAnsiTheme="minorEastAsia" w:eastAsiaTheme="minorEastAsia" w:cstheme="minorEastAsia"/>
          <w:b/>
          <w:sz w:val="22"/>
          <w:szCs w:val="22"/>
          <w:highlight w:val="none"/>
        </w:rPr>
        <w:t>投标文件未按时解密，投标人提供了备份投标文件的，以备份投标文件作为依据，否则视为投标文件撤回。投标文件已按时解密的，备份投标文件自动失效。</w:t>
      </w:r>
    </w:p>
    <w:p w14:paraId="1387C6A9">
      <w:pPr>
        <w:pStyle w:val="894"/>
        <w:shd w:val="clear" w:color="auto" w:fill="FFFFFF"/>
        <w:snapToGrid w:val="0"/>
        <w:spacing w:before="0" w:beforeAutospacing="0" w:after="0" w:afterAutospacing="0" w:line="400" w:lineRule="exact"/>
        <w:ind w:firstLine="442" w:firstLineChars="200"/>
        <w:contextualSpacing/>
        <w:rPr>
          <w:rFonts w:hint="eastAsia" w:asciiTheme="minorEastAsia" w:hAnsiTheme="minorEastAsia" w:eastAsiaTheme="minorEastAsia" w:cstheme="minorEastAsia"/>
          <w:b/>
          <w:kern w:val="28"/>
          <w:sz w:val="22"/>
          <w:szCs w:val="22"/>
          <w:highlight w:val="none"/>
        </w:rPr>
      </w:pPr>
      <w:r>
        <w:rPr>
          <w:rFonts w:hint="eastAsia" w:asciiTheme="minorEastAsia" w:hAnsiTheme="minorEastAsia" w:eastAsiaTheme="minorEastAsia" w:cstheme="minorEastAsia"/>
          <w:b/>
          <w:kern w:val="28"/>
          <w:sz w:val="22"/>
          <w:szCs w:val="22"/>
          <w:highlight w:val="none"/>
        </w:rPr>
        <w:t>19.资格审查</w:t>
      </w:r>
    </w:p>
    <w:p w14:paraId="6D5A82A5">
      <w:pPr>
        <w:snapToGrid w:val="0"/>
        <w:spacing w:line="40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rPr>
        <w:t>19.1开标后，</w:t>
      </w:r>
      <w:r>
        <w:rPr>
          <w:rFonts w:hint="eastAsia" w:asciiTheme="minorEastAsia" w:hAnsiTheme="minorEastAsia" w:eastAsiaTheme="minorEastAsia" w:cstheme="minorEastAsia"/>
          <w:sz w:val="22"/>
          <w:szCs w:val="22"/>
          <w:highlight w:val="none"/>
        </w:rPr>
        <w:t>采购人或采购代理机构依据法律法规和招标文件的规定，对投标人的资格进行审查。</w:t>
      </w:r>
    </w:p>
    <w:p w14:paraId="71444B03">
      <w:pPr>
        <w:pStyle w:val="144"/>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rPr>
        <w:t>19.2投标人未按照招标文件要求提供与</w:t>
      </w:r>
      <w:r>
        <w:rPr>
          <w:rFonts w:hint="eastAsia" w:asciiTheme="minorEastAsia" w:hAnsiTheme="minorEastAsia" w:eastAsiaTheme="minorEastAsia" w:cstheme="minorEastAsia"/>
          <w:sz w:val="22"/>
          <w:szCs w:val="22"/>
          <w:highlight w:val="none"/>
        </w:rPr>
        <w:t>资格条件相应的</w:t>
      </w:r>
      <w:r>
        <w:rPr>
          <w:rFonts w:hint="eastAsia" w:asciiTheme="minorEastAsia" w:hAnsiTheme="minorEastAsia" w:eastAsiaTheme="minorEastAsia" w:cstheme="minorEastAsia"/>
          <w:kern w:val="0"/>
          <w:sz w:val="22"/>
          <w:szCs w:val="22"/>
          <w:highlight w:val="none"/>
        </w:rPr>
        <w:t>有效资格证明材料的，视为</w:t>
      </w:r>
      <w:r>
        <w:rPr>
          <w:rFonts w:hint="eastAsia" w:asciiTheme="minorEastAsia" w:hAnsiTheme="minorEastAsia" w:eastAsiaTheme="minorEastAsia" w:cstheme="minorEastAsia"/>
          <w:sz w:val="22"/>
          <w:szCs w:val="22"/>
          <w:highlight w:val="none"/>
        </w:rPr>
        <w:t>投标人不具备招标文件中规定的资格要求，其投标无效。</w:t>
      </w:r>
    </w:p>
    <w:p w14:paraId="7FC92F8F">
      <w:pPr>
        <w:pStyle w:val="144"/>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rPr>
        <w:t>19.</w:t>
      </w:r>
      <w:r>
        <w:rPr>
          <w:rFonts w:hint="eastAsia" w:asciiTheme="minorEastAsia" w:hAnsiTheme="minorEastAsia" w:eastAsiaTheme="minorEastAsia" w:cstheme="minorEastAsia"/>
          <w:sz w:val="22"/>
          <w:szCs w:val="22"/>
          <w:highlight w:val="none"/>
        </w:rPr>
        <w:t>3对未通过资格审查的投标人，采购人或采购代理机构告知其未通过的原因。</w:t>
      </w:r>
    </w:p>
    <w:p w14:paraId="5E30F455">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rPr>
        <w:t>19.</w:t>
      </w:r>
      <w:r>
        <w:rPr>
          <w:rFonts w:hint="eastAsia" w:asciiTheme="minorEastAsia" w:hAnsiTheme="minorEastAsia" w:eastAsiaTheme="minorEastAsia" w:cstheme="minorEastAsia"/>
          <w:sz w:val="22"/>
          <w:szCs w:val="22"/>
          <w:highlight w:val="none"/>
        </w:rPr>
        <w:t>4合格投标人不足3家的，不再评标。</w:t>
      </w:r>
    </w:p>
    <w:p w14:paraId="179AC7CF">
      <w:pPr>
        <w:pStyle w:val="894"/>
        <w:shd w:val="clear" w:color="auto" w:fill="FFFFFF"/>
        <w:snapToGrid w:val="0"/>
        <w:spacing w:before="0" w:beforeAutospacing="0" w:after="0" w:afterAutospacing="0" w:line="400" w:lineRule="exact"/>
        <w:ind w:firstLine="442" w:firstLineChars="200"/>
        <w:contextualSpacing/>
        <w:rPr>
          <w:rFonts w:hint="eastAsia" w:asciiTheme="minorEastAsia" w:hAnsiTheme="minorEastAsia" w:eastAsiaTheme="minorEastAsia" w:cstheme="minorEastAsia"/>
          <w:b/>
          <w:kern w:val="28"/>
          <w:sz w:val="22"/>
          <w:szCs w:val="22"/>
          <w:highlight w:val="none"/>
        </w:rPr>
      </w:pPr>
      <w:r>
        <w:rPr>
          <w:rFonts w:hint="eastAsia" w:asciiTheme="minorEastAsia" w:hAnsiTheme="minorEastAsia" w:eastAsiaTheme="minorEastAsia" w:cstheme="minorEastAsia"/>
          <w:b/>
          <w:kern w:val="28"/>
          <w:sz w:val="22"/>
          <w:szCs w:val="22"/>
          <w:highlight w:val="none"/>
        </w:rPr>
        <w:t>20.信用信息查询</w:t>
      </w:r>
    </w:p>
    <w:p w14:paraId="31382F8F">
      <w:pPr>
        <w:pStyle w:val="144"/>
        <w:spacing w:before="0" w:line="400" w:lineRule="exact"/>
        <w:ind w:firstLine="440"/>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20.1信用信息查询渠道及截止时间：采购代理机构将在资格审查时通过“信用中国”网站(www.creditchina.gov.cn)、中国政府采购网(www.ccgp.gov.cn)渠道查询投标人的信用记录。</w:t>
      </w:r>
    </w:p>
    <w:p w14:paraId="2040AEC4">
      <w:pPr>
        <w:pStyle w:val="144"/>
        <w:spacing w:before="0" w:line="400" w:lineRule="exact"/>
        <w:ind w:firstLine="440"/>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20.2信用信息查询记录和证据留存的具体方式：现场查询的投标人的信用记录、查询结果经确认后将与采购文件一起存档。</w:t>
      </w:r>
    </w:p>
    <w:p w14:paraId="2AD887F5">
      <w:pPr>
        <w:pStyle w:val="144"/>
        <w:spacing w:before="0" w:line="400" w:lineRule="exact"/>
        <w:ind w:firstLine="440"/>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20.3信用信息的使用规则：经查询列入失信被执行人名单、重大税收违法案件当事人名单、政府采购严重违法失信行为记录名单的投标人将被拒绝参与政府采购活动。</w:t>
      </w:r>
    </w:p>
    <w:p w14:paraId="582F6303">
      <w:pPr>
        <w:pStyle w:val="144"/>
        <w:spacing w:before="0" w:line="400" w:lineRule="exact"/>
        <w:ind w:firstLine="44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2"/>
          <w:szCs w:val="22"/>
          <w:highlight w:val="none"/>
        </w:rPr>
        <w:t>20.4联合体信用信息查询：两个以上的自然人、法人或者其他组织组成一个联合体，以一个投标人的身份共同参加政府采购活动的，应当对所有联合体成员进行信用记录查询，联合体成员存在不良信用记录的，视同联合体存在不良信用记录</w:t>
      </w:r>
      <w:r>
        <w:rPr>
          <w:rFonts w:hint="eastAsia" w:asciiTheme="minorEastAsia" w:hAnsiTheme="minorEastAsia" w:eastAsiaTheme="minorEastAsia" w:cstheme="minorEastAsia"/>
          <w:highlight w:val="none"/>
        </w:rPr>
        <w:t>。</w:t>
      </w:r>
    </w:p>
    <w:p w14:paraId="4FD25184">
      <w:pPr>
        <w:snapToGrid w:val="0"/>
        <w:spacing w:line="360" w:lineRule="auto"/>
        <w:jc w:val="center"/>
        <w:outlineLvl w:val="0"/>
        <w:rPr>
          <w:rFonts w:hint="eastAsia" w:asciiTheme="minorEastAsia" w:hAnsiTheme="minorEastAsia" w:eastAsiaTheme="minorEastAsia" w:cstheme="minorEastAsia"/>
          <w:b/>
          <w:sz w:val="36"/>
          <w:szCs w:val="36"/>
          <w:highlight w:val="none"/>
        </w:rPr>
      </w:pPr>
      <w:bookmarkStart w:id="19" w:name="_Toc21199"/>
      <w:r>
        <w:rPr>
          <w:rFonts w:hint="eastAsia" w:asciiTheme="minorEastAsia" w:hAnsiTheme="minorEastAsia" w:eastAsiaTheme="minorEastAsia" w:cstheme="minorEastAsia"/>
          <w:b/>
          <w:sz w:val="36"/>
          <w:szCs w:val="36"/>
          <w:highlight w:val="none"/>
        </w:rPr>
        <w:t>五、评标</w:t>
      </w:r>
      <w:bookmarkEnd w:id="19"/>
    </w:p>
    <w:p w14:paraId="381A266E">
      <w:pPr>
        <w:spacing w:line="400" w:lineRule="exact"/>
        <w:ind w:firstLine="442" w:firstLineChars="200"/>
        <w:rPr>
          <w:rFonts w:hint="eastAsia" w:asciiTheme="minorEastAsia" w:hAnsiTheme="minorEastAsia" w:eastAsiaTheme="minorEastAsia" w:cstheme="minorEastAsia"/>
          <w:b/>
          <w:sz w:val="22"/>
          <w:szCs w:val="22"/>
          <w:highlight w:val="none"/>
        </w:rPr>
      </w:pPr>
      <w:bookmarkStart w:id="20" w:name="_Toc91899903"/>
      <w:r>
        <w:rPr>
          <w:rFonts w:hint="eastAsia" w:asciiTheme="minorEastAsia" w:hAnsiTheme="minorEastAsia" w:eastAsiaTheme="minorEastAsia" w:cstheme="minorEastAsia"/>
          <w:b/>
          <w:snapToGrid w:val="0"/>
          <w:kern w:val="28"/>
          <w:sz w:val="22"/>
          <w:szCs w:val="22"/>
          <w:highlight w:val="none"/>
        </w:rPr>
        <w:t>21.评标委员会将根据招标文件和有关规定，履行评标工作职责，并按照评标方法及评</w:t>
      </w:r>
      <w:r>
        <w:rPr>
          <w:rFonts w:hint="eastAsia" w:asciiTheme="minorEastAsia" w:hAnsiTheme="minorEastAsia" w:eastAsiaTheme="minorEastAsia" w:cstheme="minorEastAsia"/>
          <w:sz w:val="22"/>
          <w:szCs w:val="22"/>
          <w:highlight w:val="none"/>
        </w:rPr>
        <w:t>分标准，全面衡量各投标人对招标文件的响应情况。对实质上响应招标文件的投标人，按照评审因素的量化指标排出推荐中标的投标人的先后顺序，并按顺序提出授标建议。</w:t>
      </w:r>
      <w:r>
        <w:rPr>
          <w:rFonts w:hint="eastAsia" w:asciiTheme="minorEastAsia" w:hAnsiTheme="minorEastAsia" w:eastAsiaTheme="minorEastAsia" w:cstheme="minorEastAsia"/>
          <w:b/>
          <w:sz w:val="22"/>
          <w:szCs w:val="22"/>
          <w:highlight w:val="none"/>
        </w:rPr>
        <w:t>详见招标文件第四部分评标办法。</w:t>
      </w:r>
    </w:p>
    <w:p w14:paraId="26B30631">
      <w:pPr>
        <w:snapToGrid w:val="0"/>
        <w:spacing w:line="360" w:lineRule="auto"/>
        <w:jc w:val="center"/>
        <w:outlineLvl w:val="0"/>
        <w:rPr>
          <w:rFonts w:hint="eastAsia" w:asciiTheme="minorEastAsia" w:hAnsiTheme="minorEastAsia" w:eastAsiaTheme="minorEastAsia" w:cstheme="minorEastAsia"/>
          <w:b/>
          <w:sz w:val="36"/>
          <w:szCs w:val="36"/>
          <w:highlight w:val="none"/>
        </w:rPr>
      </w:pPr>
      <w:bookmarkStart w:id="21" w:name="_Toc15268"/>
      <w:r>
        <w:rPr>
          <w:rFonts w:hint="eastAsia" w:asciiTheme="minorEastAsia" w:hAnsiTheme="minorEastAsia" w:eastAsiaTheme="minorEastAsia" w:cstheme="minorEastAsia"/>
          <w:b/>
          <w:sz w:val="36"/>
          <w:szCs w:val="36"/>
          <w:highlight w:val="none"/>
        </w:rPr>
        <w:t>六、定 标</w:t>
      </w:r>
      <w:bookmarkEnd w:id="21"/>
    </w:p>
    <w:p w14:paraId="7F932B30">
      <w:pPr>
        <w:pStyle w:val="894"/>
        <w:shd w:val="clear" w:color="auto" w:fill="FFFFFF"/>
        <w:snapToGrid w:val="0"/>
        <w:spacing w:before="0" w:beforeAutospacing="0" w:after="0" w:afterAutospacing="0" w:line="400" w:lineRule="exact"/>
        <w:ind w:firstLine="442" w:firstLineChars="200"/>
        <w:contextualSpacing/>
        <w:rPr>
          <w:rFonts w:hint="eastAsia" w:asciiTheme="minorEastAsia" w:hAnsiTheme="minorEastAsia" w:eastAsiaTheme="minorEastAsia" w:cstheme="minorEastAsia"/>
          <w:b/>
          <w:kern w:val="28"/>
          <w:sz w:val="22"/>
          <w:szCs w:val="22"/>
          <w:highlight w:val="none"/>
        </w:rPr>
      </w:pPr>
      <w:r>
        <w:rPr>
          <w:rFonts w:hint="eastAsia" w:asciiTheme="minorEastAsia" w:hAnsiTheme="minorEastAsia" w:eastAsiaTheme="minorEastAsia" w:cstheme="minorEastAsia"/>
          <w:b/>
          <w:kern w:val="28"/>
          <w:sz w:val="22"/>
          <w:szCs w:val="22"/>
          <w:highlight w:val="none"/>
        </w:rPr>
        <w:t>22.确定中标人</w:t>
      </w:r>
    </w:p>
    <w:p w14:paraId="1A35662C">
      <w:pPr>
        <w:pStyle w:val="144"/>
        <w:snapToGrid w:val="0"/>
        <w:spacing w:before="0" w:line="400" w:lineRule="exact"/>
        <w:ind w:firstLine="440"/>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sz w:val="22"/>
          <w:szCs w:val="22"/>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中标或者成交投标人，为提高政府采购效率，鼓励在收到评审报告当天在线确定中标或者成交投标人。中标、成交通知书和中标、成交结果公告应当在规定时间内同时发出。</w:t>
      </w:r>
    </w:p>
    <w:p w14:paraId="7A391733">
      <w:pPr>
        <w:pStyle w:val="894"/>
        <w:shd w:val="clear" w:color="auto" w:fill="FFFFFF"/>
        <w:snapToGrid w:val="0"/>
        <w:spacing w:before="0" w:beforeAutospacing="0" w:after="0" w:afterAutospacing="0" w:line="400" w:lineRule="exact"/>
        <w:ind w:firstLine="442" w:firstLineChars="200"/>
        <w:contextualSpacing/>
        <w:rPr>
          <w:rFonts w:hint="eastAsia" w:asciiTheme="minorEastAsia" w:hAnsiTheme="minorEastAsia" w:eastAsiaTheme="minorEastAsia" w:cstheme="minorEastAsia"/>
          <w:b/>
          <w:kern w:val="28"/>
          <w:sz w:val="22"/>
          <w:szCs w:val="22"/>
          <w:highlight w:val="none"/>
        </w:rPr>
      </w:pPr>
      <w:r>
        <w:rPr>
          <w:rFonts w:hint="eastAsia" w:asciiTheme="minorEastAsia" w:hAnsiTheme="minorEastAsia" w:eastAsiaTheme="minorEastAsia" w:cstheme="minorEastAsia"/>
          <w:b/>
          <w:kern w:val="28"/>
          <w:sz w:val="22"/>
          <w:szCs w:val="22"/>
          <w:highlight w:val="none"/>
        </w:rPr>
        <w:t>23.中标通知与中标结果公告</w:t>
      </w:r>
    </w:p>
    <w:p w14:paraId="27C83A9C">
      <w:pPr>
        <w:widowControl/>
        <w:shd w:val="clear" w:color="auto" w:fill="FFFFFF"/>
        <w:spacing w:line="400" w:lineRule="exact"/>
        <w:ind w:firstLine="480"/>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23.1自中标人确定之日起2个工作日内，采购代理机构通过电子交易平台向中标人发出中标通知书，同时编制发布采购结果公告。采购代理机构也可以以纸质形式进行中标通知。</w:t>
      </w:r>
    </w:p>
    <w:p w14:paraId="0CDEB5B1">
      <w:pPr>
        <w:widowControl/>
        <w:shd w:val="clear" w:color="auto" w:fill="FFFFFF"/>
        <w:spacing w:line="400" w:lineRule="exact"/>
        <w:ind w:firstLine="480"/>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3ACF8537">
      <w:pPr>
        <w:widowControl/>
        <w:shd w:val="clear" w:color="auto" w:fill="FFFFFF"/>
        <w:spacing w:line="400" w:lineRule="exact"/>
        <w:ind w:firstLine="440" w:firstLineChars="200"/>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23.3公告期限为1个工作日。</w:t>
      </w:r>
    </w:p>
    <w:p w14:paraId="79CA1ED2">
      <w:pPr>
        <w:pStyle w:val="144"/>
        <w:snapToGrid w:val="0"/>
        <w:spacing w:before="0" w:line="400" w:lineRule="exact"/>
        <w:ind w:firstLine="442"/>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sz w:val="22"/>
          <w:szCs w:val="22"/>
          <w:highlight w:val="none"/>
        </w:rPr>
        <w:t xml:space="preserve">23.4 </w:t>
      </w:r>
      <w:r>
        <w:rPr>
          <w:rFonts w:hint="eastAsia" w:asciiTheme="minorEastAsia" w:hAnsiTheme="minorEastAsia" w:eastAsiaTheme="minorEastAsia" w:cstheme="minorEastAsia"/>
          <w:bCs/>
          <w:sz w:val="22"/>
          <w:szCs w:val="22"/>
          <w:highlight w:val="none"/>
        </w:rPr>
        <w:t>由于中标、成交投标人原因导致重新采购的，</w:t>
      </w:r>
      <w:r>
        <w:rPr>
          <w:rFonts w:hint="eastAsia" w:asciiTheme="minorEastAsia" w:hAnsiTheme="minorEastAsia" w:eastAsiaTheme="minorEastAsia" w:cstheme="minorEastAsia"/>
          <w:kern w:val="0"/>
          <w:sz w:val="22"/>
          <w:szCs w:val="22"/>
          <w:highlight w:val="none"/>
        </w:rPr>
        <w:t>应当承担支付代理服务费、论证费和专家评审费等费用在内的赔偿责任</w:t>
      </w:r>
      <w:r>
        <w:rPr>
          <w:rFonts w:hint="eastAsia" w:asciiTheme="minorEastAsia" w:hAnsiTheme="minorEastAsia" w:eastAsiaTheme="minorEastAsia" w:cstheme="minorEastAsia"/>
          <w:bCs/>
          <w:sz w:val="22"/>
          <w:szCs w:val="22"/>
          <w:highlight w:val="none"/>
        </w:rPr>
        <w:t>。</w:t>
      </w:r>
    </w:p>
    <w:p w14:paraId="3D381950">
      <w:pPr>
        <w:snapToGrid w:val="0"/>
        <w:spacing w:line="360" w:lineRule="auto"/>
        <w:jc w:val="center"/>
        <w:outlineLvl w:val="0"/>
        <w:rPr>
          <w:rFonts w:hint="eastAsia" w:asciiTheme="minorEastAsia" w:hAnsiTheme="minorEastAsia" w:eastAsiaTheme="minorEastAsia" w:cstheme="minorEastAsia"/>
          <w:b/>
          <w:sz w:val="36"/>
          <w:szCs w:val="36"/>
          <w:highlight w:val="none"/>
        </w:rPr>
      </w:pPr>
      <w:bookmarkStart w:id="22" w:name="_Toc18697"/>
      <w:r>
        <w:rPr>
          <w:rFonts w:hint="eastAsia" w:asciiTheme="minorEastAsia" w:hAnsiTheme="minorEastAsia" w:eastAsiaTheme="minorEastAsia" w:cstheme="minorEastAsia"/>
          <w:b/>
          <w:sz w:val="36"/>
          <w:szCs w:val="36"/>
          <w:highlight w:val="none"/>
        </w:rPr>
        <w:t>七、合同授予</w:t>
      </w:r>
      <w:bookmarkEnd w:id="22"/>
    </w:p>
    <w:p w14:paraId="2245DB09">
      <w:pPr>
        <w:pStyle w:val="894"/>
        <w:shd w:val="clear" w:color="auto" w:fill="FFFFFF"/>
        <w:snapToGrid w:val="0"/>
        <w:spacing w:before="0" w:beforeAutospacing="0" w:after="0" w:afterAutospacing="0" w:line="400" w:lineRule="exact"/>
        <w:ind w:firstLine="442" w:firstLineChars="200"/>
        <w:contextualSpacing/>
        <w:rPr>
          <w:rFonts w:hint="eastAsia" w:asciiTheme="minorEastAsia" w:hAnsiTheme="minorEastAsia" w:eastAsiaTheme="minorEastAsia" w:cstheme="minorEastAsia"/>
          <w:b/>
          <w:kern w:val="28"/>
          <w:sz w:val="22"/>
          <w:szCs w:val="22"/>
          <w:highlight w:val="none"/>
        </w:rPr>
      </w:pPr>
      <w:r>
        <w:rPr>
          <w:rFonts w:hint="eastAsia" w:asciiTheme="minorEastAsia" w:hAnsiTheme="minorEastAsia" w:eastAsiaTheme="minorEastAsia" w:cstheme="minorEastAsia"/>
          <w:b/>
          <w:kern w:val="28"/>
          <w:sz w:val="22"/>
          <w:szCs w:val="22"/>
          <w:highlight w:val="none"/>
        </w:rPr>
        <w:t>24.合同主要条款详见第五部分拟签订的合同文本。</w:t>
      </w:r>
    </w:p>
    <w:p w14:paraId="238EB33F">
      <w:pPr>
        <w:pStyle w:val="894"/>
        <w:shd w:val="clear" w:color="auto" w:fill="FFFFFF"/>
        <w:snapToGrid w:val="0"/>
        <w:spacing w:before="0" w:beforeAutospacing="0" w:after="0" w:afterAutospacing="0" w:line="400" w:lineRule="exact"/>
        <w:ind w:firstLine="442" w:firstLineChars="200"/>
        <w:contextualSpacing/>
        <w:rPr>
          <w:rFonts w:hint="eastAsia" w:asciiTheme="minorEastAsia" w:hAnsiTheme="minorEastAsia" w:eastAsiaTheme="minorEastAsia" w:cstheme="minorEastAsia"/>
          <w:b/>
          <w:kern w:val="28"/>
          <w:sz w:val="22"/>
          <w:szCs w:val="22"/>
          <w:highlight w:val="none"/>
        </w:rPr>
      </w:pPr>
      <w:r>
        <w:rPr>
          <w:rFonts w:hint="eastAsia" w:asciiTheme="minorEastAsia" w:hAnsiTheme="minorEastAsia" w:eastAsiaTheme="minorEastAsia" w:cstheme="minorEastAsia"/>
          <w:b/>
          <w:kern w:val="28"/>
          <w:sz w:val="22"/>
          <w:szCs w:val="22"/>
          <w:highlight w:val="none"/>
        </w:rPr>
        <w:t>25.合同的签订</w:t>
      </w:r>
    </w:p>
    <w:p w14:paraId="155D6E45">
      <w:pPr>
        <w:widowControl/>
        <w:shd w:val="clear" w:color="auto" w:fill="FFFFFF"/>
        <w:spacing w:line="400" w:lineRule="exact"/>
        <w:ind w:firstLine="440" w:firstLineChars="200"/>
        <w:jc w:val="left"/>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sz w:val="22"/>
          <w:szCs w:val="22"/>
          <w:highlight w:val="none"/>
        </w:rPr>
        <w:t>25.1</w:t>
      </w:r>
      <w:r>
        <w:rPr>
          <w:rFonts w:hint="eastAsia" w:asciiTheme="minorEastAsia" w:hAnsiTheme="minorEastAsia" w:eastAsiaTheme="minorEastAsia" w:cstheme="minorEastAsia"/>
          <w:kern w:val="0"/>
          <w:sz w:val="22"/>
          <w:szCs w:val="22"/>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人按照采购文件确定的事项签订政府采购合同。</w:t>
      </w:r>
    </w:p>
    <w:p w14:paraId="73199F21">
      <w:pPr>
        <w:pStyle w:val="144"/>
        <w:snapToGrid w:val="0"/>
        <w:spacing w:before="0" w:line="400" w:lineRule="exact"/>
        <w:ind w:firstLine="440"/>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D1F2DF9">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25.3如签订合同并生效后，投标人无故拒绝或延期，除按照合同条款处理外，列入不良行为记录一次，并给予通报。</w:t>
      </w:r>
    </w:p>
    <w:p w14:paraId="54BC8D03">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25.4中标人拒绝与采购人签订合同的，采购人可以按照评审报告推荐的中标或者成交候选人名单排序，确定下一候选人为中标人，也可以重新开展政府采购活动。</w:t>
      </w:r>
    </w:p>
    <w:p w14:paraId="0F91FC17">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25.5采购合同由采购人与中标人根据招标文件、投标文件等内容通过政府采购电子交易平台在线签订，自动备案。</w:t>
      </w:r>
    </w:p>
    <w:p w14:paraId="1AA9CE26">
      <w:pPr>
        <w:snapToGrid w:val="0"/>
        <w:spacing w:line="360" w:lineRule="auto"/>
        <w:jc w:val="center"/>
        <w:outlineLvl w:val="0"/>
        <w:rPr>
          <w:rFonts w:hint="eastAsia" w:asciiTheme="minorEastAsia" w:hAnsiTheme="minorEastAsia" w:eastAsiaTheme="minorEastAsia" w:cstheme="minorEastAsia"/>
          <w:b/>
          <w:sz w:val="36"/>
          <w:szCs w:val="36"/>
          <w:highlight w:val="none"/>
        </w:rPr>
      </w:pPr>
      <w:bookmarkStart w:id="23" w:name="_Toc20185"/>
      <w:r>
        <w:rPr>
          <w:rFonts w:hint="eastAsia" w:asciiTheme="minorEastAsia" w:hAnsiTheme="minorEastAsia" w:eastAsiaTheme="minorEastAsia" w:cstheme="minorEastAsia"/>
          <w:b/>
          <w:sz w:val="36"/>
          <w:szCs w:val="36"/>
          <w:highlight w:val="none"/>
        </w:rPr>
        <w:t>八、电子交易活动的中止</w:t>
      </w:r>
      <w:bookmarkEnd w:id="23"/>
    </w:p>
    <w:p w14:paraId="07A9A595">
      <w:pPr>
        <w:pStyle w:val="144"/>
        <w:snapToGrid w:val="0"/>
        <w:spacing w:before="0" w:line="400" w:lineRule="exact"/>
        <w:ind w:firstLine="442"/>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snapToGrid w:val="0"/>
          <w:kern w:val="28"/>
          <w:sz w:val="22"/>
          <w:szCs w:val="22"/>
          <w:highlight w:val="none"/>
        </w:rPr>
        <w:t>26.</w:t>
      </w:r>
      <w:r>
        <w:rPr>
          <w:rFonts w:hint="eastAsia" w:asciiTheme="minorEastAsia" w:hAnsiTheme="minorEastAsia" w:eastAsiaTheme="minorEastAsia" w:cstheme="minorEastAsia"/>
          <w:bCs/>
          <w:snapToGrid w:val="0"/>
          <w:kern w:val="28"/>
          <w:sz w:val="22"/>
          <w:szCs w:val="22"/>
          <w:highlight w:val="none"/>
        </w:rPr>
        <w:t>电子交易活动的中止。采购过程中出现以下情形，导致电子交易平台无法正常运行，</w:t>
      </w:r>
      <w:r>
        <w:rPr>
          <w:rFonts w:hint="eastAsia" w:asciiTheme="minorEastAsia" w:hAnsiTheme="minorEastAsia" w:eastAsiaTheme="minorEastAsia" w:cstheme="minorEastAsia"/>
          <w:sz w:val="22"/>
          <w:szCs w:val="22"/>
          <w:highlight w:val="none"/>
        </w:rPr>
        <w:t>或者无法保证电子交易的公平、公正和安全时，采购代理机构可中止电子交易活动：</w:t>
      </w:r>
    </w:p>
    <w:p w14:paraId="18C28C1B">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26.1电子交易平台发生故障而无法登录访问的； </w:t>
      </w:r>
    </w:p>
    <w:p w14:paraId="2BFE7C44">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26.2电子交易平台应用或数据库出现错误，不能进行正常操作的；</w:t>
      </w:r>
    </w:p>
    <w:p w14:paraId="6666E101">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26.3电子交易平台发现严重安全漏洞，有潜在泄密危险的；</w:t>
      </w:r>
    </w:p>
    <w:p w14:paraId="3AFDABF5">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26.4病毒发作导致不能进行正常操作的； </w:t>
      </w:r>
    </w:p>
    <w:p w14:paraId="0DC10082">
      <w:pPr>
        <w:pStyle w:val="144"/>
        <w:snapToGrid w:val="0"/>
        <w:spacing w:before="0" w:line="400" w:lineRule="exact"/>
        <w:ind w:firstLine="4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26.5其他无法保证电子交易的公平、公正和安全的情况。</w:t>
      </w:r>
    </w:p>
    <w:p w14:paraId="763B2AE4">
      <w:pPr>
        <w:pStyle w:val="894"/>
        <w:shd w:val="clear" w:color="auto" w:fill="FFFFFF"/>
        <w:snapToGrid w:val="0"/>
        <w:spacing w:before="0" w:beforeAutospacing="0" w:after="0" w:afterAutospacing="0" w:line="400" w:lineRule="exact"/>
        <w:ind w:firstLine="442" w:firstLineChars="200"/>
        <w:contextualSpacing/>
        <w:rPr>
          <w:rFonts w:hint="eastAsia" w:asciiTheme="minorEastAsia" w:hAnsiTheme="minorEastAsia" w:eastAsiaTheme="minorEastAsia" w:cstheme="minorEastAsia"/>
          <w:b/>
          <w:kern w:val="28"/>
          <w:sz w:val="22"/>
          <w:szCs w:val="22"/>
          <w:highlight w:val="none"/>
        </w:rPr>
      </w:pPr>
      <w:r>
        <w:rPr>
          <w:rFonts w:hint="eastAsia" w:asciiTheme="minorEastAsia" w:hAnsiTheme="minorEastAsia" w:eastAsiaTheme="minorEastAsia" w:cstheme="minorEastAsia"/>
          <w:b/>
          <w:kern w:val="28"/>
          <w:sz w:val="22"/>
          <w:szCs w:val="22"/>
          <w:highlight w:val="none"/>
        </w:rPr>
        <w:t>27.</w:t>
      </w:r>
      <w:r>
        <w:rPr>
          <w:rFonts w:hint="eastAsia" w:asciiTheme="minorEastAsia" w:hAnsiTheme="minorEastAsia" w:eastAsiaTheme="minorEastAsia" w:cstheme="minorEastAsia"/>
          <w:bCs/>
          <w:kern w:val="28"/>
          <w:sz w:val="22"/>
          <w:szCs w:val="22"/>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6564A19A">
      <w:pPr>
        <w:snapToGrid w:val="0"/>
        <w:spacing w:line="360" w:lineRule="auto"/>
        <w:jc w:val="center"/>
        <w:outlineLvl w:val="0"/>
        <w:rPr>
          <w:rFonts w:hint="eastAsia" w:asciiTheme="minorEastAsia" w:hAnsiTheme="minorEastAsia" w:eastAsiaTheme="minorEastAsia" w:cstheme="minorEastAsia"/>
          <w:b/>
          <w:sz w:val="36"/>
          <w:szCs w:val="36"/>
          <w:highlight w:val="none"/>
        </w:rPr>
      </w:pPr>
      <w:bookmarkStart w:id="24" w:name="_Toc25181"/>
      <w:r>
        <w:rPr>
          <w:rFonts w:hint="eastAsia" w:asciiTheme="minorEastAsia" w:hAnsiTheme="minorEastAsia" w:eastAsiaTheme="minorEastAsia" w:cstheme="minorEastAsia"/>
          <w:b/>
          <w:sz w:val="36"/>
          <w:szCs w:val="36"/>
          <w:highlight w:val="none"/>
        </w:rPr>
        <w:t>九、验收</w:t>
      </w:r>
      <w:bookmarkEnd w:id="24"/>
    </w:p>
    <w:bookmarkEnd w:id="20"/>
    <w:p w14:paraId="145BF7DE">
      <w:pPr>
        <w:tabs>
          <w:tab w:val="left" w:pos="0"/>
        </w:tabs>
        <w:spacing w:line="400" w:lineRule="exact"/>
        <w:ind w:firstLine="480"/>
        <w:rPr>
          <w:rFonts w:hint="eastAsia" w:ascii="宋体" w:hAnsi="宋体" w:cs="宋体"/>
          <w:kern w:val="0"/>
          <w:sz w:val="22"/>
          <w:szCs w:val="22"/>
          <w:highlight w:val="none"/>
        </w:rPr>
      </w:pPr>
      <w:r>
        <w:rPr>
          <w:rFonts w:hint="eastAsia" w:ascii="宋体" w:hAnsi="宋体" w:cs="宋体"/>
          <w:kern w:val="0"/>
          <w:sz w:val="22"/>
          <w:szCs w:val="22"/>
          <w:highlight w:val="none"/>
        </w:rPr>
        <w:t>28.1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DFE990">
      <w:pPr>
        <w:tabs>
          <w:tab w:val="left" w:pos="0"/>
        </w:tabs>
        <w:spacing w:line="400" w:lineRule="exact"/>
        <w:ind w:firstLine="480"/>
        <w:rPr>
          <w:rFonts w:hint="eastAsia" w:ascii="宋体" w:hAnsi="宋体" w:cs="宋体"/>
          <w:kern w:val="0"/>
          <w:sz w:val="22"/>
          <w:szCs w:val="22"/>
          <w:highlight w:val="none"/>
        </w:rPr>
      </w:pPr>
      <w:r>
        <w:rPr>
          <w:rFonts w:hint="eastAsia" w:ascii="宋体" w:hAnsi="宋体" w:cs="宋体"/>
          <w:kern w:val="0"/>
          <w:sz w:val="22"/>
          <w:szCs w:val="22"/>
          <w:highlight w:val="none"/>
        </w:rPr>
        <w:t>28.2采购人可以邀请参加本项目的其他投标人或者第三方机构参与验收。参与验收的投标人或者第三方机构的意见作为验收书的参考资料一并存档。</w:t>
      </w:r>
    </w:p>
    <w:p w14:paraId="7E4761B5">
      <w:pPr>
        <w:tabs>
          <w:tab w:val="left" w:pos="0"/>
        </w:tabs>
        <w:spacing w:line="400" w:lineRule="exact"/>
        <w:ind w:firstLine="480"/>
        <w:rPr>
          <w:rFonts w:hint="eastAsia" w:ascii="宋体" w:hAnsi="宋体" w:cs="宋体"/>
          <w:kern w:val="0"/>
          <w:sz w:val="22"/>
          <w:szCs w:val="22"/>
          <w:highlight w:val="none"/>
        </w:rPr>
      </w:pPr>
      <w:r>
        <w:rPr>
          <w:rFonts w:hint="eastAsia" w:ascii="宋体" w:hAnsi="宋体" w:cs="宋体"/>
          <w:kern w:val="0"/>
          <w:sz w:val="22"/>
          <w:szCs w:val="22"/>
          <w:highlight w:val="none"/>
        </w:rPr>
        <w:t>28.3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14:paraId="64F63019">
      <w:pPr>
        <w:tabs>
          <w:tab w:val="left" w:pos="0"/>
        </w:tabs>
        <w:spacing w:line="400" w:lineRule="exact"/>
        <w:ind w:firstLine="480"/>
        <w:rPr>
          <w:rFonts w:hint="eastAsia" w:ascii="宋体" w:hAnsi="宋体" w:cs="宋体"/>
          <w:kern w:val="0"/>
          <w:sz w:val="22"/>
          <w:szCs w:val="22"/>
          <w:highlight w:val="none"/>
        </w:rPr>
      </w:pPr>
      <w:r>
        <w:rPr>
          <w:rFonts w:hint="eastAsia" w:ascii="宋体" w:hAnsi="宋体" w:cs="宋体"/>
          <w:kern w:val="0"/>
          <w:sz w:val="22"/>
          <w:szCs w:val="22"/>
          <w:highlight w:val="none"/>
        </w:rPr>
        <w:t>28.</w:t>
      </w:r>
      <w:r>
        <w:rPr>
          <w:rFonts w:hint="eastAsia" w:ascii="宋体" w:hAnsi="宋体" w:cs="宋体"/>
          <w:kern w:val="0"/>
          <w:sz w:val="22"/>
          <w:szCs w:val="22"/>
          <w:highlight w:val="none"/>
          <w:lang w:val="en-US" w:eastAsia="zh-CN"/>
        </w:rPr>
        <w:t>4</w:t>
      </w:r>
      <w:r>
        <w:rPr>
          <w:rFonts w:hint="eastAsia" w:ascii="宋体" w:hAnsi="宋体" w:cs="宋体"/>
          <w:kern w:val="0"/>
          <w:sz w:val="22"/>
          <w:szCs w:val="22"/>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D7542DD">
      <w:pPr>
        <w:tabs>
          <w:tab w:val="left" w:pos="0"/>
        </w:tabs>
        <w:spacing w:line="400" w:lineRule="exact"/>
        <w:ind w:firstLine="480"/>
        <w:rPr>
          <w:rStyle w:val="979"/>
          <w:rFonts w:hint="eastAsia" w:ascii="宋体" w:hAnsi="宋体" w:eastAsia="宋体" w:cs="宋体"/>
          <w:highlight w:val="none"/>
        </w:rPr>
        <w:sectPr>
          <w:footerReference r:id="rId10" w:type="first"/>
          <w:footerReference r:id="rId9" w:type="default"/>
          <w:pgSz w:w="11906" w:h="16838"/>
          <w:pgMar w:top="1327" w:right="1080" w:bottom="1327" w:left="1080" w:header="851" w:footer="992" w:gutter="0"/>
          <w:cols w:space="720" w:num="1"/>
          <w:docGrid w:linePitch="312" w:charSpace="0"/>
        </w:sectPr>
      </w:pPr>
      <w:bookmarkStart w:id="25" w:name="_Hlt68073093"/>
      <w:bookmarkEnd w:id="25"/>
      <w:bookmarkStart w:id="26" w:name="_Hlt75236290"/>
      <w:bookmarkEnd w:id="26"/>
      <w:bookmarkStart w:id="27" w:name="_Hlt68072998"/>
      <w:bookmarkEnd w:id="27"/>
      <w:bookmarkStart w:id="28" w:name="_Hlt68403820"/>
      <w:bookmarkEnd w:id="28"/>
      <w:bookmarkStart w:id="29" w:name="_Hlt74714665"/>
      <w:bookmarkEnd w:id="29"/>
      <w:bookmarkStart w:id="30" w:name="_Hlt68072990"/>
      <w:bookmarkEnd w:id="30"/>
      <w:bookmarkStart w:id="31" w:name="_Hlt74730295"/>
      <w:bookmarkEnd w:id="31"/>
      <w:bookmarkStart w:id="32" w:name="_Hlt74729768"/>
      <w:bookmarkEnd w:id="32"/>
      <w:bookmarkStart w:id="33" w:name="_Hlt75236101"/>
      <w:bookmarkEnd w:id="33"/>
      <w:bookmarkStart w:id="34" w:name="_Hlt75236011"/>
      <w:bookmarkEnd w:id="34"/>
      <w:bookmarkStart w:id="35" w:name="_Hlt68057669"/>
      <w:bookmarkEnd w:id="35"/>
      <w:bookmarkStart w:id="36" w:name="_Hlt74707468"/>
      <w:bookmarkEnd w:id="36"/>
      <w:r>
        <w:rPr>
          <w:rFonts w:hint="eastAsia" w:ascii="宋体" w:hAnsi="宋体" w:cs="宋体"/>
          <w:kern w:val="0"/>
          <w:sz w:val="22"/>
          <w:szCs w:val="22"/>
          <w:highlight w:val="none"/>
        </w:rPr>
        <w:t>28.</w:t>
      </w:r>
      <w:r>
        <w:rPr>
          <w:rFonts w:hint="eastAsia" w:ascii="宋体" w:hAnsi="宋体" w:cs="宋体"/>
          <w:kern w:val="0"/>
          <w:sz w:val="22"/>
          <w:szCs w:val="22"/>
          <w:highlight w:val="none"/>
          <w:lang w:val="en-US" w:eastAsia="zh-CN"/>
        </w:rPr>
        <w:t>5</w:t>
      </w:r>
      <w:r>
        <w:rPr>
          <w:rFonts w:hint="eastAsia" w:ascii="宋体" w:hAnsi="宋体" w:cs="宋体"/>
          <w:kern w:val="0"/>
          <w:sz w:val="22"/>
          <w:szCs w:val="22"/>
          <w:highlight w:val="none"/>
        </w:rPr>
        <w:t>履约验收费用由供应商承担，因供应商原因造成验收不通过的，再次验收的费用仍由供应商承担。</w:t>
      </w:r>
    </w:p>
    <w:bookmarkEnd w:id="10"/>
    <w:bookmarkEnd w:id="11"/>
    <w:p w14:paraId="0EDB6481">
      <w:pPr>
        <w:spacing w:line="360" w:lineRule="auto"/>
        <w:jc w:val="center"/>
        <w:outlineLvl w:val="0"/>
        <w:rPr>
          <w:rFonts w:hint="eastAsia" w:asciiTheme="minorEastAsia" w:hAnsiTheme="minorEastAsia" w:eastAsiaTheme="minorEastAsia" w:cstheme="minorEastAsia"/>
          <w:b/>
          <w:sz w:val="36"/>
          <w:szCs w:val="36"/>
          <w:highlight w:val="none"/>
        </w:rPr>
      </w:pPr>
      <w:bookmarkStart w:id="37" w:name="_Toc27688"/>
      <w:bookmarkStart w:id="38" w:name="第四部分"/>
      <w:r>
        <w:rPr>
          <w:rFonts w:hint="eastAsia" w:asciiTheme="minorEastAsia" w:hAnsiTheme="minorEastAsia" w:eastAsiaTheme="minorEastAsia" w:cstheme="minorEastAsia"/>
          <w:b/>
          <w:sz w:val="36"/>
          <w:szCs w:val="36"/>
          <w:highlight w:val="none"/>
        </w:rPr>
        <w:t>第三部分   采购需求</w:t>
      </w:r>
      <w:bookmarkEnd w:id="37"/>
    </w:p>
    <w:p w14:paraId="4B3B4D99">
      <w:pPr>
        <w:adjustRightInd/>
        <w:spacing w:line="360" w:lineRule="auto"/>
        <w:jc w:val="left"/>
        <w:rPr>
          <w:rFonts w:hint="eastAsia" w:ascii="宋体" w:hAnsi="宋体" w:cs="宋体"/>
          <w:b/>
          <w:bCs/>
          <w:sz w:val="22"/>
          <w:szCs w:val="22"/>
        </w:rPr>
      </w:pPr>
      <w:bookmarkStart w:id="39" w:name="_Toc9891"/>
      <w:bookmarkStart w:id="40" w:name="_Toc13439"/>
      <w:r>
        <w:rPr>
          <w:rFonts w:hint="eastAsia" w:ascii="宋体" w:hAnsi="宋体" w:cs="宋体"/>
          <w:b/>
          <w:bCs/>
          <w:sz w:val="22"/>
          <w:szCs w:val="22"/>
        </w:rPr>
        <w:t>一、服务范围及涉及线路</w:t>
      </w:r>
      <w:bookmarkEnd w:id="39"/>
    </w:p>
    <w:p w14:paraId="05E49E2C">
      <w:pPr>
        <w:adjustRightInd/>
        <w:spacing w:line="360" w:lineRule="auto"/>
        <w:jc w:val="left"/>
        <w:rPr>
          <w:rFonts w:hint="eastAsia" w:ascii="宋体" w:hAnsi="宋体" w:cs="宋体"/>
          <w:sz w:val="22"/>
          <w:szCs w:val="22"/>
        </w:rPr>
      </w:pPr>
      <w:r>
        <w:rPr>
          <w:rFonts w:hint="eastAsia" w:ascii="宋体" w:hAnsi="宋体" w:cs="宋体"/>
          <w:sz w:val="22"/>
          <w:szCs w:val="22"/>
        </w:rPr>
        <w:t>（1）接采购人通知后按时完成故障设施的更换，标志标线增设安装、可修复设备的维修及复原，基础工程的施工等。</w:t>
      </w:r>
    </w:p>
    <w:p w14:paraId="2C83CDE4">
      <w:pPr>
        <w:spacing w:line="360" w:lineRule="auto"/>
        <w:jc w:val="left"/>
        <w:rPr>
          <w:rFonts w:hint="eastAsia" w:ascii="宋体" w:hAnsi="宋体" w:cs="宋体"/>
          <w:sz w:val="22"/>
          <w:szCs w:val="22"/>
        </w:rPr>
      </w:pPr>
      <w:r>
        <w:rPr>
          <w:rFonts w:hint="eastAsia" w:ascii="宋体" w:hAnsi="宋体" w:cs="宋体"/>
          <w:sz w:val="22"/>
          <w:szCs w:val="22"/>
        </w:rPr>
        <w:t>（2）涉及范围：龙港市</w:t>
      </w:r>
    </w:p>
    <w:p w14:paraId="1BDD0DBD">
      <w:pPr>
        <w:adjustRightInd/>
        <w:spacing w:before="156" w:beforeLines="50" w:line="360" w:lineRule="auto"/>
        <w:jc w:val="left"/>
        <w:rPr>
          <w:rFonts w:hint="eastAsia" w:ascii="宋体" w:hAnsi="宋体" w:cs="宋体"/>
          <w:b/>
          <w:bCs/>
          <w:sz w:val="22"/>
          <w:szCs w:val="22"/>
        </w:rPr>
      </w:pPr>
      <w:bookmarkStart w:id="41" w:name="_Toc5908"/>
      <w:r>
        <w:rPr>
          <w:rFonts w:hint="eastAsia" w:ascii="宋体" w:hAnsi="宋体" w:cs="宋体"/>
          <w:b/>
          <w:bCs/>
          <w:sz w:val="22"/>
          <w:szCs w:val="22"/>
        </w:rPr>
        <w:t>二、项目要求</w:t>
      </w:r>
      <w:bookmarkEnd w:id="41"/>
    </w:p>
    <w:p w14:paraId="588C88DB">
      <w:pPr>
        <w:adjustRightInd/>
        <w:spacing w:line="360" w:lineRule="auto"/>
        <w:jc w:val="left"/>
        <w:rPr>
          <w:rFonts w:hint="eastAsia" w:ascii="宋体" w:hAnsi="宋体" w:cs="宋体"/>
          <w:sz w:val="22"/>
          <w:szCs w:val="22"/>
        </w:rPr>
      </w:pPr>
      <w:r>
        <w:rPr>
          <w:rFonts w:hint="eastAsia" w:ascii="宋体" w:hAnsi="宋体" w:cs="宋体"/>
          <w:sz w:val="22"/>
          <w:szCs w:val="22"/>
        </w:rPr>
        <w:t>故障设施的更换，标志标线增设安装，可修复设备的维修及复原要求：</w:t>
      </w:r>
    </w:p>
    <w:p w14:paraId="37812C76">
      <w:pPr>
        <w:adjustRightInd/>
        <w:spacing w:line="360" w:lineRule="auto"/>
        <w:jc w:val="left"/>
        <w:rPr>
          <w:rFonts w:hint="eastAsia" w:ascii="宋体" w:hAnsi="宋体" w:cs="宋体"/>
          <w:sz w:val="22"/>
          <w:szCs w:val="22"/>
        </w:rPr>
      </w:pPr>
      <w:r>
        <w:rPr>
          <w:rFonts w:hint="eastAsia" w:ascii="宋体" w:hAnsi="宋体" w:cs="宋体"/>
          <w:sz w:val="22"/>
          <w:szCs w:val="22"/>
        </w:rPr>
        <w:t>①交货及安装地点：故障设备所在地及采购人指定地点。</w:t>
      </w:r>
    </w:p>
    <w:p w14:paraId="1169329D">
      <w:pPr>
        <w:adjustRightInd/>
        <w:spacing w:line="360" w:lineRule="auto"/>
        <w:jc w:val="left"/>
        <w:rPr>
          <w:rFonts w:hint="eastAsia" w:ascii="宋体" w:hAnsi="宋体" w:cs="宋体"/>
          <w:sz w:val="22"/>
          <w:szCs w:val="22"/>
        </w:rPr>
      </w:pPr>
      <w:r>
        <w:rPr>
          <w:rFonts w:hint="eastAsia" w:ascii="宋体" w:hAnsi="宋体" w:cs="宋体"/>
          <w:sz w:val="22"/>
          <w:szCs w:val="22"/>
        </w:rPr>
        <w:t>②备品备件要求：中标人在接到采购人的电话后2小时内响应，24小时内修复，更换送修在2个工作日内完成，发生特殊情况，经采购人同意后可延期。质保期内出现质量问题，中标人负责包修、包退、包换。</w:t>
      </w:r>
    </w:p>
    <w:p w14:paraId="03C0C91D">
      <w:pPr>
        <w:adjustRightInd/>
        <w:spacing w:line="360" w:lineRule="auto"/>
        <w:jc w:val="left"/>
        <w:rPr>
          <w:rFonts w:hint="eastAsia" w:ascii="宋体" w:hAnsi="宋体" w:cs="宋体"/>
          <w:sz w:val="22"/>
          <w:szCs w:val="22"/>
        </w:rPr>
      </w:pPr>
      <w:r>
        <w:rPr>
          <w:rFonts w:hint="eastAsia" w:ascii="宋体" w:hAnsi="宋体" w:cs="宋体"/>
          <w:sz w:val="22"/>
          <w:szCs w:val="22"/>
        </w:rPr>
        <w:t>③所有设施质量不得低于国家及江北区现有设施的质量标准。</w:t>
      </w:r>
    </w:p>
    <w:p w14:paraId="24E46BC3">
      <w:pPr>
        <w:adjustRightInd/>
        <w:spacing w:line="360" w:lineRule="auto"/>
        <w:jc w:val="left"/>
        <w:rPr>
          <w:rFonts w:hint="eastAsia" w:ascii="宋体" w:hAnsi="宋体" w:cs="宋体"/>
          <w:b/>
          <w:bCs/>
          <w:sz w:val="22"/>
          <w:szCs w:val="22"/>
        </w:rPr>
      </w:pPr>
      <w:r>
        <w:rPr>
          <w:rFonts w:hint="eastAsia" w:ascii="宋体" w:hAnsi="宋体" w:cs="宋体"/>
          <w:b/>
          <w:bCs/>
          <w:sz w:val="22"/>
          <w:szCs w:val="22"/>
        </w:rPr>
        <w:t>三、人员要求</w:t>
      </w:r>
    </w:p>
    <w:p w14:paraId="38CF6CB4">
      <w:pPr>
        <w:adjustRightInd/>
        <w:spacing w:line="360" w:lineRule="auto"/>
        <w:jc w:val="left"/>
        <w:rPr>
          <w:rFonts w:hint="eastAsia" w:ascii="宋体" w:hAnsi="宋体" w:cs="宋体"/>
          <w:sz w:val="22"/>
          <w:szCs w:val="22"/>
        </w:rPr>
      </w:pPr>
      <w:r>
        <w:rPr>
          <w:rFonts w:hint="eastAsia" w:ascii="宋体" w:hAnsi="宋体" w:cs="宋体"/>
          <w:sz w:val="22"/>
          <w:szCs w:val="22"/>
        </w:rPr>
        <w:t>本项目到岗员工必须是本单位缴纳社保员工。</w:t>
      </w:r>
    </w:p>
    <w:p w14:paraId="402A7B73">
      <w:pPr>
        <w:pStyle w:val="23"/>
        <w:rPr>
          <w:rFonts w:hint="eastAsia" w:hAnsi="宋体" w:cs="宋体"/>
          <w:b/>
          <w:bCs/>
          <w:sz w:val="22"/>
          <w:szCs w:val="22"/>
          <w:lang w:val="en-US"/>
        </w:rPr>
      </w:pPr>
      <w:r>
        <w:rPr>
          <w:rFonts w:hint="eastAsia" w:hAnsi="宋体" w:cs="宋体"/>
          <w:b/>
          <w:bCs/>
          <w:sz w:val="22"/>
          <w:szCs w:val="22"/>
          <w:lang w:val="en-US"/>
        </w:rPr>
        <w:t>四、服务内容及要求</w:t>
      </w:r>
    </w:p>
    <w:p w14:paraId="02B7C545">
      <w:pPr>
        <w:snapToGrid w:val="0"/>
        <w:spacing w:line="360" w:lineRule="auto"/>
        <w:rPr>
          <w:rFonts w:hint="eastAsia" w:ascii="宋体" w:hAnsi="宋体" w:cs="宋体"/>
          <w:bCs/>
          <w:sz w:val="22"/>
          <w:szCs w:val="22"/>
          <w:lang w:bidi="zh-CN"/>
        </w:rPr>
      </w:pPr>
      <w:r>
        <w:rPr>
          <w:rFonts w:hint="eastAsia" w:ascii="宋体" w:hAnsi="宋体" w:cs="宋体"/>
          <w:bCs/>
          <w:sz w:val="22"/>
          <w:szCs w:val="22"/>
          <w:lang w:bidi="zh-CN"/>
        </w:rPr>
        <w:t>（一）采购内容清单</w:t>
      </w:r>
    </w:p>
    <w:tbl>
      <w:tblPr>
        <w:tblStyle w:val="64"/>
        <w:tblW w:w="5000" w:type="pct"/>
        <w:tblInd w:w="0" w:type="dxa"/>
        <w:tblLayout w:type="autofit"/>
        <w:tblCellMar>
          <w:top w:w="0" w:type="dxa"/>
          <w:left w:w="0" w:type="dxa"/>
          <w:bottom w:w="0" w:type="dxa"/>
          <w:right w:w="0" w:type="dxa"/>
        </w:tblCellMar>
      </w:tblPr>
      <w:tblGrid>
        <w:gridCol w:w="743"/>
        <w:gridCol w:w="1138"/>
        <w:gridCol w:w="5099"/>
        <w:gridCol w:w="531"/>
        <w:gridCol w:w="538"/>
        <w:gridCol w:w="1050"/>
        <w:gridCol w:w="583"/>
      </w:tblGrid>
      <w:tr w14:paraId="5B578EA0">
        <w:tblPrEx>
          <w:tblCellMar>
            <w:top w:w="0" w:type="dxa"/>
            <w:left w:w="0" w:type="dxa"/>
            <w:bottom w:w="0" w:type="dxa"/>
            <w:right w:w="0" w:type="dxa"/>
          </w:tblCellMar>
        </w:tblPrEx>
        <w:trPr>
          <w:trHeight w:val="468"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F1DA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3687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项目名称</w:t>
            </w:r>
          </w:p>
        </w:tc>
        <w:tc>
          <w:tcPr>
            <w:tcW w:w="263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B76E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项目特征</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BB71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单位</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91C8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工程量</w:t>
            </w:r>
          </w:p>
        </w:tc>
        <w:tc>
          <w:tcPr>
            <w:tcW w:w="542" w:type="pct"/>
            <w:vMerge w:val="restart"/>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4DCC24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全费用单价最高限价（元）</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05A2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备注</w:t>
            </w:r>
          </w:p>
        </w:tc>
      </w:tr>
      <w:tr w14:paraId="4930F1E4">
        <w:tblPrEx>
          <w:tblCellMar>
            <w:top w:w="0" w:type="dxa"/>
            <w:left w:w="0" w:type="dxa"/>
            <w:bottom w:w="0" w:type="dxa"/>
            <w:right w:w="0" w:type="dxa"/>
          </w:tblCellMar>
        </w:tblPrEx>
        <w:trPr>
          <w:trHeight w:val="46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498E8E">
            <w:pPr>
              <w:jc w:val="center"/>
              <w:rPr>
                <w:rFonts w:hint="eastAsia" w:ascii="宋体" w:hAnsi="宋体" w:cs="宋体"/>
                <w:color w:val="000000"/>
                <w:sz w:val="22"/>
                <w:szCs w:val="22"/>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9B1E31">
            <w:pPr>
              <w:jc w:val="center"/>
              <w:rPr>
                <w:rFonts w:hint="eastAsia" w:ascii="宋体" w:hAnsi="宋体" w:cs="宋体"/>
                <w:color w:val="000000"/>
                <w:sz w:val="22"/>
                <w:szCs w:val="22"/>
              </w:rPr>
            </w:pPr>
          </w:p>
        </w:tc>
        <w:tc>
          <w:tcPr>
            <w:tcW w:w="26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48D3BE">
            <w:pPr>
              <w:jc w:val="center"/>
              <w:rPr>
                <w:rFonts w:hint="eastAsia" w:ascii="宋体" w:hAnsi="宋体" w:cs="宋体"/>
                <w:color w:val="000000"/>
                <w:sz w:val="22"/>
                <w:szCs w:val="22"/>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42702DC">
            <w:pPr>
              <w:jc w:val="center"/>
              <w:rPr>
                <w:rFonts w:hint="eastAsia" w:ascii="宋体" w:hAnsi="宋体" w:cs="宋体"/>
                <w:color w:val="000000"/>
                <w:sz w:val="22"/>
                <w:szCs w:val="22"/>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0243DF">
            <w:pPr>
              <w:jc w:val="center"/>
              <w:rPr>
                <w:rFonts w:hint="eastAsia" w:ascii="宋体" w:hAnsi="宋体" w:cs="宋体"/>
                <w:color w:val="000000"/>
                <w:sz w:val="22"/>
                <w:szCs w:val="22"/>
              </w:rPr>
            </w:pPr>
          </w:p>
        </w:tc>
        <w:tc>
          <w:tcPr>
            <w:tcW w:w="542" w:type="pct"/>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3B4156F5">
            <w:pPr>
              <w:jc w:val="center"/>
              <w:rPr>
                <w:rFonts w:hint="eastAsia" w:ascii="宋体" w:hAnsi="宋体" w:cs="宋体"/>
                <w:color w:val="000000"/>
                <w:sz w:val="22"/>
                <w:szCs w:val="22"/>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9832D4">
            <w:pPr>
              <w:jc w:val="center"/>
              <w:rPr>
                <w:rFonts w:hint="eastAsia" w:ascii="宋体" w:hAnsi="宋体" w:cs="宋体"/>
                <w:color w:val="000000"/>
                <w:sz w:val="22"/>
                <w:szCs w:val="22"/>
              </w:rPr>
            </w:pPr>
          </w:p>
        </w:tc>
      </w:tr>
      <w:tr w14:paraId="138B0C6F">
        <w:tblPrEx>
          <w:tblCellMar>
            <w:top w:w="0" w:type="dxa"/>
            <w:left w:w="0" w:type="dxa"/>
            <w:bottom w:w="0" w:type="dxa"/>
            <w:right w:w="0" w:type="dxa"/>
          </w:tblCellMar>
        </w:tblPrEx>
        <w:trPr>
          <w:trHeight w:val="468"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5C2A94">
            <w:pPr>
              <w:jc w:val="center"/>
              <w:rPr>
                <w:rFonts w:hint="eastAsia" w:ascii="宋体" w:hAnsi="宋体" w:cs="宋体"/>
                <w:color w:val="000000"/>
                <w:sz w:val="22"/>
                <w:szCs w:val="22"/>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666F3A">
            <w:pPr>
              <w:jc w:val="center"/>
              <w:rPr>
                <w:rFonts w:hint="eastAsia" w:ascii="宋体" w:hAnsi="宋体" w:cs="宋体"/>
                <w:color w:val="000000"/>
                <w:sz w:val="22"/>
                <w:szCs w:val="22"/>
              </w:rPr>
            </w:pPr>
          </w:p>
        </w:tc>
        <w:tc>
          <w:tcPr>
            <w:tcW w:w="263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3BC7FA">
            <w:pPr>
              <w:jc w:val="center"/>
              <w:rPr>
                <w:rFonts w:hint="eastAsia" w:ascii="宋体" w:hAnsi="宋体" w:cs="宋体"/>
                <w:color w:val="000000"/>
                <w:sz w:val="22"/>
                <w:szCs w:val="22"/>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81B7B2">
            <w:pPr>
              <w:jc w:val="center"/>
              <w:rPr>
                <w:rFonts w:hint="eastAsia" w:ascii="宋体" w:hAnsi="宋体" w:cs="宋体"/>
                <w:color w:val="000000"/>
                <w:sz w:val="22"/>
                <w:szCs w:val="22"/>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5E828D">
            <w:pPr>
              <w:jc w:val="center"/>
              <w:rPr>
                <w:rFonts w:hint="eastAsia" w:ascii="宋体" w:hAnsi="宋体" w:cs="宋体"/>
                <w:color w:val="000000"/>
                <w:sz w:val="22"/>
                <w:szCs w:val="22"/>
              </w:rPr>
            </w:pPr>
          </w:p>
        </w:tc>
        <w:tc>
          <w:tcPr>
            <w:tcW w:w="542" w:type="pct"/>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3309FABE">
            <w:pPr>
              <w:jc w:val="center"/>
              <w:rPr>
                <w:rFonts w:hint="eastAsia" w:ascii="宋体" w:hAnsi="宋体" w:cs="宋体"/>
                <w:color w:val="000000"/>
                <w:sz w:val="22"/>
                <w:szCs w:val="22"/>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C6BA47">
            <w:pPr>
              <w:jc w:val="center"/>
              <w:rPr>
                <w:rFonts w:hint="eastAsia" w:ascii="宋体" w:hAnsi="宋体" w:cs="宋体"/>
                <w:color w:val="000000"/>
                <w:sz w:val="22"/>
                <w:szCs w:val="22"/>
              </w:rPr>
            </w:pPr>
          </w:p>
        </w:tc>
      </w:tr>
      <w:tr w14:paraId="11FD2976">
        <w:tblPrEx>
          <w:tblCellMar>
            <w:top w:w="0" w:type="dxa"/>
            <w:left w:w="0" w:type="dxa"/>
            <w:bottom w:w="0" w:type="dxa"/>
            <w:right w:w="0" w:type="dxa"/>
          </w:tblCellMar>
        </w:tblPrEx>
        <w:trPr>
          <w:trHeight w:val="45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45A3F3">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839985">
            <w:pPr>
              <w:widowControl/>
              <w:jc w:val="left"/>
              <w:textAlignment w:val="center"/>
              <w:rPr>
                <w:rFonts w:hint="eastAsia" w:ascii="宋体" w:hAnsi="宋体" w:cs="宋体"/>
                <w:color w:val="000000"/>
                <w:sz w:val="22"/>
                <w:szCs w:val="22"/>
              </w:rPr>
            </w:pPr>
            <w:r>
              <w:rPr>
                <w:rFonts w:hint="eastAsia" w:ascii="宋体" w:hAnsi="宋体" w:cs="宋体"/>
                <w:b/>
                <w:bCs/>
                <w:color w:val="000000"/>
                <w:sz w:val="22"/>
                <w:szCs w:val="22"/>
              </w:rPr>
              <w:t>交通标线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C5DEB1">
            <w:pPr>
              <w:jc w:val="left"/>
              <w:rPr>
                <w:rFonts w:hint="eastAsia" w:ascii="宋体" w:hAnsi="宋体" w:cs="宋体"/>
                <w:color w:val="000000"/>
                <w:sz w:val="22"/>
                <w:szCs w:val="22"/>
              </w:rPr>
            </w:pPr>
            <w:r>
              <w:rPr>
                <w:rFonts w:hint="eastAsia" w:ascii="宋体" w:hAnsi="宋体" w:cs="宋体"/>
                <w:color w:val="000000"/>
                <w:sz w:val="22"/>
                <w:szCs w:val="22"/>
              </w:rPr>
              <w:t>　</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F42124">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D0B475">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A8FB431">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033990">
            <w:pPr>
              <w:jc w:val="center"/>
              <w:rPr>
                <w:rFonts w:hint="eastAsia" w:ascii="宋体" w:hAnsi="宋体" w:cs="宋体"/>
                <w:color w:val="000000"/>
                <w:sz w:val="22"/>
                <w:szCs w:val="22"/>
              </w:rPr>
            </w:pPr>
          </w:p>
        </w:tc>
      </w:tr>
      <w:tr w14:paraId="7E78B4E1">
        <w:tblPrEx>
          <w:tblCellMar>
            <w:top w:w="0" w:type="dxa"/>
            <w:left w:w="0" w:type="dxa"/>
            <w:bottom w:w="0" w:type="dxa"/>
            <w:right w:w="0" w:type="dxa"/>
          </w:tblCellMar>
        </w:tblPrEx>
        <w:trPr>
          <w:trHeight w:val="96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8FF6E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9F3DC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普通标线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E26FF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1、名称:线型交通标线（白色或黄色，虚线或实线）</w:t>
            </w:r>
            <w:r>
              <w:rPr>
                <w:rFonts w:hint="eastAsia" w:ascii="宋体" w:hAnsi="宋体" w:cs="宋体"/>
                <w:color w:val="000000"/>
                <w:sz w:val="22"/>
                <w:szCs w:val="22"/>
              </w:rPr>
              <w:br w:type="textWrapping"/>
            </w:r>
            <w:r>
              <w:rPr>
                <w:rFonts w:hint="eastAsia" w:ascii="宋体" w:hAnsi="宋体" w:cs="宋体"/>
                <w:color w:val="000000"/>
                <w:sz w:val="22"/>
                <w:szCs w:val="22"/>
              </w:rPr>
              <w:t>2、油漆品种:热熔反光型抗滑涂料，底部涂膜厚度2mm，预混含量为18%-25%的2号玻璃微珠，面撒0.3-0.4Kg/㎡的1号玻璃微珠；</w:t>
            </w:r>
            <w:r>
              <w:rPr>
                <w:rFonts w:hint="eastAsia" w:ascii="宋体" w:hAnsi="宋体" w:cs="宋体"/>
                <w:color w:val="000000"/>
                <w:sz w:val="22"/>
                <w:szCs w:val="22"/>
              </w:rPr>
              <w:br w:type="textWrapping"/>
            </w:r>
            <w:r>
              <w:rPr>
                <w:rFonts w:hint="eastAsia" w:ascii="宋体" w:hAnsi="宋体" w:cs="宋体"/>
                <w:color w:val="000000"/>
                <w:sz w:val="22"/>
                <w:szCs w:val="22"/>
              </w:rPr>
              <w:t>3、相关技术要求参数：亮度因数及初始逆反射系数应符合施工图设计及规范要求；</w:t>
            </w:r>
            <w:r>
              <w:rPr>
                <w:rFonts w:hint="eastAsia" w:ascii="宋体" w:hAnsi="宋体" w:cs="宋体"/>
                <w:color w:val="000000"/>
                <w:sz w:val="22"/>
                <w:szCs w:val="22"/>
              </w:rPr>
              <w:br w:type="textWrapping"/>
            </w:r>
            <w:r>
              <w:rPr>
                <w:rFonts w:hint="eastAsia" w:ascii="宋体" w:hAnsi="宋体" w:cs="宋体"/>
                <w:color w:val="000000"/>
                <w:sz w:val="22"/>
                <w:szCs w:val="22"/>
              </w:rPr>
              <w:t>4、其他要求：施工前按图纸及规范要求清扫、清洁、涂抹底漆及放样。</w:t>
            </w:r>
            <w:r>
              <w:rPr>
                <w:rFonts w:hint="eastAsia" w:ascii="宋体" w:hAnsi="宋体" w:cs="宋体"/>
                <w:color w:val="000000"/>
                <w:sz w:val="22"/>
                <w:szCs w:val="22"/>
              </w:rPr>
              <w:br w:type="textWrapping"/>
            </w:r>
            <w:r>
              <w:rPr>
                <w:rFonts w:hint="eastAsia" w:ascii="宋体" w:hAnsi="宋体" w:cs="宋体"/>
                <w:color w:val="000000"/>
                <w:sz w:val="22"/>
                <w:szCs w:val="22"/>
              </w:rPr>
              <w:t>5、工程量暂定，结算时按标线漆划的净面积计算。</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DF7C1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m2</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80FB7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 </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F8AAF3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47.59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7F8C42">
            <w:pPr>
              <w:jc w:val="center"/>
              <w:rPr>
                <w:rFonts w:hint="eastAsia" w:ascii="宋体" w:hAnsi="宋体" w:cs="宋体"/>
                <w:color w:val="000000"/>
                <w:sz w:val="22"/>
                <w:szCs w:val="22"/>
              </w:rPr>
            </w:pPr>
          </w:p>
        </w:tc>
      </w:tr>
      <w:tr w14:paraId="0C4B4FE6">
        <w:tblPrEx>
          <w:tblCellMar>
            <w:top w:w="0" w:type="dxa"/>
            <w:left w:w="0" w:type="dxa"/>
            <w:bottom w:w="0" w:type="dxa"/>
            <w:right w:w="0" w:type="dxa"/>
          </w:tblCellMar>
        </w:tblPrEx>
        <w:trPr>
          <w:trHeight w:val="31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FEC9E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2F01B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彩色标线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A3E22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1、颜色：红、绿、青、蓝、紫（其他颜色根据实际情况选择）</w:t>
            </w:r>
            <w:r>
              <w:rPr>
                <w:rFonts w:hint="eastAsia" w:ascii="宋体" w:hAnsi="宋体" w:cs="宋体"/>
                <w:color w:val="000000"/>
                <w:sz w:val="22"/>
                <w:szCs w:val="22"/>
              </w:rPr>
              <w:br w:type="textWrapping"/>
            </w:r>
            <w:r>
              <w:rPr>
                <w:rFonts w:hint="eastAsia" w:ascii="宋体" w:hAnsi="宋体" w:cs="宋体"/>
                <w:color w:val="000000"/>
                <w:sz w:val="22"/>
                <w:szCs w:val="22"/>
              </w:rPr>
              <w:t>2、油漆品种:热熔反光型抗滑涂料，底部涂膜厚度2mm，预混含量为18%-25%的2号玻璃微珠，面撒0.3-0.4Kg/㎡的1号玻璃微珠；</w:t>
            </w:r>
            <w:r>
              <w:rPr>
                <w:rFonts w:hint="eastAsia" w:ascii="宋体" w:hAnsi="宋体" w:cs="宋体"/>
                <w:color w:val="000000"/>
                <w:sz w:val="22"/>
                <w:szCs w:val="22"/>
              </w:rPr>
              <w:br w:type="textWrapping"/>
            </w:r>
            <w:r>
              <w:rPr>
                <w:rFonts w:hint="eastAsia" w:ascii="宋体" w:hAnsi="宋体" w:cs="宋体"/>
                <w:color w:val="000000"/>
                <w:sz w:val="22"/>
                <w:szCs w:val="22"/>
              </w:rPr>
              <w:t>3、相关技术要求参数：亮度因数及初始逆反射系数应符合施工图设计及规范要求；</w:t>
            </w:r>
            <w:r>
              <w:rPr>
                <w:rFonts w:hint="eastAsia" w:ascii="宋体" w:hAnsi="宋体" w:cs="宋体"/>
                <w:color w:val="000000"/>
                <w:sz w:val="22"/>
                <w:szCs w:val="22"/>
              </w:rPr>
              <w:br w:type="textWrapping"/>
            </w:r>
            <w:r>
              <w:rPr>
                <w:rFonts w:hint="eastAsia" w:ascii="宋体" w:hAnsi="宋体" w:cs="宋体"/>
                <w:color w:val="000000"/>
                <w:sz w:val="22"/>
                <w:szCs w:val="22"/>
              </w:rPr>
              <w:t>4、其他要求：施工前按图纸及规范要求清扫、清洁、涂抹底漆及放样。</w:t>
            </w:r>
            <w:r>
              <w:rPr>
                <w:rFonts w:hint="eastAsia" w:ascii="宋体" w:hAnsi="宋体" w:cs="宋体"/>
                <w:color w:val="000000"/>
                <w:sz w:val="22"/>
                <w:szCs w:val="22"/>
              </w:rPr>
              <w:br w:type="textWrapping"/>
            </w:r>
            <w:r>
              <w:rPr>
                <w:rFonts w:hint="eastAsia" w:ascii="宋体" w:hAnsi="宋体" w:cs="宋体"/>
                <w:color w:val="000000"/>
                <w:sz w:val="22"/>
                <w:szCs w:val="22"/>
              </w:rPr>
              <w:t>5、工程量暂定，结算时按标线漆划的净面积计算。</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8D36C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m2</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DD93A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 </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0DFA3C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47.59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7065CB">
            <w:pPr>
              <w:jc w:val="center"/>
              <w:rPr>
                <w:rFonts w:hint="eastAsia" w:ascii="宋体" w:hAnsi="宋体" w:cs="宋体"/>
                <w:color w:val="000000"/>
                <w:sz w:val="22"/>
                <w:szCs w:val="22"/>
              </w:rPr>
            </w:pPr>
          </w:p>
        </w:tc>
      </w:tr>
      <w:tr w14:paraId="07FD9148">
        <w:tblPrEx>
          <w:tblCellMar>
            <w:top w:w="0" w:type="dxa"/>
            <w:left w:w="0" w:type="dxa"/>
            <w:bottom w:w="0" w:type="dxa"/>
            <w:right w:w="0" w:type="dxa"/>
          </w:tblCellMar>
        </w:tblPrEx>
        <w:trPr>
          <w:trHeight w:val="1393"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5F949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9134D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振荡标线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3ACC9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1、油漆品种:热熔反光型抗滑涂料，底部涂膜厚度2mm，凸出部分厚度为4.5mm，预混含量为18%-25%的2号玻璃微珠，面撒0.3-0.4Kg/㎡的1号玻璃微珠；</w:t>
            </w:r>
            <w:r>
              <w:rPr>
                <w:rFonts w:hint="eastAsia" w:ascii="宋体" w:hAnsi="宋体" w:cs="宋体"/>
                <w:color w:val="000000"/>
                <w:sz w:val="22"/>
                <w:szCs w:val="22"/>
              </w:rPr>
              <w:br w:type="textWrapping"/>
            </w:r>
            <w:r>
              <w:rPr>
                <w:rFonts w:hint="eastAsia" w:ascii="宋体" w:hAnsi="宋体" w:cs="宋体"/>
                <w:color w:val="000000"/>
                <w:sz w:val="22"/>
                <w:szCs w:val="22"/>
              </w:rPr>
              <w:t>2、相关技术要求参数：亮度因数及初始逆反射系数应符合施工图设计及规范要求；</w:t>
            </w:r>
            <w:r>
              <w:rPr>
                <w:rFonts w:hint="eastAsia" w:ascii="宋体" w:hAnsi="宋体" w:cs="宋体"/>
                <w:color w:val="000000"/>
                <w:sz w:val="22"/>
                <w:szCs w:val="22"/>
              </w:rPr>
              <w:br w:type="textWrapping"/>
            </w:r>
            <w:r>
              <w:rPr>
                <w:rFonts w:hint="eastAsia" w:ascii="宋体" w:hAnsi="宋体" w:cs="宋体"/>
                <w:color w:val="000000"/>
                <w:sz w:val="22"/>
                <w:szCs w:val="22"/>
              </w:rPr>
              <w:t>3、其他要求：施工前按图纸及规范要求清扫、清洁、涂抹底漆及放样。</w:t>
            </w:r>
            <w:r>
              <w:rPr>
                <w:rFonts w:hint="eastAsia" w:ascii="宋体" w:hAnsi="宋体" w:cs="宋体"/>
                <w:color w:val="000000"/>
                <w:sz w:val="22"/>
                <w:szCs w:val="22"/>
              </w:rPr>
              <w:br w:type="textWrapping"/>
            </w:r>
            <w:r>
              <w:rPr>
                <w:rFonts w:hint="eastAsia" w:ascii="宋体" w:hAnsi="宋体" w:cs="宋体"/>
                <w:color w:val="000000"/>
                <w:sz w:val="22"/>
                <w:szCs w:val="22"/>
              </w:rPr>
              <w:t>4、工程量暂定，结算时按标线漆划的底部净面积计算。</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27C47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m2</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D5CE0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18FD51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108.37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F6F55A">
            <w:pPr>
              <w:jc w:val="center"/>
              <w:rPr>
                <w:rFonts w:hint="eastAsia" w:ascii="宋体" w:hAnsi="宋体" w:cs="宋体"/>
                <w:color w:val="000000"/>
                <w:sz w:val="22"/>
                <w:szCs w:val="22"/>
              </w:rPr>
            </w:pPr>
          </w:p>
        </w:tc>
      </w:tr>
      <w:tr w14:paraId="2344F6BD">
        <w:tblPrEx>
          <w:tblCellMar>
            <w:top w:w="0" w:type="dxa"/>
            <w:left w:w="0" w:type="dxa"/>
            <w:bottom w:w="0" w:type="dxa"/>
            <w:right w:w="0" w:type="dxa"/>
          </w:tblCellMar>
        </w:tblPrEx>
        <w:trPr>
          <w:trHeight w:val="55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FBCA6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46F317">
            <w:pPr>
              <w:jc w:val="center"/>
              <w:rPr>
                <w:rFonts w:hint="eastAsia" w:ascii="宋体" w:hAnsi="宋体" w:cs="宋体"/>
                <w:color w:val="000000"/>
                <w:sz w:val="22"/>
                <w:szCs w:val="22"/>
              </w:rPr>
            </w:pPr>
            <w:r>
              <w:rPr>
                <w:rFonts w:hint="eastAsia" w:ascii="宋体" w:hAnsi="宋体" w:cs="宋体"/>
                <w:color w:val="000000"/>
                <w:sz w:val="22"/>
                <w:szCs w:val="22"/>
              </w:rPr>
              <w:t>水性反光涂料</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DC75E1">
            <w:pPr>
              <w:jc w:val="left"/>
              <w:rPr>
                <w:rFonts w:hint="eastAsia" w:ascii="宋体" w:hAnsi="宋体" w:cs="宋体"/>
                <w:color w:val="000000"/>
                <w:sz w:val="22"/>
                <w:szCs w:val="22"/>
              </w:rPr>
            </w:pPr>
            <w:r>
              <w:rPr>
                <w:rFonts w:hint="eastAsia" w:ascii="宋体" w:hAnsi="宋体" w:cs="宋体"/>
                <w:color w:val="000000"/>
                <w:sz w:val="22"/>
                <w:szCs w:val="22"/>
              </w:rPr>
              <w:t>标线涂层厚度≥0.7mm，含部分的彩色标线,</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717C8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D5E8F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1AFB8E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48.61</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8AF734">
            <w:pPr>
              <w:jc w:val="center"/>
              <w:rPr>
                <w:rFonts w:hint="eastAsia" w:ascii="宋体" w:hAnsi="宋体" w:cs="宋体"/>
                <w:color w:val="000000"/>
                <w:sz w:val="22"/>
                <w:szCs w:val="22"/>
              </w:rPr>
            </w:pPr>
          </w:p>
        </w:tc>
      </w:tr>
      <w:tr w14:paraId="7279716B">
        <w:tblPrEx>
          <w:tblCellMar>
            <w:top w:w="0" w:type="dxa"/>
            <w:left w:w="0" w:type="dxa"/>
            <w:bottom w:w="0" w:type="dxa"/>
            <w:right w:w="0" w:type="dxa"/>
          </w:tblCellMar>
        </w:tblPrEx>
        <w:trPr>
          <w:trHeight w:val="67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185C31">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BCF023">
            <w:pPr>
              <w:jc w:val="center"/>
              <w:rPr>
                <w:rFonts w:hint="eastAsia" w:ascii="宋体" w:hAnsi="宋体" w:cs="宋体"/>
                <w:color w:val="000000"/>
                <w:sz w:val="22"/>
                <w:szCs w:val="22"/>
              </w:rPr>
            </w:pPr>
            <w:r>
              <w:rPr>
                <w:rFonts w:hint="eastAsia" w:ascii="宋体" w:hAnsi="宋体" w:cs="宋体"/>
                <w:color w:val="000000"/>
                <w:sz w:val="22"/>
                <w:szCs w:val="22"/>
              </w:rPr>
              <w:t>350高亮度反光标线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6D157E">
            <w:pPr>
              <w:jc w:val="left"/>
              <w:rPr>
                <w:rFonts w:hint="eastAsia" w:ascii="宋体" w:hAnsi="宋体" w:cs="宋体"/>
                <w:color w:val="000000"/>
                <w:sz w:val="22"/>
                <w:szCs w:val="22"/>
              </w:rPr>
            </w:pPr>
            <w:r>
              <w:rPr>
                <w:rFonts w:hint="eastAsia" w:ascii="宋体" w:hAnsi="宋体" w:cs="宋体"/>
                <w:color w:val="000000"/>
                <w:sz w:val="22"/>
                <w:szCs w:val="22"/>
              </w:rPr>
              <w:t>1、涂料密度，1.8～2.3g/cm³；</w:t>
            </w:r>
          </w:p>
          <w:p w14:paraId="5B41E743">
            <w:pPr>
              <w:jc w:val="left"/>
              <w:rPr>
                <w:rFonts w:hint="eastAsia" w:ascii="宋体" w:hAnsi="宋体" w:cs="宋体"/>
                <w:color w:val="000000"/>
                <w:sz w:val="22"/>
                <w:szCs w:val="22"/>
              </w:rPr>
            </w:pPr>
            <w:r>
              <w:rPr>
                <w:rFonts w:hint="eastAsia" w:ascii="宋体" w:hAnsi="宋体" w:cs="宋体"/>
                <w:color w:val="000000"/>
                <w:sz w:val="22"/>
                <w:szCs w:val="22"/>
              </w:rPr>
              <w:t>2、涂膜外观：干燥后无皱纹、斑点、起泡、脱落、粘胎现象，涂膜的颜色和外观应与标准版差异不大</w:t>
            </w:r>
          </w:p>
          <w:p w14:paraId="2B64EB39">
            <w:pPr>
              <w:jc w:val="left"/>
              <w:rPr>
                <w:rFonts w:hint="eastAsia" w:ascii="宋体" w:hAnsi="宋体" w:cs="宋体"/>
                <w:color w:val="000000"/>
                <w:sz w:val="22"/>
                <w:szCs w:val="22"/>
              </w:rPr>
            </w:pPr>
            <w:r>
              <w:rPr>
                <w:rFonts w:hint="eastAsia" w:ascii="宋体" w:hAnsi="宋体" w:cs="宋体"/>
                <w:color w:val="000000"/>
                <w:sz w:val="22"/>
                <w:szCs w:val="22"/>
              </w:rPr>
              <w:t>3、色度性能：白色亮度因数≥0.8，黄色亮度因数≥0.5（按JT/T180-1995标准6.2.6规定的方法测试）</w:t>
            </w:r>
          </w:p>
          <w:p w14:paraId="48E4A037">
            <w:pPr>
              <w:jc w:val="left"/>
              <w:rPr>
                <w:rFonts w:hint="eastAsia" w:ascii="宋体" w:hAnsi="宋体" w:cs="宋体"/>
                <w:color w:val="000000"/>
                <w:sz w:val="22"/>
                <w:szCs w:val="22"/>
              </w:rPr>
            </w:pPr>
            <w:r>
              <w:rPr>
                <w:rFonts w:hint="eastAsia" w:ascii="宋体" w:hAnsi="宋体" w:cs="宋体"/>
                <w:color w:val="000000"/>
                <w:sz w:val="22"/>
                <w:szCs w:val="22"/>
              </w:rPr>
              <w:t>4、抗压强度：MPa≥20；</w:t>
            </w:r>
          </w:p>
          <w:p w14:paraId="6CFC38CB">
            <w:pPr>
              <w:jc w:val="left"/>
              <w:rPr>
                <w:rFonts w:hint="eastAsia" w:ascii="宋体" w:hAnsi="宋体" w:cs="宋体"/>
                <w:color w:val="000000"/>
                <w:sz w:val="22"/>
                <w:szCs w:val="22"/>
              </w:rPr>
            </w:pPr>
            <w:r>
              <w:rPr>
                <w:rFonts w:hint="eastAsia" w:ascii="宋体" w:hAnsi="宋体" w:cs="宋体"/>
                <w:color w:val="000000"/>
                <w:sz w:val="22"/>
                <w:szCs w:val="22"/>
              </w:rPr>
              <w:t>5、耐磨性：(200转/1000g后减重)≤30（JM-100橡胶砂轮）；</w:t>
            </w:r>
          </w:p>
          <w:p w14:paraId="08CA09A6">
            <w:pPr>
              <w:jc w:val="left"/>
              <w:rPr>
                <w:rFonts w:hint="eastAsia" w:ascii="宋体" w:hAnsi="宋体" w:cs="宋体"/>
                <w:color w:val="000000"/>
                <w:sz w:val="22"/>
                <w:szCs w:val="22"/>
              </w:rPr>
            </w:pPr>
            <w:r>
              <w:rPr>
                <w:rFonts w:hint="eastAsia" w:ascii="宋体" w:hAnsi="宋体" w:cs="宋体"/>
                <w:color w:val="000000"/>
                <w:sz w:val="22"/>
                <w:szCs w:val="22"/>
              </w:rPr>
              <w:t>6、耐水性：在水中浸24h应无异常现象</w:t>
            </w:r>
          </w:p>
          <w:p w14:paraId="5ED779D4">
            <w:pPr>
              <w:jc w:val="left"/>
              <w:rPr>
                <w:rFonts w:hint="eastAsia" w:ascii="宋体" w:hAnsi="宋体" w:cs="宋体"/>
                <w:color w:val="000000"/>
                <w:sz w:val="22"/>
                <w:szCs w:val="22"/>
              </w:rPr>
            </w:pPr>
            <w:r>
              <w:rPr>
                <w:rFonts w:hint="eastAsia" w:ascii="宋体" w:hAnsi="宋体" w:cs="宋体"/>
                <w:color w:val="000000"/>
                <w:sz w:val="22"/>
                <w:szCs w:val="22"/>
              </w:rPr>
              <w:t>7、耐碱性：在氢氧化钙饱和溶液中浸24h应无异常现象</w:t>
            </w:r>
          </w:p>
          <w:p w14:paraId="201DB16C">
            <w:pPr>
              <w:jc w:val="left"/>
              <w:rPr>
                <w:rFonts w:hint="eastAsia" w:ascii="宋体" w:hAnsi="宋体" w:cs="宋体"/>
                <w:color w:val="000000"/>
                <w:sz w:val="22"/>
                <w:szCs w:val="22"/>
              </w:rPr>
            </w:pPr>
            <w:r>
              <w:rPr>
                <w:rFonts w:hint="eastAsia" w:ascii="宋体" w:hAnsi="宋体" w:cs="宋体"/>
                <w:color w:val="000000"/>
                <w:sz w:val="22"/>
                <w:szCs w:val="22"/>
              </w:rPr>
              <w:t>8、玻璃珠含量（预混）：≥35%</w:t>
            </w:r>
          </w:p>
          <w:p w14:paraId="21DD3FF7">
            <w:pPr>
              <w:jc w:val="left"/>
              <w:rPr>
                <w:rFonts w:hint="eastAsia" w:ascii="宋体" w:hAnsi="宋体" w:cs="宋体"/>
                <w:color w:val="000000"/>
                <w:sz w:val="22"/>
                <w:szCs w:val="22"/>
              </w:rPr>
            </w:pPr>
            <w:r>
              <w:rPr>
                <w:rFonts w:hint="eastAsia" w:ascii="宋体" w:hAnsi="宋体" w:cs="宋体"/>
                <w:color w:val="000000"/>
                <w:sz w:val="22"/>
                <w:szCs w:val="22"/>
              </w:rPr>
              <w:t>9、涂层低温抗裂性：-10℃保持4h，室温放置4h为1个循环，连续做3个循环后应无裂纹</w:t>
            </w:r>
          </w:p>
          <w:p w14:paraId="05E9DB64">
            <w:pPr>
              <w:jc w:val="left"/>
              <w:rPr>
                <w:rFonts w:hint="eastAsia" w:ascii="宋体" w:hAnsi="宋体" w:cs="宋体"/>
                <w:color w:val="000000"/>
                <w:sz w:val="22"/>
                <w:szCs w:val="22"/>
              </w:rPr>
            </w:pPr>
            <w:r>
              <w:rPr>
                <w:rFonts w:hint="eastAsia" w:ascii="宋体" w:hAnsi="宋体" w:cs="宋体"/>
                <w:color w:val="000000"/>
                <w:sz w:val="22"/>
                <w:szCs w:val="22"/>
              </w:rPr>
              <w:t>10、加热稳定性：200℃～220℃在搅拌状态下保持4h，应无明显泛黄、焦化、结块等现象，200℃恒温1小时，应无分层、无沉淀现象；</w:t>
            </w:r>
          </w:p>
          <w:p w14:paraId="3EF2CB50">
            <w:pPr>
              <w:jc w:val="left"/>
              <w:rPr>
                <w:rFonts w:hint="eastAsia" w:ascii="宋体" w:hAnsi="宋体" w:cs="宋体"/>
                <w:color w:val="000000"/>
                <w:sz w:val="22"/>
                <w:szCs w:val="22"/>
              </w:rPr>
            </w:pPr>
            <w:r>
              <w:rPr>
                <w:rFonts w:hint="eastAsia" w:ascii="宋体" w:hAnsi="宋体" w:cs="宋体"/>
                <w:color w:val="000000"/>
                <w:sz w:val="22"/>
                <w:szCs w:val="22"/>
              </w:rPr>
              <w:t>11、亮度因数≥0.80且200℃～220℃恒温4小时后≥0.75；</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BE95C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3F17C9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8F0D71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65.05</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CAE74A">
            <w:pPr>
              <w:jc w:val="center"/>
              <w:rPr>
                <w:rFonts w:hint="eastAsia" w:ascii="宋体" w:hAnsi="宋体" w:cs="宋体"/>
                <w:color w:val="000000"/>
                <w:sz w:val="22"/>
                <w:szCs w:val="22"/>
              </w:rPr>
            </w:pPr>
          </w:p>
        </w:tc>
      </w:tr>
      <w:tr w14:paraId="3F23DBAD">
        <w:trPr>
          <w:trHeight w:val="54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C5D02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87ED26">
            <w:pPr>
              <w:jc w:val="center"/>
              <w:rPr>
                <w:rFonts w:hint="eastAsia" w:ascii="宋体" w:hAnsi="宋体" w:cs="宋体"/>
                <w:color w:val="000000"/>
                <w:sz w:val="22"/>
                <w:szCs w:val="22"/>
              </w:rPr>
            </w:pPr>
            <w:r>
              <w:rPr>
                <w:rFonts w:hint="eastAsia" w:ascii="宋体" w:hAnsi="宋体" w:cs="宋体"/>
                <w:color w:val="000000"/>
                <w:sz w:val="22"/>
                <w:szCs w:val="22"/>
              </w:rPr>
              <w:t>双组份突起型反光涂料</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A0F9E2">
            <w:pPr>
              <w:jc w:val="left"/>
              <w:rPr>
                <w:rFonts w:hint="eastAsia" w:ascii="宋体" w:hAnsi="宋体" w:cs="宋体"/>
                <w:color w:val="000000"/>
                <w:sz w:val="22"/>
                <w:szCs w:val="22"/>
              </w:rPr>
            </w:pPr>
            <w:r>
              <w:rPr>
                <w:rFonts w:hint="eastAsia" w:ascii="宋体" w:hAnsi="宋体" w:cs="宋体"/>
                <w:color w:val="000000"/>
                <w:sz w:val="22"/>
                <w:szCs w:val="22"/>
              </w:rPr>
              <w:t>标线厚度≥5mm</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0C766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35905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D9B7DA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125.27</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FBFA24">
            <w:pPr>
              <w:jc w:val="center"/>
              <w:rPr>
                <w:rFonts w:hint="eastAsia" w:ascii="宋体" w:hAnsi="宋体" w:cs="宋体"/>
                <w:color w:val="000000"/>
                <w:sz w:val="22"/>
                <w:szCs w:val="22"/>
              </w:rPr>
            </w:pPr>
          </w:p>
        </w:tc>
      </w:tr>
      <w:tr w14:paraId="38C5C223">
        <w:tblPrEx>
          <w:tblCellMar>
            <w:top w:w="0" w:type="dxa"/>
            <w:left w:w="0" w:type="dxa"/>
            <w:bottom w:w="0" w:type="dxa"/>
            <w:right w:w="0" w:type="dxa"/>
          </w:tblCellMar>
        </w:tblPrEx>
        <w:trPr>
          <w:trHeight w:val="39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5F81A3">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2BCD9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热熔雨夜标线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2E281B">
            <w:pPr>
              <w:widowControl/>
              <w:jc w:val="left"/>
              <w:textAlignment w:val="center"/>
              <w:rPr>
                <w:rFonts w:hint="eastAsia" w:ascii="宋体" w:hAnsi="宋体" w:cs="宋体"/>
                <w:sz w:val="22"/>
                <w:szCs w:val="22"/>
              </w:rPr>
            </w:pPr>
            <w:r>
              <w:rPr>
                <w:rFonts w:hint="eastAsia" w:ascii="宋体" w:hAnsi="宋体" w:cs="宋体"/>
                <w:kern w:val="0"/>
                <w:sz w:val="22"/>
                <w:szCs w:val="22"/>
                <w:lang w:bidi="ar"/>
              </w:rPr>
              <w:t>详见技术参数</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AFFD5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8E3DA2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E7D3E9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161</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C13AFB">
            <w:pPr>
              <w:jc w:val="center"/>
              <w:rPr>
                <w:rFonts w:hint="eastAsia" w:ascii="宋体" w:hAnsi="宋体" w:cs="宋体"/>
                <w:color w:val="000000"/>
                <w:sz w:val="22"/>
                <w:szCs w:val="22"/>
              </w:rPr>
            </w:pPr>
          </w:p>
        </w:tc>
      </w:tr>
      <w:tr w14:paraId="21B0E478">
        <w:tblPrEx>
          <w:tblCellMar>
            <w:top w:w="0" w:type="dxa"/>
            <w:left w:w="0" w:type="dxa"/>
            <w:bottom w:w="0" w:type="dxa"/>
            <w:right w:w="0" w:type="dxa"/>
          </w:tblCellMar>
        </w:tblPrEx>
        <w:trPr>
          <w:trHeight w:val="462"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5AEC99">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E0488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彩色防滑标线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D6AB9F">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厚度≥3-5mm，涂膜外观：干燥成型后，颜色、骨料颗粒分布应均匀，无裂纹、骨料颗粒脱落等现象。</w:t>
            </w:r>
          </w:p>
          <w:p w14:paraId="630C4A4B">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耐水性：在水中浸24h应无异常现象。</w:t>
            </w:r>
          </w:p>
          <w:p w14:paraId="068E6027">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耐碱性：在氢氧化钙饱和溶液中浸24h无异常现象。</w:t>
            </w:r>
          </w:p>
          <w:p w14:paraId="51045AAD">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涂层低温抗裂性：-10℃保持4h，室温放置4h为一个循环，连续做三个循环后应无裂纹。</w:t>
            </w:r>
          </w:p>
          <w:p w14:paraId="623D1333">
            <w:pPr>
              <w:widowControl/>
              <w:jc w:val="left"/>
              <w:textAlignment w:val="center"/>
              <w:rPr>
                <w:rFonts w:hint="eastAsia" w:ascii="宋体" w:hAnsi="宋体" w:cs="宋体"/>
                <w:sz w:val="22"/>
                <w:szCs w:val="22"/>
              </w:rPr>
            </w:pPr>
            <w:r>
              <w:rPr>
                <w:rFonts w:hint="eastAsia" w:ascii="宋体" w:hAnsi="宋体" w:cs="宋体"/>
                <w:kern w:val="0"/>
                <w:sz w:val="22"/>
                <w:szCs w:val="22"/>
                <w:lang w:bidi="ar"/>
              </w:rPr>
              <w:t>抗滑性BPN值：符合JTT 712-2008《路面防滑涂料》规范要求。</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1A2B0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D7B7C4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0989B8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150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F8EF09">
            <w:pPr>
              <w:jc w:val="center"/>
              <w:rPr>
                <w:rFonts w:hint="eastAsia" w:ascii="宋体" w:hAnsi="宋体" w:cs="宋体"/>
                <w:color w:val="000000"/>
                <w:sz w:val="22"/>
                <w:szCs w:val="22"/>
              </w:rPr>
            </w:pPr>
          </w:p>
        </w:tc>
      </w:tr>
      <w:tr w14:paraId="68E4DAAE">
        <w:tblPrEx>
          <w:tblCellMar>
            <w:top w:w="0" w:type="dxa"/>
            <w:left w:w="0" w:type="dxa"/>
            <w:bottom w:w="0" w:type="dxa"/>
            <w:right w:w="0" w:type="dxa"/>
          </w:tblCellMar>
        </w:tblPrEx>
        <w:trPr>
          <w:trHeight w:val="1351"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D2011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4BC69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标记</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D314FC">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1、名称:机动车停车位标线（含出租车上下客车位，实线或虚线，如有停车方向箭头或字符、图形另计）</w:t>
            </w:r>
            <w:r>
              <w:rPr>
                <w:rFonts w:hint="eastAsia" w:ascii="宋体" w:hAnsi="宋体" w:cs="宋体"/>
                <w:color w:val="000000"/>
                <w:sz w:val="22"/>
                <w:szCs w:val="22"/>
              </w:rPr>
              <w:br w:type="textWrapping"/>
            </w:r>
            <w:r>
              <w:rPr>
                <w:rFonts w:hint="eastAsia" w:ascii="宋体" w:hAnsi="宋体" w:cs="宋体"/>
                <w:color w:val="000000"/>
                <w:sz w:val="22"/>
                <w:szCs w:val="22"/>
              </w:rPr>
              <w:t>2、油漆品种:热熔反光型抗滑涂料，底部涂膜厚度2mm，预混含量为18%-25%的2号玻璃微珠，面撒0.3-0.4Kg/㎡的1号玻璃微珠；</w:t>
            </w:r>
            <w:r>
              <w:rPr>
                <w:rFonts w:hint="eastAsia" w:ascii="宋体" w:hAnsi="宋体" w:cs="宋体"/>
                <w:color w:val="000000"/>
                <w:sz w:val="22"/>
                <w:szCs w:val="22"/>
              </w:rPr>
              <w:br w:type="textWrapping"/>
            </w:r>
            <w:r>
              <w:rPr>
                <w:rFonts w:hint="eastAsia" w:ascii="宋体" w:hAnsi="宋体" w:cs="宋体"/>
                <w:color w:val="000000"/>
                <w:sz w:val="22"/>
                <w:szCs w:val="22"/>
              </w:rPr>
              <w:t>3、相关技术要求参数：亮度因数及初始逆反射系数应符合施工图设计及规范要求；</w:t>
            </w:r>
            <w:r>
              <w:rPr>
                <w:rFonts w:hint="eastAsia" w:ascii="宋体" w:hAnsi="宋体" w:cs="宋体"/>
                <w:color w:val="000000"/>
                <w:sz w:val="22"/>
                <w:szCs w:val="22"/>
              </w:rPr>
              <w:br w:type="textWrapping"/>
            </w:r>
            <w:r>
              <w:rPr>
                <w:rFonts w:hint="eastAsia" w:ascii="宋体" w:hAnsi="宋体" w:cs="宋体"/>
                <w:color w:val="000000"/>
                <w:sz w:val="22"/>
                <w:szCs w:val="22"/>
              </w:rPr>
              <w:t>4、其他要求：施工前按图纸及规范要求清扫、清洁、涂抹底漆及放样。</w:t>
            </w:r>
            <w:r>
              <w:rPr>
                <w:rFonts w:hint="eastAsia" w:ascii="宋体" w:hAnsi="宋体" w:cs="宋体"/>
                <w:color w:val="000000"/>
                <w:sz w:val="22"/>
                <w:szCs w:val="22"/>
              </w:rPr>
              <w:br w:type="textWrapping"/>
            </w:r>
            <w:r>
              <w:rPr>
                <w:rFonts w:hint="eastAsia" w:ascii="宋体" w:hAnsi="宋体" w:cs="宋体"/>
                <w:color w:val="000000"/>
                <w:sz w:val="22"/>
                <w:szCs w:val="22"/>
              </w:rPr>
              <w:t>5、工程量暂定，结算时按标线漆划的净面积计算。</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23FBE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m2</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B02A0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 </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9BB9EB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80.93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10493B">
            <w:pPr>
              <w:jc w:val="center"/>
              <w:rPr>
                <w:rFonts w:hint="eastAsia" w:ascii="宋体" w:hAnsi="宋体" w:cs="宋体"/>
                <w:color w:val="000000"/>
                <w:sz w:val="22"/>
                <w:szCs w:val="22"/>
              </w:rPr>
            </w:pPr>
          </w:p>
        </w:tc>
      </w:tr>
      <w:tr w14:paraId="3DA177CB">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E3284E">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77651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标记</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FD102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1、名称:非机动车停车位标线（内部如有自行车等图形另计）</w:t>
            </w:r>
            <w:r>
              <w:rPr>
                <w:rFonts w:hint="eastAsia" w:ascii="宋体" w:hAnsi="宋体" w:cs="宋体"/>
                <w:color w:val="000000"/>
                <w:sz w:val="22"/>
                <w:szCs w:val="22"/>
              </w:rPr>
              <w:br w:type="textWrapping"/>
            </w:r>
            <w:r>
              <w:rPr>
                <w:rFonts w:hint="eastAsia" w:ascii="宋体" w:hAnsi="宋体" w:cs="宋体"/>
                <w:color w:val="000000"/>
                <w:sz w:val="22"/>
                <w:szCs w:val="22"/>
              </w:rPr>
              <w:t>2、油漆品种:热熔反光型抗滑涂料，底部涂膜厚度2mm，预混含量为18%-25%的2号玻璃微珠，面撒0.3-0.4Kg/㎡的1号玻璃微珠；</w:t>
            </w:r>
            <w:r>
              <w:rPr>
                <w:rFonts w:hint="eastAsia" w:ascii="宋体" w:hAnsi="宋体" w:cs="宋体"/>
                <w:color w:val="000000"/>
                <w:sz w:val="22"/>
                <w:szCs w:val="22"/>
              </w:rPr>
              <w:br w:type="textWrapping"/>
            </w:r>
            <w:r>
              <w:rPr>
                <w:rFonts w:hint="eastAsia" w:ascii="宋体" w:hAnsi="宋体" w:cs="宋体"/>
                <w:color w:val="000000"/>
                <w:sz w:val="22"/>
                <w:szCs w:val="22"/>
              </w:rPr>
              <w:t>3、相关技术要求参数：亮度因数及初始逆反射系数应符合施工图设计及规范要求；</w:t>
            </w:r>
            <w:r>
              <w:rPr>
                <w:rFonts w:hint="eastAsia" w:ascii="宋体" w:hAnsi="宋体" w:cs="宋体"/>
                <w:color w:val="000000"/>
                <w:sz w:val="22"/>
                <w:szCs w:val="22"/>
              </w:rPr>
              <w:br w:type="textWrapping"/>
            </w:r>
            <w:r>
              <w:rPr>
                <w:rFonts w:hint="eastAsia" w:ascii="宋体" w:hAnsi="宋体" w:cs="宋体"/>
                <w:color w:val="000000"/>
                <w:sz w:val="22"/>
                <w:szCs w:val="22"/>
              </w:rPr>
              <w:t>4、其他要求：施工前按图纸及规范要求清扫、清洁、涂抹底漆及放样。</w:t>
            </w:r>
            <w:r>
              <w:rPr>
                <w:rFonts w:hint="eastAsia" w:ascii="宋体" w:hAnsi="宋体" w:cs="宋体"/>
                <w:color w:val="000000"/>
                <w:sz w:val="22"/>
                <w:szCs w:val="22"/>
              </w:rPr>
              <w:br w:type="textWrapping"/>
            </w:r>
            <w:r>
              <w:rPr>
                <w:rFonts w:hint="eastAsia" w:ascii="宋体" w:hAnsi="宋体" w:cs="宋体"/>
                <w:color w:val="000000"/>
                <w:sz w:val="22"/>
                <w:szCs w:val="22"/>
              </w:rPr>
              <w:t>5、工程量暂定，结算时按标线漆划的净面积计算。</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B11BC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m2</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B8897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FF3358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80.93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D2753A">
            <w:pPr>
              <w:jc w:val="center"/>
              <w:rPr>
                <w:rFonts w:hint="eastAsia" w:ascii="宋体" w:hAnsi="宋体" w:cs="宋体"/>
                <w:color w:val="000000"/>
                <w:sz w:val="22"/>
                <w:szCs w:val="22"/>
              </w:rPr>
            </w:pPr>
          </w:p>
        </w:tc>
      </w:tr>
      <w:tr w14:paraId="6192994D">
        <w:tblPrEx>
          <w:tblCellMar>
            <w:top w:w="0" w:type="dxa"/>
            <w:left w:w="0" w:type="dxa"/>
            <w:bottom w:w="0" w:type="dxa"/>
            <w:right w:w="0" w:type="dxa"/>
          </w:tblCellMar>
        </w:tblPrEx>
        <w:trPr>
          <w:trHeight w:val="1584"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D45C83">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1</w:t>
            </w:r>
            <w:r>
              <w:rPr>
                <w:rFonts w:hint="eastAsia" w:ascii="宋体" w:hAnsi="宋体" w:cs="宋体"/>
                <w:color w:val="000000"/>
                <w:sz w:val="22"/>
                <w:szCs w:val="22"/>
                <w:lang w:val="en-US" w:eastAsia="zh-CN"/>
              </w:rPr>
              <w:t>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7CF29B">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标记</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7A337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1、名称:残疾人专用停车位标线（含内部图形）</w:t>
            </w:r>
            <w:r>
              <w:rPr>
                <w:rFonts w:hint="eastAsia" w:ascii="宋体" w:hAnsi="宋体" w:cs="宋体"/>
                <w:color w:val="000000"/>
                <w:sz w:val="22"/>
                <w:szCs w:val="22"/>
              </w:rPr>
              <w:br w:type="textWrapping"/>
            </w:r>
            <w:r>
              <w:rPr>
                <w:rFonts w:hint="eastAsia" w:ascii="宋体" w:hAnsi="宋体" w:cs="宋体"/>
                <w:color w:val="000000"/>
                <w:sz w:val="22"/>
                <w:szCs w:val="22"/>
              </w:rPr>
              <w:t>2、油漆品种:热熔反光型抗滑涂料，涂膜厚度2mm,预混含量为18%-25%的2号玻璃微珠，面撒0.3-0.4Kg/㎡的1号玻璃微珠；</w:t>
            </w:r>
            <w:r>
              <w:rPr>
                <w:rFonts w:hint="eastAsia" w:ascii="宋体" w:hAnsi="宋体" w:cs="宋体"/>
                <w:color w:val="000000"/>
                <w:sz w:val="22"/>
                <w:szCs w:val="22"/>
              </w:rPr>
              <w:br w:type="textWrapping"/>
            </w:r>
            <w:r>
              <w:rPr>
                <w:rFonts w:hint="eastAsia" w:ascii="宋体" w:hAnsi="宋体" w:cs="宋体"/>
                <w:color w:val="000000"/>
                <w:sz w:val="22"/>
                <w:szCs w:val="22"/>
              </w:rPr>
              <w:t>3、相关技术要求参数：亮度因数及初始逆反射系数应符合施工图设计及规范要求；</w:t>
            </w:r>
            <w:r>
              <w:rPr>
                <w:rFonts w:hint="eastAsia" w:ascii="宋体" w:hAnsi="宋体" w:cs="宋体"/>
                <w:color w:val="000000"/>
                <w:sz w:val="22"/>
                <w:szCs w:val="22"/>
              </w:rPr>
              <w:br w:type="textWrapping"/>
            </w:r>
            <w:r>
              <w:rPr>
                <w:rFonts w:hint="eastAsia" w:ascii="宋体" w:hAnsi="宋体" w:cs="宋体"/>
                <w:color w:val="000000"/>
                <w:sz w:val="22"/>
                <w:szCs w:val="22"/>
              </w:rPr>
              <w:t>4、其他要求：施工前按图纸及规范要求清扫、清洁、涂抹底漆及放样。</w:t>
            </w:r>
            <w:r>
              <w:rPr>
                <w:rFonts w:hint="eastAsia" w:ascii="宋体" w:hAnsi="宋体" w:cs="宋体"/>
                <w:color w:val="000000"/>
                <w:sz w:val="22"/>
                <w:szCs w:val="22"/>
              </w:rPr>
              <w:br w:type="textWrapping"/>
            </w:r>
            <w:r>
              <w:rPr>
                <w:rFonts w:hint="eastAsia" w:ascii="宋体" w:hAnsi="宋体" w:cs="宋体"/>
                <w:color w:val="000000"/>
                <w:sz w:val="22"/>
                <w:szCs w:val="22"/>
              </w:rPr>
              <w:t>5、工程量暂定，结算时按整体外框矩形尺寸面积的50%计算。</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7AD5D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m2</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EC559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CB78BA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47.59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E4F945">
            <w:pPr>
              <w:jc w:val="center"/>
              <w:rPr>
                <w:rFonts w:hint="eastAsia" w:ascii="宋体" w:hAnsi="宋体" w:cs="宋体"/>
                <w:color w:val="000000"/>
                <w:sz w:val="22"/>
                <w:szCs w:val="22"/>
              </w:rPr>
            </w:pPr>
          </w:p>
        </w:tc>
      </w:tr>
      <w:tr w14:paraId="625D7B1A">
        <w:tblPrEx>
          <w:tblCellMar>
            <w:top w:w="0" w:type="dxa"/>
            <w:left w:w="0" w:type="dxa"/>
            <w:bottom w:w="0" w:type="dxa"/>
            <w:right w:w="0" w:type="dxa"/>
          </w:tblCellMar>
        </w:tblPrEx>
        <w:trPr>
          <w:trHeight w:val="2102"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67E7CA">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1</w:t>
            </w:r>
            <w:r>
              <w:rPr>
                <w:rFonts w:hint="eastAsia" w:ascii="宋体" w:hAnsi="宋体" w:cs="宋体"/>
                <w:color w:val="000000"/>
                <w:sz w:val="22"/>
                <w:szCs w:val="22"/>
                <w:lang w:val="en-US" w:eastAsia="zh-CN"/>
              </w:rPr>
              <w:t>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0B80F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F5FB7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1、名称:网状标线（白色或黄色）</w:t>
            </w:r>
            <w:r>
              <w:rPr>
                <w:rFonts w:hint="eastAsia" w:ascii="宋体" w:hAnsi="宋体" w:cs="宋体"/>
                <w:color w:val="000000"/>
                <w:sz w:val="22"/>
                <w:szCs w:val="22"/>
              </w:rPr>
              <w:br w:type="textWrapping"/>
            </w:r>
            <w:r>
              <w:rPr>
                <w:rFonts w:hint="eastAsia" w:ascii="宋体" w:hAnsi="宋体" w:cs="宋体"/>
                <w:color w:val="000000"/>
                <w:sz w:val="22"/>
                <w:szCs w:val="22"/>
              </w:rPr>
              <w:t>2、油漆品种:热熔反光型抗滑涂料，底部涂膜厚度2mm，预混含量为18%-25%的2号玻璃微珠，面撒0.3-0.4Kg/㎡的1号玻璃微珠；</w:t>
            </w:r>
            <w:r>
              <w:rPr>
                <w:rFonts w:hint="eastAsia" w:ascii="宋体" w:hAnsi="宋体" w:cs="宋体"/>
                <w:color w:val="000000"/>
                <w:sz w:val="22"/>
                <w:szCs w:val="22"/>
              </w:rPr>
              <w:br w:type="textWrapping"/>
            </w:r>
            <w:r>
              <w:rPr>
                <w:rFonts w:hint="eastAsia" w:ascii="宋体" w:hAnsi="宋体" w:cs="宋体"/>
                <w:color w:val="000000"/>
                <w:sz w:val="22"/>
                <w:szCs w:val="22"/>
              </w:rPr>
              <w:t>3、相关技术要求参数：亮度因数及初始逆反射系数应符合施工图设计及规范要求；</w:t>
            </w:r>
            <w:r>
              <w:rPr>
                <w:rFonts w:hint="eastAsia" w:ascii="宋体" w:hAnsi="宋体" w:cs="宋体"/>
                <w:color w:val="000000"/>
                <w:sz w:val="22"/>
                <w:szCs w:val="22"/>
              </w:rPr>
              <w:br w:type="textWrapping"/>
            </w:r>
            <w:r>
              <w:rPr>
                <w:rFonts w:hint="eastAsia" w:ascii="宋体" w:hAnsi="宋体" w:cs="宋体"/>
                <w:color w:val="000000"/>
                <w:sz w:val="22"/>
                <w:szCs w:val="22"/>
              </w:rPr>
              <w:t>4、其他要求：施工前按图纸及规范要求清扫、清洁、涂抹底漆及放样。</w:t>
            </w:r>
            <w:r>
              <w:rPr>
                <w:rFonts w:hint="eastAsia" w:ascii="宋体" w:hAnsi="宋体" w:cs="宋体"/>
                <w:color w:val="000000"/>
                <w:sz w:val="22"/>
                <w:szCs w:val="22"/>
              </w:rPr>
              <w:br w:type="textWrapping"/>
            </w:r>
            <w:r>
              <w:rPr>
                <w:rFonts w:hint="eastAsia" w:ascii="宋体" w:hAnsi="宋体" w:cs="宋体"/>
                <w:color w:val="000000"/>
                <w:sz w:val="22"/>
                <w:szCs w:val="22"/>
              </w:rPr>
              <w:t>5、工程量暂定，结算时按标线漆划的底部净面积计算。</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27FFF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m2</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2A3FB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28A1FA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47.59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B76B07">
            <w:pPr>
              <w:jc w:val="center"/>
              <w:rPr>
                <w:rFonts w:hint="eastAsia" w:ascii="宋体" w:hAnsi="宋体" w:cs="宋体"/>
                <w:color w:val="000000"/>
                <w:sz w:val="22"/>
                <w:szCs w:val="22"/>
              </w:rPr>
            </w:pPr>
          </w:p>
        </w:tc>
      </w:tr>
      <w:tr w14:paraId="32422053">
        <w:tblPrEx>
          <w:tblCellMar>
            <w:top w:w="0" w:type="dxa"/>
            <w:left w:w="0" w:type="dxa"/>
            <w:bottom w:w="0" w:type="dxa"/>
            <w:right w:w="0" w:type="dxa"/>
          </w:tblCellMar>
        </w:tblPrEx>
        <w:trPr>
          <w:trHeight w:val="96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6824E2">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DF3AE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标记</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4416E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1、名称:各类文字、字符、图形</w:t>
            </w:r>
            <w:r>
              <w:rPr>
                <w:rFonts w:hint="eastAsia" w:ascii="宋体" w:hAnsi="宋体" w:cs="宋体"/>
                <w:color w:val="000000"/>
                <w:sz w:val="22"/>
                <w:szCs w:val="22"/>
              </w:rPr>
              <w:br w:type="textWrapping"/>
            </w:r>
            <w:r>
              <w:rPr>
                <w:rFonts w:hint="eastAsia" w:ascii="宋体" w:hAnsi="宋体" w:cs="宋体"/>
                <w:color w:val="000000"/>
                <w:sz w:val="22"/>
                <w:szCs w:val="22"/>
              </w:rPr>
              <w:t>2、油漆品种:热熔反光型抗滑涂料，底部涂膜厚度2mm，,预混含量为18%-25%的2号玻璃微珠，面撒0.3-0.4Kg/㎡的1号玻璃微珠；</w:t>
            </w:r>
            <w:r>
              <w:rPr>
                <w:rFonts w:hint="eastAsia" w:ascii="宋体" w:hAnsi="宋体" w:cs="宋体"/>
                <w:color w:val="000000"/>
                <w:sz w:val="22"/>
                <w:szCs w:val="22"/>
              </w:rPr>
              <w:br w:type="textWrapping"/>
            </w:r>
            <w:r>
              <w:rPr>
                <w:rFonts w:hint="eastAsia" w:ascii="宋体" w:hAnsi="宋体" w:cs="宋体"/>
                <w:color w:val="000000"/>
                <w:sz w:val="22"/>
                <w:szCs w:val="22"/>
              </w:rPr>
              <w:t>3、相关技术要求参数：亮度因数及初始逆反射系数应符合施工图设计及规范要求；</w:t>
            </w:r>
            <w:r>
              <w:rPr>
                <w:rFonts w:hint="eastAsia" w:ascii="宋体" w:hAnsi="宋体" w:cs="宋体"/>
                <w:color w:val="000000"/>
                <w:sz w:val="22"/>
                <w:szCs w:val="22"/>
              </w:rPr>
              <w:br w:type="textWrapping"/>
            </w:r>
            <w:r>
              <w:rPr>
                <w:rFonts w:hint="eastAsia" w:ascii="宋体" w:hAnsi="宋体" w:cs="宋体"/>
                <w:color w:val="000000"/>
                <w:sz w:val="22"/>
                <w:szCs w:val="22"/>
              </w:rPr>
              <w:t>4、其他要求：施工前按图纸及规范要求清扫、清洁、涂抹底漆及放样。</w:t>
            </w:r>
            <w:r>
              <w:rPr>
                <w:rFonts w:hint="eastAsia" w:ascii="宋体" w:hAnsi="宋体" w:cs="宋体"/>
                <w:color w:val="000000"/>
                <w:sz w:val="22"/>
                <w:szCs w:val="22"/>
              </w:rPr>
              <w:br w:type="textWrapping"/>
            </w:r>
            <w:r>
              <w:rPr>
                <w:rFonts w:hint="eastAsia" w:ascii="宋体" w:hAnsi="宋体" w:cs="宋体"/>
                <w:color w:val="000000"/>
                <w:sz w:val="22"/>
                <w:szCs w:val="22"/>
              </w:rPr>
              <w:t>5、工程量暂定，结算时文字、字符按单体的外围矩形面积计算，图形按外框尺寸面积计算。</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ADE74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A83E4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2BA31A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71.19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262B94">
            <w:pPr>
              <w:jc w:val="center"/>
              <w:rPr>
                <w:rFonts w:hint="eastAsia" w:ascii="宋体" w:hAnsi="宋体" w:cs="宋体"/>
                <w:color w:val="000000"/>
                <w:sz w:val="22"/>
                <w:szCs w:val="22"/>
              </w:rPr>
            </w:pPr>
          </w:p>
        </w:tc>
      </w:tr>
      <w:tr w14:paraId="0527B7C6">
        <w:tblPrEx>
          <w:tblCellMar>
            <w:top w:w="0" w:type="dxa"/>
            <w:left w:w="0" w:type="dxa"/>
            <w:bottom w:w="0" w:type="dxa"/>
            <w:right w:w="0" w:type="dxa"/>
          </w:tblCellMar>
        </w:tblPrEx>
        <w:trPr>
          <w:trHeight w:val="96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934F5B">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1</w:t>
            </w:r>
            <w:r>
              <w:rPr>
                <w:rFonts w:hint="eastAsia" w:ascii="宋体" w:hAnsi="宋体" w:cs="宋体"/>
                <w:color w:val="000000"/>
                <w:sz w:val="22"/>
                <w:szCs w:val="22"/>
                <w:lang w:val="en-US" w:eastAsia="zh-CN"/>
              </w:rPr>
              <w:t>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ED7B1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标记</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EA584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1、名称:各类导向箭头</w:t>
            </w:r>
            <w:r>
              <w:rPr>
                <w:rFonts w:hint="eastAsia" w:ascii="宋体" w:hAnsi="宋体" w:cs="宋体"/>
                <w:color w:val="000000"/>
                <w:sz w:val="22"/>
                <w:szCs w:val="22"/>
              </w:rPr>
              <w:br w:type="textWrapping"/>
            </w:r>
            <w:r>
              <w:rPr>
                <w:rFonts w:hint="eastAsia" w:ascii="宋体" w:hAnsi="宋体" w:cs="宋体"/>
                <w:color w:val="000000"/>
                <w:sz w:val="22"/>
                <w:szCs w:val="22"/>
              </w:rPr>
              <w:t>2、油漆品种:热熔反光型抗滑涂料，底部涂膜厚度2mm，预混含量为18%-25%的2号玻璃微珠，面撒0.3-0.4Kg/㎡的1号玻璃微珠；</w:t>
            </w:r>
            <w:r>
              <w:rPr>
                <w:rFonts w:hint="eastAsia" w:ascii="宋体" w:hAnsi="宋体" w:cs="宋体"/>
                <w:color w:val="000000"/>
                <w:sz w:val="22"/>
                <w:szCs w:val="22"/>
              </w:rPr>
              <w:br w:type="textWrapping"/>
            </w:r>
            <w:r>
              <w:rPr>
                <w:rFonts w:hint="eastAsia" w:ascii="宋体" w:hAnsi="宋体" w:cs="宋体"/>
                <w:color w:val="000000"/>
                <w:sz w:val="22"/>
                <w:szCs w:val="22"/>
              </w:rPr>
              <w:t>3、相关技术要求参数：亮度因数及初始逆反射系数应符合施工图设计及规范要求；</w:t>
            </w:r>
            <w:r>
              <w:rPr>
                <w:rFonts w:hint="eastAsia" w:ascii="宋体" w:hAnsi="宋体" w:cs="宋体"/>
                <w:color w:val="000000"/>
                <w:sz w:val="22"/>
                <w:szCs w:val="22"/>
              </w:rPr>
              <w:br w:type="textWrapping"/>
            </w:r>
            <w:r>
              <w:rPr>
                <w:rFonts w:hint="eastAsia" w:ascii="宋体" w:hAnsi="宋体" w:cs="宋体"/>
                <w:color w:val="000000"/>
                <w:sz w:val="22"/>
                <w:szCs w:val="22"/>
              </w:rPr>
              <w:t>4、其他要求：施工前按图纸及规范要求清扫、清洁、涂抹底漆及放样。</w:t>
            </w:r>
            <w:r>
              <w:rPr>
                <w:rFonts w:hint="eastAsia" w:ascii="宋体" w:hAnsi="宋体" w:cs="宋体"/>
                <w:color w:val="000000"/>
                <w:sz w:val="22"/>
                <w:szCs w:val="22"/>
              </w:rPr>
              <w:br w:type="textWrapping"/>
            </w:r>
            <w:r>
              <w:rPr>
                <w:rFonts w:hint="eastAsia" w:ascii="宋体" w:hAnsi="宋体" w:cs="宋体"/>
                <w:color w:val="000000"/>
                <w:sz w:val="22"/>
                <w:szCs w:val="22"/>
              </w:rPr>
              <w:t>5、工程量暂定，结算时按单体的外围矩形面积的50%计算。</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B886A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E4EA2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9081B1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47.59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DD5812">
            <w:pPr>
              <w:jc w:val="center"/>
              <w:rPr>
                <w:rFonts w:hint="eastAsia" w:ascii="宋体" w:hAnsi="宋体" w:cs="宋体"/>
                <w:color w:val="000000"/>
                <w:sz w:val="22"/>
                <w:szCs w:val="22"/>
              </w:rPr>
            </w:pPr>
          </w:p>
        </w:tc>
      </w:tr>
      <w:tr w14:paraId="685B8ECB">
        <w:tblPrEx>
          <w:tblCellMar>
            <w:top w:w="0" w:type="dxa"/>
            <w:left w:w="0" w:type="dxa"/>
            <w:bottom w:w="0" w:type="dxa"/>
            <w:right w:w="0" w:type="dxa"/>
          </w:tblCellMar>
        </w:tblPrEx>
        <w:trPr>
          <w:trHeight w:val="25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DEBC5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1</w:t>
            </w:r>
            <w:r>
              <w:rPr>
                <w:rFonts w:hint="eastAsia" w:ascii="宋体" w:hAnsi="宋体" w:cs="宋体"/>
                <w:color w:val="000000"/>
                <w:sz w:val="22"/>
                <w:szCs w:val="22"/>
                <w:lang w:val="en-US" w:eastAsia="zh-CN"/>
              </w:rPr>
              <w:t>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0F224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清除标线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E2029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1、清除标线（一般除线），适用于混凝土路面；</w:t>
            </w:r>
            <w:r>
              <w:rPr>
                <w:rFonts w:hint="eastAsia" w:ascii="宋体" w:hAnsi="宋体" w:cs="宋体"/>
                <w:color w:val="000000"/>
                <w:sz w:val="22"/>
                <w:szCs w:val="22"/>
              </w:rPr>
              <w:br w:type="textWrapping"/>
            </w:r>
            <w:r>
              <w:rPr>
                <w:rFonts w:hint="eastAsia" w:ascii="宋体" w:hAnsi="宋体" w:cs="宋体"/>
                <w:color w:val="000000"/>
                <w:sz w:val="22"/>
                <w:szCs w:val="22"/>
              </w:rPr>
              <w:t>2、工程量暂定，结算时按实际清除面积计算（面积计算约定参照本清单其他各项特征说明）。</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A552B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m2</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DA842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A6C3EF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31.89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0FCD79">
            <w:pPr>
              <w:jc w:val="center"/>
              <w:rPr>
                <w:rFonts w:hint="eastAsia" w:ascii="宋体" w:hAnsi="宋体" w:cs="宋体"/>
                <w:color w:val="000000"/>
                <w:sz w:val="22"/>
                <w:szCs w:val="22"/>
              </w:rPr>
            </w:pPr>
          </w:p>
        </w:tc>
      </w:tr>
      <w:tr w14:paraId="6D85BCAA">
        <w:tblPrEx>
          <w:tblCellMar>
            <w:top w:w="0" w:type="dxa"/>
            <w:left w:w="0" w:type="dxa"/>
            <w:bottom w:w="0" w:type="dxa"/>
            <w:right w:w="0" w:type="dxa"/>
          </w:tblCellMar>
        </w:tblPrEx>
        <w:trPr>
          <w:trHeight w:val="241"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4799AC">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1</w:t>
            </w:r>
            <w:r>
              <w:rPr>
                <w:rFonts w:hint="eastAsia" w:ascii="宋体" w:hAnsi="宋体" w:cs="宋体"/>
                <w:color w:val="000000"/>
                <w:sz w:val="22"/>
                <w:szCs w:val="22"/>
                <w:lang w:val="en-US" w:eastAsia="zh-CN"/>
              </w:rPr>
              <w:t>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3B6B0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清除标线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187D3B">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1、清除标线（水除线），适用于沥青路面；</w:t>
            </w:r>
            <w:r>
              <w:rPr>
                <w:rFonts w:hint="eastAsia" w:ascii="宋体" w:hAnsi="宋体" w:cs="宋体"/>
                <w:color w:val="000000"/>
                <w:sz w:val="22"/>
                <w:szCs w:val="22"/>
              </w:rPr>
              <w:br w:type="textWrapping"/>
            </w:r>
            <w:r>
              <w:rPr>
                <w:rFonts w:hint="eastAsia" w:ascii="宋体" w:hAnsi="宋体" w:cs="宋体"/>
                <w:color w:val="000000"/>
                <w:sz w:val="22"/>
                <w:szCs w:val="22"/>
              </w:rPr>
              <w:t>2、工程量暂定，结算时按实际清除面积计算（面积计算约定参照本清单其他各项特征说明）。</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BBEAE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m2</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9F300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04570B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128.39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2D294B">
            <w:pPr>
              <w:jc w:val="center"/>
              <w:rPr>
                <w:rFonts w:hint="eastAsia" w:ascii="宋体" w:hAnsi="宋体" w:cs="宋体"/>
                <w:color w:val="000000"/>
                <w:sz w:val="22"/>
                <w:szCs w:val="22"/>
              </w:rPr>
            </w:pPr>
          </w:p>
        </w:tc>
      </w:tr>
      <w:tr w14:paraId="6D825BE4">
        <w:tblPrEx>
          <w:tblCellMar>
            <w:top w:w="0" w:type="dxa"/>
            <w:left w:w="0" w:type="dxa"/>
            <w:bottom w:w="0" w:type="dxa"/>
            <w:right w:w="0" w:type="dxa"/>
          </w:tblCellMar>
        </w:tblPrEx>
        <w:trPr>
          <w:trHeight w:val="45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864014">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4C1597">
            <w:pPr>
              <w:widowControl/>
              <w:jc w:val="left"/>
              <w:textAlignment w:val="center"/>
              <w:rPr>
                <w:rFonts w:hint="eastAsia" w:ascii="宋体" w:hAnsi="宋体" w:cs="宋体"/>
                <w:color w:val="000000"/>
                <w:sz w:val="22"/>
                <w:szCs w:val="22"/>
              </w:rPr>
            </w:pPr>
            <w:r>
              <w:rPr>
                <w:rFonts w:hint="eastAsia" w:ascii="宋体" w:hAnsi="宋体" w:cs="宋体"/>
                <w:b/>
                <w:bCs/>
                <w:color w:val="000000"/>
                <w:sz w:val="22"/>
                <w:szCs w:val="22"/>
              </w:rPr>
              <w:t>交通标志</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8D03FE">
            <w:pPr>
              <w:jc w:val="left"/>
              <w:rPr>
                <w:rFonts w:hint="eastAsia" w:ascii="宋体" w:hAnsi="宋体" w:cs="宋体"/>
                <w:color w:val="000000"/>
                <w:sz w:val="22"/>
                <w:szCs w:val="22"/>
              </w:rPr>
            </w:pPr>
            <w:r>
              <w:rPr>
                <w:rFonts w:hint="eastAsia" w:ascii="宋体" w:hAnsi="宋体" w:cs="宋体"/>
                <w:color w:val="000000"/>
                <w:sz w:val="22"/>
                <w:szCs w:val="22"/>
              </w:rPr>
              <w:t>　</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803B60">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61979F">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03B7152">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6AAEF2">
            <w:pPr>
              <w:jc w:val="center"/>
              <w:rPr>
                <w:rFonts w:hint="eastAsia" w:ascii="宋体" w:hAnsi="宋体" w:cs="宋体"/>
                <w:color w:val="000000"/>
                <w:sz w:val="22"/>
                <w:szCs w:val="22"/>
              </w:rPr>
            </w:pPr>
          </w:p>
        </w:tc>
      </w:tr>
      <w:tr w14:paraId="3B6DE2CB">
        <w:tblPrEx>
          <w:tblCellMar>
            <w:top w:w="0" w:type="dxa"/>
            <w:left w:w="0" w:type="dxa"/>
            <w:bottom w:w="0" w:type="dxa"/>
            <w:right w:w="0" w:type="dxa"/>
          </w:tblCellMar>
        </w:tblPrEx>
        <w:trPr>
          <w:trHeight w:val="754"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D870BA">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1</w:t>
            </w:r>
            <w:r>
              <w:rPr>
                <w:rFonts w:hint="eastAsia" w:ascii="宋体" w:hAnsi="宋体" w:cs="宋体"/>
                <w:color w:val="000000"/>
                <w:sz w:val="22"/>
                <w:szCs w:val="22"/>
                <w:lang w:val="en-US" w:eastAsia="zh-CN"/>
              </w:rPr>
              <w:t>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A69A33">
            <w:pPr>
              <w:jc w:val="center"/>
              <w:rPr>
                <w:rFonts w:hint="eastAsia" w:ascii="宋体" w:hAnsi="宋体" w:cs="宋体"/>
                <w:color w:val="000000"/>
                <w:sz w:val="22"/>
                <w:szCs w:val="22"/>
              </w:rPr>
            </w:pPr>
            <w:r>
              <w:rPr>
                <w:rFonts w:hint="eastAsia" w:ascii="宋体" w:hAnsi="宋体" w:cs="宋体"/>
                <w:color w:val="000000"/>
                <w:sz w:val="22"/>
                <w:szCs w:val="22"/>
              </w:rPr>
              <w:t>V类反光膜标志牌</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23709C">
            <w:pPr>
              <w:jc w:val="center"/>
              <w:rPr>
                <w:rFonts w:hint="eastAsia" w:ascii="宋体" w:hAnsi="宋体" w:cs="宋体"/>
                <w:color w:val="000000"/>
                <w:sz w:val="22"/>
                <w:szCs w:val="22"/>
              </w:rPr>
            </w:pPr>
            <w:r>
              <w:rPr>
                <w:rFonts w:hint="eastAsia" w:ascii="宋体" w:hAnsi="宋体" w:cs="宋体"/>
                <w:color w:val="000000"/>
                <w:sz w:val="22"/>
                <w:szCs w:val="22"/>
              </w:rPr>
              <w:t xml:space="preserve">3.0mm厚度铝合金含配件等， </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C83423">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B18A25">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15142E9">
            <w:pPr>
              <w:jc w:val="center"/>
              <w:rPr>
                <w:rFonts w:hint="eastAsia" w:ascii="宋体" w:hAnsi="宋体" w:cs="宋体"/>
                <w:color w:val="000000"/>
                <w:sz w:val="22"/>
                <w:szCs w:val="22"/>
              </w:rPr>
            </w:pPr>
            <w:r>
              <w:rPr>
                <w:rFonts w:hint="eastAsia" w:ascii="宋体" w:hAnsi="宋体" w:cs="宋体"/>
                <w:color w:val="000000"/>
                <w:sz w:val="22"/>
                <w:szCs w:val="22"/>
              </w:rPr>
              <w:t>650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07F22F">
            <w:pPr>
              <w:jc w:val="center"/>
              <w:rPr>
                <w:rFonts w:hint="eastAsia" w:ascii="宋体" w:hAnsi="宋体" w:cs="宋体"/>
                <w:color w:val="000000"/>
                <w:sz w:val="22"/>
                <w:szCs w:val="22"/>
              </w:rPr>
            </w:pPr>
          </w:p>
        </w:tc>
      </w:tr>
      <w:tr w14:paraId="3ACB7EDF">
        <w:tblPrEx>
          <w:tblCellMar>
            <w:top w:w="0" w:type="dxa"/>
            <w:left w:w="0" w:type="dxa"/>
            <w:bottom w:w="0" w:type="dxa"/>
            <w:right w:w="0" w:type="dxa"/>
          </w:tblCellMar>
        </w:tblPrEx>
        <w:trPr>
          <w:trHeight w:val="81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88DCE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1</w:t>
            </w:r>
            <w:r>
              <w:rPr>
                <w:rFonts w:hint="eastAsia" w:ascii="宋体" w:hAnsi="宋体" w:cs="宋体"/>
                <w:color w:val="000000"/>
                <w:sz w:val="22"/>
                <w:szCs w:val="22"/>
                <w:lang w:val="en-US" w:eastAsia="zh-CN"/>
              </w:rPr>
              <w:t>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0A0496">
            <w:pPr>
              <w:jc w:val="center"/>
              <w:rPr>
                <w:rFonts w:hint="eastAsia" w:ascii="宋体" w:hAnsi="宋体" w:cs="宋体"/>
                <w:color w:val="000000"/>
                <w:sz w:val="22"/>
                <w:szCs w:val="22"/>
              </w:rPr>
            </w:pPr>
            <w:r>
              <w:rPr>
                <w:rFonts w:hint="eastAsia" w:ascii="宋体" w:hAnsi="宋体" w:cs="宋体"/>
                <w:color w:val="000000"/>
                <w:sz w:val="22"/>
                <w:szCs w:val="22"/>
              </w:rPr>
              <w:t>V类反光膜标志牌</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66022E">
            <w:pPr>
              <w:jc w:val="center"/>
              <w:rPr>
                <w:rFonts w:hint="eastAsia" w:ascii="宋体" w:hAnsi="宋体" w:cs="宋体"/>
                <w:color w:val="000000"/>
                <w:sz w:val="22"/>
                <w:szCs w:val="22"/>
              </w:rPr>
            </w:pPr>
            <w:r>
              <w:rPr>
                <w:rFonts w:hint="eastAsia" w:ascii="宋体" w:hAnsi="宋体" w:cs="宋体"/>
                <w:color w:val="000000"/>
                <w:sz w:val="22"/>
                <w:szCs w:val="22"/>
              </w:rPr>
              <w:t xml:space="preserve">2.0mm厚度铝合金含配件等， </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B0BA97">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AB0E2B">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634F806">
            <w:pPr>
              <w:jc w:val="center"/>
              <w:rPr>
                <w:rFonts w:hint="eastAsia" w:ascii="宋体" w:hAnsi="宋体" w:cs="宋体"/>
                <w:color w:val="000000"/>
                <w:sz w:val="22"/>
                <w:szCs w:val="22"/>
              </w:rPr>
            </w:pPr>
            <w:r>
              <w:rPr>
                <w:rFonts w:hint="eastAsia" w:ascii="宋体" w:hAnsi="宋体" w:cs="宋体"/>
                <w:color w:val="000000"/>
                <w:sz w:val="22"/>
                <w:szCs w:val="22"/>
              </w:rPr>
              <w:t>610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A51DB7">
            <w:pPr>
              <w:jc w:val="center"/>
              <w:rPr>
                <w:rFonts w:hint="eastAsia" w:ascii="宋体" w:hAnsi="宋体" w:cs="宋体"/>
                <w:color w:val="000000"/>
                <w:sz w:val="22"/>
                <w:szCs w:val="22"/>
              </w:rPr>
            </w:pPr>
          </w:p>
        </w:tc>
      </w:tr>
      <w:tr w14:paraId="3C71358D">
        <w:tblPrEx>
          <w:tblCellMar>
            <w:top w:w="0" w:type="dxa"/>
            <w:left w:w="0" w:type="dxa"/>
            <w:bottom w:w="0" w:type="dxa"/>
            <w:right w:w="0" w:type="dxa"/>
          </w:tblCellMar>
        </w:tblPrEx>
        <w:trPr>
          <w:trHeight w:val="81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BD7C9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1</w:t>
            </w:r>
            <w:r>
              <w:rPr>
                <w:rFonts w:hint="eastAsia" w:ascii="宋体" w:hAnsi="宋体" w:cs="宋体"/>
                <w:color w:val="000000"/>
                <w:sz w:val="22"/>
                <w:szCs w:val="22"/>
                <w:lang w:val="en-US" w:eastAsia="zh-CN"/>
              </w:rPr>
              <w:t>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B12E74">
            <w:pPr>
              <w:jc w:val="center"/>
              <w:rPr>
                <w:rFonts w:hint="eastAsia" w:ascii="宋体" w:hAnsi="宋体" w:cs="宋体"/>
                <w:color w:val="000000"/>
                <w:sz w:val="22"/>
                <w:szCs w:val="22"/>
              </w:rPr>
            </w:pPr>
            <w:r>
              <w:rPr>
                <w:rFonts w:hint="eastAsia" w:ascii="宋体" w:hAnsi="宋体" w:cs="宋体"/>
                <w:color w:val="000000"/>
                <w:sz w:val="22"/>
                <w:szCs w:val="22"/>
              </w:rPr>
              <w:t>V类反光膜标志牌</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2F513F">
            <w:pPr>
              <w:jc w:val="center"/>
              <w:rPr>
                <w:rFonts w:hint="eastAsia" w:ascii="宋体" w:hAnsi="宋体" w:cs="宋体"/>
                <w:color w:val="000000"/>
                <w:sz w:val="22"/>
                <w:szCs w:val="22"/>
              </w:rPr>
            </w:pPr>
            <w:r>
              <w:rPr>
                <w:rFonts w:hint="eastAsia" w:ascii="宋体" w:hAnsi="宋体" w:cs="宋体"/>
                <w:color w:val="000000"/>
                <w:sz w:val="22"/>
                <w:szCs w:val="22"/>
              </w:rPr>
              <w:t xml:space="preserve">1.5mm厚度铝合金含配件等， </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BA9B94">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5EC40F">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CE7649B">
            <w:pPr>
              <w:jc w:val="center"/>
              <w:rPr>
                <w:rFonts w:hint="eastAsia" w:ascii="宋体" w:hAnsi="宋体" w:cs="宋体"/>
                <w:color w:val="000000"/>
                <w:sz w:val="22"/>
                <w:szCs w:val="22"/>
              </w:rPr>
            </w:pPr>
            <w:r>
              <w:rPr>
                <w:rFonts w:hint="eastAsia" w:ascii="宋体" w:hAnsi="宋体" w:cs="宋体"/>
                <w:color w:val="000000"/>
                <w:sz w:val="22"/>
                <w:szCs w:val="22"/>
              </w:rPr>
              <w:t>590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4C4415">
            <w:pPr>
              <w:jc w:val="center"/>
              <w:rPr>
                <w:rFonts w:hint="eastAsia" w:ascii="宋体" w:hAnsi="宋体" w:cs="宋体"/>
                <w:color w:val="000000"/>
                <w:sz w:val="22"/>
                <w:szCs w:val="22"/>
              </w:rPr>
            </w:pPr>
          </w:p>
        </w:tc>
      </w:tr>
      <w:tr w14:paraId="5C90D430">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23FA2D">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61067F">
            <w:pPr>
              <w:jc w:val="center"/>
              <w:rPr>
                <w:rFonts w:hint="eastAsia" w:ascii="宋体" w:hAnsi="宋体" w:cs="宋体"/>
                <w:color w:val="000000"/>
                <w:sz w:val="22"/>
                <w:szCs w:val="22"/>
              </w:rPr>
            </w:pPr>
            <w:r>
              <w:rPr>
                <w:rFonts w:hint="eastAsia" w:ascii="宋体" w:hAnsi="宋体" w:cs="宋体"/>
                <w:color w:val="000000"/>
                <w:sz w:val="22"/>
                <w:szCs w:val="22"/>
              </w:rPr>
              <w:t>V类反光膜标志牌改版</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43C2AF">
            <w:pPr>
              <w:jc w:val="center"/>
              <w:rPr>
                <w:rFonts w:hint="eastAsia" w:ascii="宋体" w:hAnsi="宋体" w:cs="宋体"/>
                <w:color w:val="000000"/>
                <w:sz w:val="22"/>
                <w:szCs w:val="22"/>
              </w:rPr>
            </w:pPr>
            <w:r>
              <w:rPr>
                <w:rFonts w:hint="eastAsia" w:ascii="宋体" w:hAnsi="宋体" w:cs="宋体"/>
                <w:color w:val="000000"/>
                <w:sz w:val="22"/>
                <w:szCs w:val="22"/>
              </w:rPr>
              <w:t>去膜改版，含配件等反光膜</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A5548A">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65A2E5">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07C473A">
            <w:pPr>
              <w:jc w:val="center"/>
              <w:rPr>
                <w:rFonts w:hint="eastAsia" w:ascii="宋体" w:hAnsi="宋体" w:cs="宋体"/>
                <w:color w:val="000000"/>
                <w:sz w:val="22"/>
                <w:szCs w:val="22"/>
              </w:rPr>
            </w:pPr>
            <w:r>
              <w:rPr>
                <w:rFonts w:hint="eastAsia" w:ascii="宋体" w:hAnsi="宋体" w:cs="宋体"/>
                <w:color w:val="000000"/>
                <w:sz w:val="22"/>
                <w:szCs w:val="22"/>
              </w:rPr>
              <w:t>549.97</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E70219">
            <w:pPr>
              <w:jc w:val="center"/>
              <w:rPr>
                <w:rFonts w:hint="eastAsia" w:ascii="宋体" w:hAnsi="宋体" w:cs="宋体"/>
                <w:color w:val="000000"/>
                <w:sz w:val="22"/>
                <w:szCs w:val="22"/>
              </w:rPr>
            </w:pPr>
          </w:p>
        </w:tc>
      </w:tr>
      <w:tr w14:paraId="05630F58">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E3658D">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2</w:t>
            </w:r>
            <w:r>
              <w:rPr>
                <w:rFonts w:hint="eastAsia" w:ascii="宋体" w:hAnsi="宋体" w:cs="宋体"/>
                <w:color w:val="000000"/>
                <w:sz w:val="22"/>
                <w:szCs w:val="22"/>
                <w:lang w:val="en-US" w:eastAsia="zh-CN"/>
              </w:rPr>
              <w:t>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5E5A10">
            <w:pPr>
              <w:jc w:val="center"/>
              <w:rPr>
                <w:rFonts w:hint="eastAsia" w:ascii="宋体" w:hAnsi="宋体" w:cs="宋体"/>
                <w:color w:val="000000"/>
                <w:sz w:val="22"/>
                <w:szCs w:val="22"/>
              </w:rPr>
            </w:pPr>
            <w:r>
              <w:rPr>
                <w:rFonts w:hint="eastAsia" w:ascii="宋体" w:hAnsi="宋体" w:cs="宋体"/>
                <w:color w:val="000000"/>
                <w:sz w:val="22"/>
                <w:szCs w:val="22"/>
              </w:rPr>
              <w:t>V类反光膜</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5CDEC1">
            <w:pPr>
              <w:jc w:val="center"/>
              <w:rPr>
                <w:rFonts w:hint="eastAsia" w:ascii="宋体" w:hAnsi="宋体" w:cs="宋体"/>
                <w:color w:val="000000"/>
                <w:sz w:val="22"/>
                <w:szCs w:val="22"/>
              </w:rPr>
            </w:pPr>
            <w:r>
              <w:rPr>
                <w:rFonts w:hint="eastAsia" w:ascii="宋体" w:hAnsi="宋体" w:cs="宋体"/>
                <w:color w:val="000000"/>
                <w:sz w:val="22"/>
                <w:szCs w:val="22"/>
              </w:rPr>
              <w:t>含配件等反光膜</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43FAA3">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0104AA">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AA99A9B">
            <w:pPr>
              <w:jc w:val="center"/>
              <w:rPr>
                <w:rFonts w:hint="eastAsia" w:ascii="宋体" w:hAnsi="宋体" w:cs="宋体"/>
                <w:color w:val="000000"/>
                <w:sz w:val="22"/>
                <w:szCs w:val="22"/>
              </w:rPr>
            </w:pPr>
            <w:r>
              <w:rPr>
                <w:rFonts w:hint="eastAsia" w:ascii="宋体" w:hAnsi="宋体" w:cs="宋体"/>
                <w:color w:val="000000"/>
                <w:sz w:val="22"/>
                <w:szCs w:val="22"/>
              </w:rPr>
              <w:t>380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948BCB">
            <w:pPr>
              <w:jc w:val="center"/>
              <w:rPr>
                <w:rFonts w:hint="eastAsia" w:ascii="宋体" w:hAnsi="宋体" w:cs="宋体"/>
                <w:color w:val="000000"/>
                <w:sz w:val="22"/>
                <w:szCs w:val="22"/>
              </w:rPr>
            </w:pPr>
          </w:p>
        </w:tc>
      </w:tr>
      <w:tr w14:paraId="6AADB30E">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B3F992">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2</w:t>
            </w:r>
            <w:r>
              <w:rPr>
                <w:rFonts w:hint="eastAsia" w:ascii="宋体" w:hAnsi="宋体" w:cs="宋体"/>
                <w:color w:val="000000"/>
                <w:sz w:val="22"/>
                <w:szCs w:val="22"/>
                <w:lang w:val="en-US" w:eastAsia="zh-CN"/>
              </w:rPr>
              <w:t>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34C6659">
            <w:pPr>
              <w:jc w:val="left"/>
              <w:rPr>
                <w:rFonts w:hint="eastAsia" w:ascii="宋体" w:hAnsi="宋体" w:cs="宋体"/>
                <w:color w:val="000000"/>
                <w:sz w:val="22"/>
                <w:szCs w:val="22"/>
              </w:rPr>
            </w:pPr>
            <w:r>
              <w:rPr>
                <w:rFonts w:hint="eastAsia" w:ascii="宋体" w:hAnsi="宋体" w:cs="宋体"/>
                <w:color w:val="000000"/>
                <w:sz w:val="22"/>
                <w:szCs w:val="22"/>
              </w:rPr>
              <w:t>IV类反光膜标志牌</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582016">
            <w:pPr>
              <w:jc w:val="center"/>
              <w:rPr>
                <w:rFonts w:hint="eastAsia" w:ascii="宋体" w:hAnsi="宋体" w:cs="宋体"/>
                <w:color w:val="000000"/>
                <w:sz w:val="22"/>
                <w:szCs w:val="22"/>
              </w:rPr>
            </w:pPr>
            <w:r>
              <w:rPr>
                <w:rFonts w:hint="eastAsia" w:ascii="宋体" w:hAnsi="宋体" w:cs="宋体"/>
                <w:color w:val="000000"/>
                <w:sz w:val="22"/>
                <w:szCs w:val="22"/>
              </w:rPr>
              <w:t>3.0mm厚度铝合金含配件等，</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2A24C5">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85A71F">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EB4E89D">
            <w:pPr>
              <w:jc w:val="center"/>
              <w:rPr>
                <w:rFonts w:hint="eastAsia" w:ascii="宋体" w:hAnsi="宋体" w:cs="宋体"/>
                <w:color w:val="000000"/>
                <w:sz w:val="22"/>
                <w:szCs w:val="22"/>
              </w:rPr>
            </w:pPr>
            <w:r>
              <w:rPr>
                <w:rFonts w:hint="eastAsia" w:ascii="宋体" w:hAnsi="宋体" w:cs="宋体"/>
                <w:color w:val="000000"/>
                <w:sz w:val="22"/>
                <w:szCs w:val="22"/>
              </w:rPr>
              <w:t>550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8144E8">
            <w:pPr>
              <w:jc w:val="center"/>
              <w:rPr>
                <w:rFonts w:hint="eastAsia" w:ascii="宋体" w:hAnsi="宋体" w:cs="宋体"/>
                <w:color w:val="000000"/>
                <w:sz w:val="22"/>
                <w:szCs w:val="22"/>
              </w:rPr>
            </w:pPr>
          </w:p>
        </w:tc>
      </w:tr>
      <w:tr w14:paraId="19F0791F">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D44C06">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2</w:t>
            </w:r>
            <w:r>
              <w:rPr>
                <w:rFonts w:hint="eastAsia" w:ascii="宋体" w:hAnsi="宋体" w:cs="宋体"/>
                <w:color w:val="000000"/>
                <w:sz w:val="22"/>
                <w:szCs w:val="22"/>
                <w:lang w:val="en-US" w:eastAsia="zh-CN"/>
              </w:rPr>
              <w:t>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BADE9C">
            <w:pPr>
              <w:jc w:val="left"/>
              <w:rPr>
                <w:rFonts w:hint="eastAsia" w:ascii="宋体" w:hAnsi="宋体" w:cs="宋体"/>
                <w:color w:val="000000"/>
                <w:sz w:val="22"/>
                <w:szCs w:val="22"/>
              </w:rPr>
            </w:pPr>
            <w:r>
              <w:rPr>
                <w:rFonts w:hint="eastAsia" w:ascii="宋体" w:hAnsi="宋体" w:cs="宋体"/>
                <w:color w:val="000000"/>
                <w:sz w:val="22"/>
                <w:szCs w:val="22"/>
              </w:rPr>
              <w:t>IV类反光膜标志牌</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308A0F">
            <w:pPr>
              <w:jc w:val="center"/>
              <w:rPr>
                <w:rFonts w:hint="eastAsia" w:ascii="宋体" w:hAnsi="宋体" w:cs="宋体"/>
                <w:color w:val="000000"/>
                <w:sz w:val="22"/>
                <w:szCs w:val="22"/>
              </w:rPr>
            </w:pPr>
            <w:r>
              <w:rPr>
                <w:rFonts w:hint="eastAsia" w:ascii="宋体" w:hAnsi="宋体" w:cs="宋体"/>
                <w:color w:val="000000"/>
                <w:sz w:val="22"/>
                <w:szCs w:val="22"/>
              </w:rPr>
              <w:t>2.0mm厚度铝合金含配件等，</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D56776">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DA4317">
            <w:pPr>
              <w:jc w:val="center"/>
              <w:rPr>
                <w:rFonts w:hint="eastAsia" w:ascii="宋体" w:hAnsi="宋体" w:cs="宋体"/>
                <w:color w:val="000000"/>
                <w:sz w:val="22"/>
                <w:szCs w:val="22"/>
              </w:rPr>
            </w:pPr>
            <w:r>
              <w:rPr>
                <w:rFonts w:hint="eastAsia" w:ascii="宋体" w:hAnsi="宋体" w:cs="宋体"/>
                <w:color w:val="000000"/>
                <w:sz w:val="22"/>
                <w:szCs w:val="22"/>
              </w:rPr>
              <w:t>263</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3F2A4C2">
            <w:pPr>
              <w:jc w:val="center"/>
              <w:rPr>
                <w:rFonts w:hint="eastAsia" w:ascii="宋体" w:hAnsi="宋体" w:cs="宋体"/>
                <w:color w:val="000000"/>
                <w:sz w:val="22"/>
                <w:szCs w:val="22"/>
              </w:rPr>
            </w:pPr>
            <w:r>
              <w:rPr>
                <w:rFonts w:hint="eastAsia" w:ascii="宋体" w:hAnsi="宋体" w:cs="宋体"/>
                <w:color w:val="000000"/>
                <w:sz w:val="22"/>
                <w:szCs w:val="22"/>
              </w:rPr>
              <w:t>540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BBD58A">
            <w:pPr>
              <w:jc w:val="center"/>
              <w:rPr>
                <w:rFonts w:hint="eastAsia" w:ascii="宋体" w:hAnsi="宋体" w:cs="宋体"/>
                <w:color w:val="000000"/>
                <w:sz w:val="22"/>
                <w:szCs w:val="22"/>
              </w:rPr>
            </w:pPr>
          </w:p>
        </w:tc>
      </w:tr>
      <w:tr w14:paraId="7CF54E04">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35441D">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2</w:t>
            </w:r>
            <w:r>
              <w:rPr>
                <w:rFonts w:hint="eastAsia" w:ascii="宋体" w:hAnsi="宋体" w:cs="宋体"/>
                <w:color w:val="000000"/>
                <w:sz w:val="22"/>
                <w:szCs w:val="22"/>
                <w:lang w:val="en-US" w:eastAsia="zh-CN"/>
              </w:rPr>
              <w:t>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F7D56CC">
            <w:pPr>
              <w:jc w:val="left"/>
              <w:rPr>
                <w:rFonts w:hint="eastAsia" w:ascii="宋体" w:hAnsi="宋体" w:cs="宋体"/>
                <w:color w:val="000000"/>
                <w:sz w:val="22"/>
                <w:szCs w:val="22"/>
              </w:rPr>
            </w:pPr>
            <w:r>
              <w:rPr>
                <w:rFonts w:hint="eastAsia" w:ascii="宋体" w:hAnsi="宋体" w:cs="宋体"/>
                <w:color w:val="000000"/>
                <w:sz w:val="22"/>
                <w:szCs w:val="22"/>
              </w:rPr>
              <w:t>IV类反光膜标志牌</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BAB091">
            <w:pPr>
              <w:jc w:val="center"/>
              <w:rPr>
                <w:rFonts w:hint="eastAsia" w:ascii="宋体" w:hAnsi="宋体" w:cs="宋体"/>
                <w:color w:val="000000"/>
                <w:sz w:val="22"/>
                <w:szCs w:val="22"/>
              </w:rPr>
            </w:pPr>
            <w:r>
              <w:rPr>
                <w:rFonts w:hint="eastAsia" w:ascii="宋体" w:hAnsi="宋体" w:cs="宋体"/>
                <w:color w:val="000000"/>
                <w:sz w:val="22"/>
                <w:szCs w:val="22"/>
              </w:rPr>
              <w:t>1.5mm厚度铝合金含配件等，</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A3D882">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80EDBE">
            <w:pPr>
              <w:jc w:val="center"/>
              <w:rPr>
                <w:rFonts w:hint="eastAsia" w:ascii="宋体" w:hAnsi="宋体" w:cs="宋体"/>
                <w:color w:val="000000"/>
                <w:sz w:val="22"/>
                <w:szCs w:val="22"/>
              </w:rPr>
            </w:pPr>
            <w:r>
              <w:rPr>
                <w:rFonts w:hint="eastAsia" w:ascii="宋体" w:hAnsi="宋体" w:cs="宋体"/>
                <w:color w:val="000000"/>
                <w:sz w:val="22"/>
                <w:szCs w:val="22"/>
              </w:rPr>
              <w:t>53</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F266E8E">
            <w:pPr>
              <w:jc w:val="center"/>
              <w:rPr>
                <w:rFonts w:hint="eastAsia" w:ascii="宋体" w:hAnsi="宋体" w:cs="宋体"/>
                <w:color w:val="000000"/>
                <w:sz w:val="22"/>
                <w:szCs w:val="22"/>
              </w:rPr>
            </w:pPr>
            <w:r>
              <w:rPr>
                <w:rFonts w:hint="eastAsia" w:ascii="宋体" w:hAnsi="宋体" w:cs="宋体"/>
                <w:color w:val="000000"/>
                <w:sz w:val="22"/>
                <w:szCs w:val="22"/>
              </w:rPr>
              <w:t>520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00F70E">
            <w:pPr>
              <w:jc w:val="center"/>
              <w:rPr>
                <w:rFonts w:hint="eastAsia" w:ascii="宋体" w:hAnsi="宋体" w:cs="宋体"/>
                <w:color w:val="000000"/>
                <w:sz w:val="22"/>
                <w:szCs w:val="22"/>
              </w:rPr>
            </w:pPr>
          </w:p>
        </w:tc>
      </w:tr>
      <w:tr w14:paraId="34B6F59D">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BF1816">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2</w:t>
            </w:r>
            <w:r>
              <w:rPr>
                <w:rFonts w:hint="eastAsia" w:ascii="宋体" w:hAnsi="宋体" w:cs="宋体"/>
                <w:color w:val="000000"/>
                <w:sz w:val="22"/>
                <w:szCs w:val="22"/>
                <w:lang w:val="en-US" w:eastAsia="zh-CN"/>
              </w:rPr>
              <w:t>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EC7B2F">
            <w:pPr>
              <w:jc w:val="left"/>
              <w:rPr>
                <w:rFonts w:hint="eastAsia" w:ascii="宋体" w:hAnsi="宋体" w:cs="宋体"/>
                <w:color w:val="000000"/>
                <w:sz w:val="22"/>
                <w:szCs w:val="22"/>
              </w:rPr>
            </w:pPr>
            <w:r>
              <w:rPr>
                <w:rFonts w:hint="eastAsia" w:ascii="宋体" w:hAnsi="宋体" w:cs="宋体"/>
                <w:color w:val="000000"/>
                <w:sz w:val="22"/>
                <w:szCs w:val="22"/>
              </w:rPr>
              <w:t>IV类反光膜标志牌改版</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682FF7">
            <w:pPr>
              <w:jc w:val="center"/>
              <w:rPr>
                <w:rFonts w:hint="eastAsia" w:ascii="宋体" w:hAnsi="宋体" w:cs="宋体"/>
                <w:color w:val="000000"/>
                <w:sz w:val="22"/>
                <w:szCs w:val="22"/>
              </w:rPr>
            </w:pPr>
            <w:r>
              <w:rPr>
                <w:rFonts w:hint="eastAsia" w:ascii="宋体" w:hAnsi="宋体" w:cs="宋体"/>
                <w:color w:val="000000"/>
                <w:sz w:val="22"/>
                <w:szCs w:val="22"/>
              </w:rPr>
              <w:t>去膜改版，含配件等反光膜</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20782A">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467285">
            <w:pPr>
              <w:jc w:val="center"/>
              <w:rPr>
                <w:rFonts w:hint="eastAsia" w:ascii="宋体" w:hAnsi="宋体" w:cs="宋体"/>
                <w:color w:val="000000"/>
                <w:sz w:val="22"/>
                <w:szCs w:val="22"/>
              </w:rPr>
            </w:pPr>
            <w:r>
              <w:rPr>
                <w:rFonts w:hint="eastAsia" w:ascii="宋体" w:hAnsi="宋体" w:cs="宋体"/>
                <w:color w:val="000000"/>
                <w:sz w:val="22"/>
                <w:szCs w:val="22"/>
              </w:rPr>
              <w:t>263</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E5844F6">
            <w:pPr>
              <w:jc w:val="center"/>
              <w:rPr>
                <w:rFonts w:hint="eastAsia" w:ascii="宋体" w:hAnsi="宋体" w:cs="宋体"/>
                <w:color w:val="000000"/>
                <w:sz w:val="22"/>
                <w:szCs w:val="22"/>
              </w:rPr>
            </w:pPr>
            <w:r>
              <w:rPr>
                <w:rFonts w:hint="eastAsia" w:ascii="宋体" w:hAnsi="宋体" w:cs="宋体"/>
                <w:color w:val="000000"/>
                <w:sz w:val="22"/>
                <w:szCs w:val="22"/>
              </w:rPr>
              <w:t>350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F05211">
            <w:pPr>
              <w:jc w:val="center"/>
              <w:rPr>
                <w:rFonts w:hint="eastAsia" w:ascii="宋体" w:hAnsi="宋体" w:cs="宋体"/>
                <w:color w:val="000000"/>
                <w:sz w:val="22"/>
                <w:szCs w:val="22"/>
              </w:rPr>
            </w:pPr>
          </w:p>
        </w:tc>
      </w:tr>
      <w:tr w14:paraId="25FBEAFD">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B9CC8C">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2</w:t>
            </w:r>
            <w:r>
              <w:rPr>
                <w:rFonts w:hint="eastAsia" w:ascii="宋体" w:hAnsi="宋体" w:cs="宋体"/>
                <w:color w:val="000000"/>
                <w:sz w:val="22"/>
                <w:szCs w:val="22"/>
                <w:lang w:val="en-US" w:eastAsia="zh-CN"/>
              </w:rPr>
              <w:t>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FA3F02">
            <w:pPr>
              <w:jc w:val="left"/>
              <w:rPr>
                <w:rFonts w:hint="eastAsia" w:ascii="宋体" w:hAnsi="宋体" w:cs="宋体"/>
                <w:color w:val="000000"/>
                <w:sz w:val="22"/>
                <w:szCs w:val="22"/>
              </w:rPr>
            </w:pPr>
            <w:r>
              <w:rPr>
                <w:rFonts w:hint="eastAsia" w:ascii="宋体" w:hAnsi="宋体" w:cs="宋体"/>
                <w:color w:val="000000"/>
                <w:sz w:val="22"/>
                <w:szCs w:val="22"/>
              </w:rPr>
              <w:t>IV类反光膜</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2E8ED1">
            <w:pPr>
              <w:jc w:val="center"/>
              <w:rPr>
                <w:rFonts w:hint="eastAsia" w:ascii="宋体" w:hAnsi="宋体" w:cs="宋体"/>
                <w:color w:val="000000"/>
                <w:sz w:val="22"/>
                <w:szCs w:val="22"/>
              </w:rPr>
            </w:pPr>
            <w:r>
              <w:rPr>
                <w:rFonts w:hint="eastAsia" w:ascii="宋体" w:hAnsi="宋体" w:cs="宋体"/>
                <w:color w:val="000000"/>
                <w:sz w:val="22"/>
                <w:szCs w:val="22"/>
              </w:rPr>
              <w:t>含配件等反光膜</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310755">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21F9FE">
            <w:pPr>
              <w:jc w:val="center"/>
              <w:rPr>
                <w:rFonts w:hint="eastAsia" w:ascii="宋体" w:hAnsi="宋体" w:cs="宋体"/>
                <w:color w:val="000000"/>
                <w:sz w:val="22"/>
                <w:szCs w:val="22"/>
              </w:rPr>
            </w:pPr>
            <w:r>
              <w:rPr>
                <w:rFonts w:hint="eastAsia" w:ascii="宋体" w:hAnsi="宋体" w:cs="宋体"/>
                <w:color w:val="000000"/>
                <w:sz w:val="22"/>
                <w:szCs w:val="22"/>
              </w:rPr>
              <w:t>526</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0E5CFE6">
            <w:pPr>
              <w:jc w:val="center"/>
              <w:rPr>
                <w:rFonts w:hint="eastAsia" w:ascii="宋体" w:hAnsi="宋体" w:cs="宋体"/>
                <w:color w:val="000000"/>
                <w:sz w:val="22"/>
                <w:szCs w:val="22"/>
              </w:rPr>
            </w:pPr>
            <w:r>
              <w:rPr>
                <w:rFonts w:hint="eastAsia" w:ascii="宋体" w:hAnsi="宋体" w:cs="宋体"/>
                <w:color w:val="000000"/>
                <w:sz w:val="22"/>
                <w:szCs w:val="22"/>
              </w:rPr>
              <w:t>230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6F7F7C">
            <w:pPr>
              <w:jc w:val="center"/>
              <w:rPr>
                <w:rFonts w:hint="eastAsia" w:ascii="宋体" w:hAnsi="宋体" w:cs="宋体"/>
                <w:color w:val="000000"/>
                <w:sz w:val="22"/>
                <w:szCs w:val="22"/>
              </w:rPr>
            </w:pPr>
          </w:p>
        </w:tc>
      </w:tr>
      <w:tr w14:paraId="28F3877F">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D7C5A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2</w:t>
            </w:r>
            <w:r>
              <w:rPr>
                <w:rFonts w:hint="eastAsia" w:ascii="宋体" w:hAnsi="宋体" w:cs="宋体"/>
                <w:color w:val="000000"/>
                <w:sz w:val="22"/>
                <w:szCs w:val="22"/>
                <w:lang w:val="en-US" w:eastAsia="zh-CN"/>
              </w:rPr>
              <w:t>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3B95A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C85E2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1.1200*800*2mm标志牌版面采用超强级反光膜，抱箍连接等,包含所有安装费用。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9446A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6034B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6A5B90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786.90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58AD83">
            <w:pPr>
              <w:jc w:val="center"/>
              <w:rPr>
                <w:rFonts w:hint="eastAsia" w:ascii="宋体" w:hAnsi="宋体" w:cs="宋体"/>
                <w:color w:val="000000"/>
                <w:sz w:val="22"/>
                <w:szCs w:val="22"/>
              </w:rPr>
            </w:pPr>
          </w:p>
        </w:tc>
      </w:tr>
      <w:tr w14:paraId="56F600EB">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6FE3A5">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2</w:t>
            </w:r>
            <w:r>
              <w:rPr>
                <w:rFonts w:hint="eastAsia" w:ascii="宋体" w:hAnsi="宋体" w:cs="宋体"/>
                <w:color w:val="000000"/>
                <w:sz w:val="22"/>
                <w:szCs w:val="22"/>
                <w:lang w:val="en-US" w:eastAsia="zh-CN"/>
              </w:rPr>
              <w:t>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5E7DD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DEE96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1.1200*1000*2mm标志牌版面采用超强级反光膜，抱箍连接等,包含所有安装费用。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B4774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EED3E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174E92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1023.50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18B2EF">
            <w:pPr>
              <w:jc w:val="center"/>
              <w:rPr>
                <w:rFonts w:hint="eastAsia" w:ascii="宋体" w:hAnsi="宋体" w:cs="宋体"/>
                <w:color w:val="000000"/>
                <w:sz w:val="22"/>
                <w:szCs w:val="22"/>
              </w:rPr>
            </w:pPr>
          </w:p>
        </w:tc>
      </w:tr>
      <w:tr w14:paraId="561F94FC">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548CCE">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2</w:t>
            </w:r>
            <w:r>
              <w:rPr>
                <w:rFonts w:hint="eastAsia" w:ascii="宋体" w:hAnsi="宋体" w:cs="宋体"/>
                <w:color w:val="000000"/>
                <w:sz w:val="22"/>
                <w:szCs w:val="22"/>
                <w:lang w:val="en-US" w:eastAsia="zh-CN"/>
              </w:rPr>
              <w:t>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AAD5F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E363E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1.600*800*2mm标志牌版面采用超强级反光膜，抱箍连接等,包含所有安装费用。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C99E7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DE94B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EA2283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452.48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0E9402">
            <w:pPr>
              <w:jc w:val="center"/>
              <w:rPr>
                <w:rFonts w:hint="eastAsia" w:ascii="宋体" w:hAnsi="宋体" w:cs="宋体"/>
                <w:color w:val="000000"/>
                <w:sz w:val="22"/>
                <w:szCs w:val="22"/>
              </w:rPr>
            </w:pPr>
          </w:p>
        </w:tc>
      </w:tr>
      <w:tr w14:paraId="459F2E38">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C931B7">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4453B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86197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1.800*800*2mm标志牌版面采用超强级反光膜，抱箍连接等,包含所有安装费用。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68820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05F24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A2A0AF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557.10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04A094">
            <w:pPr>
              <w:jc w:val="center"/>
              <w:rPr>
                <w:rFonts w:hint="eastAsia" w:ascii="宋体" w:hAnsi="宋体" w:cs="宋体"/>
                <w:color w:val="000000"/>
                <w:sz w:val="22"/>
                <w:szCs w:val="22"/>
              </w:rPr>
            </w:pPr>
          </w:p>
        </w:tc>
      </w:tr>
      <w:tr w14:paraId="4E41BA7A">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ED533B">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3</w:t>
            </w:r>
            <w:r>
              <w:rPr>
                <w:rFonts w:hint="eastAsia" w:ascii="宋体" w:hAnsi="宋体" w:cs="宋体"/>
                <w:color w:val="000000"/>
                <w:sz w:val="22"/>
                <w:szCs w:val="22"/>
                <w:lang w:val="en-US" w:eastAsia="zh-CN"/>
              </w:rPr>
              <w:t>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AA2FA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D9580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1.1200*1200*3mm标志牌版面采用超强级反光膜，抱箍连接等,包含所有安装费用。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90F5E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11F80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B12522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1147.16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EBDA8A">
            <w:pPr>
              <w:jc w:val="center"/>
              <w:rPr>
                <w:rFonts w:hint="eastAsia" w:ascii="宋体" w:hAnsi="宋体" w:cs="宋体"/>
                <w:color w:val="000000"/>
                <w:sz w:val="22"/>
                <w:szCs w:val="22"/>
              </w:rPr>
            </w:pPr>
          </w:p>
        </w:tc>
      </w:tr>
      <w:tr w14:paraId="6DACB24A">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242A35">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3</w:t>
            </w:r>
            <w:r>
              <w:rPr>
                <w:rFonts w:hint="eastAsia" w:ascii="宋体" w:hAnsi="宋体" w:cs="宋体"/>
                <w:color w:val="000000"/>
                <w:sz w:val="22"/>
                <w:szCs w:val="22"/>
                <w:lang w:val="en-US" w:eastAsia="zh-CN"/>
              </w:rPr>
              <w:t>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CE1B5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8587F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1.2400*1200*3mm标志牌版面采用超强级反光膜，抱箍连接等,包含所有安装费用。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2492A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F653B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81D636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2282.66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5FA09E">
            <w:pPr>
              <w:jc w:val="center"/>
              <w:rPr>
                <w:rFonts w:hint="eastAsia" w:ascii="宋体" w:hAnsi="宋体" w:cs="宋体"/>
                <w:color w:val="000000"/>
                <w:sz w:val="22"/>
                <w:szCs w:val="22"/>
              </w:rPr>
            </w:pPr>
          </w:p>
        </w:tc>
      </w:tr>
      <w:tr w14:paraId="3838CEC2">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6FB02B">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3</w:t>
            </w:r>
            <w:r>
              <w:rPr>
                <w:rFonts w:hint="eastAsia" w:ascii="宋体" w:hAnsi="宋体" w:cs="宋体"/>
                <w:color w:val="000000"/>
                <w:sz w:val="22"/>
                <w:szCs w:val="22"/>
                <w:lang w:val="en-US" w:eastAsia="zh-CN"/>
              </w:rPr>
              <w:t>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4E3F4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C4040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1.1600*1800*3mm标志牌版面采用超强级反光膜，抱箍连接等,包含所有安装费用。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FB297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97694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F4B34D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2382.27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E01BA2">
            <w:pPr>
              <w:jc w:val="center"/>
              <w:rPr>
                <w:rFonts w:hint="eastAsia" w:ascii="宋体" w:hAnsi="宋体" w:cs="宋体"/>
                <w:color w:val="000000"/>
                <w:sz w:val="22"/>
                <w:szCs w:val="22"/>
              </w:rPr>
            </w:pPr>
          </w:p>
        </w:tc>
      </w:tr>
      <w:tr w14:paraId="08ABAC95">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1CB1A2">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3</w:t>
            </w:r>
            <w:r>
              <w:rPr>
                <w:rFonts w:hint="eastAsia" w:ascii="宋体" w:hAnsi="宋体" w:cs="宋体"/>
                <w:color w:val="000000"/>
                <w:sz w:val="22"/>
                <w:szCs w:val="22"/>
                <w:lang w:val="en-US" w:eastAsia="zh-CN"/>
              </w:rPr>
              <w:t>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46222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5B771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1.2000*2000*3mm标志牌版面采用超强级反光膜，抱箍连接等,包含所有安装费用。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71AB3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AFD98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C09C32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3230.20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661E55">
            <w:pPr>
              <w:jc w:val="center"/>
              <w:rPr>
                <w:rFonts w:hint="eastAsia" w:ascii="宋体" w:hAnsi="宋体" w:cs="宋体"/>
                <w:color w:val="000000"/>
                <w:sz w:val="22"/>
                <w:szCs w:val="22"/>
              </w:rPr>
            </w:pPr>
          </w:p>
        </w:tc>
      </w:tr>
      <w:tr w14:paraId="247A34D4">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5FE08D">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3</w:t>
            </w:r>
            <w:r>
              <w:rPr>
                <w:rFonts w:hint="eastAsia" w:ascii="宋体" w:hAnsi="宋体" w:cs="宋体"/>
                <w:color w:val="000000"/>
                <w:sz w:val="22"/>
                <w:szCs w:val="22"/>
                <w:lang w:val="en-US" w:eastAsia="zh-CN"/>
              </w:rPr>
              <w:t>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37EEB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D6C7B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1.3000*1800*3mm标志牌版面采用超强级反光膜，抱箍连接等,包含所有安装费用。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3936E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D458F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70929C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4407.76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8254BD">
            <w:pPr>
              <w:jc w:val="center"/>
              <w:rPr>
                <w:rFonts w:hint="eastAsia" w:ascii="宋体" w:hAnsi="宋体" w:cs="宋体"/>
                <w:color w:val="000000"/>
                <w:sz w:val="22"/>
                <w:szCs w:val="22"/>
              </w:rPr>
            </w:pPr>
          </w:p>
        </w:tc>
      </w:tr>
      <w:tr w14:paraId="61F0DC45">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68EC5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3</w:t>
            </w:r>
            <w:r>
              <w:rPr>
                <w:rFonts w:hint="eastAsia" w:ascii="宋体" w:hAnsi="宋体" w:cs="宋体"/>
                <w:color w:val="000000"/>
                <w:sz w:val="22"/>
                <w:szCs w:val="22"/>
                <w:lang w:val="en-US" w:eastAsia="zh-CN"/>
              </w:rPr>
              <w:t>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95342B">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6FDA4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1.3400*2800*3mm标志牌版面采用超强级反光膜，抱箍连接等,包含所有安装费用。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C6B0F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36609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1F02C6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7675.02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CB73C9">
            <w:pPr>
              <w:jc w:val="center"/>
              <w:rPr>
                <w:rFonts w:hint="eastAsia" w:ascii="宋体" w:hAnsi="宋体" w:cs="宋体"/>
                <w:color w:val="000000"/>
                <w:sz w:val="22"/>
                <w:szCs w:val="22"/>
              </w:rPr>
            </w:pPr>
          </w:p>
        </w:tc>
      </w:tr>
      <w:tr w14:paraId="4CBFDD6B">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90A2B9">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3</w:t>
            </w:r>
            <w:r>
              <w:rPr>
                <w:rFonts w:hint="eastAsia" w:ascii="宋体" w:hAnsi="宋体" w:cs="宋体"/>
                <w:color w:val="000000"/>
                <w:sz w:val="22"/>
                <w:szCs w:val="22"/>
                <w:lang w:val="en-US" w:eastAsia="zh-CN"/>
              </w:rPr>
              <w:t>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6FFA6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1DEF3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1.3200*2800*3mm标志牌版面采用超强级反光膜，抱箍连接等,包含所有安装费用。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3E13B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0A085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9E4358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7094.91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6B12B8">
            <w:pPr>
              <w:jc w:val="center"/>
              <w:rPr>
                <w:rFonts w:hint="eastAsia" w:ascii="宋体" w:hAnsi="宋体" w:cs="宋体"/>
                <w:color w:val="000000"/>
                <w:sz w:val="22"/>
                <w:szCs w:val="22"/>
              </w:rPr>
            </w:pPr>
          </w:p>
        </w:tc>
      </w:tr>
      <w:tr w14:paraId="02A07E31">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F94EAB">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38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A2486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3F9F3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1.4000*2400*3mm标志牌版面采用超强级反光膜，抱箍连接等,包含所有安装费用。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77A60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7B315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51E20A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7730.44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C5377C">
            <w:pPr>
              <w:jc w:val="center"/>
              <w:rPr>
                <w:rFonts w:hint="eastAsia" w:ascii="宋体" w:hAnsi="宋体" w:cs="宋体"/>
                <w:color w:val="000000"/>
                <w:sz w:val="22"/>
                <w:szCs w:val="22"/>
              </w:rPr>
            </w:pPr>
          </w:p>
        </w:tc>
      </w:tr>
      <w:tr w14:paraId="5AF4C6A7">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467771">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39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7A565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41023E">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1.4000*2800*3mm标志牌版面采用超强级反光膜，抱箍连接等,包含所有安装费用。。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E44BE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4DC17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78AE31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8838.94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D7EB8F">
            <w:pPr>
              <w:jc w:val="center"/>
              <w:rPr>
                <w:rFonts w:hint="eastAsia" w:ascii="宋体" w:hAnsi="宋体" w:cs="宋体"/>
                <w:color w:val="000000"/>
                <w:sz w:val="22"/>
                <w:szCs w:val="22"/>
              </w:rPr>
            </w:pPr>
          </w:p>
        </w:tc>
      </w:tr>
      <w:tr w14:paraId="615E33F0">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C782F1">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40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A2E9A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0F9DE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1.4500*3500*3mm标志牌版面采用超强级反光膜，抱箍连接等,包含所有安装费用。。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3B8E8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9078D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A8596B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10750.05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EE86E2">
            <w:pPr>
              <w:jc w:val="center"/>
              <w:rPr>
                <w:rFonts w:hint="eastAsia" w:ascii="宋体" w:hAnsi="宋体" w:cs="宋体"/>
                <w:color w:val="000000"/>
                <w:sz w:val="22"/>
                <w:szCs w:val="22"/>
              </w:rPr>
            </w:pPr>
          </w:p>
        </w:tc>
      </w:tr>
      <w:tr w14:paraId="19ED1A3D">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ED6828">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41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A102D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1E961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1.Φ100cm*2mm标志牌版面采用超强级反光膜，抱箍连接等,包含所有安装费用。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EA23D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73660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0A544B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684.78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4A29AD">
            <w:pPr>
              <w:jc w:val="center"/>
              <w:rPr>
                <w:rFonts w:hint="eastAsia" w:ascii="宋体" w:hAnsi="宋体" w:cs="宋体"/>
                <w:color w:val="000000"/>
                <w:sz w:val="22"/>
                <w:szCs w:val="22"/>
              </w:rPr>
            </w:pPr>
          </w:p>
        </w:tc>
      </w:tr>
      <w:tr w14:paraId="3B2BE7B0">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C133DF">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42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40AE9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C8DB3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1.Φ80cm*2mm标志牌版面采用超强级反光膜，抱箍连接等,包含所有安装费用。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CD34E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F2707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6E3644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472.14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673B01">
            <w:pPr>
              <w:jc w:val="center"/>
              <w:rPr>
                <w:rFonts w:hint="eastAsia" w:ascii="宋体" w:hAnsi="宋体" w:cs="宋体"/>
                <w:color w:val="000000"/>
                <w:sz w:val="22"/>
                <w:szCs w:val="22"/>
              </w:rPr>
            </w:pPr>
          </w:p>
        </w:tc>
      </w:tr>
      <w:tr w14:paraId="6A751742">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1D131C">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43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3781B2">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3F35E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1.△90cm*2mm标志牌版面采用超强级反光膜，抱箍连接等,包含所有安装费用。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B7551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01982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DF7CED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375.13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B0E3A1">
            <w:pPr>
              <w:jc w:val="center"/>
              <w:rPr>
                <w:rFonts w:hint="eastAsia" w:ascii="宋体" w:hAnsi="宋体" w:cs="宋体"/>
                <w:color w:val="000000"/>
                <w:sz w:val="22"/>
                <w:szCs w:val="22"/>
              </w:rPr>
            </w:pPr>
          </w:p>
        </w:tc>
      </w:tr>
      <w:tr w14:paraId="3E0A330A">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9902DD">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44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03766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115DB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1.D80cm*2mm标志牌版面采用超强级反光膜，抱箍连接等,包含所有安装费用。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DA2F3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F6824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F59E6F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472.14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75611B">
            <w:pPr>
              <w:jc w:val="center"/>
              <w:rPr>
                <w:rFonts w:hint="eastAsia" w:ascii="宋体" w:hAnsi="宋体" w:cs="宋体"/>
                <w:color w:val="000000"/>
                <w:sz w:val="22"/>
                <w:szCs w:val="22"/>
              </w:rPr>
            </w:pPr>
          </w:p>
        </w:tc>
      </w:tr>
      <w:tr w14:paraId="2253681F">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9183E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45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D4A86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64E64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1.Φ60cm*2mm标志牌版面采用超强级反光膜，抱箍连接等,包含所有安装费用。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EFF61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4E50D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82D02C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306.86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16566E">
            <w:pPr>
              <w:jc w:val="center"/>
              <w:rPr>
                <w:rFonts w:hint="eastAsia" w:ascii="宋体" w:hAnsi="宋体" w:cs="宋体"/>
                <w:color w:val="000000"/>
                <w:sz w:val="22"/>
                <w:szCs w:val="22"/>
              </w:rPr>
            </w:pPr>
          </w:p>
        </w:tc>
      </w:tr>
      <w:tr w14:paraId="0E72B224">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38093D">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46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FEB9A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DED38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1.△70cm*2mm标志牌版面采用超强级反光膜，抱箍连接等,包含所有安装费用。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FCB18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46C7C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82A5A0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260.01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271AA7">
            <w:pPr>
              <w:jc w:val="center"/>
              <w:rPr>
                <w:rFonts w:hint="eastAsia" w:ascii="宋体" w:hAnsi="宋体" w:cs="宋体"/>
                <w:color w:val="000000"/>
                <w:sz w:val="22"/>
                <w:szCs w:val="22"/>
              </w:rPr>
            </w:pPr>
          </w:p>
        </w:tc>
      </w:tr>
      <w:tr w14:paraId="48AE33E7">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26883F">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47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A5E46C">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4EAC69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1.Φ120cm*2mm标志牌版面采用超强级反光膜，抱箍连接等,包含所有安装费用。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00FF1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63FAA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E3AE54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957.67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9E56F1">
            <w:pPr>
              <w:jc w:val="center"/>
              <w:rPr>
                <w:rFonts w:hint="eastAsia" w:ascii="宋体" w:hAnsi="宋体" w:cs="宋体"/>
                <w:color w:val="000000"/>
                <w:sz w:val="22"/>
                <w:szCs w:val="22"/>
              </w:rPr>
            </w:pPr>
          </w:p>
        </w:tc>
      </w:tr>
      <w:tr w14:paraId="0B633DFB">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321F8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48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D3D3E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56582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1.△110cm*2mm标志牌版面采用超强级反光膜，抱箍连接等,包含所有安装费用。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8099F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AB78C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E69E8D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515.32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6A9CD8">
            <w:pPr>
              <w:jc w:val="center"/>
              <w:rPr>
                <w:rFonts w:hint="eastAsia" w:ascii="宋体" w:hAnsi="宋体" w:cs="宋体"/>
                <w:color w:val="000000"/>
                <w:sz w:val="22"/>
                <w:szCs w:val="22"/>
              </w:rPr>
            </w:pPr>
          </w:p>
        </w:tc>
      </w:tr>
      <w:tr w14:paraId="0F5E13E6">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C9F109">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49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3A126983">
            <w:pPr>
              <w:rPr>
                <w:rFonts w:hint="eastAsia" w:ascii="宋体" w:hAnsi="宋体" w:cs="宋体"/>
                <w:color w:val="000000"/>
                <w:sz w:val="22"/>
                <w:szCs w:val="22"/>
              </w:rPr>
            </w:pPr>
            <w:r>
              <w:rPr>
                <w:rFonts w:hint="eastAsia" w:ascii="宋体" w:hAnsi="宋体" w:cs="宋体"/>
                <w:color w:val="000000"/>
                <w:sz w:val="22"/>
                <w:szCs w:val="22"/>
              </w:rPr>
              <w:t>八角形标志</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375FC7CF">
            <w:pPr>
              <w:rPr>
                <w:rFonts w:hint="eastAsia" w:ascii="宋体" w:hAnsi="宋体" w:cs="宋体"/>
                <w:color w:val="000000"/>
                <w:sz w:val="22"/>
                <w:szCs w:val="22"/>
              </w:rPr>
            </w:pPr>
            <w:r>
              <w:rPr>
                <w:rFonts w:hint="eastAsia" w:ascii="宋体" w:hAnsi="宋体" w:cs="宋体"/>
                <w:color w:val="000000"/>
                <w:sz w:val="22"/>
                <w:szCs w:val="22"/>
              </w:rPr>
              <w:t>对角线长度80*2.0 mm，V类反光膜</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69879B54">
            <w:pPr>
              <w:jc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5E728E6B">
            <w:pPr>
              <w:jc w:val="center"/>
              <w:rPr>
                <w:rFonts w:hint="eastAsia" w:ascii="宋体" w:hAnsi="宋体" w:cs="宋体"/>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top"/>
          </w:tcPr>
          <w:p w14:paraId="54198ACE">
            <w:pPr>
              <w:jc w:val="center"/>
              <w:rPr>
                <w:rFonts w:hint="eastAsia" w:ascii="宋体" w:hAnsi="宋体" w:cs="宋体"/>
                <w:color w:val="000000"/>
                <w:sz w:val="22"/>
                <w:szCs w:val="22"/>
              </w:rPr>
            </w:pPr>
            <w:r>
              <w:rPr>
                <w:rFonts w:hint="eastAsia" w:ascii="宋体" w:hAnsi="宋体" w:cs="宋体"/>
                <w:color w:val="000000"/>
                <w:sz w:val="22"/>
                <w:szCs w:val="22"/>
              </w:rPr>
              <w:t>451.45</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1C3660">
            <w:pPr>
              <w:jc w:val="center"/>
              <w:rPr>
                <w:rFonts w:hint="eastAsia" w:ascii="宋体" w:hAnsi="宋体" w:cs="宋体"/>
                <w:color w:val="000000"/>
                <w:sz w:val="22"/>
                <w:szCs w:val="22"/>
              </w:rPr>
            </w:pPr>
          </w:p>
        </w:tc>
      </w:tr>
      <w:tr w14:paraId="45790ED0">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915F8D">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50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5023FE64">
            <w:pPr>
              <w:rPr>
                <w:rFonts w:hint="eastAsia" w:ascii="宋体" w:hAnsi="宋体" w:cs="宋体"/>
                <w:color w:val="000000"/>
                <w:sz w:val="22"/>
                <w:szCs w:val="22"/>
              </w:rPr>
            </w:pPr>
            <w:r>
              <w:rPr>
                <w:rFonts w:hint="eastAsia" w:ascii="宋体" w:hAnsi="宋体" w:cs="宋体"/>
                <w:color w:val="000000"/>
                <w:sz w:val="22"/>
                <w:szCs w:val="22"/>
              </w:rPr>
              <w:t>八角形标志</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57F9DE71">
            <w:pPr>
              <w:rPr>
                <w:rFonts w:hint="eastAsia" w:ascii="宋体" w:hAnsi="宋体" w:cs="宋体"/>
                <w:color w:val="000000"/>
                <w:sz w:val="22"/>
                <w:szCs w:val="22"/>
              </w:rPr>
            </w:pPr>
            <w:r>
              <w:rPr>
                <w:rFonts w:hint="eastAsia" w:ascii="宋体" w:hAnsi="宋体" w:cs="宋体"/>
                <w:color w:val="000000"/>
                <w:sz w:val="22"/>
                <w:szCs w:val="22"/>
              </w:rPr>
              <w:t>对角线长度60*2.0 mm，V类反光膜</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78DEB90A">
            <w:pPr>
              <w:jc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5B573413">
            <w:pPr>
              <w:jc w:val="center"/>
              <w:rPr>
                <w:rFonts w:hint="eastAsia" w:ascii="宋体" w:hAnsi="宋体" w:cs="宋体"/>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top"/>
          </w:tcPr>
          <w:p w14:paraId="48E7A87A">
            <w:pPr>
              <w:jc w:val="center"/>
              <w:rPr>
                <w:rFonts w:hint="eastAsia" w:ascii="宋体" w:hAnsi="宋体" w:cs="宋体"/>
                <w:color w:val="000000"/>
                <w:sz w:val="22"/>
                <w:szCs w:val="22"/>
              </w:rPr>
            </w:pPr>
            <w:r>
              <w:rPr>
                <w:rFonts w:hint="eastAsia" w:ascii="宋体" w:hAnsi="宋体" w:cs="宋体"/>
                <w:color w:val="000000"/>
                <w:sz w:val="22"/>
                <w:szCs w:val="22"/>
              </w:rPr>
              <w:t>313.19</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266D92">
            <w:pPr>
              <w:jc w:val="center"/>
              <w:rPr>
                <w:rFonts w:hint="eastAsia" w:ascii="宋体" w:hAnsi="宋体" w:cs="宋体"/>
                <w:color w:val="000000"/>
                <w:sz w:val="22"/>
                <w:szCs w:val="22"/>
              </w:rPr>
            </w:pPr>
          </w:p>
        </w:tc>
      </w:tr>
      <w:tr w14:paraId="0EC32774">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C6A25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51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1D9FA444">
            <w:pPr>
              <w:rPr>
                <w:rFonts w:hint="eastAsia" w:ascii="宋体" w:hAnsi="宋体" w:cs="宋体"/>
                <w:color w:val="000000"/>
                <w:sz w:val="22"/>
                <w:szCs w:val="22"/>
              </w:rPr>
            </w:pPr>
            <w:r>
              <w:rPr>
                <w:rFonts w:hint="eastAsia" w:ascii="宋体" w:hAnsi="宋体" w:cs="宋体"/>
                <w:color w:val="000000"/>
                <w:sz w:val="22"/>
                <w:szCs w:val="22"/>
              </w:rPr>
              <w:t>八角形标志</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7B5C45A9">
            <w:pPr>
              <w:rPr>
                <w:rFonts w:hint="eastAsia" w:ascii="宋体" w:hAnsi="宋体" w:cs="宋体"/>
                <w:color w:val="000000"/>
                <w:sz w:val="22"/>
                <w:szCs w:val="22"/>
              </w:rPr>
            </w:pPr>
            <w:r>
              <w:rPr>
                <w:rFonts w:hint="eastAsia" w:ascii="宋体" w:hAnsi="宋体" w:cs="宋体"/>
                <w:color w:val="000000"/>
                <w:sz w:val="22"/>
                <w:szCs w:val="22"/>
              </w:rPr>
              <w:t>对角线长度50*2.0 mm，V类反光膜</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38F4808A">
            <w:pPr>
              <w:jc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4E4ED082">
            <w:pPr>
              <w:jc w:val="center"/>
              <w:rPr>
                <w:rFonts w:hint="eastAsia" w:ascii="宋体" w:hAnsi="宋体" w:cs="宋体"/>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top"/>
          </w:tcPr>
          <w:p w14:paraId="2B66B440">
            <w:pPr>
              <w:jc w:val="center"/>
              <w:rPr>
                <w:rFonts w:hint="eastAsia" w:ascii="宋体" w:hAnsi="宋体" w:cs="宋体"/>
                <w:color w:val="000000"/>
                <w:sz w:val="22"/>
                <w:szCs w:val="22"/>
              </w:rPr>
            </w:pPr>
            <w:r>
              <w:rPr>
                <w:rFonts w:hint="eastAsia" w:ascii="宋体" w:hAnsi="宋体" w:cs="宋体"/>
                <w:color w:val="000000"/>
                <w:sz w:val="22"/>
                <w:szCs w:val="22"/>
              </w:rPr>
              <w:t>261.86</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D77693">
            <w:pPr>
              <w:jc w:val="center"/>
              <w:rPr>
                <w:rFonts w:hint="eastAsia" w:ascii="宋体" w:hAnsi="宋体" w:cs="宋体"/>
                <w:color w:val="000000"/>
                <w:sz w:val="22"/>
                <w:szCs w:val="22"/>
              </w:rPr>
            </w:pPr>
          </w:p>
        </w:tc>
      </w:tr>
      <w:tr w14:paraId="4BF6EC98">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6F80F8">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52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EC241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7AC8D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1.800*300*2mm标志牌版面采用超强级反光膜，抱箍连接等,包含所有安装费用。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2E8A3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E00C2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9F9E01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312.52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468AAE">
            <w:pPr>
              <w:jc w:val="center"/>
              <w:rPr>
                <w:rFonts w:hint="eastAsia" w:ascii="宋体" w:hAnsi="宋体" w:cs="宋体"/>
                <w:color w:val="000000"/>
                <w:sz w:val="22"/>
                <w:szCs w:val="22"/>
              </w:rPr>
            </w:pPr>
          </w:p>
        </w:tc>
      </w:tr>
      <w:tr w14:paraId="60D6A1C7">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20A110">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53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0AE48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0626A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1.800*400*2mm标志牌版面采用超强级反光膜，抱箍连接等,包含所有安装费用。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0CB77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B741A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258AED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296.83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C8DA17">
            <w:pPr>
              <w:jc w:val="center"/>
              <w:rPr>
                <w:rFonts w:hint="eastAsia" w:ascii="宋体" w:hAnsi="宋体" w:cs="宋体"/>
                <w:color w:val="000000"/>
                <w:sz w:val="22"/>
                <w:szCs w:val="22"/>
              </w:rPr>
            </w:pPr>
          </w:p>
        </w:tc>
      </w:tr>
      <w:tr w14:paraId="5ECAD7FD">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726035">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54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91B8BE">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2FF29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1.小型辅助标志800*200*2mm采用超强级反光膜，抱箍连接等,包含所有安装费用。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80BA7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EC4D4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A8DA1A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266.31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A30C85">
            <w:pPr>
              <w:jc w:val="center"/>
              <w:rPr>
                <w:rFonts w:hint="eastAsia" w:ascii="宋体" w:hAnsi="宋体" w:cs="宋体"/>
                <w:color w:val="000000"/>
                <w:sz w:val="22"/>
                <w:szCs w:val="22"/>
              </w:rPr>
            </w:pPr>
          </w:p>
        </w:tc>
      </w:tr>
      <w:tr w14:paraId="468DB735">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70B710">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55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D8662B">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17D5D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1.中型辅助标志800*400*2mm采用超强级反光膜，抱箍连接等,包含所有安装费用。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91FD7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5A69C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D0DBF6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296.83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C94428">
            <w:pPr>
              <w:jc w:val="center"/>
              <w:rPr>
                <w:rFonts w:hint="eastAsia" w:ascii="宋体" w:hAnsi="宋体" w:cs="宋体"/>
                <w:color w:val="000000"/>
                <w:sz w:val="22"/>
                <w:szCs w:val="22"/>
              </w:rPr>
            </w:pPr>
          </w:p>
        </w:tc>
      </w:tr>
      <w:tr w14:paraId="444F0D72">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81C72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A01855">
            <w:pPr>
              <w:jc w:val="center"/>
              <w:rPr>
                <w:rFonts w:hint="eastAsia" w:ascii="宋体" w:hAnsi="宋体" w:cs="宋体"/>
                <w:color w:val="000000"/>
                <w:sz w:val="22"/>
                <w:szCs w:val="22"/>
              </w:rPr>
            </w:pPr>
            <w:r>
              <w:rPr>
                <w:rFonts w:hint="eastAsia" w:ascii="宋体" w:hAnsi="宋体" w:cs="宋体"/>
                <w:color w:val="000000"/>
                <w:sz w:val="22"/>
                <w:szCs w:val="22"/>
              </w:rPr>
              <w:t>可变车道标志板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64F71D62">
            <w:pPr>
              <w:jc w:val="left"/>
              <w:rPr>
                <w:rFonts w:hint="eastAsia" w:ascii="宋体" w:hAnsi="宋体" w:cs="宋体"/>
                <w:color w:val="000000"/>
                <w:sz w:val="22"/>
                <w:szCs w:val="22"/>
              </w:rPr>
            </w:pPr>
            <w:r>
              <w:rPr>
                <w:rFonts w:hint="eastAsia" w:ascii="宋体" w:hAnsi="宋体" w:cs="宋体"/>
                <w:color w:val="000000"/>
                <w:sz w:val="22"/>
                <w:szCs w:val="22"/>
              </w:rPr>
              <w:t>1.材质 :铝板+反光膜车道图案:  2.白LED点阵排列直行+左转/右转2个图案，底色为反膜，LED/贴膜:黄LED数字闪烁 ；3.亮度:黄&gt;5000 mcd,白&gt;5000 mcd 4.可视距离:&gt;450米,角&gt;30°  5.防护等:IP53参考标准:GB 5768.2-2022   6.防护等:IP53参考标准:GB 5768.2-2022</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20F4C1">
            <w:pPr>
              <w:jc w:val="center"/>
              <w:rPr>
                <w:rFonts w:hint="eastAsia" w:ascii="宋体" w:hAnsi="宋体" w:cs="宋体"/>
                <w:color w:val="000000"/>
                <w:sz w:val="22"/>
                <w:szCs w:val="22"/>
              </w:rPr>
            </w:pPr>
            <w:r>
              <w:rPr>
                <w:rFonts w:hint="eastAsia" w:ascii="宋体" w:hAnsi="宋体" w:cs="宋体"/>
                <w:color w:val="000000"/>
                <w:sz w:val="22"/>
                <w:szCs w:val="22"/>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339C40">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2597290">
            <w:pPr>
              <w:jc w:val="center"/>
              <w:rPr>
                <w:rFonts w:hint="eastAsia" w:ascii="宋体" w:hAnsi="宋体" w:cs="宋体"/>
                <w:color w:val="000000"/>
                <w:sz w:val="22"/>
                <w:szCs w:val="22"/>
              </w:rPr>
            </w:pPr>
            <w:r>
              <w:rPr>
                <w:rFonts w:hint="eastAsia" w:ascii="宋体" w:hAnsi="宋体" w:cs="宋体"/>
                <w:color w:val="000000"/>
                <w:sz w:val="22"/>
                <w:szCs w:val="22"/>
              </w:rPr>
              <w:t>3000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4BFABC">
            <w:pPr>
              <w:jc w:val="center"/>
              <w:rPr>
                <w:rFonts w:hint="eastAsia" w:ascii="宋体" w:hAnsi="宋体" w:cs="宋体"/>
                <w:color w:val="000000"/>
                <w:sz w:val="22"/>
                <w:szCs w:val="22"/>
              </w:rPr>
            </w:pPr>
          </w:p>
        </w:tc>
      </w:tr>
      <w:tr w14:paraId="00F1EEE9">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F7972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25E87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半透主动发光标志</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FC302D3">
            <w:pPr>
              <w:rPr>
                <w:rFonts w:ascii="宋体" w:hAnsi="宋体" w:cs="宋体"/>
                <w:color w:val="000000"/>
                <w:sz w:val="22"/>
                <w:szCs w:val="22"/>
              </w:rPr>
            </w:pPr>
            <w:r>
              <w:rPr>
                <w:rFonts w:hint="eastAsia" w:ascii="宋体" w:hAnsi="宋体" w:cs="宋体"/>
                <w:color w:val="000000"/>
                <w:sz w:val="22"/>
                <w:szCs w:val="22"/>
              </w:rPr>
              <w:t>1、发光标志四周边框封装采用铝合金型材，型材壁厚不小于2mm；转角采用模具铝合金弯头组合，弯头壁厚不小于4mm；标志整体厚度≤60mm（不含支撑件）。</w:t>
            </w:r>
          </w:p>
          <w:p w14:paraId="6C254EF6">
            <w:pPr>
              <w:rPr>
                <w:rFonts w:ascii="宋体" w:hAnsi="宋体" w:cs="宋体"/>
                <w:color w:val="000000"/>
                <w:sz w:val="22"/>
                <w:szCs w:val="22"/>
              </w:rPr>
            </w:pPr>
            <w:r>
              <w:rPr>
                <w:rFonts w:hint="eastAsia" w:ascii="宋体" w:hAnsi="宋体" w:cs="宋体"/>
                <w:color w:val="000000"/>
                <w:sz w:val="22"/>
                <w:szCs w:val="22"/>
              </w:rPr>
              <w:t>2、、面板采用铝合金板，厚度符合设计要求；边框、文字及图形信息部分采用镂空镶嵌透明板工艺，透明板厚度与铝合金板厚度一致；半透标志发光部位显示均匀无任何阴影，文字图形显示的边界轮廓清晰。</w:t>
            </w:r>
          </w:p>
          <w:p w14:paraId="283AFFBE">
            <w:pPr>
              <w:rPr>
                <w:rFonts w:ascii="宋体" w:hAnsi="宋体" w:cs="宋体"/>
                <w:color w:val="000000"/>
                <w:sz w:val="22"/>
                <w:szCs w:val="22"/>
              </w:rPr>
            </w:pPr>
            <w:r>
              <w:rPr>
                <w:rFonts w:hint="eastAsia" w:ascii="宋体" w:hAnsi="宋体" w:cs="宋体"/>
                <w:color w:val="000000"/>
                <w:sz w:val="22"/>
                <w:szCs w:val="22"/>
              </w:rPr>
              <w:t>3、透明板技术参数：拉伸屈服强度≥</w:t>
            </w:r>
            <w:r>
              <w:rPr>
                <w:rFonts w:ascii="宋体" w:hAnsi="宋体" w:cs="宋体"/>
                <w:color w:val="000000"/>
                <w:sz w:val="22"/>
                <w:szCs w:val="22"/>
              </w:rPr>
              <w:t>8</w:t>
            </w:r>
            <w:r>
              <w:rPr>
                <w:rFonts w:hint="eastAsia" w:ascii="宋体" w:hAnsi="宋体" w:cs="宋体"/>
                <w:color w:val="000000"/>
                <w:sz w:val="22"/>
                <w:szCs w:val="22"/>
              </w:rPr>
              <w:t>0</w:t>
            </w:r>
            <w:r>
              <w:rPr>
                <w:rFonts w:ascii="宋体" w:hAnsi="宋体" w:cs="宋体"/>
                <w:color w:val="000000"/>
                <w:sz w:val="22"/>
                <w:szCs w:val="22"/>
              </w:rPr>
              <w:t>MPa</w:t>
            </w:r>
            <w:r>
              <w:rPr>
                <w:rFonts w:hint="eastAsia" w:ascii="宋体" w:hAnsi="宋体" w:cs="宋体"/>
                <w:color w:val="000000"/>
                <w:sz w:val="22"/>
                <w:szCs w:val="22"/>
              </w:rPr>
              <w:t>，邵式硬度D≥8</w:t>
            </w:r>
            <w:r>
              <w:rPr>
                <w:rFonts w:ascii="宋体" w:hAnsi="宋体" w:cs="宋体"/>
                <w:color w:val="000000"/>
                <w:sz w:val="22"/>
                <w:szCs w:val="22"/>
              </w:rPr>
              <w:t>8HD</w:t>
            </w:r>
            <w:r>
              <w:rPr>
                <w:rFonts w:hint="eastAsia" w:ascii="宋体" w:hAnsi="宋体" w:cs="宋体"/>
                <w:color w:val="000000"/>
                <w:sz w:val="22"/>
                <w:szCs w:val="22"/>
              </w:rPr>
              <w:t>，透光度≥</w:t>
            </w:r>
            <w:r>
              <w:rPr>
                <w:rFonts w:ascii="宋体" w:hAnsi="宋体" w:cs="宋体"/>
                <w:color w:val="000000"/>
                <w:sz w:val="22"/>
                <w:szCs w:val="22"/>
              </w:rPr>
              <w:t>81</w:t>
            </w:r>
            <w:r>
              <w:rPr>
                <w:rFonts w:hint="eastAsia" w:ascii="宋体" w:hAnsi="宋体" w:cs="宋体"/>
                <w:color w:val="000000"/>
                <w:sz w:val="22"/>
                <w:szCs w:val="22"/>
              </w:rPr>
              <w:t>%，热变形温度（1.</w:t>
            </w:r>
            <w:r>
              <w:rPr>
                <w:rFonts w:ascii="宋体" w:hAnsi="宋体" w:cs="宋体"/>
                <w:color w:val="000000"/>
                <w:sz w:val="22"/>
                <w:szCs w:val="22"/>
              </w:rPr>
              <w:t>8MPa</w:t>
            </w:r>
            <w:r>
              <w:rPr>
                <w:rFonts w:hint="eastAsia" w:ascii="宋体" w:hAnsi="宋体" w:cs="宋体"/>
                <w:color w:val="000000"/>
                <w:sz w:val="22"/>
                <w:szCs w:val="22"/>
              </w:rPr>
              <w:t>）≥135℃，弯曲强度≥200MPa，二级阻燃氧指数/% ＞ 26。</w:t>
            </w:r>
          </w:p>
          <w:p w14:paraId="3A261F95">
            <w:pPr>
              <w:rPr>
                <w:rFonts w:ascii="宋体" w:hAnsi="宋体" w:cs="宋体"/>
                <w:color w:val="000000"/>
                <w:sz w:val="22"/>
                <w:szCs w:val="22"/>
              </w:rPr>
            </w:pPr>
            <w:r>
              <w:rPr>
                <w:rFonts w:hint="eastAsia" w:ascii="宋体" w:hAnsi="宋体" w:cs="宋体"/>
                <w:color w:val="000000"/>
                <w:sz w:val="22"/>
                <w:szCs w:val="22"/>
              </w:rPr>
              <w:t>4、专用混光型光源板技术要求：</w:t>
            </w:r>
          </w:p>
          <w:p w14:paraId="0714F70C">
            <w:pPr>
              <w:rPr>
                <w:rFonts w:hint="eastAsia" w:ascii="宋体" w:hAnsi="宋体" w:cs="宋体"/>
                <w:color w:val="000000"/>
                <w:sz w:val="22"/>
                <w:szCs w:val="22"/>
              </w:rPr>
            </w:pPr>
            <w:r>
              <w:rPr>
                <w:rFonts w:hint="eastAsia" w:ascii="宋体" w:hAnsi="宋体" w:cs="宋体"/>
                <w:color w:val="000000"/>
                <w:sz w:val="22"/>
                <w:szCs w:val="22"/>
              </w:rPr>
              <w:t>1、采用2835LED，单颗标准功率0.5W，额定功率0.2W，保证足够的功率余量，单颗电压为9V，采用4串36V工作电压，采用170°大角度漫反射透镜，灌胶封装防水等级IP68，色温≥10000K冷白光，光通量125lm/pcs，寿命≥50000小时，支持PWM调光。</w:t>
            </w:r>
          </w:p>
          <w:p w14:paraId="6A56BB77">
            <w:pPr>
              <w:rPr>
                <w:rFonts w:ascii="宋体" w:hAnsi="宋体" w:cs="宋体"/>
                <w:color w:val="000000"/>
                <w:sz w:val="22"/>
                <w:szCs w:val="22"/>
              </w:rPr>
            </w:pPr>
            <w:r>
              <w:rPr>
                <w:rFonts w:ascii="宋体" w:hAnsi="宋体" w:cs="宋体"/>
                <w:color w:val="000000"/>
                <w:sz w:val="22"/>
                <w:szCs w:val="22"/>
              </w:rPr>
              <w:t>2</w:t>
            </w:r>
            <w:r>
              <w:rPr>
                <w:rFonts w:hint="eastAsia" w:ascii="宋体" w:hAnsi="宋体" w:cs="宋体"/>
                <w:color w:val="000000"/>
                <w:sz w:val="22"/>
                <w:szCs w:val="22"/>
              </w:rPr>
              <w:t>、亮度指标：亮度指标：白色≥300cd/m2，黄色≥150cd/m2，红色≥45cd/m2，绿色≥45cd/m2，蓝色≥30cd/m2，棕色≥22cd/m2。</w:t>
            </w:r>
          </w:p>
          <w:p w14:paraId="301E0188">
            <w:pPr>
              <w:rPr>
                <w:rFonts w:ascii="宋体" w:hAnsi="宋体" w:cs="宋体"/>
                <w:color w:val="000000"/>
                <w:sz w:val="22"/>
                <w:szCs w:val="22"/>
              </w:rPr>
            </w:pPr>
            <w:r>
              <w:rPr>
                <w:rFonts w:hint="eastAsia" w:ascii="宋体" w:hAnsi="宋体" w:cs="宋体"/>
                <w:color w:val="000000"/>
                <w:sz w:val="22"/>
                <w:szCs w:val="22"/>
              </w:rPr>
              <w:t>5、光源板布设要求：</w:t>
            </w:r>
          </w:p>
          <w:p w14:paraId="6ACB3D1B">
            <w:pPr>
              <w:rPr>
                <w:rFonts w:ascii="宋体" w:hAnsi="宋体" w:cs="宋体"/>
                <w:color w:val="000000"/>
                <w:sz w:val="22"/>
                <w:szCs w:val="22"/>
              </w:rPr>
            </w:pPr>
            <w:r>
              <w:rPr>
                <w:rFonts w:hint="eastAsia" w:ascii="宋体" w:hAnsi="宋体" w:cs="宋体"/>
                <w:color w:val="000000"/>
                <w:sz w:val="22"/>
                <w:szCs w:val="22"/>
              </w:rPr>
              <w:t>（1）在不破坏标志板表面逆反射材料的情况下，光源板布设于标志箱体，光源向标志逆反射材料背面定向投射，显示高清晰信息内容。</w:t>
            </w:r>
          </w:p>
          <w:p w14:paraId="406BA26A">
            <w:pPr>
              <w:rPr>
                <w:rFonts w:ascii="宋体" w:hAnsi="宋体" w:cs="宋体"/>
                <w:color w:val="000000"/>
                <w:sz w:val="22"/>
                <w:szCs w:val="22"/>
              </w:rPr>
            </w:pPr>
            <w:r>
              <w:rPr>
                <w:rFonts w:hint="eastAsia" w:ascii="宋体" w:hAnsi="宋体" w:cs="宋体"/>
                <w:color w:val="000000"/>
                <w:sz w:val="22"/>
                <w:szCs w:val="22"/>
              </w:rPr>
              <w:t>（2）在标志版面面积范围内满铺标准光源板，余量空间可采用小规格光源板拼接。标志边框边条、或文字信息高度小于1150 mm时，光源板只允许单向拼接，不允许双向拼接。</w:t>
            </w:r>
          </w:p>
          <w:p w14:paraId="0B6D1B4B">
            <w:pPr>
              <w:rPr>
                <w:rFonts w:ascii="宋体" w:hAnsi="宋体" w:cs="宋体"/>
                <w:color w:val="000000"/>
                <w:sz w:val="22"/>
                <w:szCs w:val="22"/>
              </w:rPr>
            </w:pPr>
            <w:r>
              <w:rPr>
                <w:rFonts w:hint="eastAsia" w:ascii="宋体" w:hAnsi="宋体" w:cs="宋体"/>
                <w:color w:val="000000"/>
                <w:sz w:val="22"/>
                <w:szCs w:val="22"/>
              </w:rPr>
              <w:t>6、透光型反光膜：符合国标IV类膜要求，白色透光率≥25%，透光均匀性1.2:1～1.3:1，24V电压时的标志表面白色反光膜表面照度≥10</w:t>
            </w:r>
            <w:r>
              <w:rPr>
                <w:rFonts w:ascii="宋体" w:hAnsi="宋体" w:cs="宋体"/>
                <w:color w:val="000000"/>
                <w:sz w:val="22"/>
                <w:szCs w:val="22"/>
              </w:rPr>
              <w:t>00</w:t>
            </w:r>
            <w:r>
              <w:rPr>
                <w:rFonts w:hint="eastAsia" w:ascii="宋体" w:hAnsi="宋体" w:cs="宋体"/>
                <w:color w:val="000000"/>
                <w:sz w:val="22"/>
                <w:szCs w:val="22"/>
              </w:rPr>
              <w:t>LUX；</w:t>
            </w:r>
          </w:p>
          <w:p w14:paraId="24DFC25D">
            <w:pPr>
              <w:rPr>
                <w:rFonts w:ascii="宋体" w:hAnsi="宋体" w:cs="宋体"/>
                <w:color w:val="000000"/>
                <w:sz w:val="22"/>
                <w:szCs w:val="22"/>
              </w:rPr>
            </w:pPr>
            <w:r>
              <w:rPr>
                <w:rFonts w:hint="eastAsia" w:ascii="宋体" w:hAnsi="宋体" w:cs="宋体"/>
                <w:color w:val="000000"/>
                <w:sz w:val="22"/>
                <w:szCs w:val="22"/>
              </w:rPr>
              <w:t>7、正常夜间有效动态视认距离≥210米，静态视认距离≥250米。</w:t>
            </w:r>
          </w:p>
          <w:p w14:paraId="7585823E">
            <w:pPr>
              <w:rPr>
                <w:rFonts w:ascii="宋体" w:hAnsi="宋体" w:cs="宋体"/>
                <w:color w:val="000000"/>
                <w:sz w:val="22"/>
                <w:szCs w:val="22"/>
              </w:rPr>
            </w:pPr>
            <w:r>
              <w:rPr>
                <w:rFonts w:hint="eastAsia" w:ascii="宋体" w:hAnsi="宋体" w:cs="宋体"/>
                <w:color w:val="000000"/>
                <w:sz w:val="22"/>
                <w:szCs w:val="22"/>
              </w:rPr>
              <w:t>8、标志应具备防雷、防触漏电保护装置，接线电缆无裸露，制造商标识清晰。</w:t>
            </w:r>
          </w:p>
          <w:p w14:paraId="5430796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9、标志整体重量≤22KG /㎡，设计使用寿命7～10年。</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9DD773">
            <w:pPr>
              <w:widowControl/>
              <w:jc w:val="center"/>
              <w:textAlignment w:val="center"/>
              <w:rPr>
                <w:rFonts w:ascii="宋体" w:hAnsi="宋体" w:cs="宋体"/>
                <w:color w:val="000000"/>
                <w:sz w:val="22"/>
                <w:szCs w:val="22"/>
              </w:rPr>
            </w:pPr>
            <w:r>
              <w:rPr>
                <w:rFonts w:hint="eastAsia" w:ascii="宋体" w:hAnsi="宋体" w:cs="宋体"/>
                <w:color w:val="000000"/>
                <w:sz w:val="22"/>
                <w:szCs w:val="22"/>
              </w:rPr>
              <w:t>元/㎡</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3CAA2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2DEE48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3000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DB34D3">
            <w:pPr>
              <w:jc w:val="center"/>
              <w:rPr>
                <w:rFonts w:hint="eastAsia" w:ascii="宋体" w:hAnsi="宋体" w:cs="宋体"/>
                <w:color w:val="000000"/>
                <w:sz w:val="22"/>
                <w:szCs w:val="22"/>
              </w:rPr>
            </w:pPr>
          </w:p>
        </w:tc>
      </w:tr>
      <w:tr w14:paraId="6DCD1F14">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B6762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58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CA799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太阳能同频靠右行驶标志</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19A15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1、一体式钣金壳体</w:t>
            </w:r>
          </w:p>
          <w:p w14:paraId="24C90C8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2、尺寸：1250*300*120mm</w:t>
            </w:r>
          </w:p>
          <w:p w14:paraId="0229B20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3、柱身黄黑色反光膜</w:t>
            </w:r>
          </w:p>
          <w:p w14:paraId="48F84D6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4、太阳能板+锂电池+GPS同频</w:t>
            </w:r>
          </w:p>
          <w:p w14:paraId="7E21542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5、面光源标志                               6、4G物联网平台控制，防撞、防盗报警，故障报警、电量监测、 方案设置等功能。 </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3336A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F1C05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589C3E2">
            <w:pPr>
              <w:widowControl/>
              <w:jc w:val="center"/>
              <w:textAlignment w:val="center"/>
              <w:rPr>
                <w:rFonts w:ascii="宋体" w:hAnsi="宋体" w:cs="宋体"/>
                <w:color w:val="000000"/>
                <w:sz w:val="22"/>
                <w:szCs w:val="22"/>
              </w:rPr>
            </w:pPr>
            <w:r>
              <w:rPr>
                <w:rFonts w:hint="eastAsia" w:ascii="宋体" w:hAnsi="宋体" w:cs="宋体"/>
                <w:color w:val="000000"/>
                <w:sz w:val="22"/>
                <w:szCs w:val="22"/>
              </w:rPr>
              <w:t>4830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776C5A">
            <w:pPr>
              <w:jc w:val="center"/>
              <w:rPr>
                <w:rFonts w:hint="eastAsia" w:ascii="宋体" w:hAnsi="宋体" w:cs="宋体"/>
                <w:color w:val="000000"/>
                <w:sz w:val="22"/>
                <w:szCs w:val="22"/>
              </w:rPr>
            </w:pPr>
          </w:p>
        </w:tc>
      </w:tr>
      <w:tr w14:paraId="7A69C2F8">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5984C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59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833172">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太阳能同频允许掉头标志</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1D1FE2">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1、一体式钣金壳体</w:t>
            </w:r>
          </w:p>
          <w:p w14:paraId="5AE7474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2、尺寸：1250*300*120mm</w:t>
            </w:r>
          </w:p>
          <w:p w14:paraId="56F0B87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3、柱身黄黑色反光膜</w:t>
            </w:r>
          </w:p>
          <w:p w14:paraId="616094C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4、太阳能板+锂电池+GPS同频</w:t>
            </w:r>
          </w:p>
          <w:p w14:paraId="0273B25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5、面光源标志                               6、4G物联网平台控制，防撞、防盗报警，故障报警、电量监测、 方案设置等功能。 </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8CCAF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5CF16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9CB3473">
            <w:pPr>
              <w:widowControl/>
              <w:jc w:val="center"/>
              <w:textAlignment w:val="center"/>
              <w:rPr>
                <w:rFonts w:ascii="宋体" w:hAnsi="宋体" w:cs="宋体"/>
                <w:color w:val="000000"/>
                <w:sz w:val="22"/>
                <w:szCs w:val="22"/>
              </w:rPr>
            </w:pPr>
            <w:r>
              <w:rPr>
                <w:rFonts w:hint="eastAsia" w:ascii="宋体" w:hAnsi="宋体" w:cs="宋体"/>
                <w:color w:val="000000"/>
                <w:sz w:val="22"/>
                <w:szCs w:val="22"/>
              </w:rPr>
              <w:t>4830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E2E9BB">
            <w:pPr>
              <w:jc w:val="center"/>
              <w:rPr>
                <w:rFonts w:hint="eastAsia" w:ascii="宋体" w:hAnsi="宋体" w:cs="宋体"/>
                <w:color w:val="000000"/>
                <w:sz w:val="22"/>
                <w:szCs w:val="22"/>
              </w:rPr>
            </w:pPr>
          </w:p>
        </w:tc>
      </w:tr>
      <w:tr w14:paraId="3AE79FE0">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D6C611">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60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BBF80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太阳能同频机非分道标志</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BADE7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1、一体式钣金壳体</w:t>
            </w:r>
          </w:p>
          <w:p w14:paraId="32F0374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2、尺寸：900*200*120mm</w:t>
            </w:r>
          </w:p>
          <w:p w14:paraId="5FDDD1B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3、柱身黄黑色反光膜</w:t>
            </w:r>
          </w:p>
          <w:p w14:paraId="26933AB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4、太阳能板+锂电池+GPS同频</w:t>
            </w:r>
          </w:p>
          <w:p w14:paraId="456B5012">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5、面光源标志                               6、4G物联网平台控制，防撞、防盗报警，故障报警、电量监测、 方案设置等功能。 </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0EAD2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66DDD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614D0CA">
            <w:pPr>
              <w:widowControl/>
              <w:jc w:val="center"/>
              <w:textAlignment w:val="center"/>
              <w:rPr>
                <w:rFonts w:ascii="宋体" w:hAnsi="宋体" w:cs="宋体"/>
                <w:color w:val="000000"/>
                <w:sz w:val="22"/>
                <w:szCs w:val="22"/>
              </w:rPr>
            </w:pPr>
            <w:r>
              <w:rPr>
                <w:rFonts w:hint="eastAsia" w:ascii="宋体" w:hAnsi="宋体" w:cs="宋体"/>
                <w:color w:val="000000"/>
                <w:sz w:val="22"/>
                <w:szCs w:val="22"/>
              </w:rPr>
              <w:t>3750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DBD865">
            <w:pPr>
              <w:jc w:val="center"/>
              <w:rPr>
                <w:rFonts w:hint="eastAsia" w:ascii="宋体" w:hAnsi="宋体" w:cs="宋体"/>
                <w:color w:val="000000"/>
                <w:sz w:val="22"/>
                <w:szCs w:val="22"/>
              </w:rPr>
            </w:pPr>
          </w:p>
        </w:tc>
      </w:tr>
      <w:tr w14:paraId="5C07E044">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6CF183">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61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14E19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标志牌改牌面</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BB2A8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1.标志牌改牌面</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94C9C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m2</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88024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DC095D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490.50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3E4B03">
            <w:pPr>
              <w:jc w:val="center"/>
              <w:rPr>
                <w:rFonts w:hint="eastAsia" w:ascii="宋体" w:hAnsi="宋体" w:cs="宋体"/>
                <w:color w:val="000000"/>
                <w:sz w:val="22"/>
                <w:szCs w:val="22"/>
              </w:rPr>
            </w:pPr>
          </w:p>
        </w:tc>
      </w:tr>
      <w:tr w14:paraId="761FABF1">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28C6B5">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62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67920A">
            <w:pPr>
              <w:jc w:val="left"/>
              <w:rPr>
                <w:rFonts w:hint="eastAsia" w:ascii="宋体" w:hAnsi="宋体" w:cs="宋体"/>
                <w:color w:val="000000"/>
                <w:sz w:val="22"/>
                <w:szCs w:val="22"/>
              </w:rPr>
            </w:pPr>
            <w:r>
              <w:rPr>
                <w:rFonts w:hint="eastAsia" w:ascii="宋体" w:hAnsi="宋体" w:cs="宋体"/>
                <w:color w:val="000000"/>
                <w:sz w:val="22"/>
                <w:szCs w:val="22"/>
              </w:rPr>
              <w:t>标志牌清洗</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790B84">
            <w:pPr>
              <w:jc w:val="center"/>
              <w:rPr>
                <w:rFonts w:hint="eastAsia" w:ascii="宋体" w:hAnsi="宋体" w:cs="宋体"/>
                <w:color w:val="000000"/>
                <w:sz w:val="22"/>
                <w:szCs w:val="22"/>
              </w:rPr>
            </w:pP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CA818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9A168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E04B8F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6A15A0">
            <w:pPr>
              <w:jc w:val="center"/>
              <w:rPr>
                <w:rFonts w:hint="eastAsia" w:ascii="宋体" w:hAnsi="宋体" w:cs="宋体"/>
                <w:color w:val="000000"/>
                <w:sz w:val="22"/>
                <w:szCs w:val="22"/>
              </w:rPr>
            </w:pPr>
          </w:p>
        </w:tc>
      </w:tr>
      <w:tr w14:paraId="6DF8DC1A">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C8B949">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63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85BE2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拆除小型指示牌</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3263C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1.拆除指示牌、标杆（面积小于1m2且立杆高度小于3.5m）</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55766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BDE55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9C6203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196.20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27BF46">
            <w:pPr>
              <w:jc w:val="center"/>
              <w:rPr>
                <w:rFonts w:hint="eastAsia" w:ascii="宋体" w:hAnsi="宋体" w:cs="宋体"/>
                <w:color w:val="000000"/>
                <w:sz w:val="22"/>
                <w:szCs w:val="22"/>
              </w:rPr>
            </w:pPr>
          </w:p>
        </w:tc>
      </w:tr>
      <w:tr w14:paraId="5ED3D7DC">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F952E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AF4EB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拆除大型指示牌</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06296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1.拆除指示牌、标杆（面积大于1m2且立杆高度大于6.5m）</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56668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C442F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E89CB6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490.50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B5DA2D">
            <w:pPr>
              <w:jc w:val="center"/>
              <w:rPr>
                <w:rFonts w:hint="eastAsia" w:ascii="宋体" w:hAnsi="宋体" w:cs="宋体"/>
                <w:color w:val="000000"/>
                <w:sz w:val="22"/>
                <w:szCs w:val="22"/>
              </w:rPr>
            </w:pPr>
          </w:p>
        </w:tc>
      </w:tr>
      <w:tr w14:paraId="146640FE">
        <w:trPr>
          <w:trHeight w:val="45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A24ECF">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DC6C1B">
            <w:pPr>
              <w:widowControl/>
              <w:jc w:val="left"/>
              <w:textAlignment w:val="center"/>
              <w:rPr>
                <w:rFonts w:hint="eastAsia" w:ascii="宋体" w:hAnsi="宋体" w:cs="宋体"/>
                <w:color w:val="000000"/>
                <w:sz w:val="22"/>
                <w:szCs w:val="22"/>
              </w:rPr>
            </w:pPr>
            <w:r>
              <w:rPr>
                <w:rFonts w:hint="eastAsia" w:ascii="宋体" w:hAnsi="宋体" w:cs="宋体"/>
                <w:b/>
                <w:bCs/>
                <w:color w:val="000000"/>
                <w:sz w:val="22"/>
                <w:szCs w:val="22"/>
              </w:rPr>
              <w:t>其他标识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B4BE65">
            <w:pPr>
              <w:jc w:val="left"/>
              <w:rPr>
                <w:rFonts w:hint="eastAsia" w:ascii="宋体" w:hAnsi="宋体" w:cs="宋体"/>
                <w:color w:val="000000"/>
                <w:sz w:val="22"/>
                <w:szCs w:val="22"/>
              </w:rPr>
            </w:pPr>
            <w:r>
              <w:rPr>
                <w:rFonts w:hint="eastAsia" w:ascii="宋体" w:hAnsi="宋体" w:cs="宋体"/>
                <w:color w:val="000000"/>
                <w:sz w:val="22"/>
                <w:szCs w:val="22"/>
              </w:rPr>
              <w:t>　</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B8898D">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AF84D2">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5074DE5">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44DD8E">
            <w:pPr>
              <w:jc w:val="center"/>
              <w:rPr>
                <w:rFonts w:hint="eastAsia" w:ascii="宋体" w:hAnsi="宋体" w:cs="宋体"/>
                <w:color w:val="000000"/>
                <w:sz w:val="22"/>
                <w:szCs w:val="22"/>
              </w:rPr>
            </w:pPr>
          </w:p>
        </w:tc>
      </w:tr>
      <w:tr w14:paraId="04FA4B9A">
        <w:tblPrEx>
          <w:tblCellMar>
            <w:top w:w="0" w:type="dxa"/>
            <w:left w:w="0" w:type="dxa"/>
            <w:bottom w:w="0" w:type="dxa"/>
            <w:right w:w="0" w:type="dxa"/>
          </w:tblCellMar>
        </w:tblPrEx>
        <w:trPr>
          <w:trHeight w:val="180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2E282F">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65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783992">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太阳能爆闪标识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E155E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1.产品尺寸：290mm*165mm*135mm</w:t>
            </w:r>
          </w:p>
          <w:p w14:paraId="068F0F6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两组单面</w:t>
            </w:r>
            <w:r>
              <w:rPr>
                <w:rFonts w:hint="eastAsia" w:ascii="宋体" w:hAnsi="宋体" w:cs="宋体"/>
                <w:color w:val="000000"/>
                <w:sz w:val="22"/>
                <w:szCs w:val="22"/>
              </w:rPr>
              <w:br w:type="textWrapping"/>
            </w:r>
            <w:r>
              <w:rPr>
                <w:rFonts w:hint="eastAsia" w:ascii="宋体" w:hAnsi="宋体" w:cs="宋体"/>
                <w:color w:val="000000"/>
                <w:sz w:val="22"/>
                <w:szCs w:val="22"/>
              </w:rPr>
              <w:t>太阳能板：5W/18V单晶硅</w:t>
            </w:r>
            <w:r>
              <w:rPr>
                <w:rFonts w:hint="eastAsia" w:ascii="宋体" w:hAnsi="宋体" w:cs="宋体"/>
                <w:color w:val="000000"/>
                <w:sz w:val="22"/>
                <w:szCs w:val="22"/>
              </w:rPr>
              <w:br w:type="textWrapping"/>
            </w:r>
            <w:r>
              <w:rPr>
                <w:rFonts w:hint="eastAsia" w:ascii="宋体" w:hAnsi="宋体" w:cs="宋体"/>
                <w:color w:val="000000"/>
                <w:sz w:val="22"/>
                <w:szCs w:val="22"/>
              </w:rPr>
              <w:t xml:space="preserve">蓄电池：12V/5AH深循环铅酸蓄电池  </w:t>
            </w:r>
            <w:r>
              <w:rPr>
                <w:rFonts w:hint="eastAsia" w:ascii="宋体" w:hAnsi="宋体" w:cs="宋体"/>
                <w:color w:val="000000"/>
                <w:sz w:val="22"/>
                <w:szCs w:val="22"/>
              </w:rPr>
              <w:br w:type="textWrapping"/>
            </w:r>
            <w:r>
              <w:rPr>
                <w:rFonts w:hint="eastAsia" w:ascii="宋体" w:hAnsi="宋体" w:cs="宋体"/>
                <w:color w:val="000000"/>
                <w:sz w:val="22"/>
                <w:szCs w:val="22"/>
              </w:rPr>
              <w:t>材质： 铝型材和聚碳酸酯（PC）相结合</w:t>
            </w:r>
            <w:r>
              <w:rPr>
                <w:rFonts w:hint="eastAsia" w:ascii="宋体" w:hAnsi="宋体" w:cs="宋体"/>
                <w:color w:val="000000"/>
                <w:sz w:val="22"/>
                <w:szCs w:val="22"/>
              </w:rPr>
              <w:br w:type="textWrapping"/>
            </w:r>
            <w:r>
              <w:rPr>
                <w:rFonts w:hint="eastAsia" w:ascii="宋体" w:hAnsi="宋体" w:cs="宋体"/>
                <w:color w:val="000000"/>
                <w:sz w:val="22"/>
                <w:szCs w:val="22"/>
              </w:rPr>
              <w:t>发光体颜色： 红，蓝</w:t>
            </w:r>
            <w:r>
              <w:rPr>
                <w:rFonts w:hint="eastAsia" w:ascii="宋体" w:hAnsi="宋体" w:cs="宋体"/>
                <w:color w:val="000000"/>
                <w:sz w:val="22"/>
                <w:szCs w:val="22"/>
              </w:rPr>
              <w:br w:type="textWrapping"/>
            </w:r>
            <w:r>
              <w:rPr>
                <w:rFonts w:hint="eastAsia" w:ascii="宋体" w:hAnsi="宋体" w:cs="宋体"/>
                <w:color w:val="000000"/>
                <w:sz w:val="22"/>
                <w:szCs w:val="22"/>
              </w:rPr>
              <w:t>单管亮度： 8000mcd</w:t>
            </w:r>
            <w:r>
              <w:rPr>
                <w:rFonts w:hint="eastAsia" w:ascii="宋体" w:hAnsi="宋体" w:cs="宋体"/>
                <w:color w:val="000000"/>
                <w:sz w:val="22"/>
                <w:szCs w:val="22"/>
              </w:rPr>
              <w:br w:type="textWrapping"/>
            </w:r>
            <w:r>
              <w:rPr>
                <w:rFonts w:hint="eastAsia" w:ascii="宋体" w:hAnsi="宋体" w:cs="宋体"/>
                <w:color w:val="000000"/>
                <w:sz w:val="22"/>
                <w:szCs w:val="22"/>
              </w:rPr>
              <w:t>单管寿命： 100，000h</w:t>
            </w:r>
            <w:r>
              <w:rPr>
                <w:rFonts w:hint="eastAsia" w:ascii="宋体" w:hAnsi="宋体" w:cs="宋体"/>
                <w:color w:val="000000"/>
                <w:sz w:val="22"/>
                <w:szCs w:val="22"/>
              </w:rPr>
              <w:br w:type="textWrapping"/>
            </w:r>
            <w:r>
              <w:rPr>
                <w:rFonts w:hint="eastAsia" w:ascii="宋体" w:hAnsi="宋体" w:cs="宋体"/>
                <w:color w:val="000000"/>
                <w:sz w:val="22"/>
                <w:szCs w:val="22"/>
              </w:rPr>
              <w:t>LED灯珠采用进口芯片</w:t>
            </w:r>
            <w:r>
              <w:rPr>
                <w:rFonts w:hint="eastAsia" w:ascii="宋体" w:hAnsi="宋体" w:cs="宋体"/>
                <w:color w:val="000000"/>
                <w:sz w:val="22"/>
                <w:szCs w:val="22"/>
              </w:rPr>
              <w:br w:type="textWrapping"/>
            </w:r>
            <w:r>
              <w:rPr>
                <w:rFonts w:hint="eastAsia" w:ascii="宋体" w:hAnsi="宋体" w:cs="宋体"/>
                <w:color w:val="000000"/>
                <w:sz w:val="22"/>
                <w:szCs w:val="22"/>
              </w:rPr>
              <w:t>防护等级：IP65</w:t>
            </w:r>
            <w:r>
              <w:rPr>
                <w:rFonts w:hint="eastAsia" w:ascii="宋体" w:hAnsi="宋体" w:cs="宋体"/>
                <w:color w:val="000000"/>
                <w:sz w:val="22"/>
                <w:szCs w:val="22"/>
              </w:rPr>
              <w:br w:type="textWrapping"/>
            </w:r>
            <w:r>
              <w:rPr>
                <w:rFonts w:hint="eastAsia" w:ascii="宋体" w:hAnsi="宋体" w:cs="宋体"/>
                <w:color w:val="000000"/>
                <w:sz w:val="22"/>
                <w:szCs w:val="22"/>
              </w:rPr>
              <w:t>2.包含所有安装、调试费用。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8E93D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665F6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083CC8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481.07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D0DAA3">
            <w:pPr>
              <w:jc w:val="center"/>
              <w:rPr>
                <w:rFonts w:hint="eastAsia" w:ascii="宋体" w:hAnsi="宋体" w:cs="宋体"/>
                <w:color w:val="000000"/>
                <w:sz w:val="22"/>
                <w:szCs w:val="22"/>
              </w:rPr>
            </w:pPr>
          </w:p>
        </w:tc>
      </w:tr>
      <w:tr w14:paraId="54D52EF7">
        <w:tblPrEx>
          <w:tblCellMar>
            <w:top w:w="0" w:type="dxa"/>
            <w:left w:w="0" w:type="dxa"/>
            <w:bottom w:w="0" w:type="dxa"/>
            <w:right w:w="0" w:type="dxa"/>
          </w:tblCellMar>
        </w:tblPrEx>
        <w:trPr>
          <w:trHeight w:val="128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B27FC8">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66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C8D68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太阳能爆闪灯标识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AB29A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1.产品尺寸： 290mm*165mm*135mm </w:t>
            </w:r>
          </w:p>
          <w:p w14:paraId="3233078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两组双面</w:t>
            </w:r>
            <w:r>
              <w:rPr>
                <w:rFonts w:hint="eastAsia" w:ascii="宋体" w:hAnsi="宋体" w:cs="宋体"/>
                <w:color w:val="000000"/>
                <w:sz w:val="22"/>
                <w:szCs w:val="22"/>
              </w:rPr>
              <w:br w:type="textWrapping"/>
            </w:r>
            <w:r>
              <w:rPr>
                <w:rFonts w:hint="eastAsia" w:ascii="宋体" w:hAnsi="宋体" w:cs="宋体"/>
                <w:color w:val="000000"/>
                <w:sz w:val="22"/>
                <w:szCs w:val="22"/>
              </w:rPr>
              <w:t>太阳能板： 5W/18V单晶硅</w:t>
            </w:r>
            <w:r>
              <w:rPr>
                <w:rFonts w:hint="eastAsia" w:ascii="宋体" w:hAnsi="宋体" w:cs="宋体"/>
                <w:color w:val="000000"/>
                <w:sz w:val="22"/>
                <w:szCs w:val="22"/>
              </w:rPr>
              <w:br w:type="textWrapping"/>
            </w:r>
            <w:r>
              <w:rPr>
                <w:rFonts w:hint="eastAsia" w:ascii="宋体" w:hAnsi="宋体" w:cs="宋体"/>
                <w:color w:val="000000"/>
                <w:sz w:val="22"/>
                <w:szCs w:val="22"/>
              </w:rPr>
              <w:t>蓄电池：12V/5AH深循环铅酸蓄电池</w:t>
            </w:r>
            <w:r>
              <w:rPr>
                <w:rFonts w:hint="eastAsia" w:ascii="宋体" w:hAnsi="宋体" w:cs="宋体"/>
                <w:color w:val="000000"/>
                <w:sz w:val="22"/>
                <w:szCs w:val="22"/>
              </w:rPr>
              <w:br w:type="textWrapping"/>
            </w:r>
            <w:r>
              <w:rPr>
                <w:rFonts w:hint="eastAsia" w:ascii="宋体" w:hAnsi="宋体" w:cs="宋体"/>
                <w:color w:val="000000"/>
                <w:sz w:val="22"/>
                <w:szCs w:val="22"/>
              </w:rPr>
              <w:t>材质：铝型材和聚碳酸酯（PC）相结合</w:t>
            </w:r>
            <w:r>
              <w:rPr>
                <w:rFonts w:hint="eastAsia" w:ascii="宋体" w:hAnsi="宋体" w:cs="宋体"/>
                <w:color w:val="000000"/>
                <w:sz w:val="22"/>
                <w:szCs w:val="22"/>
              </w:rPr>
              <w:br w:type="textWrapping"/>
            </w:r>
            <w:r>
              <w:rPr>
                <w:rFonts w:hint="eastAsia" w:ascii="宋体" w:hAnsi="宋体" w:cs="宋体"/>
                <w:color w:val="000000"/>
                <w:sz w:val="22"/>
                <w:szCs w:val="22"/>
              </w:rPr>
              <w:t>发光体颜色： 红，蓝</w:t>
            </w:r>
            <w:r>
              <w:rPr>
                <w:rFonts w:hint="eastAsia" w:ascii="宋体" w:hAnsi="宋体" w:cs="宋体"/>
                <w:color w:val="000000"/>
                <w:sz w:val="22"/>
                <w:szCs w:val="22"/>
              </w:rPr>
              <w:br w:type="textWrapping"/>
            </w:r>
            <w:r>
              <w:rPr>
                <w:rFonts w:hint="eastAsia" w:ascii="宋体" w:hAnsi="宋体" w:cs="宋体"/>
                <w:color w:val="000000"/>
                <w:sz w:val="22"/>
                <w:szCs w:val="22"/>
              </w:rPr>
              <w:t>单管亮度： 8000mcd</w:t>
            </w:r>
            <w:r>
              <w:rPr>
                <w:rFonts w:hint="eastAsia" w:ascii="宋体" w:hAnsi="宋体" w:cs="宋体"/>
                <w:color w:val="000000"/>
                <w:sz w:val="22"/>
                <w:szCs w:val="22"/>
              </w:rPr>
              <w:br w:type="textWrapping"/>
            </w:r>
            <w:r>
              <w:rPr>
                <w:rFonts w:hint="eastAsia" w:ascii="宋体" w:hAnsi="宋体" w:cs="宋体"/>
                <w:color w:val="000000"/>
                <w:sz w:val="22"/>
                <w:szCs w:val="22"/>
              </w:rPr>
              <w:t>2.包含所有安装、调试费用。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879D5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F17B6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C2C4D2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590.03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5363C6">
            <w:pPr>
              <w:jc w:val="center"/>
              <w:rPr>
                <w:rFonts w:hint="eastAsia" w:ascii="宋体" w:hAnsi="宋体" w:cs="宋体"/>
                <w:color w:val="000000"/>
                <w:sz w:val="22"/>
                <w:szCs w:val="22"/>
              </w:rPr>
            </w:pPr>
          </w:p>
        </w:tc>
      </w:tr>
      <w:tr w14:paraId="3301E79A">
        <w:tblPrEx>
          <w:tblCellMar>
            <w:top w:w="0" w:type="dxa"/>
            <w:left w:w="0" w:type="dxa"/>
            <w:bottom w:w="0" w:type="dxa"/>
            <w:right w:w="0" w:type="dxa"/>
          </w:tblCellMar>
        </w:tblPrEx>
        <w:trPr>
          <w:trHeight w:val="543"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EFD5D9">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67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A6613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太阳能爆闪灯标识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08CF4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1.产品尺寸： 420mm*170mm*135mm</w:t>
            </w:r>
          </w:p>
          <w:p w14:paraId="3040CB4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三组双面</w:t>
            </w:r>
            <w:r>
              <w:rPr>
                <w:rFonts w:hint="eastAsia" w:ascii="宋体" w:hAnsi="宋体" w:cs="宋体"/>
                <w:color w:val="000000"/>
                <w:sz w:val="22"/>
                <w:szCs w:val="22"/>
              </w:rPr>
              <w:br w:type="textWrapping"/>
            </w:r>
            <w:r>
              <w:rPr>
                <w:rFonts w:hint="eastAsia" w:ascii="宋体" w:hAnsi="宋体" w:cs="宋体"/>
                <w:color w:val="000000"/>
                <w:sz w:val="22"/>
                <w:szCs w:val="22"/>
              </w:rPr>
              <w:t>太阳能板：6W/18V单晶硅</w:t>
            </w:r>
            <w:r>
              <w:rPr>
                <w:rFonts w:hint="eastAsia" w:ascii="宋体" w:hAnsi="宋体" w:cs="宋体"/>
                <w:color w:val="000000"/>
                <w:sz w:val="22"/>
                <w:szCs w:val="22"/>
              </w:rPr>
              <w:br w:type="textWrapping"/>
            </w:r>
            <w:r>
              <w:rPr>
                <w:rFonts w:hint="eastAsia" w:ascii="宋体" w:hAnsi="宋体" w:cs="宋体"/>
                <w:color w:val="000000"/>
                <w:sz w:val="22"/>
                <w:szCs w:val="22"/>
              </w:rPr>
              <w:t>蓄电池： 12V/5.5AH 深循环铅酸蓄电池</w:t>
            </w:r>
            <w:r>
              <w:rPr>
                <w:rFonts w:hint="eastAsia" w:ascii="宋体" w:hAnsi="宋体" w:cs="宋体"/>
                <w:color w:val="000000"/>
                <w:sz w:val="22"/>
                <w:szCs w:val="22"/>
              </w:rPr>
              <w:br w:type="textWrapping"/>
            </w:r>
            <w:r>
              <w:rPr>
                <w:rFonts w:hint="eastAsia" w:ascii="宋体" w:hAnsi="宋体" w:cs="宋体"/>
                <w:color w:val="000000"/>
                <w:sz w:val="22"/>
                <w:szCs w:val="22"/>
              </w:rPr>
              <w:t>材质：铝型材和聚碳酸酯（PC）相结合</w:t>
            </w:r>
            <w:r>
              <w:rPr>
                <w:rFonts w:hint="eastAsia" w:ascii="宋体" w:hAnsi="宋体" w:cs="宋体"/>
                <w:color w:val="000000"/>
                <w:sz w:val="22"/>
                <w:szCs w:val="22"/>
              </w:rPr>
              <w:br w:type="textWrapping"/>
            </w:r>
            <w:r>
              <w:rPr>
                <w:rFonts w:hint="eastAsia" w:ascii="宋体" w:hAnsi="宋体" w:cs="宋体"/>
                <w:color w:val="000000"/>
                <w:sz w:val="22"/>
                <w:szCs w:val="22"/>
              </w:rPr>
              <w:t>发光体颜色： 红，蓝</w:t>
            </w:r>
            <w:r>
              <w:rPr>
                <w:rFonts w:hint="eastAsia" w:ascii="宋体" w:hAnsi="宋体" w:cs="宋体"/>
                <w:color w:val="000000"/>
                <w:sz w:val="22"/>
                <w:szCs w:val="22"/>
              </w:rPr>
              <w:br w:type="textWrapping"/>
            </w:r>
            <w:r>
              <w:rPr>
                <w:rFonts w:hint="eastAsia" w:ascii="宋体" w:hAnsi="宋体" w:cs="宋体"/>
                <w:color w:val="000000"/>
                <w:sz w:val="22"/>
                <w:szCs w:val="22"/>
              </w:rPr>
              <w:t>单管亮度： 8000mcd</w:t>
            </w:r>
            <w:r>
              <w:rPr>
                <w:rFonts w:hint="eastAsia" w:ascii="宋体" w:hAnsi="宋体" w:cs="宋体"/>
                <w:color w:val="000000"/>
                <w:sz w:val="22"/>
                <w:szCs w:val="22"/>
              </w:rPr>
              <w:br w:type="textWrapping"/>
            </w:r>
            <w:r>
              <w:rPr>
                <w:rFonts w:hint="eastAsia" w:ascii="宋体" w:hAnsi="宋体" w:cs="宋体"/>
                <w:color w:val="000000"/>
                <w:sz w:val="22"/>
                <w:szCs w:val="22"/>
              </w:rPr>
              <w:t>单管寿命： 100，000h</w:t>
            </w:r>
            <w:r>
              <w:rPr>
                <w:rFonts w:hint="eastAsia" w:ascii="宋体" w:hAnsi="宋体" w:cs="宋体"/>
                <w:color w:val="000000"/>
                <w:sz w:val="22"/>
                <w:szCs w:val="22"/>
              </w:rPr>
              <w:br w:type="textWrapping"/>
            </w:r>
            <w:r>
              <w:rPr>
                <w:rFonts w:hint="eastAsia" w:ascii="宋体" w:hAnsi="宋体" w:cs="宋体"/>
                <w:color w:val="000000"/>
                <w:sz w:val="22"/>
                <w:szCs w:val="22"/>
              </w:rPr>
              <w:t>LED灯珠采用进口芯片</w:t>
            </w:r>
            <w:r>
              <w:rPr>
                <w:rFonts w:hint="eastAsia" w:ascii="宋体" w:hAnsi="宋体" w:cs="宋体"/>
                <w:color w:val="000000"/>
                <w:sz w:val="22"/>
                <w:szCs w:val="22"/>
              </w:rPr>
              <w:br w:type="textWrapping"/>
            </w:r>
            <w:r>
              <w:rPr>
                <w:rFonts w:hint="eastAsia" w:ascii="宋体" w:hAnsi="宋体" w:cs="宋体"/>
                <w:color w:val="000000"/>
                <w:sz w:val="22"/>
                <w:szCs w:val="22"/>
              </w:rPr>
              <w:t>防护等级：IP65</w:t>
            </w:r>
            <w:r>
              <w:rPr>
                <w:rFonts w:hint="eastAsia" w:ascii="宋体" w:hAnsi="宋体" w:cs="宋体"/>
                <w:color w:val="000000"/>
                <w:sz w:val="22"/>
                <w:szCs w:val="22"/>
              </w:rPr>
              <w:br w:type="textWrapping"/>
            </w:r>
            <w:r>
              <w:rPr>
                <w:rFonts w:hint="eastAsia" w:ascii="宋体" w:hAnsi="宋体" w:cs="宋体"/>
                <w:color w:val="000000"/>
                <w:sz w:val="22"/>
                <w:szCs w:val="22"/>
              </w:rPr>
              <w:t>2.包含所有安装、调试费用。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1D412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A9689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75416A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699.03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5B83CE">
            <w:pPr>
              <w:jc w:val="center"/>
              <w:rPr>
                <w:rFonts w:hint="eastAsia" w:ascii="宋体" w:hAnsi="宋体" w:cs="宋体"/>
                <w:color w:val="000000"/>
                <w:sz w:val="22"/>
                <w:szCs w:val="22"/>
              </w:rPr>
            </w:pPr>
          </w:p>
        </w:tc>
      </w:tr>
      <w:tr w14:paraId="01A26155">
        <w:tblPrEx>
          <w:tblCellMar>
            <w:top w:w="0" w:type="dxa"/>
            <w:left w:w="0" w:type="dxa"/>
            <w:bottom w:w="0" w:type="dxa"/>
            <w:right w:w="0" w:type="dxa"/>
          </w:tblCellMar>
        </w:tblPrEx>
        <w:trPr>
          <w:trHeight w:val="25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40B781">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68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14539B">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太阳能爆闪灯标识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3261C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1.产品尺寸： 520mm*165mm*135mm</w:t>
            </w:r>
          </w:p>
          <w:p w14:paraId="4771033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四组单面</w:t>
            </w:r>
            <w:r>
              <w:rPr>
                <w:rFonts w:hint="eastAsia" w:ascii="宋体" w:hAnsi="宋体" w:cs="宋体"/>
                <w:color w:val="000000"/>
                <w:sz w:val="22"/>
                <w:szCs w:val="22"/>
              </w:rPr>
              <w:br w:type="textWrapping"/>
            </w:r>
            <w:r>
              <w:rPr>
                <w:rFonts w:hint="eastAsia" w:ascii="宋体" w:hAnsi="宋体" w:cs="宋体"/>
                <w:color w:val="000000"/>
                <w:sz w:val="22"/>
                <w:szCs w:val="22"/>
              </w:rPr>
              <w:t>太阳能板：8W/18V单晶硅</w:t>
            </w:r>
            <w:r>
              <w:rPr>
                <w:rFonts w:hint="eastAsia" w:ascii="宋体" w:hAnsi="宋体" w:cs="宋体"/>
                <w:color w:val="000000"/>
                <w:sz w:val="22"/>
                <w:szCs w:val="22"/>
              </w:rPr>
              <w:br w:type="textWrapping"/>
            </w:r>
            <w:r>
              <w:rPr>
                <w:rFonts w:hint="eastAsia" w:ascii="宋体" w:hAnsi="宋体" w:cs="宋体"/>
                <w:color w:val="000000"/>
                <w:sz w:val="22"/>
                <w:szCs w:val="22"/>
              </w:rPr>
              <w:t xml:space="preserve">蓄电池：12V/14AH 深循环铅酸蓄电池        </w:t>
            </w:r>
            <w:r>
              <w:rPr>
                <w:rFonts w:hint="eastAsia" w:ascii="宋体" w:hAnsi="宋体" w:cs="宋体"/>
                <w:color w:val="000000"/>
                <w:sz w:val="22"/>
                <w:szCs w:val="22"/>
              </w:rPr>
              <w:br w:type="textWrapping"/>
            </w:r>
            <w:r>
              <w:rPr>
                <w:rFonts w:hint="eastAsia" w:ascii="宋体" w:hAnsi="宋体" w:cs="宋体"/>
                <w:color w:val="000000"/>
                <w:sz w:val="22"/>
                <w:szCs w:val="22"/>
              </w:rPr>
              <w:t>材质：铝型材和聚碳酸酯（PC）相结合</w:t>
            </w:r>
            <w:r>
              <w:rPr>
                <w:rFonts w:hint="eastAsia" w:ascii="宋体" w:hAnsi="宋体" w:cs="宋体"/>
                <w:color w:val="000000"/>
                <w:sz w:val="22"/>
                <w:szCs w:val="22"/>
              </w:rPr>
              <w:br w:type="textWrapping"/>
            </w:r>
            <w:r>
              <w:rPr>
                <w:rFonts w:hint="eastAsia" w:ascii="宋体" w:hAnsi="宋体" w:cs="宋体"/>
                <w:color w:val="000000"/>
                <w:sz w:val="22"/>
                <w:szCs w:val="22"/>
              </w:rPr>
              <w:t>发光体颜色： 红，蓝</w:t>
            </w:r>
            <w:r>
              <w:rPr>
                <w:rFonts w:hint="eastAsia" w:ascii="宋体" w:hAnsi="宋体" w:cs="宋体"/>
                <w:color w:val="000000"/>
                <w:sz w:val="22"/>
                <w:szCs w:val="22"/>
              </w:rPr>
              <w:br w:type="textWrapping"/>
            </w:r>
            <w:r>
              <w:rPr>
                <w:rFonts w:hint="eastAsia" w:ascii="宋体" w:hAnsi="宋体" w:cs="宋体"/>
                <w:color w:val="000000"/>
                <w:sz w:val="22"/>
                <w:szCs w:val="22"/>
              </w:rPr>
              <w:t>单管亮度： 8000mcd</w:t>
            </w:r>
            <w:r>
              <w:rPr>
                <w:rFonts w:hint="eastAsia" w:ascii="宋体" w:hAnsi="宋体" w:cs="宋体"/>
                <w:color w:val="000000"/>
                <w:sz w:val="22"/>
                <w:szCs w:val="22"/>
              </w:rPr>
              <w:br w:type="textWrapping"/>
            </w:r>
            <w:r>
              <w:rPr>
                <w:rFonts w:hint="eastAsia" w:ascii="宋体" w:hAnsi="宋体" w:cs="宋体"/>
                <w:color w:val="000000"/>
                <w:sz w:val="22"/>
                <w:szCs w:val="22"/>
              </w:rPr>
              <w:t>单管寿命： 100，000h</w:t>
            </w:r>
            <w:r>
              <w:rPr>
                <w:rFonts w:hint="eastAsia" w:ascii="宋体" w:hAnsi="宋体" w:cs="宋体"/>
                <w:color w:val="000000"/>
                <w:sz w:val="22"/>
                <w:szCs w:val="22"/>
              </w:rPr>
              <w:br w:type="textWrapping"/>
            </w:r>
            <w:r>
              <w:rPr>
                <w:rFonts w:hint="eastAsia" w:ascii="宋体" w:hAnsi="宋体" w:cs="宋体"/>
                <w:color w:val="000000"/>
                <w:sz w:val="22"/>
                <w:szCs w:val="22"/>
              </w:rPr>
              <w:t>LED灯珠采用进口芯片</w:t>
            </w:r>
            <w:r>
              <w:rPr>
                <w:rFonts w:hint="eastAsia" w:ascii="宋体" w:hAnsi="宋体" w:cs="宋体"/>
                <w:color w:val="000000"/>
                <w:sz w:val="22"/>
                <w:szCs w:val="22"/>
              </w:rPr>
              <w:br w:type="textWrapping"/>
            </w:r>
            <w:r>
              <w:rPr>
                <w:rFonts w:hint="eastAsia" w:ascii="宋体" w:hAnsi="宋体" w:cs="宋体"/>
                <w:color w:val="000000"/>
                <w:sz w:val="22"/>
                <w:szCs w:val="22"/>
              </w:rPr>
              <w:t>防护等级：IP65</w:t>
            </w:r>
            <w:r>
              <w:rPr>
                <w:rFonts w:hint="eastAsia" w:ascii="宋体" w:hAnsi="宋体" w:cs="宋体"/>
                <w:color w:val="000000"/>
                <w:sz w:val="22"/>
                <w:szCs w:val="22"/>
              </w:rPr>
              <w:br w:type="textWrapping"/>
            </w:r>
            <w:r>
              <w:rPr>
                <w:rFonts w:hint="eastAsia" w:ascii="宋体" w:hAnsi="宋体" w:cs="宋体"/>
                <w:color w:val="000000"/>
                <w:sz w:val="22"/>
                <w:szCs w:val="22"/>
              </w:rPr>
              <w:t>2.包含所有安装、调试费用。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37CD6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A968C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C67EFF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1244.03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D0477D">
            <w:pPr>
              <w:jc w:val="center"/>
              <w:rPr>
                <w:rFonts w:hint="eastAsia" w:ascii="宋体" w:hAnsi="宋体" w:cs="宋体"/>
                <w:color w:val="000000"/>
                <w:sz w:val="22"/>
                <w:szCs w:val="22"/>
              </w:rPr>
            </w:pPr>
          </w:p>
        </w:tc>
      </w:tr>
      <w:tr w14:paraId="6D4175B8">
        <w:trPr>
          <w:trHeight w:val="35"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2E22D1">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69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F82B2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ED382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1.警示柱φ89*800*3.5(法兰式)外涂反光材料</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DFBFA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A4CF0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EB4570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159.36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BB2945">
            <w:pPr>
              <w:jc w:val="center"/>
              <w:rPr>
                <w:rFonts w:hint="eastAsia" w:ascii="宋体" w:hAnsi="宋体" w:cs="宋体"/>
                <w:color w:val="000000"/>
                <w:sz w:val="22"/>
                <w:szCs w:val="22"/>
              </w:rPr>
            </w:pPr>
          </w:p>
        </w:tc>
      </w:tr>
      <w:tr w14:paraId="4B3F71F2">
        <w:tblPrEx>
          <w:tblCellMar>
            <w:top w:w="0" w:type="dxa"/>
            <w:left w:w="0" w:type="dxa"/>
            <w:bottom w:w="0" w:type="dxa"/>
            <w:right w:w="0" w:type="dxa"/>
          </w:tblCellMar>
        </w:tblPrEx>
        <w:trPr>
          <w:trHeight w:val="63"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38E3E5">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70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32D907">
            <w:pPr>
              <w:jc w:val="cente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D836C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1.警示柱φ89*1200*3.5(预埋式)外涂反光材料</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1FA5B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8315B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205C80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164.81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E3F8FE">
            <w:pPr>
              <w:jc w:val="center"/>
              <w:rPr>
                <w:rFonts w:hint="eastAsia" w:ascii="宋体" w:hAnsi="宋体" w:cs="宋体"/>
                <w:color w:val="000000"/>
                <w:sz w:val="22"/>
                <w:szCs w:val="22"/>
              </w:rPr>
            </w:pPr>
          </w:p>
        </w:tc>
      </w:tr>
      <w:tr w14:paraId="67207BAC">
        <w:tblPrEx>
          <w:tblCellMar>
            <w:top w:w="0" w:type="dxa"/>
            <w:left w:w="0" w:type="dxa"/>
            <w:bottom w:w="0" w:type="dxa"/>
            <w:right w:w="0" w:type="dxa"/>
          </w:tblCellMar>
        </w:tblPrEx>
        <w:trPr>
          <w:trHeight w:val="1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F0FF79">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71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0C1B94">
            <w:pPr>
              <w:jc w:val="cente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2D4A0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1.警示柱φ114*800*3.5(法兰式)外涂反光材料</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2E3F3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898E1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F04CC4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238.00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7C5000">
            <w:pPr>
              <w:jc w:val="center"/>
              <w:rPr>
                <w:rFonts w:hint="eastAsia" w:ascii="宋体" w:hAnsi="宋体" w:cs="宋体"/>
                <w:color w:val="000000"/>
                <w:sz w:val="22"/>
                <w:szCs w:val="22"/>
              </w:rPr>
            </w:pPr>
          </w:p>
        </w:tc>
      </w:tr>
      <w:tr w14:paraId="2B7247C0">
        <w:tblPrEx>
          <w:tblCellMar>
            <w:top w:w="0" w:type="dxa"/>
            <w:left w:w="0" w:type="dxa"/>
            <w:bottom w:w="0" w:type="dxa"/>
            <w:right w:w="0" w:type="dxa"/>
          </w:tblCellMar>
        </w:tblPrEx>
        <w:trPr>
          <w:trHeight w:val="35"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85D9A0">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72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0C0B05">
            <w:pPr>
              <w:jc w:val="cente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0A60C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1.警示柱φ114*1200*3.5(预埋式)外涂反光材料</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B7AAB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C73A7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309592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259.80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6A10F3">
            <w:pPr>
              <w:jc w:val="center"/>
              <w:rPr>
                <w:rFonts w:hint="eastAsia" w:ascii="宋体" w:hAnsi="宋体" w:cs="宋体"/>
                <w:color w:val="000000"/>
                <w:sz w:val="22"/>
                <w:szCs w:val="22"/>
              </w:rPr>
            </w:pPr>
          </w:p>
        </w:tc>
      </w:tr>
      <w:tr w14:paraId="5BC6BF7A">
        <w:tblPrEx>
          <w:tblCellMar>
            <w:top w:w="0" w:type="dxa"/>
            <w:left w:w="0" w:type="dxa"/>
            <w:bottom w:w="0" w:type="dxa"/>
            <w:right w:w="0" w:type="dxa"/>
          </w:tblCellMar>
        </w:tblPrEx>
        <w:trPr>
          <w:trHeight w:val="155"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8FF72B5">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73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3BAD9E">
            <w:pPr>
              <w:jc w:val="cente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7241A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1.警示柱φ140*1200*3.5(法兰式)外涂反光材料</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209C2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FF8EC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78EFDE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279.50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4D62E0">
            <w:pPr>
              <w:jc w:val="center"/>
              <w:rPr>
                <w:rFonts w:hint="eastAsia" w:ascii="宋体" w:hAnsi="宋体" w:cs="宋体"/>
                <w:color w:val="000000"/>
                <w:sz w:val="22"/>
                <w:szCs w:val="22"/>
              </w:rPr>
            </w:pPr>
          </w:p>
        </w:tc>
      </w:tr>
      <w:tr w14:paraId="5F3C162F">
        <w:tblPrEx>
          <w:tblCellMar>
            <w:top w:w="0" w:type="dxa"/>
            <w:left w:w="0" w:type="dxa"/>
            <w:bottom w:w="0" w:type="dxa"/>
            <w:right w:w="0" w:type="dxa"/>
          </w:tblCellMar>
        </w:tblPrEx>
        <w:trPr>
          <w:trHeight w:val="81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DB050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74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E5AF4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警示柱标识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E824B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1.警示柱φ140*1700*3.5(预埋式)外涂反光材料</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4A6D5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BD742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E787AE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290.40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62C3FC">
            <w:pPr>
              <w:jc w:val="center"/>
              <w:rPr>
                <w:rFonts w:hint="eastAsia" w:ascii="宋体" w:hAnsi="宋体" w:cs="宋体"/>
                <w:color w:val="000000"/>
                <w:sz w:val="22"/>
                <w:szCs w:val="22"/>
              </w:rPr>
            </w:pPr>
          </w:p>
        </w:tc>
      </w:tr>
      <w:tr w14:paraId="457A0952">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6F4CDE">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75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E8CD7C">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7BFD5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1.警示柱75CMPU材料，隔离柱反光柱</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8FDBD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47E6D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55DD5B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78.86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82387D">
            <w:pPr>
              <w:jc w:val="center"/>
              <w:rPr>
                <w:rFonts w:hint="eastAsia" w:ascii="宋体" w:hAnsi="宋体" w:cs="宋体"/>
                <w:color w:val="000000"/>
                <w:sz w:val="22"/>
                <w:szCs w:val="22"/>
              </w:rPr>
            </w:pPr>
          </w:p>
        </w:tc>
      </w:tr>
      <w:tr w14:paraId="43BD8135">
        <w:tblPrEx>
          <w:tblCellMar>
            <w:top w:w="0" w:type="dxa"/>
            <w:left w:w="0" w:type="dxa"/>
            <w:bottom w:w="0" w:type="dxa"/>
            <w:right w:w="0" w:type="dxa"/>
          </w:tblCellMar>
        </w:tblPrEx>
        <w:trPr>
          <w:trHeight w:val="46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915222">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76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0F3313">
            <w:pPr>
              <w:jc w:val="left"/>
              <w:rPr>
                <w:rFonts w:hint="eastAsia" w:ascii="宋体" w:hAnsi="宋体" w:cs="宋体"/>
                <w:color w:val="000000"/>
                <w:sz w:val="22"/>
                <w:szCs w:val="22"/>
              </w:rPr>
            </w:pPr>
            <w:r>
              <w:rPr>
                <w:rFonts w:hint="eastAsia" w:ascii="宋体" w:hAnsi="宋体" w:cs="宋体"/>
                <w:color w:val="000000"/>
                <w:sz w:val="22"/>
                <w:szCs w:val="22"/>
              </w:rPr>
              <w:t>警示标识扶正</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127E08">
            <w:pPr>
              <w:jc w:val="center"/>
              <w:rPr>
                <w:rFonts w:hint="eastAsia" w:ascii="宋体" w:hAnsi="宋体" w:cs="宋体"/>
                <w:color w:val="000000"/>
                <w:sz w:val="22"/>
                <w:szCs w:val="22"/>
              </w:rPr>
            </w:pP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EEB7CE">
            <w:pPr>
              <w:jc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01ED81">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C802879">
            <w:pPr>
              <w:jc w:val="center"/>
              <w:rPr>
                <w:rFonts w:hint="eastAsia" w:ascii="宋体" w:hAnsi="宋体" w:cs="宋体"/>
                <w:color w:val="000000"/>
                <w:sz w:val="22"/>
                <w:szCs w:val="22"/>
              </w:rPr>
            </w:pPr>
            <w:r>
              <w:rPr>
                <w:rFonts w:hint="eastAsia" w:ascii="宋体" w:hAnsi="宋体" w:cs="宋体"/>
                <w:color w:val="000000"/>
                <w:sz w:val="22"/>
                <w:szCs w:val="22"/>
              </w:rPr>
              <w:t>18</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B6BF31">
            <w:pPr>
              <w:jc w:val="center"/>
              <w:rPr>
                <w:rFonts w:hint="eastAsia" w:ascii="宋体" w:hAnsi="宋体" w:cs="宋体"/>
                <w:color w:val="000000"/>
                <w:sz w:val="22"/>
                <w:szCs w:val="22"/>
              </w:rPr>
            </w:pPr>
          </w:p>
        </w:tc>
      </w:tr>
      <w:tr w14:paraId="3E540797">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727F19">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77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1EA72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减速标识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E72BB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1.橡胶减速带1000*350*40cm</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7CFBC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m</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CB286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1A00DF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119.02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F61779">
            <w:pPr>
              <w:jc w:val="center"/>
              <w:rPr>
                <w:rFonts w:hint="eastAsia" w:ascii="宋体" w:hAnsi="宋体" w:cs="宋体"/>
                <w:color w:val="000000"/>
                <w:sz w:val="22"/>
                <w:szCs w:val="22"/>
              </w:rPr>
            </w:pPr>
          </w:p>
        </w:tc>
      </w:tr>
      <w:tr w14:paraId="1B901DDF">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A1D19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78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3DABBC">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078E4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hint="eastAsia"/>
              </w:rPr>
              <w:t xml:space="preserve"> </w:t>
            </w:r>
            <w:r>
              <w:rPr>
                <w:rFonts w:hint="eastAsia" w:ascii="宋体" w:hAnsi="宋体" w:cs="宋体"/>
                <w:color w:val="000000"/>
                <w:sz w:val="22"/>
                <w:szCs w:val="22"/>
              </w:rPr>
              <w:t>防摩擦警示柱具有较强的抗腐蚀性和防锈功能，耐振动和耐烟雾性能均满足规范要求。</w:t>
            </w:r>
          </w:p>
          <w:p w14:paraId="0674E04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2.产品顶端两侧设有面发光模块，呈灯带样式，夜间发出闪烁光。发光模块夜间视认距离150 米。</w:t>
            </w:r>
          </w:p>
          <w:p w14:paraId="710D894E">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3.产品前后两端贴有40cm 长度红白相间 3M 国标四级（工程级）微棱镜反光膜，使用年限为 7 年 50%亮度保留值，背胶类型为常温压敏胶。</w:t>
            </w:r>
          </w:p>
          <w:p w14:paraId="01AF373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4.产品外侧底部设有维修窗口，维修板用螺丝固定产品侧板上。</w:t>
            </w:r>
          </w:p>
          <w:p w14:paraId="51C2854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5.工作环境要求</w:t>
            </w:r>
          </w:p>
          <w:p w14:paraId="1D2C3D4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工作温度：-40℃-60℃,工作环境湿度：10%-90%,防尘防水等级：IP65。</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811B4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B0241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C1CEF9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1860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CEE5DA">
            <w:pPr>
              <w:jc w:val="center"/>
              <w:rPr>
                <w:rFonts w:hint="eastAsia" w:ascii="宋体" w:hAnsi="宋体" w:cs="宋体"/>
                <w:color w:val="000000"/>
                <w:sz w:val="22"/>
                <w:szCs w:val="22"/>
              </w:rPr>
            </w:pPr>
          </w:p>
        </w:tc>
      </w:tr>
      <w:tr w14:paraId="10A75CB7">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4CAD9F">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79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39C1B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899366">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太阳能同频爆闪警示柱框架单元：</w:t>
            </w:r>
          </w:p>
          <w:p w14:paraId="45CA6F53">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1、产品外观由集成柱帽单元、柱身发光单元和立柱单元三个部分组成，柱身采用冷轧钣金结构，后期喷塑具有良好的抗氧化性，使用期内产品不褪色，外壳体要有良好的刚性和耐冲击性，内部结构件有良好的稳固性和密封性。</w:t>
            </w:r>
          </w:p>
          <w:p w14:paraId="20C6D93A">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2、产品尺寸：2095*200*200mm。                      </w:t>
            </w:r>
          </w:p>
          <w:p w14:paraId="06D4185A">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产品柱体环贴3张50mm 高度荧光黄绿3M国标Ⅳ类（超强级）反光膜，使用年限为7年50%亮度保留值，背胶类型为常温压敏胶。</w:t>
            </w:r>
          </w:p>
          <w:p w14:paraId="247AAB83">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智能储控一体储电单元：</w:t>
            </w:r>
          </w:p>
          <w:p w14:paraId="58688E6E">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1、电池包标称电压：3V</w:t>
            </w:r>
          </w:p>
          <w:p w14:paraId="608FCD3E">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2、电池包标称容量：5600mAh</w:t>
            </w:r>
          </w:p>
          <w:p w14:paraId="5AA62616">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3、电芯规格：三元锂18650</w:t>
            </w:r>
          </w:p>
          <w:p w14:paraId="3DCF8A5A">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4、电芯配置：2并</w:t>
            </w:r>
          </w:p>
          <w:p w14:paraId="475E2DCC">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5、电池包输出：PWM输出-1路</w:t>
            </w:r>
          </w:p>
          <w:p w14:paraId="76578616">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6、电池包尺寸：115mm*90mm*55mm</w:t>
            </w:r>
          </w:p>
          <w:p w14:paraId="3476CAB1">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光伏充电单元：</w:t>
            </w:r>
          </w:p>
          <w:p w14:paraId="0B0A050D">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1、光伏板参数：5V--6W；</w:t>
            </w:r>
          </w:p>
          <w:p w14:paraId="12D4F8E4">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2、尺寸：200*200mm</w:t>
            </w:r>
          </w:p>
          <w:p w14:paraId="5D4C031C">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智能光学发光单元：</w:t>
            </w:r>
          </w:p>
          <w:p w14:paraId="39C774A5">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1、发光单元采用先进的光学透镜灯珠散光技术，光线穿透力强、无死灯现象；</w:t>
            </w:r>
          </w:p>
          <w:p w14:paraId="49A6601D">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2、可视距离：夜间动态距离≥250米，静态距离≥210米。</w:t>
            </w:r>
          </w:p>
          <w:p w14:paraId="391ED124">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GPS同频控制单元：</w:t>
            </w:r>
          </w:p>
          <w:p w14:paraId="611BFFC3">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GPS模块由集成了RF射频芯片、基带芯片、核心CPU和相关外围电路组成，用于对设备的定位和同频控制。</w:t>
            </w:r>
          </w:p>
          <w:p w14:paraId="10FE3805">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可接收全球定位系统接收器类型20个频道， L1的频率，1.023兆赫芯片速度， C / A码1.023兆赫芯片速度。</w:t>
            </w:r>
          </w:p>
          <w:p w14:paraId="53815237">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时间精度 1微秒同步GPS时间。</w:t>
            </w:r>
          </w:p>
          <w:p w14:paraId="1E4BE7CF">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智能主板：</w:t>
            </w:r>
          </w:p>
          <w:p w14:paraId="3E40D913">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产品主板集合了上述单元的连接，由MCU进行总控制，实现了由“时间因素、光学因素、电学因素”而导致的不同环境下的产品状态，使产品的微控制逻辑有章可循，真正做到智能判断、智能工作。</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82399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381D3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D45C68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3000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E1DF5D">
            <w:pPr>
              <w:jc w:val="center"/>
              <w:rPr>
                <w:rFonts w:hint="eastAsia" w:ascii="宋体" w:hAnsi="宋体" w:cs="宋体"/>
                <w:color w:val="000000"/>
                <w:sz w:val="22"/>
                <w:szCs w:val="22"/>
                <w:highlight w:val="yellow"/>
              </w:rPr>
            </w:pPr>
          </w:p>
        </w:tc>
      </w:tr>
      <w:tr w14:paraId="7776B1EA">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699A3B">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80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F6589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9596B8">
            <w:pPr>
              <w:pStyle w:val="985"/>
              <w:spacing w:before="156"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1、太阳能同频爆闪警示柱储控一体控制器</w:t>
            </w:r>
          </w:p>
          <w:p w14:paraId="40E7700C">
            <w:pPr>
              <w:pStyle w:val="985"/>
              <w:spacing w:before="156"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电池包标称电压：3V</w:t>
            </w:r>
          </w:p>
          <w:p w14:paraId="61DA11D2">
            <w:pPr>
              <w:pStyle w:val="985"/>
              <w:spacing w:before="156"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2、电池包标称容量：5600mAh</w:t>
            </w:r>
          </w:p>
          <w:p w14:paraId="57A1DDF4">
            <w:pPr>
              <w:pStyle w:val="985"/>
              <w:spacing w:before="156"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3、电芯规格：三元锂18650</w:t>
            </w:r>
          </w:p>
          <w:p w14:paraId="1B76CFAC">
            <w:pPr>
              <w:pStyle w:val="985"/>
              <w:spacing w:before="156"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4、电芯配置：3并</w:t>
            </w:r>
          </w:p>
          <w:p w14:paraId="349541A3">
            <w:pPr>
              <w:pStyle w:val="985"/>
              <w:spacing w:before="156"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5、电池包输出：PWM输出-1路</w:t>
            </w:r>
          </w:p>
          <w:p w14:paraId="4363C9CF">
            <w:pPr>
              <w:pStyle w:val="985"/>
              <w:spacing w:before="156"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6、电池包尺寸：115mm*90mm*55mm</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7A0714">
            <w:pPr>
              <w:widowControl/>
              <w:jc w:val="center"/>
              <w:textAlignment w:val="center"/>
              <w:rPr>
                <w:rFonts w:ascii="宋体" w:hAnsi="宋体" w:cs="宋体"/>
                <w:color w:val="000000"/>
                <w:sz w:val="22"/>
                <w:szCs w:val="22"/>
              </w:rPr>
            </w:pPr>
            <w:r>
              <w:rPr>
                <w:rFonts w:hint="eastAsia" w:ascii="宋体" w:hAnsi="宋体" w:cs="宋体"/>
                <w:color w:val="000000"/>
                <w:sz w:val="22"/>
                <w:szCs w:val="22"/>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6149E1">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2EB7890">
            <w:pPr>
              <w:widowControl/>
              <w:jc w:val="center"/>
              <w:textAlignment w:val="center"/>
              <w:rPr>
                <w:rFonts w:ascii="宋体" w:hAnsi="宋体" w:cs="宋体"/>
                <w:color w:val="000000"/>
                <w:sz w:val="22"/>
                <w:szCs w:val="22"/>
              </w:rPr>
            </w:pPr>
            <w:r>
              <w:rPr>
                <w:rFonts w:hint="eastAsia" w:ascii="宋体" w:hAnsi="宋体" w:cs="宋体"/>
                <w:color w:val="000000"/>
                <w:sz w:val="22"/>
                <w:szCs w:val="22"/>
              </w:rPr>
              <w:t>650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9CCD75">
            <w:pPr>
              <w:jc w:val="center"/>
              <w:rPr>
                <w:rFonts w:hint="eastAsia" w:ascii="宋体" w:hAnsi="宋体" w:cs="宋体"/>
                <w:color w:val="000000"/>
                <w:sz w:val="22"/>
                <w:szCs w:val="22"/>
                <w:highlight w:val="yellow"/>
              </w:rPr>
            </w:pPr>
          </w:p>
        </w:tc>
      </w:tr>
      <w:tr w14:paraId="74BFAB27">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180F27">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81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0248E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30C85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1.太阳能柱帽：喷涂柱帽更换安装</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4DF05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07E07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6128CF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10.90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47CF60">
            <w:pPr>
              <w:jc w:val="center"/>
              <w:rPr>
                <w:rFonts w:hint="eastAsia" w:ascii="宋体" w:hAnsi="宋体" w:cs="宋体"/>
                <w:color w:val="000000"/>
                <w:sz w:val="22"/>
                <w:szCs w:val="22"/>
              </w:rPr>
            </w:pPr>
          </w:p>
        </w:tc>
      </w:tr>
      <w:tr w14:paraId="53B79696">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DAB2FE">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82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79489B">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ADD26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1.玻璃钢防撞桶φ528mm H825mm</w:t>
            </w:r>
            <w:r>
              <w:rPr>
                <w:rFonts w:hint="eastAsia" w:ascii="宋体" w:hAnsi="宋体" w:cs="宋体"/>
                <w:color w:val="000000"/>
                <w:sz w:val="22"/>
                <w:szCs w:val="22"/>
              </w:rPr>
              <w:br w:type="textWrapping"/>
            </w:r>
            <w:r>
              <w:rPr>
                <w:rFonts w:hint="eastAsia" w:ascii="宋体" w:hAnsi="宋体" w:cs="宋体"/>
                <w:color w:val="000000"/>
                <w:sz w:val="22"/>
                <w:szCs w:val="22"/>
              </w:rPr>
              <w:t>2.2/3桶高细砂,</w:t>
            </w:r>
            <w:r>
              <w:rPr>
                <w:rFonts w:hint="eastAsia" w:ascii="宋体" w:hAnsi="宋体" w:cs="宋体"/>
                <w:color w:val="000000"/>
                <w:sz w:val="22"/>
                <w:szCs w:val="22"/>
              </w:rPr>
              <w:br w:type="textWrapping"/>
            </w:r>
            <w:r>
              <w:rPr>
                <w:rFonts w:hint="eastAsia" w:ascii="宋体" w:hAnsi="宋体" w:cs="宋体"/>
                <w:color w:val="000000"/>
                <w:sz w:val="22"/>
                <w:szCs w:val="22"/>
              </w:rPr>
              <w:t>3.详见图纸</w:t>
            </w:r>
            <w:r>
              <w:rPr>
                <w:rFonts w:hint="eastAsia" w:ascii="宋体" w:hAnsi="宋体" w:cs="宋体"/>
                <w:color w:val="000000"/>
                <w:sz w:val="22"/>
                <w:szCs w:val="22"/>
              </w:rPr>
              <w:br w:type="textWrapping"/>
            </w:r>
            <w:r>
              <w:rPr>
                <w:rFonts w:hint="eastAsia" w:ascii="宋体" w:hAnsi="宋体" w:cs="宋体"/>
                <w:color w:val="000000"/>
                <w:sz w:val="22"/>
                <w:szCs w:val="22"/>
              </w:rPr>
              <w:t>4.包含所有安装费用。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761BE3">
            <w:pPr>
              <w:jc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B709F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757FD3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260.90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64BA39">
            <w:pPr>
              <w:jc w:val="center"/>
              <w:rPr>
                <w:rFonts w:hint="eastAsia" w:ascii="宋体" w:hAnsi="宋体" w:cs="宋体"/>
                <w:color w:val="000000"/>
                <w:sz w:val="22"/>
                <w:szCs w:val="22"/>
              </w:rPr>
            </w:pPr>
          </w:p>
        </w:tc>
      </w:tr>
      <w:tr w14:paraId="18F0A008">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C50183">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83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7F1D2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639EA6">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红外语音警示柱:</w:t>
            </w:r>
          </w:p>
          <w:p w14:paraId="5F449C24">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1、材质：304不锈钢材质</w:t>
            </w:r>
          </w:p>
          <w:p w14:paraId="016C008C">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 xml:space="preserve">2、警示柱外观要求                                                                   （1）尺寸1080mm*240mm*120mm                                                               （2）警示柱顶部设有两面智能发光模块                                        （3）警示柱顶部侧面设置交通红外检测器和智能语音模块                                （4）警示柱中部内置红白微棱镜型反光膜  </w:t>
            </w:r>
          </w:p>
          <w:p w14:paraId="1B6C50E8">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3、电压：供电电压AC 220V，工作电压DC 12V</w:t>
            </w:r>
          </w:p>
          <w:p w14:paraId="4852BA1B">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4、功率：30W</w:t>
            </w:r>
          </w:p>
          <w:p w14:paraId="6FD2BA3C">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5、工作环境要求：</w:t>
            </w:r>
          </w:p>
          <w:p w14:paraId="77ED042B">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（1）环境温度：-20 ℃~80℃</w:t>
            </w:r>
          </w:p>
          <w:p w14:paraId="4E0C0DDA">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 xml:space="preserve">（2）环境湿度：湿度小于95%(无凝结) </w:t>
            </w:r>
          </w:p>
          <w:p w14:paraId="55EAB440">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（3）防护等级：IP55</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22A10B">
            <w:pPr>
              <w:jc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BD945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AB528D2">
            <w:pPr>
              <w:jc w:val="center"/>
              <w:rPr>
                <w:rFonts w:ascii="宋体" w:hAnsi="宋体" w:cs="宋体"/>
                <w:color w:val="000000"/>
                <w:sz w:val="22"/>
                <w:szCs w:val="22"/>
              </w:rPr>
            </w:pPr>
            <w:r>
              <w:rPr>
                <w:rFonts w:ascii="宋体" w:hAnsi="宋体" w:cs="宋体"/>
                <w:color w:val="000000"/>
                <w:sz w:val="22"/>
                <w:szCs w:val="22"/>
              </w:rPr>
              <w:t>2600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AAC8F6">
            <w:pPr>
              <w:jc w:val="center"/>
              <w:rPr>
                <w:rFonts w:hint="eastAsia" w:ascii="宋体" w:hAnsi="宋体" w:cs="宋体"/>
                <w:color w:val="000000"/>
                <w:sz w:val="22"/>
                <w:szCs w:val="22"/>
              </w:rPr>
            </w:pPr>
          </w:p>
        </w:tc>
      </w:tr>
      <w:tr w14:paraId="6CC5031F">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905FFF">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84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2FF1F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35C31F9">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3M微棱镜型反光膜:产品柱体圆弧面贴有80cm 长度红白相间3M国标Ⅳ类（超强级）反光膜，使用年限为7年50%亮度保留值，背胶类型为常温压敏胶。</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4A632E">
            <w:pPr>
              <w:jc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14F3B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A185048">
            <w:pPr>
              <w:jc w:val="center"/>
              <w:rPr>
                <w:rFonts w:ascii="宋体" w:hAnsi="宋体" w:cs="宋体"/>
                <w:color w:val="000000"/>
                <w:sz w:val="22"/>
                <w:szCs w:val="22"/>
              </w:rPr>
            </w:pPr>
            <w:r>
              <w:rPr>
                <w:rFonts w:ascii="宋体" w:hAnsi="宋体" w:cs="宋体"/>
                <w:color w:val="000000"/>
                <w:sz w:val="22"/>
                <w:szCs w:val="22"/>
              </w:rPr>
              <w:t>200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85A8C4">
            <w:pPr>
              <w:jc w:val="center"/>
              <w:rPr>
                <w:rFonts w:hint="eastAsia" w:ascii="宋体" w:hAnsi="宋体" w:cs="宋体"/>
                <w:color w:val="000000"/>
                <w:sz w:val="22"/>
                <w:szCs w:val="22"/>
              </w:rPr>
            </w:pPr>
          </w:p>
        </w:tc>
      </w:tr>
      <w:tr w14:paraId="2DCC4CCA">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79C9A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85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F9A6C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23E8E3">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智能语音:1、驱动组成：WT2003H-24SS高品质MP3语音芯片、PAM8320功放模块、UART指定插播地址音乐播放模块IC，可以提供高保真人声发音；</w:t>
            </w:r>
          </w:p>
          <w:p w14:paraId="1FEDC332">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2、扬声器采用保真高音喇叭，聚合物音盆，防水效果好；</w:t>
            </w:r>
          </w:p>
          <w:p w14:paraId="536EF640">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3、阻抗：4欧姆，功率12W。响应频率：80-20000Hz。灵敏度（最大声压级）110分贝。</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F9DCA9">
            <w:pPr>
              <w:jc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979E7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C925E39">
            <w:pPr>
              <w:jc w:val="center"/>
              <w:rPr>
                <w:rFonts w:ascii="宋体" w:hAnsi="宋体" w:cs="宋体"/>
                <w:color w:val="000000"/>
                <w:sz w:val="22"/>
                <w:szCs w:val="22"/>
              </w:rPr>
            </w:pPr>
            <w:r>
              <w:rPr>
                <w:rFonts w:ascii="宋体" w:hAnsi="宋体" w:cs="宋体"/>
                <w:color w:val="000000"/>
                <w:sz w:val="22"/>
                <w:szCs w:val="22"/>
              </w:rPr>
              <w:t>640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6DE171">
            <w:pPr>
              <w:jc w:val="center"/>
              <w:rPr>
                <w:rFonts w:hint="eastAsia" w:ascii="宋体" w:hAnsi="宋体" w:cs="宋体"/>
                <w:color w:val="000000"/>
                <w:sz w:val="22"/>
                <w:szCs w:val="22"/>
              </w:rPr>
            </w:pPr>
          </w:p>
        </w:tc>
      </w:tr>
      <w:tr w14:paraId="6243B0B9">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BE10BE">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86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BB8B0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B7B243">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智能发光:1、发光单元采用先进的匀光透镜，发光均匀；</w:t>
            </w:r>
          </w:p>
          <w:p w14:paraId="0B640026">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2、圆弧形模块，水平可视角高达200度；</w:t>
            </w:r>
          </w:p>
          <w:p w14:paraId="57445498">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3、可视距离：夜间静态可视距离≥100米；</w:t>
            </w:r>
          </w:p>
          <w:p w14:paraId="38785BED">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4、灯罩采用PC+匀光剂，发光呈面光源，无点光眩光，不刺眼；</w:t>
            </w:r>
          </w:p>
          <w:p w14:paraId="2195F4E7">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发光面高度42mm，有效提升可识别度。"</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8F91F6">
            <w:pPr>
              <w:jc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E101E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6D82BC9">
            <w:pPr>
              <w:jc w:val="center"/>
              <w:rPr>
                <w:rFonts w:ascii="宋体" w:hAnsi="宋体" w:cs="宋体"/>
                <w:color w:val="000000"/>
                <w:sz w:val="22"/>
                <w:szCs w:val="22"/>
              </w:rPr>
            </w:pPr>
            <w:r>
              <w:rPr>
                <w:rFonts w:ascii="宋体" w:hAnsi="宋体" w:cs="宋体"/>
                <w:color w:val="000000"/>
                <w:sz w:val="22"/>
                <w:szCs w:val="22"/>
              </w:rPr>
              <w:t>200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062C3E">
            <w:pPr>
              <w:jc w:val="center"/>
              <w:rPr>
                <w:rFonts w:hint="eastAsia" w:ascii="宋体" w:hAnsi="宋体" w:cs="宋体"/>
                <w:color w:val="000000"/>
                <w:sz w:val="22"/>
                <w:szCs w:val="22"/>
              </w:rPr>
            </w:pPr>
          </w:p>
        </w:tc>
      </w:tr>
      <w:tr w14:paraId="76F68F3E">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22B7B0">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87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083D5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B31F42">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交通红外检测:1、检测器采用红外光对射检测；</w:t>
            </w:r>
          </w:p>
          <w:p w14:paraId="37F049AB">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2、产品含有极性保护、过压保护、过流保护；</w:t>
            </w:r>
          </w:p>
          <w:p w14:paraId="39C97083">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3、环氧树脂封装，防护等级IP67；</w:t>
            </w:r>
          </w:p>
          <w:p w14:paraId="5B1150A4">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4、最高检测距离20m；</w:t>
            </w:r>
          </w:p>
          <w:p w14:paraId="1FF6D0D5">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5、红外通讯光采用加密脉冲模式，可避免50000Lux强光干扰；</w:t>
            </w:r>
          </w:p>
          <w:p w14:paraId="47995EDD">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工作电压宽电压，适配10~30VDC。"</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38998B">
            <w:pPr>
              <w:jc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35663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3AFA662">
            <w:pPr>
              <w:jc w:val="center"/>
              <w:rPr>
                <w:rFonts w:ascii="宋体" w:hAnsi="宋体" w:cs="宋体"/>
                <w:color w:val="000000"/>
                <w:sz w:val="22"/>
                <w:szCs w:val="22"/>
              </w:rPr>
            </w:pPr>
            <w:r>
              <w:rPr>
                <w:rFonts w:ascii="宋体" w:hAnsi="宋体" w:cs="宋体"/>
                <w:color w:val="000000"/>
                <w:sz w:val="22"/>
                <w:szCs w:val="22"/>
              </w:rPr>
              <w:t>350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C5FB8F">
            <w:pPr>
              <w:jc w:val="center"/>
              <w:rPr>
                <w:rFonts w:hint="eastAsia" w:ascii="宋体" w:hAnsi="宋体" w:cs="宋体"/>
                <w:color w:val="000000"/>
                <w:sz w:val="22"/>
                <w:szCs w:val="22"/>
              </w:rPr>
            </w:pPr>
          </w:p>
        </w:tc>
      </w:tr>
      <w:tr w14:paraId="79CFC706">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25A3CA">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88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3E79E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F5F4AA">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嵌入式控制主板:采用基于ARM® Cortex®-M系列内核的STM32系列高性能MCU，32位处理器，工作频率高达550 MHz。从Flash执行程序时，STM32系列能够实现2778 CoreMark /1177 DMIPS的性能。</w:t>
            </w:r>
          </w:p>
          <w:p w14:paraId="32A5C638">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STM32系列MCU包含以下额外的安全特性：</w:t>
            </w:r>
          </w:p>
          <w:p w14:paraId="60B19E14">
            <w:pPr>
              <w:widowControl/>
              <w:jc w:val="left"/>
              <w:textAlignment w:val="center"/>
              <w:rPr>
                <w:rFonts w:ascii="宋体" w:hAnsi="宋体" w:cs="宋体"/>
                <w:color w:val="000000"/>
                <w:sz w:val="22"/>
                <w:szCs w:val="22"/>
                <w:highlight w:val="yellow"/>
              </w:rPr>
            </w:pPr>
            <w:r>
              <w:rPr>
                <w:rFonts w:ascii="宋体" w:hAnsi="宋体" w:cs="宋体"/>
                <w:color w:val="000000"/>
                <w:sz w:val="22"/>
                <w:szCs w:val="22"/>
                <w:highlight w:val="yellow"/>
              </w:rPr>
              <w:t></w:t>
            </w:r>
            <w:r>
              <w:rPr>
                <w:rFonts w:hint="eastAsia" w:ascii="宋体" w:hAnsi="宋体" w:cs="宋体"/>
                <w:color w:val="000000"/>
                <w:sz w:val="22"/>
                <w:szCs w:val="22"/>
                <w:highlight w:val="yellow"/>
              </w:rPr>
              <w:t>加密</w:t>
            </w:r>
            <w:r>
              <w:rPr>
                <w:rFonts w:ascii="宋体" w:hAnsi="宋体" w:cs="宋体"/>
                <w:color w:val="000000"/>
                <w:sz w:val="22"/>
                <w:szCs w:val="22"/>
                <w:highlight w:val="yellow"/>
              </w:rPr>
              <w:t>/Hash</w:t>
            </w:r>
            <w:r>
              <w:rPr>
                <w:rFonts w:hint="eastAsia" w:ascii="宋体" w:hAnsi="宋体" w:cs="宋体"/>
                <w:color w:val="000000"/>
                <w:sz w:val="22"/>
                <w:szCs w:val="22"/>
                <w:highlight w:val="yellow"/>
              </w:rPr>
              <w:t>硬件加速器</w:t>
            </w:r>
          </w:p>
          <w:p w14:paraId="5E35523A">
            <w:pPr>
              <w:widowControl/>
              <w:jc w:val="left"/>
              <w:textAlignment w:val="center"/>
              <w:rPr>
                <w:rFonts w:ascii="宋体" w:hAnsi="宋体" w:cs="宋体"/>
                <w:color w:val="000000"/>
                <w:sz w:val="22"/>
                <w:szCs w:val="22"/>
                <w:highlight w:val="yellow"/>
              </w:rPr>
            </w:pPr>
            <w:r>
              <w:rPr>
                <w:rFonts w:ascii="宋体" w:hAnsi="宋体" w:cs="宋体"/>
                <w:color w:val="000000"/>
                <w:sz w:val="22"/>
                <w:szCs w:val="22"/>
                <w:highlight w:val="yellow"/>
              </w:rPr>
              <w:t>STM32H757</w:t>
            </w:r>
            <w:r>
              <w:rPr>
                <w:rFonts w:hint="eastAsia" w:ascii="宋体" w:hAnsi="宋体" w:cs="宋体"/>
                <w:color w:val="000000"/>
                <w:sz w:val="22"/>
                <w:szCs w:val="22"/>
                <w:highlight w:val="yellow"/>
              </w:rPr>
              <w:t>支持嵌入式安全固件安装服务（</w:t>
            </w:r>
            <w:r>
              <w:rPr>
                <w:rFonts w:ascii="宋体" w:hAnsi="宋体" w:cs="宋体"/>
                <w:color w:val="000000"/>
                <w:sz w:val="22"/>
                <w:szCs w:val="22"/>
                <w:highlight w:val="yellow"/>
              </w:rPr>
              <w:t>SFI</w:t>
            </w:r>
            <w:r>
              <w:rPr>
                <w:rFonts w:hint="eastAsia" w:ascii="宋体" w:hAnsi="宋体" w:cs="宋体"/>
                <w:color w:val="000000"/>
                <w:sz w:val="22"/>
                <w:szCs w:val="22"/>
                <w:highlight w:val="yellow"/>
              </w:rPr>
              <w:t>），可在执行初始程序时执行安全验证并保护软件</w:t>
            </w:r>
            <w:r>
              <w:rPr>
                <w:rFonts w:ascii="宋体" w:hAnsi="宋体" w:cs="宋体"/>
                <w:color w:val="000000"/>
                <w:sz w:val="22"/>
                <w:szCs w:val="22"/>
                <w:highlight w:val="yellow"/>
              </w:rPr>
              <w:t>IP</w:t>
            </w:r>
          </w:p>
          <w:p w14:paraId="1818E682">
            <w:pPr>
              <w:widowControl/>
              <w:jc w:val="left"/>
              <w:textAlignment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安全启动和安全固件升级（SBSFU）"</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87F208">
            <w:pPr>
              <w:jc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374A4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5818708">
            <w:pPr>
              <w:jc w:val="center"/>
              <w:rPr>
                <w:rFonts w:ascii="宋体" w:hAnsi="宋体" w:cs="宋体"/>
                <w:color w:val="000000"/>
                <w:sz w:val="22"/>
                <w:szCs w:val="22"/>
              </w:rPr>
            </w:pPr>
            <w:r>
              <w:rPr>
                <w:rFonts w:ascii="宋体" w:hAnsi="宋体" w:cs="宋体"/>
                <w:color w:val="000000"/>
                <w:sz w:val="22"/>
                <w:szCs w:val="22"/>
              </w:rPr>
              <w:t>2000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871493">
            <w:pPr>
              <w:jc w:val="center"/>
              <w:rPr>
                <w:rFonts w:hint="eastAsia" w:ascii="宋体" w:hAnsi="宋体" w:cs="宋体"/>
                <w:color w:val="000000"/>
                <w:sz w:val="22"/>
                <w:szCs w:val="22"/>
              </w:rPr>
            </w:pPr>
          </w:p>
        </w:tc>
      </w:tr>
      <w:tr w14:paraId="2A28F50A">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1214B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89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19766F">
            <w:pPr>
              <w:jc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20C10C">
            <w:pPr>
              <w:pStyle w:val="985"/>
              <w:spacing w:before="0" w:beforeLines="0" w:line="240" w:lineRule="auto"/>
              <w:ind w:firstLine="0" w:firstLineChars="0"/>
              <w:jc w:val="left"/>
              <w:rPr>
                <w:rFonts w:hint="eastAsia" w:ascii="宋体" w:hAnsi="宋体" w:eastAsia="宋体" w:cs="宋体"/>
                <w:color w:val="000000"/>
                <w:sz w:val="22"/>
                <w:szCs w:val="22"/>
                <w:highlight w:val="yellow"/>
              </w:rPr>
            </w:pPr>
            <w:r>
              <w:rPr>
                <w:rFonts w:hint="eastAsia" w:ascii="宋体" w:hAnsi="宋体" w:eastAsia="宋体" w:cs="宋体"/>
                <w:color w:val="000000"/>
                <w:sz w:val="22"/>
                <w:szCs w:val="22"/>
                <w:highlight w:val="yellow"/>
              </w:rPr>
              <w:t>开关电源:1、采用工程级防雨开关电源；</w:t>
            </w:r>
          </w:p>
          <w:p w14:paraId="738B38D1">
            <w:pPr>
              <w:pStyle w:val="985"/>
              <w:spacing w:before="0" w:beforeLines="0" w:line="240" w:lineRule="auto"/>
              <w:ind w:firstLine="0" w:firstLineChars="0"/>
              <w:jc w:val="left"/>
              <w:rPr>
                <w:rFonts w:hint="eastAsia" w:ascii="宋体" w:hAnsi="宋体" w:eastAsia="宋体" w:cs="宋体"/>
                <w:color w:val="000000"/>
                <w:sz w:val="22"/>
                <w:szCs w:val="22"/>
                <w:highlight w:val="yellow"/>
              </w:rPr>
            </w:pPr>
            <w:r>
              <w:rPr>
                <w:rFonts w:hint="eastAsia" w:ascii="宋体" w:hAnsi="宋体" w:eastAsia="宋体" w:cs="宋体"/>
                <w:color w:val="000000"/>
                <w:sz w:val="22"/>
                <w:szCs w:val="22"/>
                <w:highlight w:val="yellow"/>
              </w:rPr>
              <w:t>2、防护等级：IP65；</w:t>
            </w:r>
          </w:p>
          <w:p w14:paraId="5FE98FC9">
            <w:pPr>
              <w:pStyle w:val="985"/>
              <w:spacing w:before="0" w:beforeLines="0" w:line="240" w:lineRule="auto"/>
              <w:ind w:firstLine="0" w:firstLineChars="0"/>
              <w:jc w:val="left"/>
              <w:rPr>
                <w:rFonts w:hint="eastAsia" w:ascii="宋体" w:hAnsi="宋体" w:eastAsia="宋体" w:cs="宋体"/>
                <w:color w:val="000000"/>
                <w:sz w:val="22"/>
                <w:szCs w:val="22"/>
                <w:highlight w:val="yellow"/>
              </w:rPr>
            </w:pPr>
            <w:r>
              <w:rPr>
                <w:rFonts w:hint="eastAsia" w:ascii="宋体" w:hAnsi="宋体" w:eastAsia="宋体" w:cs="宋体"/>
                <w:color w:val="000000"/>
                <w:sz w:val="22"/>
                <w:szCs w:val="22"/>
                <w:highlight w:val="yellow"/>
              </w:rPr>
              <w:t>3、电路保护：短路/过负载/过电压/过热；</w:t>
            </w:r>
          </w:p>
          <w:p w14:paraId="509CEEBA">
            <w:pPr>
              <w:pStyle w:val="985"/>
              <w:spacing w:before="0" w:beforeLines="0" w:line="240" w:lineRule="auto"/>
              <w:ind w:firstLine="0" w:firstLineChars="0"/>
              <w:jc w:val="left"/>
              <w:rPr>
                <w:rFonts w:hint="eastAsia" w:ascii="宋体" w:hAnsi="宋体" w:eastAsia="宋体" w:cs="宋体"/>
                <w:color w:val="000000"/>
                <w:sz w:val="22"/>
                <w:szCs w:val="22"/>
                <w:highlight w:val="yellow"/>
              </w:rPr>
            </w:pPr>
            <w:r>
              <w:rPr>
                <w:rFonts w:hint="eastAsia" w:ascii="宋体" w:hAnsi="宋体" w:eastAsia="宋体" w:cs="宋体"/>
                <w:color w:val="000000"/>
                <w:sz w:val="22"/>
                <w:szCs w:val="22"/>
                <w:highlight w:val="yellow"/>
              </w:rPr>
              <w:t>4、内置风扇，有效控制温升；</w:t>
            </w:r>
          </w:p>
          <w:p w14:paraId="65779393">
            <w:pPr>
              <w:pStyle w:val="985"/>
              <w:spacing w:before="0" w:beforeLines="0" w:line="240" w:lineRule="auto"/>
              <w:ind w:firstLine="0" w:firstLineChars="0"/>
              <w:jc w:val="left"/>
              <w:rPr>
                <w:rFonts w:hint="eastAsia" w:ascii="宋体" w:hAnsi="宋体" w:eastAsia="宋体" w:cs="宋体"/>
                <w:color w:val="000000"/>
                <w:sz w:val="22"/>
                <w:szCs w:val="22"/>
                <w:highlight w:val="yellow"/>
              </w:rPr>
            </w:pPr>
            <w:r>
              <w:rPr>
                <w:rFonts w:hint="eastAsia" w:ascii="宋体" w:hAnsi="宋体" w:eastAsia="宋体" w:cs="宋体"/>
                <w:color w:val="000000"/>
                <w:sz w:val="22"/>
                <w:szCs w:val="22"/>
                <w:highlight w:val="yellow"/>
              </w:rPr>
              <w:t>5、宽电压输入：180-265VAC；</w:t>
            </w:r>
          </w:p>
          <w:p w14:paraId="027B6CA1">
            <w:pPr>
              <w:pStyle w:val="985"/>
              <w:spacing w:before="0" w:beforeLines="0" w:line="240" w:lineRule="auto"/>
              <w:ind w:firstLine="0" w:firstLineChars="0"/>
              <w:jc w:val="left"/>
              <w:rPr>
                <w:rFonts w:hint="eastAsia" w:ascii="宋体" w:hAnsi="宋体" w:eastAsia="宋体" w:cs="宋体"/>
                <w:color w:val="000000"/>
                <w:sz w:val="22"/>
                <w:szCs w:val="22"/>
                <w:highlight w:val="yellow"/>
              </w:rPr>
            </w:pPr>
            <w:r>
              <w:rPr>
                <w:rFonts w:hint="eastAsia" w:ascii="宋体" w:hAnsi="宋体" w:eastAsia="宋体" w:cs="宋体"/>
                <w:color w:val="000000"/>
                <w:sz w:val="22"/>
                <w:szCs w:val="22"/>
                <w:highlight w:val="yellow"/>
              </w:rPr>
              <w:t>6、稳压输出：12±0.2VDC；</w:t>
            </w:r>
          </w:p>
          <w:p w14:paraId="5CE4C397">
            <w:pPr>
              <w:pStyle w:val="985"/>
              <w:spacing w:before="0" w:beforeLines="0" w:line="240" w:lineRule="auto"/>
              <w:ind w:firstLine="0" w:firstLineChars="0"/>
              <w:jc w:val="left"/>
              <w:rPr>
                <w:rFonts w:hint="eastAsia" w:ascii="宋体" w:hAnsi="宋体" w:eastAsia="宋体" w:cs="宋体"/>
                <w:color w:val="000000"/>
                <w:sz w:val="22"/>
                <w:szCs w:val="22"/>
                <w:highlight w:val="yellow"/>
              </w:rPr>
            </w:pPr>
            <w:r>
              <w:rPr>
                <w:rFonts w:hint="eastAsia" w:ascii="宋体" w:hAnsi="宋体" w:eastAsia="宋体" w:cs="宋体"/>
                <w:color w:val="000000"/>
                <w:sz w:val="22"/>
                <w:szCs w:val="22"/>
                <w:highlight w:val="yellow"/>
              </w:rPr>
              <w:t>7、最大功率支持300W。</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26B978">
            <w:pPr>
              <w:jc w:val="center"/>
              <w:rPr>
                <w:rFonts w:hint="eastAsia" w:ascii="宋体" w:hAnsi="宋体" w:cs="宋体"/>
                <w:color w:val="000000"/>
                <w:sz w:val="22"/>
                <w:szCs w:val="22"/>
                <w:highlight w:val="yellow"/>
              </w:rPr>
            </w:pPr>
            <w:r>
              <w:rPr>
                <w:rFonts w:hint="eastAsia" w:ascii="宋体" w:hAnsi="宋体" w:cs="宋体"/>
                <w:color w:val="000000"/>
                <w:sz w:val="22"/>
                <w:szCs w:val="22"/>
                <w:highlight w:val="yellow"/>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580F1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7AB183C">
            <w:pPr>
              <w:jc w:val="center"/>
              <w:rPr>
                <w:rFonts w:ascii="宋体" w:hAnsi="宋体" w:cs="宋体"/>
                <w:color w:val="000000"/>
                <w:sz w:val="22"/>
                <w:szCs w:val="22"/>
              </w:rPr>
            </w:pPr>
            <w:r>
              <w:rPr>
                <w:rFonts w:ascii="宋体" w:hAnsi="宋体" w:cs="宋体"/>
                <w:color w:val="000000"/>
                <w:sz w:val="22"/>
                <w:szCs w:val="22"/>
              </w:rPr>
              <w:t>500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CAE55E">
            <w:pPr>
              <w:jc w:val="center"/>
              <w:rPr>
                <w:rFonts w:hint="eastAsia" w:ascii="宋体" w:hAnsi="宋体" w:cs="宋体"/>
                <w:color w:val="000000"/>
                <w:sz w:val="22"/>
                <w:szCs w:val="22"/>
              </w:rPr>
            </w:pPr>
          </w:p>
        </w:tc>
      </w:tr>
      <w:tr w14:paraId="530C8192">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D8E8D7">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90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AE1B7B">
            <w:pPr>
              <w:jc w:val="center"/>
              <w:rPr>
                <w:rFonts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37ABF3">
            <w:pPr>
              <w:pStyle w:val="985"/>
              <w:spacing w:before="156" w:line="240" w:lineRule="auto"/>
              <w:ind w:firstLine="0" w:firstLineChars="0"/>
              <w:rPr>
                <w:rFonts w:hint="eastAsia" w:ascii="宋体" w:hAnsi="宋体" w:eastAsia="宋体" w:cs="宋体"/>
                <w:color w:val="000000"/>
                <w:sz w:val="22"/>
                <w:szCs w:val="22"/>
                <w:highlight w:val="yellow"/>
              </w:rPr>
            </w:pPr>
            <w:r>
              <w:rPr>
                <w:rFonts w:hint="eastAsia" w:ascii="宋体" w:hAnsi="宋体" w:eastAsia="宋体" w:cs="宋体"/>
                <w:color w:val="000000"/>
                <w:sz w:val="22"/>
                <w:szCs w:val="22"/>
                <w:highlight w:val="yellow"/>
              </w:rPr>
              <w:t>自动重合闸用电保护器:具备自动复位、过压、欠压、过流、漏电、防雷、延时保护功能和电压显示、设置等功能。</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EFBD6F">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288DCB">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F769D00">
            <w:pPr>
              <w:jc w:val="center"/>
              <w:rPr>
                <w:rFonts w:ascii="宋体" w:hAnsi="宋体" w:cs="宋体"/>
                <w:color w:val="000000"/>
                <w:sz w:val="22"/>
                <w:szCs w:val="22"/>
              </w:rPr>
            </w:pPr>
            <w:r>
              <w:rPr>
                <w:rFonts w:ascii="宋体" w:hAnsi="宋体" w:cs="宋体"/>
                <w:color w:val="000000"/>
                <w:sz w:val="22"/>
                <w:szCs w:val="22"/>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A53E83">
            <w:pPr>
              <w:jc w:val="center"/>
              <w:rPr>
                <w:rFonts w:hint="eastAsia" w:ascii="宋体" w:hAnsi="宋体" w:cs="宋体"/>
                <w:color w:val="000000"/>
                <w:sz w:val="22"/>
                <w:szCs w:val="22"/>
              </w:rPr>
            </w:pPr>
          </w:p>
        </w:tc>
      </w:tr>
      <w:tr w14:paraId="293CC47C">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380DCC">
            <w:pPr>
              <w:widowControl/>
              <w:jc w:val="center"/>
              <w:textAlignment w:val="center"/>
              <w:rPr>
                <w:rFonts w:hint="eastAsia" w:ascii="宋体" w:hAnsi="宋体" w:eastAsia="宋体" w:cs="宋体"/>
                <w:color w:val="000000"/>
                <w:kern w:val="2"/>
                <w:sz w:val="22"/>
                <w:szCs w:val="22"/>
                <w:highlight w:val="yellow"/>
                <w:lang w:val="en-US" w:eastAsia="zh-CN" w:bidi="ar-SA"/>
              </w:rPr>
            </w:pPr>
            <w:r>
              <w:rPr>
                <w:rFonts w:hint="eastAsia" w:ascii="宋体" w:hAnsi="宋体" w:cs="宋体"/>
                <w:color w:val="000000"/>
                <w:sz w:val="22"/>
                <w:szCs w:val="22"/>
              </w:rPr>
              <w:t>91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88E59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B060A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1、太阳能GPS同频发光道钉</w:t>
            </w:r>
          </w:p>
          <w:p w14:paraId="08D6FD54">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产品尺寸：φ120*50mm</w:t>
            </w:r>
          </w:p>
          <w:p w14:paraId="257FD7C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2、产品材质为铝锭，进口PC 料注塑，表面抗压74T，灯光颜色为黄色光，夜间可视距离≥500米，具有常亮和闪烁两种模式，产品质保1年。</w:t>
            </w:r>
          </w:p>
          <w:p w14:paraId="30161C0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3、控制器主芯片采用GPS同频控制技术，性能稳定、抗干扰性强。</w:t>
            </w:r>
          </w:p>
          <w:p w14:paraId="4DAD2C6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4、产品由太阳能供电，充电电压5V，充电电流标准光强下220ma；产品由高效锂电池供电，产品额定电压3.2V，待机电流1ma。</w:t>
            </w:r>
          </w:p>
          <w:p w14:paraId="35C3D79C">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5、产品工作环境要求工作温度：-20℃至80℃，相对湿度90%RH，防尘防水等级：IP68。</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0E3C4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D2014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DB7A30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980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1C6832">
            <w:pPr>
              <w:jc w:val="center"/>
              <w:rPr>
                <w:rFonts w:hint="eastAsia" w:ascii="宋体" w:hAnsi="宋体" w:cs="宋体"/>
                <w:color w:val="000000"/>
                <w:sz w:val="22"/>
                <w:szCs w:val="22"/>
              </w:rPr>
            </w:pPr>
          </w:p>
        </w:tc>
      </w:tr>
      <w:tr w14:paraId="19222FBC">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A603CF">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92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D1E825">
            <w:pPr>
              <w:pStyle w:val="986"/>
              <w:numPr>
                <w:ilvl w:val="0"/>
                <w:numId w:val="0"/>
              </w:numPr>
              <w:spacing w:line="240" w:lineRule="auto"/>
              <w:rPr>
                <w:rFonts w:hint="eastAsia" w:ascii="宋体" w:hAnsi="宋体" w:eastAsia="宋体" w:cs="宋体"/>
                <w:bCs w:val="0"/>
                <w:color w:val="000000"/>
                <w:sz w:val="22"/>
                <w:szCs w:val="22"/>
              </w:rPr>
            </w:pPr>
            <w:r>
              <w:rPr>
                <w:rFonts w:hint="eastAsia" w:ascii="宋体" w:hAnsi="宋体" w:eastAsia="宋体" w:cs="宋体"/>
                <w:bCs w:val="0"/>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62BACF">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bCs/>
                <w:color w:val="000000"/>
                <w:sz w:val="22"/>
                <w:szCs w:val="22"/>
              </w:rPr>
              <w:t>智能斑马线有线道钉</w:t>
            </w:r>
            <w:r>
              <w:rPr>
                <w:rFonts w:hint="eastAsia" w:ascii="宋体" w:hAnsi="宋体" w:eastAsia="宋体" w:cs="宋体"/>
                <w:color w:val="000000"/>
                <w:sz w:val="22"/>
                <w:szCs w:val="22"/>
              </w:rPr>
              <w:t>：</w:t>
            </w:r>
          </w:p>
          <w:p w14:paraId="27C3FF8A">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1、外壳材质为镁铝合金，内胆壳体防弹PC 料注塑， 环氧树脂密封控制板并填充，表面抗压40T；                             </w:t>
            </w:r>
          </w:p>
          <w:p w14:paraId="4A440481">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2、产品尺寸为：φ126mm，高度56mm；</w:t>
            </w:r>
          </w:p>
          <w:p w14:paraId="5ED40A7B">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3、产品工作环境要求工作温度：-20℃至80℃，相对湿度90%RH，防尘防水等级：IP68。                         </w:t>
            </w:r>
          </w:p>
          <w:p w14:paraId="723968AF">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智能光学发光单元：</w:t>
            </w:r>
          </w:p>
          <w:p w14:paraId="1121CC46">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采用高亮led防水灯珠，法向16个、侧向6个高亮防水灯珠矩阵排列，透明环氧树脂填充固化，顶部面板经过匀光加工处理，确保灯光均匀不刺眼。</w:t>
            </w:r>
          </w:p>
          <w:p w14:paraId="22666B78">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有源控制主板：</w:t>
            </w:r>
          </w:p>
          <w:p w14:paraId="462BA562">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控制器主芯片采用高性能单片机，该产品可配合智能检测器和有线信号控制协同工作，具有黄色和白色两种灯色可选。</w:t>
            </w:r>
          </w:p>
          <w:p w14:paraId="680AAF52">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GPS定位控制单元：</w:t>
            </w:r>
          </w:p>
          <w:p w14:paraId="1655E7CB">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GPS模块由集成了RF射频芯片、基带芯片、核心CPU和相关外围电路组成，用于对道钉的定位和同频控制。</w:t>
            </w:r>
          </w:p>
          <w:p w14:paraId="27085C91">
            <w:pPr>
              <w:pStyle w:val="985"/>
              <w:spacing w:before="0" w:beforeLines="0" w:line="240" w:lineRule="auto"/>
              <w:ind w:firstLine="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可接收全球定位系统接收器类型20个频道， L1的频率，1.023兆赫芯片速度， C / A码1.023兆赫芯片速度。</w:t>
            </w:r>
          </w:p>
          <w:p w14:paraId="757E2E5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时间精度 1微秒同步GPS时间。</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D8F8F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C1742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850FE39">
            <w:pPr>
              <w:widowControl/>
              <w:jc w:val="center"/>
              <w:textAlignment w:val="center"/>
              <w:rPr>
                <w:rFonts w:ascii="宋体" w:hAnsi="宋体" w:cs="宋体"/>
                <w:color w:val="000000"/>
                <w:sz w:val="22"/>
                <w:szCs w:val="22"/>
              </w:rPr>
            </w:pPr>
            <w:r>
              <w:rPr>
                <w:rFonts w:hint="eastAsia" w:ascii="宋体" w:hAnsi="宋体" w:cs="宋体"/>
                <w:color w:val="000000"/>
                <w:sz w:val="22"/>
                <w:szCs w:val="22"/>
              </w:rPr>
              <w:t>1000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D31737">
            <w:pPr>
              <w:jc w:val="center"/>
              <w:rPr>
                <w:rFonts w:hint="eastAsia" w:ascii="宋体" w:hAnsi="宋体" w:cs="宋体"/>
                <w:color w:val="000000"/>
                <w:sz w:val="22"/>
                <w:szCs w:val="22"/>
              </w:rPr>
            </w:pPr>
          </w:p>
        </w:tc>
      </w:tr>
      <w:tr w14:paraId="0273D0C3">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D20197">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93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110769">
            <w:pPr>
              <w:jc w:val="cente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3E39CCA">
            <w:pPr>
              <w:jc w:val="left"/>
              <w:rPr>
                <w:rFonts w:hint="eastAsia" w:ascii="宋体" w:hAnsi="宋体" w:cs="宋体"/>
                <w:color w:val="000000"/>
                <w:sz w:val="22"/>
                <w:szCs w:val="22"/>
              </w:rPr>
            </w:pPr>
            <w:r>
              <w:rPr>
                <w:rFonts w:hint="eastAsia" w:ascii="宋体" w:hAnsi="宋体" w:cs="宋体"/>
                <w:color w:val="000000"/>
                <w:sz w:val="22"/>
                <w:szCs w:val="22"/>
              </w:rPr>
              <w:t>单面道钉：长10.16cm×宽8.9cm×高1.6 cm含配件</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240B8F">
            <w:pPr>
              <w:jc w:val="center"/>
              <w:rPr>
                <w:rFonts w:hint="eastAsia" w:ascii="宋体" w:hAnsi="宋体" w:cs="宋体"/>
                <w:color w:val="000000"/>
                <w:sz w:val="22"/>
                <w:szCs w:val="22"/>
              </w:rPr>
            </w:pPr>
            <w:r>
              <w:rPr>
                <w:rFonts w:hint="eastAsia" w:ascii="宋体" w:hAnsi="宋体" w:cs="宋体"/>
                <w:color w:val="000000"/>
                <w:sz w:val="22"/>
                <w:szCs w:val="22"/>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898743">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3CA042E">
            <w:pPr>
              <w:jc w:val="center"/>
              <w:rPr>
                <w:rFonts w:hint="eastAsia" w:ascii="宋体" w:hAnsi="宋体" w:cs="宋体"/>
                <w:color w:val="000000"/>
                <w:sz w:val="22"/>
                <w:szCs w:val="22"/>
              </w:rPr>
            </w:pPr>
            <w:r>
              <w:rPr>
                <w:rFonts w:hint="eastAsia" w:ascii="宋体" w:hAnsi="宋体" w:cs="宋体"/>
                <w:color w:val="000000"/>
                <w:sz w:val="22"/>
                <w:szCs w:val="22"/>
              </w:rPr>
              <w:t>30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7DE4FF">
            <w:pPr>
              <w:jc w:val="center"/>
              <w:rPr>
                <w:rFonts w:hint="eastAsia" w:ascii="宋体" w:hAnsi="宋体" w:cs="宋体"/>
                <w:color w:val="000000"/>
                <w:sz w:val="22"/>
                <w:szCs w:val="22"/>
              </w:rPr>
            </w:pPr>
          </w:p>
        </w:tc>
      </w:tr>
      <w:tr w14:paraId="42D44C63">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3D7AA8">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94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F25380">
            <w:pPr>
              <w:jc w:val="cente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C80560">
            <w:pPr>
              <w:jc w:val="left"/>
              <w:rPr>
                <w:rFonts w:hint="eastAsia" w:ascii="宋体" w:hAnsi="宋体" w:cs="宋体"/>
                <w:color w:val="000000"/>
                <w:sz w:val="22"/>
                <w:szCs w:val="22"/>
              </w:rPr>
            </w:pPr>
            <w:r>
              <w:rPr>
                <w:rFonts w:hint="eastAsia" w:ascii="宋体" w:hAnsi="宋体" w:cs="宋体"/>
                <w:color w:val="000000"/>
                <w:sz w:val="22"/>
                <w:szCs w:val="22"/>
              </w:rPr>
              <w:t>双面道钉：长10.16cm×宽8.9cm×高1.6 cm含配件</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48CEB8">
            <w:pPr>
              <w:jc w:val="center"/>
              <w:rPr>
                <w:rFonts w:hint="eastAsia" w:ascii="宋体" w:hAnsi="宋体" w:cs="宋体"/>
                <w:color w:val="000000"/>
                <w:sz w:val="22"/>
                <w:szCs w:val="22"/>
              </w:rPr>
            </w:pPr>
            <w:r>
              <w:rPr>
                <w:rFonts w:hint="eastAsia" w:ascii="宋体" w:hAnsi="宋体" w:cs="宋体"/>
                <w:color w:val="000000"/>
                <w:sz w:val="22"/>
                <w:szCs w:val="22"/>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56375A">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D8DD24B">
            <w:pPr>
              <w:jc w:val="center"/>
              <w:rPr>
                <w:rFonts w:hint="eastAsia" w:ascii="宋体" w:hAnsi="宋体" w:cs="宋体"/>
                <w:color w:val="000000"/>
                <w:sz w:val="22"/>
                <w:szCs w:val="22"/>
              </w:rPr>
            </w:pPr>
            <w:r>
              <w:rPr>
                <w:rFonts w:hint="eastAsia" w:ascii="宋体" w:hAnsi="宋体" w:cs="宋体"/>
                <w:color w:val="000000"/>
                <w:sz w:val="22"/>
                <w:szCs w:val="22"/>
              </w:rPr>
              <w:t>45</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84C810">
            <w:pPr>
              <w:jc w:val="center"/>
              <w:rPr>
                <w:rFonts w:hint="eastAsia" w:ascii="宋体" w:hAnsi="宋体" w:cs="宋体"/>
                <w:color w:val="000000"/>
                <w:sz w:val="22"/>
                <w:szCs w:val="22"/>
              </w:rPr>
            </w:pPr>
          </w:p>
        </w:tc>
      </w:tr>
      <w:tr w14:paraId="3BAE9482">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6CC76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8A0B33">
            <w:pPr>
              <w:jc w:val="cente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0A07FF">
            <w:pPr>
              <w:jc w:val="left"/>
              <w:rPr>
                <w:rFonts w:hint="eastAsia" w:ascii="宋体" w:hAnsi="宋体" w:cs="宋体"/>
                <w:color w:val="000000"/>
                <w:sz w:val="22"/>
                <w:szCs w:val="22"/>
              </w:rPr>
            </w:pPr>
            <w:r>
              <w:rPr>
                <w:rFonts w:hint="eastAsia" w:ascii="宋体" w:hAnsi="宋体" w:cs="宋体"/>
                <w:color w:val="000000"/>
                <w:sz w:val="22"/>
                <w:szCs w:val="22"/>
              </w:rPr>
              <w:t>突起路标：长155MM*宽120MM*高26MM含安装</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A078B7">
            <w:pPr>
              <w:jc w:val="center"/>
              <w:rPr>
                <w:rFonts w:hint="eastAsia" w:ascii="宋体" w:hAnsi="宋体" w:cs="宋体"/>
                <w:color w:val="000000"/>
                <w:sz w:val="22"/>
                <w:szCs w:val="22"/>
              </w:rPr>
            </w:pP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BB3A80">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DBA381F">
            <w:pPr>
              <w:jc w:val="center"/>
              <w:rPr>
                <w:rFonts w:hint="eastAsia" w:ascii="宋体" w:hAnsi="宋体" w:cs="宋体"/>
                <w:color w:val="000000"/>
                <w:sz w:val="22"/>
                <w:szCs w:val="22"/>
              </w:rPr>
            </w:pPr>
            <w:r>
              <w:rPr>
                <w:rFonts w:hint="eastAsia" w:ascii="宋体" w:hAnsi="宋体" w:cs="宋体"/>
                <w:color w:val="000000"/>
                <w:sz w:val="22"/>
                <w:szCs w:val="22"/>
              </w:rPr>
              <w:t>48</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94B34D">
            <w:pPr>
              <w:jc w:val="center"/>
              <w:rPr>
                <w:rFonts w:hint="eastAsia" w:ascii="宋体" w:hAnsi="宋体" w:cs="宋体"/>
                <w:color w:val="000000"/>
                <w:sz w:val="22"/>
                <w:szCs w:val="22"/>
              </w:rPr>
            </w:pPr>
          </w:p>
        </w:tc>
      </w:tr>
      <w:tr w14:paraId="6B329D3D">
        <w:tblPrEx>
          <w:tblCellMar>
            <w:top w:w="0" w:type="dxa"/>
            <w:left w:w="0" w:type="dxa"/>
            <w:bottom w:w="0" w:type="dxa"/>
            <w:right w:w="0" w:type="dxa"/>
          </w:tblCellMar>
        </w:tblPrEx>
        <w:trPr>
          <w:trHeight w:val="48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B2336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CD9171">
            <w:pPr>
              <w:jc w:val="center"/>
            </w:pPr>
            <w:r>
              <w:rPr>
                <w:rFonts w:hint="eastAsia" w:ascii="宋体" w:hAnsi="宋体" w:cs="宋体"/>
                <w:color w:val="000000"/>
                <w:sz w:val="22"/>
                <w:szCs w:val="22"/>
              </w:rPr>
              <w:t>警示标识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49580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圆形防撞桶：600mm×800mm含黄沙（1/3高）</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FCB69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FE438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EAF612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320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C5A666">
            <w:pPr>
              <w:jc w:val="center"/>
              <w:rPr>
                <w:rFonts w:hint="eastAsia" w:ascii="宋体" w:hAnsi="宋体" w:cs="宋体"/>
                <w:color w:val="000000"/>
                <w:sz w:val="22"/>
                <w:szCs w:val="22"/>
              </w:rPr>
            </w:pPr>
          </w:p>
        </w:tc>
      </w:tr>
      <w:tr w14:paraId="77BF280E">
        <w:tblPrEx>
          <w:tblCellMar>
            <w:top w:w="0" w:type="dxa"/>
            <w:left w:w="0" w:type="dxa"/>
            <w:bottom w:w="0" w:type="dxa"/>
            <w:right w:w="0" w:type="dxa"/>
          </w:tblCellMar>
        </w:tblPrEx>
        <w:trPr>
          <w:trHeight w:val="45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691069">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97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C27C9E">
            <w:pPr>
              <w:widowControl/>
              <w:jc w:val="left"/>
              <w:textAlignment w:val="center"/>
              <w:rPr>
                <w:rFonts w:hint="eastAsia" w:ascii="宋体" w:hAnsi="宋体" w:cs="宋体"/>
                <w:color w:val="000000"/>
                <w:sz w:val="22"/>
                <w:szCs w:val="22"/>
              </w:rPr>
            </w:pPr>
            <w:r>
              <w:rPr>
                <w:rFonts w:hint="eastAsia" w:ascii="宋体" w:hAnsi="宋体" w:cs="宋体"/>
                <w:b/>
                <w:bCs/>
                <w:color w:val="000000"/>
                <w:sz w:val="22"/>
                <w:szCs w:val="22"/>
              </w:rPr>
              <w:t>杆件和基础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609959">
            <w:pPr>
              <w:jc w:val="left"/>
              <w:rPr>
                <w:rFonts w:hint="eastAsia" w:ascii="宋体" w:hAnsi="宋体" w:cs="宋体"/>
                <w:color w:val="000000"/>
                <w:sz w:val="22"/>
                <w:szCs w:val="22"/>
              </w:rPr>
            </w:pPr>
            <w:r>
              <w:rPr>
                <w:rFonts w:hint="eastAsia" w:ascii="宋体" w:hAnsi="宋体" w:cs="宋体"/>
                <w:color w:val="000000"/>
                <w:sz w:val="22"/>
                <w:szCs w:val="22"/>
              </w:rPr>
              <w:t>　</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3C8F2B">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6F83D5">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66A7C70">
            <w:pPr>
              <w:jc w:val="center"/>
              <w:rPr>
                <w:rFonts w:hint="eastAsia" w:ascii="宋体" w:hAnsi="宋体" w:cs="宋体"/>
                <w:color w:val="000000"/>
                <w:sz w:val="22"/>
                <w:szCs w:val="22"/>
              </w:rPr>
            </w:pPr>
            <w:r>
              <w:rPr>
                <w:rFonts w:hint="eastAsia" w:ascii="宋体" w:hAnsi="宋体" w:cs="宋体"/>
                <w:color w:val="000000"/>
                <w:sz w:val="22"/>
                <w:szCs w:val="22"/>
              </w:rPr>
              <w:t>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B97AE7">
            <w:pPr>
              <w:jc w:val="center"/>
              <w:rPr>
                <w:rFonts w:hint="eastAsia" w:ascii="宋体" w:hAnsi="宋体" w:cs="宋体"/>
                <w:color w:val="000000"/>
                <w:sz w:val="22"/>
                <w:szCs w:val="22"/>
              </w:rPr>
            </w:pPr>
          </w:p>
        </w:tc>
      </w:tr>
      <w:tr w14:paraId="39696C05">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825E70">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D4E632">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011F0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1.3.5m太阳能立杆φ76钢管</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84E2A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65D84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309515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300.03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464CA8">
            <w:pPr>
              <w:jc w:val="center"/>
              <w:rPr>
                <w:rFonts w:hint="eastAsia" w:ascii="宋体" w:hAnsi="宋体" w:cs="宋体"/>
                <w:color w:val="000000"/>
                <w:sz w:val="22"/>
                <w:szCs w:val="22"/>
              </w:rPr>
            </w:pPr>
          </w:p>
        </w:tc>
      </w:tr>
      <w:tr w14:paraId="5F05819A">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87DAC7">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99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3B6D6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EFF02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1.φ89*3.23m*4.5mm镀锌钢管单柱式</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DEB4D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2DCEE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11F56A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420.96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B32A3B">
            <w:pPr>
              <w:jc w:val="center"/>
              <w:rPr>
                <w:rFonts w:hint="eastAsia" w:ascii="宋体" w:hAnsi="宋体" w:cs="宋体"/>
                <w:color w:val="000000"/>
                <w:sz w:val="22"/>
                <w:szCs w:val="22"/>
              </w:rPr>
            </w:pPr>
          </w:p>
        </w:tc>
      </w:tr>
      <w:tr w14:paraId="7B3E03AD">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A9274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100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9D018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F2B99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1.φ89*3.3m*4.5mm镀锌钢管单柱式</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7D8E8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A26AC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51A538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431.86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73B465">
            <w:pPr>
              <w:jc w:val="center"/>
              <w:rPr>
                <w:rFonts w:hint="eastAsia" w:ascii="宋体" w:hAnsi="宋体" w:cs="宋体"/>
                <w:color w:val="000000"/>
                <w:sz w:val="22"/>
                <w:szCs w:val="22"/>
              </w:rPr>
            </w:pPr>
          </w:p>
        </w:tc>
      </w:tr>
      <w:tr w14:paraId="1D86B439">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329D4A">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101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2BB8D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2F1F9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1.φ114*3.3m*4.5mm镀锌钢管单柱式</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C5413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151DD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F995ED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630.40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6F043C">
            <w:pPr>
              <w:jc w:val="center"/>
              <w:rPr>
                <w:rFonts w:hint="eastAsia" w:ascii="宋体" w:hAnsi="宋体" w:cs="宋体"/>
                <w:color w:val="000000"/>
                <w:sz w:val="22"/>
                <w:szCs w:val="22"/>
              </w:rPr>
            </w:pPr>
          </w:p>
        </w:tc>
      </w:tr>
      <w:tr w14:paraId="69FB19BF">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F44278">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102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14591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87273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1.φ114*3.8m*4.5mm镀锌钢管单柱式</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58771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561DD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E85D63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672.99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D784E6">
            <w:pPr>
              <w:jc w:val="center"/>
              <w:rPr>
                <w:rFonts w:hint="eastAsia" w:ascii="宋体" w:hAnsi="宋体" w:cs="宋体"/>
                <w:color w:val="000000"/>
                <w:sz w:val="22"/>
                <w:szCs w:val="22"/>
              </w:rPr>
            </w:pPr>
          </w:p>
        </w:tc>
      </w:tr>
      <w:tr w14:paraId="3D6F3161">
        <w:tblPrEx>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71B057">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103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32225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62A6A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1.φ114*3.6m*4.5mm镀锌钢管单柱式</w:t>
            </w:r>
            <w:r>
              <w:rPr>
                <w:rFonts w:hint="eastAsia" w:ascii="宋体" w:hAnsi="宋体" w:cs="宋体"/>
                <w:color w:val="000000"/>
                <w:sz w:val="22"/>
                <w:szCs w:val="22"/>
              </w:rPr>
              <w:br w:type="textWrapping"/>
            </w:r>
            <w:r>
              <w:rPr>
                <w:rFonts w:hint="eastAsia" w:ascii="宋体" w:hAnsi="宋体" w:cs="宋体"/>
                <w:color w:val="000000"/>
                <w:sz w:val="22"/>
                <w:szCs w:val="22"/>
              </w:rPr>
              <w:t>2.包含所有安装费用。</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46F64C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42E77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D7D508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652.20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B21A3D">
            <w:pPr>
              <w:jc w:val="center"/>
              <w:rPr>
                <w:rFonts w:hint="eastAsia" w:ascii="宋体" w:hAnsi="宋体" w:cs="宋体"/>
                <w:color w:val="000000"/>
                <w:sz w:val="22"/>
                <w:szCs w:val="22"/>
              </w:rPr>
            </w:pPr>
          </w:p>
        </w:tc>
      </w:tr>
      <w:tr w14:paraId="2DB6675E">
        <w:tblPrEx>
          <w:tblCellMar>
            <w:top w:w="0" w:type="dxa"/>
            <w:left w:w="0" w:type="dxa"/>
            <w:bottom w:w="0" w:type="dxa"/>
            <w:right w:w="0" w:type="dxa"/>
          </w:tblCellMar>
        </w:tblPrEx>
        <w:trPr>
          <w:trHeight w:val="751"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CDF5E5">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104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CBE85B">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E1BAFC">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1、F型单悬臂式交通导向标杆</w:t>
            </w:r>
            <w:r>
              <w:rPr>
                <w:rFonts w:hint="eastAsia" w:ascii="宋体" w:hAnsi="宋体" w:cs="宋体"/>
                <w:color w:val="000000"/>
                <w:sz w:val="22"/>
                <w:szCs w:val="22"/>
              </w:rPr>
              <w:br w:type="textWrapping"/>
            </w:r>
            <w:r>
              <w:rPr>
                <w:rFonts w:hint="eastAsia" w:ascii="宋体" w:hAnsi="宋体" w:cs="宋体"/>
                <w:color w:val="000000"/>
                <w:sz w:val="22"/>
                <w:szCs w:val="22"/>
              </w:rPr>
              <w:t>立杆采用镀锌钢管φ168*8mm*6.5m+横杆采用镀锌钢管φ89*5mm*3.5m+0.5m</w:t>
            </w:r>
            <w:r>
              <w:rPr>
                <w:rFonts w:hint="eastAsia" w:ascii="宋体" w:hAnsi="宋体" w:cs="宋体"/>
                <w:color w:val="000000"/>
                <w:sz w:val="22"/>
                <w:szCs w:val="22"/>
              </w:rPr>
              <w:br w:type="textWrapping"/>
            </w:r>
            <w:r>
              <w:rPr>
                <w:rFonts w:hint="eastAsia" w:ascii="宋体" w:hAnsi="宋体" w:cs="宋体"/>
                <w:color w:val="000000"/>
                <w:sz w:val="22"/>
                <w:szCs w:val="22"/>
              </w:rPr>
              <w:t>2、包括连接上法兰、连接上加劲肋、立柱与悬臂加劲肋等</w:t>
            </w:r>
            <w:r>
              <w:rPr>
                <w:rFonts w:hint="eastAsia" w:ascii="宋体" w:hAnsi="宋体" w:cs="宋体"/>
                <w:color w:val="000000"/>
                <w:sz w:val="22"/>
                <w:szCs w:val="22"/>
              </w:rPr>
              <w:br w:type="textWrapping"/>
            </w:r>
            <w:r>
              <w:rPr>
                <w:rFonts w:hint="eastAsia" w:ascii="宋体" w:hAnsi="宋体" w:cs="宋体"/>
                <w:color w:val="000000"/>
                <w:sz w:val="22"/>
                <w:szCs w:val="22"/>
              </w:rPr>
              <w:t>3、包含所有安装费用。</w:t>
            </w:r>
            <w:r>
              <w:rPr>
                <w:rFonts w:hint="eastAsia" w:ascii="宋体" w:hAnsi="宋体" w:cs="宋体"/>
                <w:color w:val="000000"/>
                <w:sz w:val="22"/>
                <w:szCs w:val="22"/>
              </w:rPr>
              <w:br w:type="textWrapping"/>
            </w:r>
            <w:r>
              <w:rPr>
                <w:rFonts w:hint="eastAsia" w:ascii="宋体" w:hAnsi="宋体" w:cs="宋体"/>
                <w:color w:val="000000"/>
                <w:sz w:val="22"/>
                <w:szCs w:val="22"/>
              </w:rPr>
              <w:t>4、详见图纸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8B372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D809B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D4A736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3556.82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B5AADC">
            <w:pPr>
              <w:jc w:val="center"/>
              <w:rPr>
                <w:rFonts w:hint="eastAsia" w:ascii="宋体" w:hAnsi="宋体" w:cs="宋体"/>
                <w:color w:val="000000"/>
                <w:sz w:val="22"/>
                <w:szCs w:val="22"/>
              </w:rPr>
            </w:pPr>
          </w:p>
        </w:tc>
      </w:tr>
      <w:tr w14:paraId="7D8B2FDE">
        <w:tblPrEx>
          <w:tblCellMar>
            <w:top w:w="0" w:type="dxa"/>
            <w:left w:w="0" w:type="dxa"/>
            <w:bottom w:w="0" w:type="dxa"/>
            <w:right w:w="0" w:type="dxa"/>
          </w:tblCellMar>
        </w:tblPrEx>
        <w:trPr>
          <w:trHeight w:val="1027"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1115AA">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105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A2607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30AAF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1、F型单悬臂式3m*1m交通导向标杆</w:t>
            </w:r>
            <w:r>
              <w:rPr>
                <w:rFonts w:hint="eastAsia" w:ascii="宋体" w:hAnsi="宋体" w:cs="宋体"/>
                <w:color w:val="000000"/>
                <w:sz w:val="22"/>
                <w:szCs w:val="22"/>
              </w:rPr>
              <w:br w:type="textWrapping"/>
            </w:r>
            <w:r>
              <w:rPr>
                <w:rFonts w:hint="eastAsia" w:ascii="宋体" w:hAnsi="宋体" w:cs="宋体"/>
                <w:color w:val="000000"/>
                <w:sz w:val="22"/>
                <w:szCs w:val="22"/>
              </w:rPr>
              <w:t>立杆采用镀锌钢管φ219*10mm*6.5m+横杆采用镀锌钢管φ114*6.5mm*4.5m</w:t>
            </w:r>
            <w:r>
              <w:rPr>
                <w:rFonts w:hint="eastAsia" w:ascii="宋体" w:hAnsi="宋体" w:cs="宋体"/>
                <w:color w:val="000000"/>
                <w:sz w:val="22"/>
                <w:szCs w:val="22"/>
              </w:rPr>
              <w:br w:type="textWrapping"/>
            </w:r>
            <w:r>
              <w:rPr>
                <w:rFonts w:hint="eastAsia" w:ascii="宋体" w:hAnsi="宋体" w:cs="宋体"/>
                <w:color w:val="000000"/>
                <w:sz w:val="22"/>
                <w:szCs w:val="22"/>
              </w:rPr>
              <w:t>2、包括连接上法兰、连接上加劲肋、立柱与悬臂加劲肋等</w:t>
            </w:r>
            <w:r>
              <w:rPr>
                <w:rFonts w:hint="eastAsia" w:ascii="宋体" w:hAnsi="宋体" w:cs="宋体"/>
                <w:color w:val="000000"/>
                <w:sz w:val="22"/>
                <w:szCs w:val="22"/>
              </w:rPr>
              <w:br w:type="textWrapping"/>
            </w:r>
            <w:r>
              <w:rPr>
                <w:rFonts w:hint="eastAsia" w:ascii="宋体" w:hAnsi="宋体" w:cs="宋体"/>
                <w:color w:val="000000"/>
                <w:sz w:val="22"/>
                <w:szCs w:val="22"/>
              </w:rPr>
              <w:t>3、包含所有安装费用。</w:t>
            </w:r>
            <w:r>
              <w:rPr>
                <w:rFonts w:hint="eastAsia" w:ascii="宋体" w:hAnsi="宋体" w:cs="宋体"/>
                <w:color w:val="000000"/>
                <w:sz w:val="22"/>
                <w:szCs w:val="22"/>
              </w:rPr>
              <w:br w:type="textWrapping"/>
            </w:r>
            <w:r>
              <w:rPr>
                <w:rFonts w:hint="eastAsia" w:ascii="宋体" w:hAnsi="宋体" w:cs="宋体"/>
                <w:color w:val="000000"/>
                <w:sz w:val="22"/>
                <w:szCs w:val="22"/>
              </w:rPr>
              <w:t>4、详见图纸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0A77D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9B609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3213F7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5818.33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4EDA82">
            <w:pPr>
              <w:jc w:val="center"/>
              <w:rPr>
                <w:rFonts w:hint="eastAsia" w:ascii="宋体" w:hAnsi="宋体" w:cs="宋体"/>
                <w:color w:val="000000"/>
                <w:sz w:val="22"/>
                <w:szCs w:val="22"/>
              </w:rPr>
            </w:pPr>
          </w:p>
        </w:tc>
      </w:tr>
      <w:tr w14:paraId="2E5B7A6D">
        <w:tblPrEx>
          <w:tblCellMar>
            <w:top w:w="0" w:type="dxa"/>
            <w:left w:w="0" w:type="dxa"/>
            <w:bottom w:w="0" w:type="dxa"/>
            <w:right w:w="0" w:type="dxa"/>
          </w:tblCellMar>
        </w:tblPrEx>
        <w:trPr>
          <w:trHeight w:val="115"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A979C2">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106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04823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33B37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1、F型单悬臂式4m*1m交通导向标杆</w:t>
            </w:r>
            <w:r>
              <w:rPr>
                <w:rFonts w:hint="eastAsia" w:ascii="宋体" w:hAnsi="宋体" w:cs="宋体"/>
                <w:color w:val="000000"/>
                <w:sz w:val="22"/>
                <w:szCs w:val="22"/>
              </w:rPr>
              <w:br w:type="textWrapping"/>
            </w:r>
            <w:r>
              <w:rPr>
                <w:rFonts w:hint="eastAsia" w:ascii="宋体" w:hAnsi="宋体" w:cs="宋体"/>
                <w:color w:val="000000"/>
                <w:sz w:val="22"/>
                <w:szCs w:val="22"/>
              </w:rPr>
              <w:t>立杆采用镀锌钢管φ219*10mm*6.5m+横杆采用镀锌钢管φ114*6.5mm*4.5m</w:t>
            </w:r>
            <w:r>
              <w:rPr>
                <w:rFonts w:hint="eastAsia" w:ascii="宋体" w:hAnsi="宋体" w:cs="宋体"/>
                <w:color w:val="000000"/>
                <w:sz w:val="22"/>
                <w:szCs w:val="22"/>
              </w:rPr>
              <w:br w:type="textWrapping"/>
            </w:r>
            <w:r>
              <w:rPr>
                <w:rFonts w:hint="eastAsia" w:ascii="宋体" w:hAnsi="宋体" w:cs="宋体"/>
                <w:color w:val="000000"/>
                <w:sz w:val="22"/>
                <w:szCs w:val="22"/>
              </w:rPr>
              <w:t>2、包括连接上法兰、连接上加劲肋、立柱与悬臂加劲肋等</w:t>
            </w:r>
            <w:r>
              <w:rPr>
                <w:rFonts w:hint="eastAsia" w:ascii="宋体" w:hAnsi="宋体" w:cs="宋体"/>
                <w:color w:val="000000"/>
                <w:sz w:val="22"/>
                <w:szCs w:val="22"/>
              </w:rPr>
              <w:br w:type="textWrapping"/>
            </w:r>
            <w:r>
              <w:rPr>
                <w:rFonts w:hint="eastAsia" w:ascii="宋体" w:hAnsi="宋体" w:cs="宋体"/>
                <w:color w:val="000000"/>
                <w:sz w:val="22"/>
                <w:szCs w:val="22"/>
              </w:rPr>
              <w:t>3、包含所有安装费用。</w:t>
            </w:r>
            <w:r>
              <w:rPr>
                <w:rFonts w:hint="eastAsia" w:ascii="宋体" w:hAnsi="宋体" w:cs="宋体"/>
                <w:color w:val="000000"/>
                <w:sz w:val="22"/>
                <w:szCs w:val="22"/>
              </w:rPr>
              <w:br w:type="textWrapping"/>
            </w:r>
            <w:r>
              <w:rPr>
                <w:rFonts w:hint="eastAsia" w:ascii="宋体" w:hAnsi="宋体" w:cs="宋体"/>
                <w:color w:val="000000"/>
                <w:sz w:val="22"/>
                <w:szCs w:val="22"/>
              </w:rPr>
              <w:t>4、详见图纸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C1FD5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8CFA8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9D6122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5786.48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648038">
            <w:pPr>
              <w:jc w:val="center"/>
              <w:rPr>
                <w:rFonts w:hint="eastAsia" w:ascii="宋体" w:hAnsi="宋体" w:cs="宋体"/>
                <w:color w:val="000000"/>
                <w:sz w:val="22"/>
                <w:szCs w:val="22"/>
              </w:rPr>
            </w:pPr>
          </w:p>
        </w:tc>
      </w:tr>
      <w:tr w14:paraId="73CDF173">
        <w:tblPrEx>
          <w:tblCellMar>
            <w:top w:w="0" w:type="dxa"/>
            <w:left w:w="0" w:type="dxa"/>
            <w:bottom w:w="0" w:type="dxa"/>
            <w:right w:w="0" w:type="dxa"/>
          </w:tblCellMar>
        </w:tblPrEx>
        <w:trPr>
          <w:trHeight w:val="257"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7F1187">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107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BE6E0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8F86D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1、F型单悬臂式交通导向标杆</w:t>
            </w:r>
            <w:r>
              <w:rPr>
                <w:rFonts w:hint="eastAsia" w:ascii="宋体" w:hAnsi="宋体" w:cs="宋体"/>
                <w:color w:val="000000"/>
                <w:sz w:val="22"/>
                <w:szCs w:val="22"/>
              </w:rPr>
              <w:br w:type="textWrapping"/>
            </w:r>
            <w:r>
              <w:rPr>
                <w:rFonts w:hint="eastAsia" w:ascii="宋体" w:hAnsi="宋体" w:cs="宋体"/>
                <w:color w:val="000000"/>
                <w:sz w:val="22"/>
                <w:szCs w:val="22"/>
              </w:rPr>
              <w:t>立杆采用镀锌钢管φ273*12mm*7.9m+横杆采用镀锌钢管φ168*6mm*5.3m</w:t>
            </w:r>
            <w:r>
              <w:rPr>
                <w:rFonts w:hint="eastAsia" w:ascii="宋体" w:hAnsi="宋体" w:cs="宋体"/>
                <w:color w:val="000000"/>
                <w:sz w:val="22"/>
                <w:szCs w:val="22"/>
              </w:rPr>
              <w:br w:type="textWrapping"/>
            </w:r>
            <w:r>
              <w:rPr>
                <w:rFonts w:hint="eastAsia" w:ascii="宋体" w:hAnsi="宋体" w:cs="宋体"/>
                <w:color w:val="000000"/>
                <w:sz w:val="22"/>
                <w:szCs w:val="22"/>
              </w:rPr>
              <w:t>2、包括悬臂法兰、加劲肋、螺栓等</w:t>
            </w:r>
            <w:r>
              <w:rPr>
                <w:rFonts w:hint="eastAsia" w:ascii="宋体" w:hAnsi="宋体" w:cs="宋体"/>
                <w:color w:val="000000"/>
                <w:sz w:val="22"/>
                <w:szCs w:val="22"/>
              </w:rPr>
              <w:br w:type="textWrapping"/>
            </w:r>
            <w:r>
              <w:rPr>
                <w:rFonts w:hint="eastAsia" w:ascii="宋体" w:hAnsi="宋体" w:cs="宋体"/>
                <w:color w:val="000000"/>
                <w:sz w:val="22"/>
                <w:szCs w:val="22"/>
              </w:rPr>
              <w:t>3、包含所有安装费用。</w:t>
            </w:r>
            <w:r>
              <w:rPr>
                <w:rFonts w:hint="eastAsia" w:ascii="宋体" w:hAnsi="宋体" w:cs="宋体"/>
                <w:color w:val="000000"/>
                <w:sz w:val="22"/>
                <w:szCs w:val="22"/>
              </w:rPr>
              <w:br w:type="textWrapping"/>
            </w:r>
            <w:r>
              <w:rPr>
                <w:rFonts w:hint="eastAsia" w:ascii="宋体" w:hAnsi="宋体" w:cs="宋体"/>
                <w:color w:val="000000"/>
                <w:sz w:val="22"/>
                <w:szCs w:val="22"/>
              </w:rPr>
              <w:t>4、详见图纸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ACD55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68A28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9A4C18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13940.63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52532E">
            <w:pPr>
              <w:jc w:val="center"/>
              <w:rPr>
                <w:rFonts w:hint="eastAsia" w:ascii="宋体" w:hAnsi="宋体" w:cs="宋体"/>
                <w:color w:val="000000"/>
                <w:sz w:val="22"/>
                <w:szCs w:val="22"/>
              </w:rPr>
            </w:pPr>
          </w:p>
        </w:tc>
      </w:tr>
      <w:tr w14:paraId="3F1138A7">
        <w:tblPrEx>
          <w:tblCellMar>
            <w:top w:w="0" w:type="dxa"/>
            <w:left w:w="0" w:type="dxa"/>
            <w:bottom w:w="0" w:type="dxa"/>
            <w:right w:w="0" w:type="dxa"/>
          </w:tblCellMar>
        </w:tblPrEx>
        <w:trPr>
          <w:trHeight w:val="687"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CBAE7A">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108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6EEDD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6B51E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1、L型单悬臂式交通导向标杆</w:t>
            </w:r>
            <w:r>
              <w:rPr>
                <w:rFonts w:hint="eastAsia" w:ascii="宋体" w:hAnsi="宋体" w:cs="宋体"/>
                <w:color w:val="000000"/>
                <w:sz w:val="22"/>
                <w:szCs w:val="22"/>
              </w:rPr>
              <w:br w:type="textWrapping"/>
            </w:r>
            <w:r>
              <w:rPr>
                <w:rFonts w:hint="eastAsia" w:ascii="宋体" w:hAnsi="宋体" w:cs="宋体"/>
                <w:color w:val="000000"/>
                <w:sz w:val="22"/>
                <w:szCs w:val="22"/>
              </w:rPr>
              <w:t>立杆采用八角φ（300-350）*10mm*6.9m</w:t>
            </w:r>
            <w:r>
              <w:rPr>
                <w:rFonts w:hint="eastAsia" w:ascii="宋体" w:hAnsi="宋体" w:cs="宋体"/>
                <w:color w:val="000000"/>
                <w:sz w:val="22"/>
                <w:szCs w:val="22"/>
              </w:rPr>
              <w:br w:type="textWrapping"/>
            </w:r>
            <w:r>
              <w:rPr>
                <w:rFonts w:hint="eastAsia" w:ascii="宋体" w:hAnsi="宋体" w:cs="宋体"/>
                <w:color w:val="000000"/>
                <w:sz w:val="22"/>
                <w:szCs w:val="22"/>
              </w:rPr>
              <w:t>横杆采用八角φ（110-280）*8mm*10m</w:t>
            </w:r>
            <w:r>
              <w:rPr>
                <w:rFonts w:hint="eastAsia" w:ascii="宋体" w:hAnsi="宋体" w:cs="宋体"/>
                <w:color w:val="000000"/>
                <w:sz w:val="22"/>
                <w:szCs w:val="22"/>
              </w:rPr>
              <w:br w:type="textWrapping"/>
            </w:r>
            <w:r>
              <w:rPr>
                <w:rFonts w:hint="eastAsia" w:ascii="宋体" w:hAnsi="宋体" w:cs="宋体"/>
                <w:color w:val="000000"/>
                <w:sz w:val="22"/>
                <w:szCs w:val="22"/>
              </w:rPr>
              <w:t>2、包括法兰、加劲肋、节点板等</w:t>
            </w:r>
            <w:r>
              <w:rPr>
                <w:rFonts w:hint="eastAsia" w:ascii="宋体" w:hAnsi="宋体" w:cs="宋体"/>
                <w:color w:val="000000"/>
                <w:sz w:val="22"/>
                <w:szCs w:val="22"/>
              </w:rPr>
              <w:br w:type="textWrapping"/>
            </w:r>
            <w:r>
              <w:rPr>
                <w:rFonts w:hint="eastAsia" w:ascii="宋体" w:hAnsi="宋体" w:cs="宋体"/>
                <w:color w:val="000000"/>
                <w:sz w:val="22"/>
                <w:szCs w:val="22"/>
              </w:rPr>
              <w:t>3、包含所有安装费用。</w:t>
            </w:r>
            <w:r>
              <w:rPr>
                <w:rFonts w:hint="eastAsia" w:ascii="宋体" w:hAnsi="宋体" w:cs="宋体"/>
                <w:color w:val="000000"/>
                <w:sz w:val="22"/>
                <w:szCs w:val="22"/>
              </w:rPr>
              <w:br w:type="textWrapping"/>
            </w:r>
            <w:r>
              <w:rPr>
                <w:rFonts w:hint="eastAsia" w:ascii="宋体" w:hAnsi="宋体" w:cs="宋体"/>
                <w:color w:val="000000"/>
                <w:sz w:val="22"/>
                <w:szCs w:val="22"/>
              </w:rPr>
              <w:t>4、详见图纸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4D6B6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21CBB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295F6D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12730.23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4EE298">
            <w:pPr>
              <w:jc w:val="center"/>
              <w:rPr>
                <w:rFonts w:hint="eastAsia" w:ascii="宋体" w:hAnsi="宋体" w:cs="宋体"/>
                <w:color w:val="000000"/>
                <w:sz w:val="22"/>
                <w:szCs w:val="22"/>
              </w:rPr>
            </w:pPr>
          </w:p>
        </w:tc>
      </w:tr>
      <w:tr w14:paraId="5C670A5D">
        <w:tblPrEx>
          <w:tblCellMar>
            <w:top w:w="0" w:type="dxa"/>
            <w:left w:w="0" w:type="dxa"/>
            <w:bottom w:w="0" w:type="dxa"/>
            <w:right w:w="0" w:type="dxa"/>
          </w:tblCellMar>
        </w:tblPrEx>
        <w:trPr>
          <w:trHeight w:val="25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C602A8">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109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BD40A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7A5A7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1、L型信号灯单悬臂式交通导向标杆</w:t>
            </w:r>
            <w:r>
              <w:rPr>
                <w:rFonts w:hint="eastAsia" w:ascii="宋体" w:hAnsi="宋体" w:cs="宋体"/>
                <w:color w:val="000000"/>
                <w:sz w:val="22"/>
                <w:szCs w:val="22"/>
              </w:rPr>
              <w:br w:type="textWrapping"/>
            </w:r>
            <w:r>
              <w:rPr>
                <w:rFonts w:hint="eastAsia" w:ascii="宋体" w:hAnsi="宋体" w:cs="宋体"/>
                <w:color w:val="000000"/>
                <w:sz w:val="22"/>
                <w:szCs w:val="22"/>
              </w:rPr>
              <w:t>立杆采用八角φ（300-350）*10mm*6.9m</w:t>
            </w:r>
            <w:r>
              <w:rPr>
                <w:rFonts w:hint="eastAsia" w:ascii="宋体" w:hAnsi="宋体" w:cs="宋体"/>
                <w:color w:val="000000"/>
                <w:sz w:val="22"/>
                <w:szCs w:val="22"/>
              </w:rPr>
              <w:br w:type="textWrapping"/>
            </w:r>
            <w:r>
              <w:rPr>
                <w:rFonts w:hint="eastAsia" w:ascii="宋体" w:hAnsi="宋体" w:cs="宋体"/>
                <w:color w:val="000000"/>
                <w:sz w:val="22"/>
                <w:szCs w:val="22"/>
              </w:rPr>
              <w:t>横杆采用八角φ（110-250）*7mm*9m</w:t>
            </w:r>
            <w:r>
              <w:rPr>
                <w:rFonts w:hint="eastAsia" w:ascii="宋体" w:hAnsi="宋体" w:cs="宋体"/>
                <w:color w:val="000000"/>
                <w:sz w:val="22"/>
                <w:szCs w:val="22"/>
              </w:rPr>
              <w:br w:type="textWrapping"/>
            </w:r>
            <w:r>
              <w:rPr>
                <w:rFonts w:hint="eastAsia" w:ascii="宋体" w:hAnsi="宋体" w:cs="宋体"/>
                <w:color w:val="000000"/>
                <w:sz w:val="22"/>
                <w:szCs w:val="22"/>
              </w:rPr>
              <w:t>2、包括法兰、加劲肋、节点板等</w:t>
            </w:r>
            <w:r>
              <w:rPr>
                <w:rFonts w:hint="eastAsia" w:ascii="宋体" w:hAnsi="宋体" w:cs="宋体"/>
                <w:color w:val="000000"/>
                <w:sz w:val="22"/>
                <w:szCs w:val="22"/>
              </w:rPr>
              <w:br w:type="textWrapping"/>
            </w:r>
            <w:r>
              <w:rPr>
                <w:rFonts w:hint="eastAsia" w:ascii="宋体" w:hAnsi="宋体" w:cs="宋体"/>
                <w:color w:val="000000"/>
                <w:sz w:val="22"/>
                <w:szCs w:val="22"/>
              </w:rPr>
              <w:t>3、包含所有安装费用。</w:t>
            </w:r>
            <w:r>
              <w:rPr>
                <w:rFonts w:hint="eastAsia" w:ascii="宋体" w:hAnsi="宋体" w:cs="宋体"/>
                <w:color w:val="000000"/>
                <w:sz w:val="22"/>
                <w:szCs w:val="22"/>
              </w:rPr>
              <w:br w:type="textWrapping"/>
            </w:r>
            <w:r>
              <w:rPr>
                <w:rFonts w:hint="eastAsia" w:ascii="宋体" w:hAnsi="宋体" w:cs="宋体"/>
                <w:color w:val="000000"/>
                <w:sz w:val="22"/>
                <w:szCs w:val="22"/>
              </w:rPr>
              <w:t>4、详见图纸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B71CC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5CC26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0E35EE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11456.15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89492A">
            <w:pPr>
              <w:jc w:val="center"/>
              <w:rPr>
                <w:rFonts w:hint="eastAsia" w:ascii="宋体" w:hAnsi="宋体" w:cs="宋体"/>
                <w:color w:val="000000"/>
                <w:sz w:val="22"/>
                <w:szCs w:val="22"/>
              </w:rPr>
            </w:pPr>
          </w:p>
        </w:tc>
      </w:tr>
      <w:tr w14:paraId="21FF8A50">
        <w:tblPrEx>
          <w:tblCellMar>
            <w:top w:w="0" w:type="dxa"/>
            <w:left w:w="0" w:type="dxa"/>
            <w:bottom w:w="0" w:type="dxa"/>
            <w:right w:w="0" w:type="dxa"/>
          </w:tblCellMar>
        </w:tblPrEx>
        <w:trPr>
          <w:trHeight w:val="6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25C21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110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3DD54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5DB322">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1、电子警察标杆</w:t>
            </w:r>
            <w:r>
              <w:rPr>
                <w:rFonts w:hint="eastAsia" w:ascii="宋体" w:hAnsi="宋体" w:cs="宋体"/>
                <w:color w:val="000000"/>
                <w:sz w:val="22"/>
                <w:szCs w:val="22"/>
              </w:rPr>
              <w:br w:type="textWrapping"/>
            </w:r>
            <w:r>
              <w:rPr>
                <w:rFonts w:hint="eastAsia" w:ascii="宋体" w:hAnsi="宋体" w:cs="宋体"/>
                <w:color w:val="000000"/>
                <w:sz w:val="22"/>
                <w:szCs w:val="22"/>
              </w:rPr>
              <w:t>立杆采用φ（210-160）*6mm*6.5m</w:t>
            </w:r>
            <w:r>
              <w:rPr>
                <w:rFonts w:hint="eastAsia" w:ascii="宋体" w:hAnsi="宋体" w:cs="宋体"/>
                <w:color w:val="000000"/>
                <w:sz w:val="22"/>
                <w:szCs w:val="22"/>
              </w:rPr>
              <w:br w:type="textWrapping"/>
            </w:r>
            <w:r>
              <w:rPr>
                <w:rFonts w:hint="eastAsia" w:ascii="宋体" w:hAnsi="宋体" w:cs="宋体"/>
                <w:color w:val="000000"/>
                <w:sz w:val="22"/>
                <w:szCs w:val="22"/>
              </w:rPr>
              <w:t>横杆采用φ（140-76）</w:t>
            </w:r>
            <w:r>
              <w:rPr>
                <w:rFonts w:hint="eastAsia" w:ascii="宋体" w:hAnsi="宋体" w:cs="宋体"/>
                <w:color w:val="000000"/>
                <w:sz w:val="22"/>
                <w:szCs w:val="22"/>
              </w:rPr>
              <w:br w:type="textWrapping"/>
            </w:r>
            <w:r>
              <w:rPr>
                <w:rFonts w:hint="eastAsia" w:ascii="宋体" w:hAnsi="宋体" w:cs="宋体"/>
                <w:color w:val="000000"/>
                <w:sz w:val="22"/>
                <w:szCs w:val="22"/>
              </w:rPr>
              <w:t>2、包括上连接法兰、加劲肋等</w:t>
            </w:r>
            <w:r>
              <w:rPr>
                <w:rFonts w:hint="eastAsia" w:ascii="宋体" w:hAnsi="宋体" w:cs="宋体"/>
                <w:color w:val="000000"/>
                <w:sz w:val="22"/>
                <w:szCs w:val="22"/>
              </w:rPr>
              <w:br w:type="textWrapping"/>
            </w:r>
            <w:r>
              <w:rPr>
                <w:rFonts w:hint="eastAsia" w:ascii="宋体" w:hAnsi="宋体" w:cs="宋体"/>
                <w:color w:val="000000"/>
                <w:sz w:val="22"/>
                <w:szCs w:val="22"/>
              </w:rPr>
              <w:t>3、包含所有安装费用。</w:t>
            </w:r>
            <w:r>
              <w:rPr>
                <w:rFonts w:hint="eastAsia" w:ascii="宋体" w:hAnsi="宋体" w:cs="宋体"/>
                <w:color w:val="000000"/>
                <w:sz w:val="22"/>
                <w:szCs w:val="22"/>
              </w:rPr>
              <w:br w:type="textWrapping"/>
            </w:r>
            <w:r>
              <w:rPr>
                <w:rFonts w:hint="eastAsia" w:ascii="宋体" w:hAnsi="宋体" w:cs="宋体"/>
                <w:color w:val="000000"/>
                <w:sz w:val="22"/>
                <w:szCs w:val="22"/>
              </w:rPr>
              <w:t>4、详见图纸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204A4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EC231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AE8B5A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3004.73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672E14">
            <w:pPr>
              <w:jc w:val="center"/>
              <w:rPr>
                <w:rFonts w:hint="eastAsia" w:ascii="宋体" w:hAnsi="宋体" w:cs="宋体"/>
                <w:color w:val="000000"/>
                <w:sz w:val="22"/>
                <w:szCs w:val="22"/>
              </w:rPr>
            </w:pPr>
          </w:p>
        </w:tc>
      </w:tr>
      <w:tr w14:paraId="3A1C8741">
        <w:tblPrEx>
          <w:tblCellMar>
            <w:top w:w="0" w:type="dxa"/>
            <w:left w:w="0" w:type="dxa"/>
            <w:bottom w:w="0" w:type="dxa"/>
            <w:right w:w="0" w:type="dxa"/>
          </w:tblCellMar>
        </w:tblPrEx>
        <w:trPr>
          <w:trHeight w:val="946"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9170C7">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111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397A2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标杆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7133E9">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1、F型悬臂式交通导向标杆</w:t>
            </w:r>
            <w:r>
              <w:rPr>
                <w:rFonts w:hint="eastAsia" w:ascii="宋体" w:hAnsi="宋体" w:cs="宋体"/>
                <w:color w:val="000000"/>
                <w:sz w:val="22"/>
                <w:szCs w:val="22"/>
              </w:rPr>
              <w:br w:type="textWrapping"/>
            </w:r>
            <w:r>
              <w:rPr>
                <w:rFonts w:hint="eastAsia" w:ascii="宋体" w:hAnsi="宋体" w:cs="宋体"/>
                <w:color w:val="000000"/>
                <w:sz w:val="22"/>
                <w:szCs w:val="22"/>
              </w:rPr>
              <w:t>立杆采用镀锌钢管φ377*9mm*7.9m+横杆采用镀锌钢管φ203*10mm*5m、φ203*10mm*0.647m</w:t>
            </w:r>
            <w:r>
              <w:rPr>
                <w:rFonts w:hint="eastAsia" w:ascii="宋体" w:hAnsi="宋体" w:cs="宋体"/>
                <w:color w:val="000000"/>
                <w:sz w:val="22"/>
                <w:szCs w:val="22"/>
              </w:rPr>
              <w:br w:type="textWrapping"/>
            </w:r>
            <w:r>
              <w:rPr>
                <w:rFonts w:hint="eastAsia" w:ascii="宋体" w:hAnsi="宋体" w:cs="宋体"/>
                <w:color w:val="000000"/>
                <w:sz w:val="22"/>
                <w:szCs w:val="22"/>
              </w:rPr>
              <w:t>2、包括悬臂法兰、加劲肋、螺栓等</w:t>
            </w:r>
            <w:r>
              <w:rPr>
                <w:rFonts w:hint="eastAsia" w:ascii="宋体" w:hAnsi="宋体" w:cs="宋体"/>
                <w:color w:val="000000"/>
                <w:sz w:val="22"/>
                <w:szCs w:val="22"/>
              </w:rPr>
              <w:br w:type="textWrapping"/>
            </w:r>
            <w:r>
              <w:rPr>
                <w:rFonts w:hint="eastAsia" w:ascii="宋体" w:hAnsi="宋体" w:cs="宋体"/>
                <w:color w:val="000000"/>
                <w:sz w:val="22"/>
                <w:szCs w:val="22"/>
              </w:rPr>
              <w:t>3、包含所有安装费用。</w:t>
            </w:r>
            <w:r>
              <w:rPr>
                <w:rFonts w:hint="eastAsia" w:ascii="宋体" w:hAnsi="宋体" w:cs="宋体"/>
                <w:color w:val="000000"/>
                <w:sz w:val="22"/>
                <w:szCs w:val="22"/>
              </w:rPr>
              <w:br w:type="textWrapping"/>
            </w:r>
            <w:r>
              <w:rPr>
                <w:rFonts w:hint="eastAsia" w:ascii="宋体" w:hAnsi="宋体" w:cs="宋体"/>
                <w:color w:val="000000"/>
                <w:sz w:val="22"/>
                <w:szCs w:val="22"/>
              </w:rPr>
              <w:t>4、详见图纸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DBD45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5F288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3B9EDE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19355.49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E20D80">
            <w:pPr>
              <w:jc w:val="center"/>
              <w:rPr>
                <w:rFonts w:hint="eastAsia" w:ascii="宋体" w:hAnsi="宋体" w:cs="宋体"/>
                <w:color w:val="000000"/>
                <w:sz w:val="22"/>
                <w:szCs w:val="22"/>
              </w:rPr>
            </w:pPr>
          </w:p>
        </w:tc>
      </w:tr>
      <w:tr w14:paraId="230E8E32">
        <w:tblPrEx>
          <w:tblCellMar>
            <w:top w:w="0" w:type="dxa"/>
            <w:left w:w="0" w:type="dxa"/>
            <w:bottom w:w="0" w:type="dxa"/>
            <w:right w:w="0" w:type="dxa"/>
          </w:tblCellMar>
        </w:tblPrEx>
        <w:trPr>
          <w:trHeight w:val="52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B858AC">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112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03E639">
            <w:pPr>
              <w:jc w:val="center"/>
              <w:rPr>
                <w:rFonts w:hint="eastAsia" w:ascii="宋体" w:hAnsi="宋体" w:cs="宋体"/>
                <w:color w:val="000000"/>
                <w:sz w:val="22"/>
                <w:szCs w:val="22"/>
              </w:rPr>
            </w:pPr>
            <w:r>
              <w:rPr>
                <w:rFonts w:hint="eastAsia" w:ascii="宋体" w:hAnsi="宋体" w:cs="宋体"/>
                <w:color w:val="000000"/>
                <w:sz w:val="22"/>
                <w:szCs w:val="22"/>
              </w:rPr>
              <w:t>拆F杆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419A77F">
            <w:pPr>
              <w:jc w:val="center"/>
              <w:rPr>
                <w:rFonts w:hint="eastAsia" w:ascii="宋体" w:hAnsi="宋体" w:cs="宋体"/>
                <w:color w:val="000000"/>
                <w:sz w:val="22"/>
                <w:szCs w:val="22"/>
              </w:rPr>
            </w:pPr>
            <w:r>
              <w:rPr>
                <w:rFonts w:hint="eastAsia" w:ascii="宋体" w:hAnsi="宋体" w:cs="宋体"/>
                <w:color w:val="000000"/>
                <w:sz w:val="22"/>
                <w:szCs w:val="22"/>
              </w:rPr>
              <w:t>吊机人工及运输</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5CD74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A9036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462F25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686.66</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EE3A51">
            <w:pPr>
              <w:jc w:val="center"/>
              <w:rPr>
                <w:rFonts w:hint="eastAsia" w:ascii="宋体" w:hAnsi="宋体" w:cs="宋体"/>
                <w:color w:val="000000"/>
                <w:sz w:val="22"/>
                <w:szCs w:val="22"/>
              </w:rPr>
            </w:pPr>
          </w:p>
        </w:tc>
      </w:tr>
      <w:tr w14:paraId="7CDB6189">
        <w:tblPrEx>
          <w:tblCellMar>
            <w:top w:w="0" w:type="dxa"/>
            <w:left w:w="0" w:type="dxa"/>
            <w:bottom w:w="0" w:type="dxa"/>
            <w:right w:w="0" w:type="dxa"/>
          </w:tblCellMar>
        </w:tblPrEx>
        <w:trPr>
          <w:trHeight w:val="542"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673C1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113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51C8B1">
            <w:pPr>
              <w:jc w:val="center"/>
              <w:rPr>
                <w:rFonts w:hint="eastAsia" w:ascii="宋体" w:hAnsi="宋体" w:cs="宋体"/>
                <w:color w:val="000000"/>
                <w:sz w:val="22"/>
                <w:szCs w:val="22"/>
              </w:rPr>
            </w:pPr>
            <w:r>
              <w:rPr>
                <w:rFonts w:hint="eastAsia" w:ascii="宋体" w:hAnsi="宋体" w:cs="宋体"/>
                <w:color w:val="000000"/>
                <w:sz w:val="22"/>
                <w:szCs w:val="22"/>
              </w:rPr>
              <w:t>拆除F杆横臂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83C573">
            <w:pPr>
              <w:jc w:val="center"/>
              <w:rPr>
                <w:rFonts w:hint="eastAsia" w:ascii="宋体" w:hAnsi="宋体" w:cs="宋体"/>
                <w:color w:val="000000"/>
                <w:sz w:val="22"/>
                <w:szCs w:val="22"/>
              </w:rPr>
            </w:pPr>
            <w:r>
              <w:rPr>
                <w:rFonts w:hint="eastAsia" w:ascii="宋体" w:hAnsi="宋体" w:cs="宋体"/>
                <w:color w:val="000000"/>
                <w:sz w:val="22"/>
                <w:szCs w:val="22"/>
              </w:rPr>
              <w:t>吊机人工及运输</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DBBF5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42E7B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706FF8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514.98</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698021">
            <w:pPr>
              <w:jc w:val="center"/>
              <w:rPr>
                <w:rFonts w:hint="eastAsia" w:ascii="宋体" w:hAnsi="宋体" w:cs="宋体"/>
                <w:color w:val="000000"/>
                <w:sz w:val="22"/>
                <w:szCs w:val="22"/>
              </w:rPr>
            </w:pPr>
          </w:p>
        </w:tc>
      </w:tr>
      <w:tr w14:paraId="5B75AA9F">
        <w:tblPrEx>
          <w:tblCellMar>
            <w:top w:w="0" w:type="dxa"/>
            <w:left w:w="0" w:type="dxa"/>
            <w:bottom w:w="0" w:type="dxa"/>
            <w:right w:w="0" w:type="dxa"/>
          </w:tblCellMar>
        </w:tblPrEx>
        <w:trPr>
          <w:trHeight w:val="397"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10DE89">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114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3404A0">
            <w:pPr>
              <w:jc w:val="center"/>
              <w:rPr>
                <w:rFonts w:hint="eastAsia" w:ascii="宋体" w:hAnsi="宋体" w:cs="宋体"/>
                <w:color w:val="000000"/>
                <w:sz w:val="22"/>
                <w:szCs w:val="22"/>
              </w:rPr>
            </w:pPr>
            <w:r>
              <w:rPr>
                <w:rFonts w:hint="eastAsia" w:ascii="宋体" w:hAnsi="宋体" w:cs="宋体"/>
                <w:color w:val="000000"/>
                <w:sz w:val="22"/>
                <w:szCs w:val="22"/>
              </w:rPr>
              <w:t>拆立杆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100DA6">
            <w:pPr>
              <w:jc w:val="center"/>
              <w:rPr>
                <w:rFonts w:hint="eastAsia" w:ascii="宋体" w:hAnsi="宋体" w:cs="宋体"/>
                <w:color w:val="000000"/>
                <w:sz w:val="22"/>
                <w:szCs w:val="22"/>
              </w:rPr>
            </w:pPr>
            <w:r>
              <w:rPr>
                <w:rFonts w:hint="eastAsia" w:ascii="宋体" w:hAnsi="宋体" w:cs="宋体"/>
                <w:color w:val="000000"/>
                <w:sz w:val="22"/>
                <w:szCs w:val="22"/>
              </w:rPr>
              <w:t>Φ114及以下杆件</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EF4F5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4F7C9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90CD4F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75</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93161E">
            <w:pPr>
              <w:jc w:val="center"/>
              <w:rPr>
                <w:rFonts w:hint="eastAsia" w:ascii="宋体" w:hAnsi="宋体" w:cs="宋体"/>
                <w:color w:val="000000"/>
                <w:sz w:val="22"/>
                <w:szCs w:val="22"/>
              </w:rPr>
            </w:pPr>
          </w:p>
        </w:tc>
      </w:tr>
      <w:tr w14:paraId="7458E4C4">
        <w:tblPrEx>
          <w:tblCellMar>
            <w:top w:w="0" w:type="dxa"/>
            <w:left w:w="0" w:type="dxa"/>
            <w:bottom w:w="0" w:type="dxa"/>
            <w:right w:w="0" w:type="dxa"/>
          </w:tblCellMar>
        </w:tblPrEx>
        <w:trPr>
          <w:trHeight w:val="66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EC4AE0">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115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91642A">
            <w:pPr>
              <w:jc w:val="center"/>
              <w:rPr>
                <w:rFonts w:hint="eastAsia" w:ascii="宋体" w:hAnsi="宋体" w:cs="宋体"/>
                <w:color w:val="000000"/>
                <w:sz w:val="22"/>
                <w:szCs w:val="22"/>
              </w:rPr>
            </w:pPr>
            <w:r>
              <w:rPr>
                <w:rFonts w:hint="eastAsia" w:ascii="宋体" w:hAnsi="宋体" w:cs="宋体"/>
                <w:color w:val="000000"/>
                <w:sz w:val="22"/>
                <w:szCs w:val="22"/>
              </w:rPr>
              <w:t>杆件倾斜扶正</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862CB1">
            <w:pPr>
              <w:jc w:val="center"/>
              <w:rPr>
                <w:rFonts w:hint="eastAsia" w:ascii="宋体" w:hAnsi="宋体" w:cs="宋体"/>
                <w:color w:val="000000"/>
                <w:sz w:val="22"/>
                <w:szCs w:val="22"/>
              </w:rPr>
            </w:pPr>
            <w:r>
              <w:rPr>
                <w:rFonts w:hint="eastAsia" w:ascii="宋体" w:hAnsi="宋体" w:cs="宋体"/>
                <w:color w:val="000000"/>
                <w:sz w:val="22"/>
                <w:szCs w:val="22"/>
              </w:rPr>
              <w:t>Φ114及以下杆件</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ABE6B1">
            <w:pPr>
              <w:jc w:val="center"/>
              <w:rPr>
                <w:rFonts w:hint="eastAsia" w:ascii="宋体" w:hAnsi="宋体" w:cs="宋体"/>
                <w:color w:val="000000"/>
                <w:sz w:val="22"/>
                <w:szCs w:val="22"/>
              </w:rPr>
            </w:pPr>
            <w:r>
              <w:rPr>
                <w:rFonts w:hint="eastAsia" w:ascii="宋体" w:hAnsi="宋体" w:cs="宋体"/>
                <w:color w:val="000000"/>
                <w:sz w:val="22"/>
                <w:szCs w:val="22"/>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2BA3D4">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7C2889A">
            <w:pPr>
              <w:jc w:val="center"/>
              <w:rPr>
                <w:rFonts w:hint="eastAsia" w:ascii="宋体" w:hAnsi="宋体" w:cs="宋体"/>
                <w:color w:val="000000"/>
                <w:sz w:val="22"/>
                <w:szCs w:val="22"/>
              </w:rPr>
            </w:pPr>
            <w:r>
              <w:rPr>
                <w:rFonts w:hint="eastAsia" w:ascii="宋体" w:hAnsi="宋体" w:cs="宋体"/>
                <w:color w:val="000000"/>
                <w:sz w:val="22"/>
                <w:szCs w:val="22"/>
              </w:rPr>
              <w:t>60</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96C193">
            <w:pPr>
              <w:jc w:val="center"/>
              <w:rPr>
                <w:rFonts w:hint="eastAsia" w:ascii="宋体" w:hAnsi="宋体" w:cs="宋体"/>
                <w:color w:val="000000"/>
                <w:sz w:val="22"/>
                <w:szCs w:val="22"/>
              </w:rPr>
            </w:pPr>
          </w:p>
        </w:tc>
      </w:tr>
      <w:tr w14:paraId="0875C8FC">
        <w:tblPrEx>
          <w:tblCellMar>
            <w:top w:w="0" w:type="dxa"/>
            <w:left w:w="0" w:type="dxa"/>
            <w:bottom w:w="0" w:type="dxa"/>
            <w:right w:w="0" w:type="dxa"/>
          </w:tblCellMar>
        </w:tblPrEx>
        <w:trPr>
          <w:trHeight w:val="66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C702D1">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116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4EB43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646F6B">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1、0.28m*0.28m*0.45mC25砼警示柱基础；</w:t>
            </w:r>
            <w:r>
              <w:rPr>
                <w:rFonts w:hint="eastAsia" w:ascii="宋体" w:hAnsi="宋体" w:cs="宋体"/>
                <w:color w:val="000000"/>
                <w:sz w:val="22"/>
                <w:szCs w:val="22"/>
              </w:rPr>
              <w:br w:type="textWrapping"/>
            </w:r>
            <w:r>
              <w:rPr>
                <w:rFonts w:hint="eastAsia" w:ascii="宋体" w:hAnsi="宋体" w:cs="宋体"/>
                <w:color w:val="000000"/>
                <w:sz w:val="22"/>
                <w:szCs w:val="22"/>
              </w:rPr>
              <w:t>2、钢筋制安</w:t>
            </w:r>
            <w:r>
              <w:rPr>
                <w:rFonts w:hint="eastAsia" w:ascii="宋体" w:hAnsi="宋体" w:cs="宋体"/>
                <w:color w:val="000000"/>
                <w:sz w:val="22"/>
                <w:szCs w:val="22"/>
              </w:rPr>
              <w:br w:type="textWrapping"/>
            </w:r>
            <w:r>
              <w:rPr>
                <w:rFonts w:hint="eastAsia" w:ascii="宋体" w:hAnsi="宋体" w:cs="宋体"/>
                <w:color w:val="000000"/>
                <w:sz w:val="22"/>
                <w:szCs w:val="22"/>
              </w:rPr>
              <w:t>3、土方开挖、开挖土回填、土方类别及土方外运运距由施工单位自行考虑，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D4209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350A1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 </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E8C018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61.05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16DEC5">
            <w:pPr>
              <w:jc w:val="center"/>
              <w:rPr>
                <w:rFonts w:hint="eastAsia" w:ascii="宋体" w:hAnsi="宋体" w:cs="宋体"/>
                <w:color w:val="000000"/>
                <w:sz w:val="22"/>
                <w:szCs w:val="22"/>
              </w:rPr>
            </w:pPr>
          </w:p>
        </w:tc>
      </w:tr>
      <w:tr w14:paraId="4C9F031F">
        <w:tblPrEx>
          <w:tblCellMar>
            <w:top w:w="0" w:type="dxa"/>
            <w:left w:w="0" w:type="dxa"/>
            <w:bottom w:w="0" w:type="dxa"/>
            <w:right w:w="0" w:type="dxa"/>
          </w:tblCellMar>
        </w:tblPrEx>
        <w:trPr>
          <w:trHeight w:val="1071"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003C5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117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67125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562D8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1、0.6m*0.8m*1.2mC30砼广角镜基础+0.5m*0.5m*0.15mC30封块；</w:t>
            </w:r>
            <w:r>
              <w:rPr>
                <w:rFonts w:hint="eastAsia" w:ascii="宋体" w:hAnsi="宋体" w:cs="宋体"/>
                <w:color w:val="000000"/>
                <w:sz w:val="22"/>
                <w:szCs w:val="22"/>
              </w:rPr>
              <w:br w:type="textWrapping"/>
            </w:r>
            <w:r>
              <w:rPr>
                <w:rFonts w:hint="eastAsia" w:ascii="宋体" w:hAnsi="宋体" w:cs="宋体"/>
                <w:color w:val="000000"/>
                <w:sz w:val="22"/>
                <w:szCs w:val="22"/>
              </w:rPr>
              <w:t>2、钢筋制安，底座、法兰、螺栓连接件等预埋铁件制作、安装；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3、土方开挖、开挖土回填、土方类别及土方外运运距由施工单位自行考虑，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AC6AE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8ACFF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3E5013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1840.74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467B09">
            <w:pPr>
              <w:jc w:val="center"/>
              <w:rPr>
                <w:rFonts w:hint="eastAsia" w:ascii="宋体" w:hAnsi="宋体" w:cs="宋体"/>
                <w:color w:val="000000"/>
                <w:sz w:val="22"/>
                <w:szCs w:val="22"/>
              </w:rPr>
            </w:pPr>
          </w:p>
        </w:tc>
      </w:tr>
      <w:tr w14:paraId="3125C430">
        <w:tblPrEx>
          <w:tblCellMar>
            <w:top w:w="0" w:type="dxa"/>
            <w:left w:w="0" w:type="dxa"/>
            <w:bottom w:w="0" w:type="dxa"/>
            <w:right w:w="0" w:type="dxa"/>
          </w:tblCellMar>
        </w:tblPrEx>
        <w:trPr>
          <w:trHeight w:val="744"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7FAD25">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118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B04AD2">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2DBBF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1、0.8m*0.85m*0.8mC25砼单柱式人行横道灯标杆基础；</w:t>
            </w:r>
            <w:r>
              <w:rPr>
                <w:rFonts w:hint="eastAsia" w:ascii="宋体" w:hAnsi="宋体" w:cs="宋体"/>
                <w:color w:val="000000"/>
                <w:sz w:val="22"/>
                <w:szCs w:val="22"/>
              </w:rPr>
              <w:br w:type="textWrapping"/>
            </w:r>
            <w:r>
              <w:rPr>
                <w:rFonts w:hint="eastAsia" w:ascii="宋体" w:hAnsi="宋体" w:cs="宋体"/>
                <w:color w:val="000000"/>
                <w:sz w:val="22"/>
                <w:szCs w:val="22"/>
              </w:rPr>
              <w:t>2、钢筋制安，底座、法兰、螺栓连接件等预埋铁件制作、安装；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3、土方开挖、开挖土回填、土方类别及土方外运运距由施工单位自行考虑，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BA2C5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05039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C7DA38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886.10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B54DDD">
            <w:pPr>
              <w:jc w:val="center"/>
              <w:rPr>
                <w:rFonts w:hint="eastAsia" w:ascii="宋体" w:hAnsi="宋体" w:cs="宋体"/>
                <w:color w:val="000000"/>
                <w:sz w:val="22"/>
                <w:szCs w:val="22"/>
              </w:rPr>
            </w:pPr>
          </w:p>
        </w:tc>
      </w:tr>
      <w:tr w14:paraId="79410718">
        <w:tblPrEx>
          <w:tblCellMar>
            <w:top w:w="0" w:type="dxa"/>
            <w:left w:w="0" w:type="dxa"/>
            <w:bottom w:w="0" w:type="dxa"/>
            <w:right w:w="0" w:type="dxa"/>
          </w:tblCellMar>
        </w:tblPrEx>
        <w:trPr>
          <w:trHeight w:val="2160"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1EC8DD">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119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9BC37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D3E60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1、0.8m*0.85m*0.9mC25砼单柱式标杆基础；</w:t>
            </w:r>
            <w:r>
              <w:rPr>
                <w:rFonts w:hint="eastAsia" w:ascii="宋体" w:hAnsi="宋体" w:cs="宋体"/>
                <w:color w:val="000000"/>
                <w:sz w:val="22"/>
                <w:szCs w:val="22"/>
              </w:rPr>
              <w:br w:type="textWrapping"/>
            </w:r>
            <w:r>
              <w:rPr>
                <w:rFonts w:hint="eastAsia" w:ascii="宋体" w:hAnsi="宋体" w:cs="宋体"/>
                <w:color w:val="000000"/>
                <w:sz w:val="22"/>
                <w:szCs w:val="22"/>
              </w:rPr>
              <w:t>2、钢筋制安，底座、法兰、螺栓连接件等预埋铁件制作、安装；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3、土方开挖、开挖土回填、土方类别及土方外运运距由施工单位自行考虑，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1D34C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92763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06A835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1019.43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D80BBC">
            <w:pPr>
              <w:jc w:val="center"/>
              <w:rPr>
                <w:rFonts w:hint="eastAsia" w:ascii="宋体" w:hAnsi="宋体" w:cs="宋体"/>
                <w:color w:val="000000"/>
                <w:sz w:val="22"/>
                <w:szCs w:val="22"/>
              </w:rPr>
            </w:pPr>
          </w:p>
        </w:tc>
      </w:tr>
      <w:tr w14:paraId="2FB0D5CC">
        <w:tblPrEx>
          <w:tblCellMar>
            <w:top w:w="0" w:type="dxa"/>
            <w:left w:w="0" w:type="dxa"/>
            <w:bottom w:w="0" w:type="dxa"/>
            <w:right w:w="0" w:type="dxa"/>
          </w:tblCellMar>
        </w:tblPrEx>
        <w:trPr>
          <w:trHeight w:val="35"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26B26A">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120</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0D117C">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73402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1、1.1m*1m*0.9mC25砼单柱式标杆基础；</w:t>
            </w:r>
            <w:r>
              <w:rPr>
                <w:rFonts w:hint="eastAsia" w:ascii="宋体" w:hAnsi="宋体" w:cs="宋体"/>
                <w:color w:val="000000"/>
                <w:sz w:val="22"/>
                <w:szCs w:val="22"/>
              </w:rPr>
              <w:br w:type="textWrapping"/>
            </w:r>
            <w:r>
              <w:rPr>
                <w:rFonts w:hint="eastAsia" w:ascii="宋体" w:hAnsi="宋体" w:cs="宋体"/>
                <w:color w:val="000000"/>
                <w:sz w:val="22"/>
                <w:szCs w:val="22"/>
              </w:rPr>
              <w:t>2、钢筋制安，底座、法兰、螺栓连接件等预埋铁件制作、安装；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3、土方开挖、开挖土回填、土方类别及土方外运运距由施工单位自行考虑，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A499F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62909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1E42F5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1439.56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33FB7E">
            <w:pPr>
              <w:jc w:val="center"/>
              <w:rPr>
                <w:rFonts w:hint="eastAsia" w:ascii="宋体" w:hAnsi="宋体" w:cs="宋体"/>
                <w:color w:val="000000"/>
                <w:sz w:val="22"/>
                <w:szCs w:val="22"/>
              </w:rPr>
            </w:pPr>
          </w:p>
        </w:tc>
      </w:tr>
      <w:tr w14:paraId="51170F58">
        <w:tblPrEx>
          <w:tblCellMar>
            <w:top w:w="0" w:type="dxa"/>
            <w:left w:w="0" w:type="dxa"/>
            <w:bottom w:w="0" w:type="dxa"/>
            <w:right w:w="0" w:type="dxa"/>
          </w:tblCellMar>
        </w:tblPrEx>
        <w:trPr>
          <w:trHeight w:val="875"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B429E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121</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67594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0C7E8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1、2.2m*2m*0.9mC25砼双柱式标杆基础；</w:t>
            </w:r>
            <w:r>
              <w:rPr>
                <w:rFonts w:hint="eastAsia" w:ascii="宋体" w:hAnsi="宋体" w:cs="宋体"/>
                <w:color w:val="000000"/>
                <w:sz w:val="22"/>
                <w:szCs w:val="22"/>
              </w:rPr>
              <w:br w:type="textWrapping"/>
            </w:r>
            <w:r>
              <w:rPr>
                <w:rFonts w:hint="eastAsia" w:ascii="宋体" w:hAnsi="宋体" w:cs="宋体"/>
                <w:color w:val="000000"/>
                <w:sz w:val="22"/>
                <w:szCs w:val="22"/>
              </w:rPr>
              <w:t>2、钢筋制安，底座、法兰、螺栓连接件等预埋铁件制作、安装；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3、土方开挖、开挖土回填、土方类别及土方外运运距由施工单位自行考虑，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DE416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1FDCA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F5C9F7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2993.49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A90819">
            <w:pPr>
              <w:jc w:val="center"/>
              <w:rPr>
                <w:rFonts w:hint="eastAsia" w:ascii="宋体" w:hAnsi="宋体" w:cs="宋体"/>
                <w:color w:val="000000"/>
                <w:sz w:val="22"/>
                <w:szCs w:val="22"/>
              </w:rPr>
            </w:pPr>
          </w:p>
        </w:tc>
      </w:tr>
      <w:tr w14:paraId="58697D4A">
        <w:tblPrEx>
          <w:tblCellMar>
            <w:top w:w="0" w:type="dxa"/>
            <w:left w:w="0" w:type="dxa"/>
            <w:bottom w:w="0" w:type="dxa"/>
            <w:right w:w="0" w:type="dxa"/>
          </w:tblCellMar>
        </w:tblPrEx>
        <w:trPr>
          <w:trHeight w:val="1662"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0C2519">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122</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981F3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641ADD">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1、1.1m*1.1m*1.2mC25砼LED一体式人行灯基础；</w:t>
            </w:r>
            <w:r>
              <w:rPr>
                <w:rFonts w:hint="eastAsia" w:ascii="宋体" w:hAnsi="宋体" w:cs="宋体"/>
                <w:color w:val="000000"/>
                <w:sz w:val="22"/>
                <w:szCs w:val="22"/>
              </w:rPr>
              <w:br w:type="textWrapping"/>
            </w:r>
            <w:r>
              <w:rPr>
                <w:rFonts w:hint="eastAsia" w:ascii="宋体" w:hAnsi="宋体" w:cs="宋体"/>
                <w:color w:val="000000"/>
                <w:sz w:val="22"/>
                <w:szCs w:val="22"/>
              </w:rPr>
              <w:t>2、20cm厚片石垫层,表层灌砂，10cm厚C10细石混凝土垫层，C25混凝土基础浇筑，基础开挖后采用塘渣回填；</w:t>
            </w:r>
            <w:r>
              <w:rPr>
                <w:rFonts w:hint="eastAsia" w:ascii="宋体" w:hAnsi="宋体" w:cs="宋体"/>
                <w:color w:val="000000"/>
                <w:sz w:val="22"/>
                <w:szCs w:val="22"/>
              </w:rPr>
              <w:br w:type="textWrapping"/>
            </w:r>
            <w:r>
              <w:rPr>
                <w:rFonts w:hint="eastAsia" w:ascii="宋体" w:hAnsi="宋体" w:cs="宋体"/>
                <w:color w:val="000000"/>
                <w:sz w:val="22"/>
                <w:szCs w:val="22"/>
              </w:rPr>
              <w:t>2、钢筋制安、法兰、螺栓连接件等预埋铁件制作、安装；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4、L50*50*5热镀锌角钢接地，UPVC电缆管DN75，BVR-25接地线</w:t>
            </w:r>
            <w:r>
              <w:rPr>
                <w:rFonts w:hint="eastAsia" w:ascii="宋体" w:hAnsi="宋体" w:cs="宋体"/>
                <w:color w:val="000000"/>
                <w:sz w:val="22"/>
                <w:szCs w:val="22"/>
              </w:rPr>
              <w:br w:type="textWrapping"/>
            </w:r>
            <w:r>
              <w:rPr>
                <w:rFonts w:hint="eastAsia" w:ascii="宋体" w:hAnsi="宋体" w:cs="宋体"/>
                <w:color w:val="000000"/>
                <w:sz w:val="22"/>
                <w:szCs w:val="22"/>
              </w:rPr>
              <w:t>5、模板制安</w:t>
            </w:r>
            <w:r>
              <w:rPr>
                <w:rFonts w:hint="eastAsia" w:ascii="宋体" w:hAnsi="宋体" w:cs="宋体"/>
                <w:color w:val="000000"/>
                <w:sz w:val="22"/>
                <w:szCs w:val="22"/>
              </w:rPr>
              <w:br w:type="textWrapping"/>
            </w:r>
            <w:r>
              <w:rPr>
                <w:rFonts w:hint="eastAsia" w:ascii="宋体" w:hAnsi="宋体" w:cs="宋体"/>
                <w:color w:val="000000"/>
                <w:sz w:val="22"/>
                <w:szCs w:val="22"/>
              </w:rPr>
              <w:t>6、详见图纸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8B3AA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026DB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254337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2965.18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5092C5">
            <w:pPr>
              <w:jc w:val="center"/>
              <w:rPr>
                <w:rFonts w:hint="eastAsia" w:ascii="宋体" w:hAnsi="宋体" w:cs="宋体"/>
                <w:color w:val="000000"/>
                <w:sz w:val="22"/>
                <w:szCs w:val="22"/>
              </w:rPr>
            </w:pPr>
          </w:p>
        </w:tc>
      </w:tr>
      <w:tr w14:paraId="53E81AD7">
        <w:tblPrEx>
          <w:tblCellMar>
            <w:top w:w="0" w:type="dxa"/>
            <w:left w:w="0" w:type="dxa"/>
            <w:bottom w:w="0" w:type="dxa"/>
            <w:right w:w="0" w:type="dxa"/>
          </w:tblCellMar>
        </w:tblPrEx>
        <w:trPr>
          <w:trHeight w:val="156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9157C7">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123</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F1EE5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64CF4C">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1、1.6m*1.1m*1.3mC25砼φ168F型标杆基础；</w:t>
            </w:r>
            <w:r>
              <w:rPr>
                <w:rFonts w:hint="eastAsia" w:ascii="宋体" w:hAnsi="宋体" w:cs="宋体"/>
                <w:color w:val="000000"/>
                <w:sz w:val="22"/>
                <w:szCs w:val="22"/>
              </w:rPr>
              <w:br w:type="textWrapping"/>
            </w:r>
            <w:r>
              <w:rPr>
                <w:rFonts w:hint="eastAsia" w:ascii="宋体" w:hAnsi="宋体" w:cs="宋体"/>
                <w:color w:val="000000"/>
                <w:sz w:val="22"/>
                <w:szCs w:val="22"/>
              </w:rPr>
              <w:t>2、20cm厚片石垫层,表层灌砂，10cm厚C10细石混凝土垫层，C25混凝土基础浇筑，基础开挖后采用塘渣回填；</w:t>
            </w:r>
            <w:r>
              <w:rPr>
                <w:rFonts w:hint="eastAsia" w:ascii="宋体" w:hAnsi="宋体" w:cs="宋体"/>
                <w:color w:val="000000"/>
                <w:sz w:val="22"/>
                <w:szCs w:val="22"/>
              </w:rPr>
              <w:br w:type="textWrapping"/>
            </w:r>
            <w:r>
              <w:rPr>
                <w:rFonts w:hint="eastAsia" w:ascii="宋体" w:hAnsi="宋体" w:cs="宋体"/>
                <w:color w:val="000000"/>
                <w:sz w:val="22"/>
                <w:szCs w:val="22"/>
              </w:rPr>
              <w:t>2、钢筋制安，立柱下加劲肋、立柱下法兰、螺栓连接件等预埋铁件制作、安装；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B5339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7333C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E493BE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4769.98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786F30">
            <w:pPr>
              <w:jc w:val="center"/>
              <w:rPr>
                <w:rFonts w:hint="eastAsia" w:ascii="宋体" w:hAnsi="宋体" w:cs="宋体"/>
                <w:color w:val="000000"/>
                <w:sz w:val="22"/>
                <w:szCs w:val="22"/>
              </w:rPr>
            </w:pPr>
          </w:p>
        </w:tc>
      </w:tr>
      <w:tr w14:paraId="6B759F2B">
        <w:tblPrEx>
          <w:tblCellMar>
            <w:top w:w="0" w:type="dxa"/>
            <w:left w:w="0" w:type="dxa"/>
            <w:bottom w:w="0" w:type="dxa"/>
            <w:right w:w="0" w:type="dxa"/>
          </w:tblCellMar>
        </w:tblPrEx>
        <w:trPr>
          <w:trHeight w:val="1131"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B712F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124</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0DACA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C5EF2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1、2.2*1.6*1.3mC25砼φ168F型单悬臂3m*1m标杆基础；</w:t>
            </w:r>
            <w:r>
              <w:rPr>
                <w:rFonts w:hint="eastAsia" w:ascii="宋体" w:hAnsi="宋体" w:cs="宋体"/>
                <w:color w:val="000000"/>
                <w:sz w:val="22"/>
                <w:szCs w:val="22"/>
              </w:rPr>
              <w:br w:type="textWrapping"/>
            </w:r>
            <w:r>
              <w:rPr>
                <w:rFonts w:hint="eastAsia" w:ascii="宋体" w:hAnsi="宋体" w:cs="宋体"/>
                <w:color w:val="000000"/>
                <w:sz w:val="22"/>
                <w:szCs w:val="22"/>
              </w:rPr>
              <w:t>2、20cm厚片石垫层,表层灌砂，10cm厚C10细石混凝土垫层，C25混凝土基础浇筑，基础开挖后采用塘渣回填；</w:t>
            </w:r>
            <w:r>
              <w:rPr>
                <w:rFonts w:hint="eastAsia" w:ascii="宋体" w:hAnsi="宋体" w:cs="宋体"/>
                <w:color w:val="000000"/>
                <w:sz w:val="22"/>
                <w:szCs w:val="22"/>
              </w:rPr>
              <w:br w:type="textWrapping"/>
            </w:r>
            <w:r>
              <w:rPr>
                <w:rFonts w:hint="eastAsia" w:ascii="宋体" w:hAnsi="宋体" w:cs="宋体"/>
                <w:color w:val="000000"/>
                <w:sz w:val="22"/>
                <w:szCs w:val="22"/>
              </w:rPr>
              <w:t>2、钢筋制安，立柱下加劲肋、立柱下法兰、螺栓连接件等预埋铁件制作、安装；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918C5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C4C20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CFBE96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7433.80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77DD3E">
            <w:pPr>
              <w:jc w:val="center"/>
              <w:rPr>
                <w:rFonts w:hint="eastAsia" w:ascii="宋体" w:hAnsi="宋体" w:cs="宋体"/>
                <w:color w:val="000000"/>
                <w:sz w:val="22"/>
                <w:szCs w:val="22"/>
              </w:rPr>
            </w:pPr>
          </w:p>
        </w:tc>
      </w:tr>
      <w:tr w14:paraId="58FDFF16">
        <w:tblPrEx>
          <w:tblCellMar>
            <w:top w:w="0" w:type="dxa"/>
            <w:left w:w="0" w:type="dxa"/>
            <w:bottom w:w="0" w:type="dxa"/>
            <w:right w:w="0" w:type="dxa"/>
          </w:tblCellMar>
        </w:tblPrEx>
        <w:trPr>
          <w:trHeight w:val="1393"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FCABC57">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125</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34AB0C">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FDB82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1、2.4*1.6*1.3mC25砼φ168F型单悬臂4m*1m标杆基础；</w:t>
            </w:r>
            <w:r>
              <w:rPr>
                <w:rFonts w:hint="eastAsia" w:ascii="宋体" w:hAnsi="宋体" w:cs="宋体"/>
                <w:color w:val="000000"/>
                <w:sz w:val="22"/>
                <w:szCs w:val="22"/>
              </w:rPr>
              <w:br w:type="textWrapping"/>
            </w:r>
            <w:r>
              <w:rPr>
                <w:rFonts w:hint="eastAsia" w:ascii="宋体" w:hAnsi="宋体" w:cs="宋体"/>
                <w:color w:val="000000"/>
                <w:sz w:val="22"/>
                <w:szCs w:val="22"/>
              </w:rPr>
              <w:t>2、20cm厚片石垫层,表层灌砂，10cm厚C10细石混凝土垫层，C25混凝土基础浇筑，基础开挖后采用塘渣回填；</w:t>
            </w:r>
            <w:r>
              <w:rPr>
                <w:rFonts w:hint="eastAsia" w:ascii="宋体" w:hAnsi="宋体" w:cs="宋体"/>
                <w:color w:val="000000"/>
                <w:sz w:val="22"/>
                <w:szCs w:val="22"/>
              </w:rPr>
              <w:br w:type="textWrapping"/>
            </w:r>
            <w:r>
              <w:rPr>
                <w:rFonts w:hint="eastAsia" w:ascii="宋体" w:hAnsi="宋体" w:cs="宋体"/>
                <w:color w:val="000000"/>
                <w:sz w:val="22"/>
                <w:szCs w:val="22"/>
              </w:rPr>
              <w:t>2、钢筋制安，立柱下加劲肋、立柱下法兰、螺栓连接件等预埋铁件制作、安装；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55145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C7EDD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13A067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7874.55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1E097E">
            <w:pPr>
              <w:jc w:val="center"/>
              <w:rPr>
                <w:rFonts w:hint="eastAsia" w:ascii="宋体" w:hAnsi="宋体" w:cs="宋体"/>
                <w:color w:val="000000"/>
                <w:sz w:val="22"/>
                <w:szCs w:val="22"/>
              </w:rPr>
            </w:pPr>
          </w:p>
        </w:tc>
      </w:tr>
      <w:tr w14:paraId="2301A4F4">
        <w:tblPrEx>
          <w:tblCellMar>
            <w:top w:w="0" w:type="dxa"/>
            <w:left w:w="0" w:type="dxa"/>
            <w:bottom w:w="0" w:type="dxa"/>
            <w:right w:w="0" w:type="dxa"/>
          </w:tblCellMar>
        </w:tblPrEx>
        <w:trPr>
          <w:trHeight w:val="1391"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457E32">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126</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D5D7A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9A1F9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1、3.5m*2.2m*0.5+1.2m*1.6m*2.5mC25砼φ273F型单悬臂标杆基础；</w:t>
            </w:r>
            <w:r>
              <w:rPr>
                <w:rFonts w:hint="eastAsia" w:ascii="宋体" w:hAnsi="宋体" w:cs="宋体"/>
                <w:color w:val="000000"/>
                <w:sz w:val="22"/>
                <w:szCs w:val="22"/>
              </w:rPr>
              <w:br w:type="textWrapping"/>
            </w:r>
            <w:r>
              <w:rPr>
                <w:rFonts w:hint="eastAsia" w:ascii="宋体" w:hAnsi="宋体" w:cs="宋体"/>
                <w:color w:val="000000"/>
                <w:sz w:val="22"/>
                <w:szCs w:val="22"/>
              </w:rPr>
              <w:t>2、20cm厚片石垫层,表层灌砂，10cm厚C10细石混凝土垫层，C25混凝土基础浇筑，基础开挖后采用塘渣回填；</w:t>
            </w:r>
            <w:r>
              <w:rPr>
                <w:rFonts w:hint="eastAsia" w:ascii="宋体" w:hAnsi="宋体" w:cs="宋体"/>
                <w:color w:val="000000"/>
                <w:sz w:val="22"/>
                <w:szCs w:val="22"/>
              </w:rPr>
              <w:br w:type="textWrapping"/>
            </w:r>
            <w:r>
              <w:rPr>
                <w:rFonts w:hint="eastAsia" w:ascii="宋体" w:hAnsi="宋体" w:cs="宋体"/>
                <w:color w:val="000000"/>
                <w:sz w:val="22"/>
                <w:szCs w:val="22"/>
              </w:rPr>
              <w:t>2、钢筋制安，立柱下加劲肋、底座法兰、螺栓连接件等预埋铁件制作、安装；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F272C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19A31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AEE627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14319.71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A5E8D5">
            <w:pPr>
              <w:jc w:val="center"/>
              <w:rPr>
                <w:rFonts w:hint="eastAsia" w:ascii="宋体" w:hAnsi="宋体" w:cs="宋体"/>
                <w:color w:val="000000"/>
                <w:sz w:val="22"/>
                <w:szCs w:val="22"/>
              </w:rPr>
            </w:pPr>
          </w:p>
        </w:tc>
      </w:tr>
      <w:tr w14:paraId="0C264046">
        <w:tblPrEx>
          <w:tblCellMar>
            <w:top w:w="0" w:type="dxa"/>
            <w:left w:w="0" w:type="dxa"/>
            <w:bottom w:w="0" w:type="dxa"/>
            <w:right w:w="0" w:type="dxa"/>
          </w:tblCellMar>
        </w:tblPrEx>
        <w:trPr>
          <w:trHeight w:val="1391"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E5700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127</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B945B2">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6307E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1、3.5m*2.3m*0.5+1.5m*2.5m*1.4mC25砼L型单悬臂标杆基础；</w:t>
            </w:r>
            <w:r>
              <w:rPr>
                <w:rFonts w:hint="eastAsia" w:ascii="宋体" w:hAnsi="宋体" w:cs="宋体"/>
                <w:color w:val="000000"/>
                <w:sz w:val="22"/>
                <w:szCs w:val="22"/>
              </w:rPr>
              <w:br w:type="textWrapping"/>
            </w:r>
            <w:r>
              <w:rPr>
                <w:rFonts w:hint="eastAsia" w:ascii="宋体" w:hAnsi="宋体" w:cs="宋体"/>
                <w:color w:val="000000"/>
                <w:sz w:val="22"/>
                <w:szCs w:val="22"/>
              </w:rPr>
              <w:t>2、20cm厚片石垫层,表层灌砂，10cm厚C10细石混凝土垫层，C25混凝土基础浇筑，基础开挖后采用塘渣回填；</w:t>
            </w:r>
            <w:r>
              <w:rPr>
                <w:rFonts w:hint="eastAsia" w:ascii="宋体" w:hAnsi="宋体" w:cs="宋体"/>
                <w:color w:val="000000"/>
                <w:sz w:val="22"/>
                <w:szCs w:val="22"/>
              </w:rPr>
              <w:br w:type="textWrapping"/>
            </w:r>
            <w:r>
              <w:rPr>
                <w:rFonts w:hint="eastAsia" w:ascii="宋体" w:hAnsi="宋体" w:cs="宋体"/>
                <w:color w:val="000000"/>
                <w:sz w:val="22"/>
                <w:szCs w:val="22"/>
              </w:rPr>
              <w:t>2、钢筋制安，基础钢板、螺栓连接件等预埋铁件制作、安装；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EC64C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811FB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C77E3C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15130.94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53CEDF">
            <w:pPr>
              <w:jc w:val="center"/>
              <w:rPr>
                <w:rFonts w:hint="eastAsia" w:ascii="宋体" w:hAnsi="宋体" w:cs="宋体"/>
                <w:color w:val="000000"/>
                <w:sz w:val="22"/>
                <w:szCs w:val="22"/>
              </w:rPr>
            </w:pPr>
          </w:p>
        </w:tc>
      </w:tr>
      <w:tr w14:paraId="3D4AC263">
        <w:tblPrEx>
          <w:tblCellMar>
            <w:top w:w="0" w:type="dxa"/>
            <w:left w:w="0" w:type="dxa"/>
            <w:bottom w:w="0" w:type="dxa"/>
            <w:right w:w="0" w:type="dxa"/>
          </w:tblCellMar>
        </w:tblPrEx>
        <w:trPr>
          <w:trHeight w:val="1878"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5130D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128</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575EF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B7A2E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1、2.2m*2.7m*0.3m+1.3m*1.6m*2.1mC25砼L型信号灯单悬臂标杆基础；</w:t>
            </w:r>
            <w:r>
              <w:rPr>
                <w:rFonts w:hint="eastAsia" w:ascii="宋体" w:hAnsi="宋体" w:cs="宋体"/>
                <w:color w:val="000000"/>
                <w:sz w:val="22"/>
                <w:szCs w:val="22"/>
              </w:rPr>
              <w:br w:type="textWrapping"/>
            </w:r>
            <w:r>
              <w:rPr>
                <w:rFonts w:hint="eastAsia" w:ascii="宋体" w:hAnsi="宋体" w:cs="宋体"/>
                <w:color w:val="000000"/>
                <w:sz w:val="22"/>
                <w:szCs w:val="22"/>
              </w:rPr>
              <w:t>2、20cm厚片石垫层,表层灌砂，10cm厚C10细石混凝土垫层，C25混凝土基础浇筑，基础开挖后采用塘渣回填；</w:t>
            </w:r>
            <w:r>
              <w:rPr>
                <w:rFonts w:hint="eastAsia" w:ascii="宋体" w:hAnsi="宋体" w:cs="宋体"/>
                <w:color w:val="000000"/>
                <w:sz w:val="22"/>
                <w:szCs w:val="22"/>
              </w:rPr>
              <w:br w:type="textWrapping"/>
            </w:r>
            <w:r>
              <w:rPr>
                <w:rFonts w:hint="eastAsia" w:ascii="宋体" w:hAnsi="宋体" w:cs="宋体"/>
                <w:color w:val="000000"/>
                <w:sz w:val="22"/>
                <w:szCs w:val="22"/>
              </w:rPr>
              <w:t>2、钢筋制安，基础钢板、螺栓连接件等预埋铁件制作、安装；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B2548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87419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ECD3D4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10004.95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8803D7">
            <w:pPr>
              <w:jc w:val="center"/>
              <w:rPr>
                <w:rFonts w:hint="eastAsia" w:ascii="宋体" w:hAnsi="宋体" w:cs="宋体"/>
                <w:color w:val="000000"/>
                <w:sz w:val="22"/>
                <w:szCs w:val="22"/>
              </w:rPr>
            </w:pPr>
          </w:p>
        </w:tc>
      </w:tr>
      <w:tr w14:paraId="7AC054E2">
        <w:tblPrEx>
          <w:tblCellMar>
            <w:top w:w="0" w:type="dxa"/>
            <w:left w:w="0" w:type="dxa"/>
            <w:bottom w:w="0" w:type="dxa"/>
            <w:right w:w="0" w:type="dxa"/>
          </w:tblCellMar>
        </w:tblPrEx>
        <w:trPr>
          <w:trHeight w:val="1642"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F1CBEC">
            <w:pPr>
              <w:widowControl/>
              <w:jc w:val="center"/>
              <w:textAlignment w:val="center"/>
              <w:rPr>
                <w:rFonts w:hint="eastAsia" w:ascii="宋体" w:hAnsi="宋体" w:cs="宋体"/>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A6BD6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57069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1、1.2m*1.2m*1.5m+0.15m*1.4m*1.4mC25砼电子警察标杆基础；</w:t>
            </w:r>
            <w:r>
              <w:rPr>
                <w:rFonts w:hint="eastAsia" w:ascii="宋体" w:hAnsi="宋体" w:cs="宋体"/>
                <w:color w:val="000000"/>
                <w:sz w:val="22"/>
                <w:szCs w:val="22"/>
              </w:rPr>
              <w:br w:type="textWrapping"/>
            </w:r>
            <w:r>
              <w:rPr>
                <w:rFonts w:hint="eastAsia" w:ascii="宋体" w:hAnsi="宋体" w:cs="宋体"/>
                <w:color w:val="000000"/>
                <w:sz w:val="22"/>
                <w:szCs w:val="22"/>
              </w:rPr>
              <w:t>2、C25混凝土基础浇筑，基础开挖后采用塘渣回填；</w:t>
            </w:r>
            <w:r>
              <w:rPr>
                <w:rFonts w:hint="eastAsia" w:ascii="宋体" w:hAnsi="宋体" w:cs="宋体"/>
                <w:color w:val="000000"/>
                <w:sz w:val="22"/>
                <w:szCs w:val="22"/>
              </w:rPr>
              <w:br w:type="textWrapping"/>
            </w:r>
            <w:r>
              <w:rPr>
                <w:rFonts w:hint="eastAsia" w:ascii="宋体" w:hAnsi="宋体" w:cs="宋体"/>
                <w:color w:val="000000"/>
                <w:sz w:val="22"/>
                <w:szCs w:val="22"/>
              </w:rPr>
              <w:t>2、钢筋制安、法兰、螺栓连接件等预埋铁件制作、安装；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4、L50*50*5热镀锌角钢接地，UPVC电缆管DN75，BVR-25接地线</w:t>
            </w:r>
            <w:r>
              <w:rPr>
                <w:rFonts w:hint="eastAsia" w:ascii="宋体" w:hAnsi="宋体" w:cs="宋体"/>
                <w:color w:val="000000"/>
                <w:sz w:val="22"/>
                <w:szCs w:val="22"/>
              </w:rPr>
              <w:br w:type="textWrapping"/>
            </w:r>
            <w:r>
              <w:rPr>
                <w:rFonts w:hint="eastAsia" w:ascii="宋体" w:hAnsi="宋体" w:cs="宋体"/>
                <w:color w:val="000000"/>
                <w:sz w:val="22"/>
                <w:szCs w:val="22"/>
              </w:rPr>
              <w:t>5、模板制安</w:t>
            </w:r>
            <w:r>
              <w:rPr>
                <w:rFonts w:hint="eastAsia" w:ascii="宋体" w:hAnsi="宋体" w:cs="宋体"/>
                <w:color w:val="000000"/>
                <w:sz w:val="22"/>
                <w:szCs w:val="22"/>
              </w:rPr>
              <w:br w:type="textWrapping"/>
            </w:r>
            <w:r>
              <w:rPr>
                <w:rFonts w:hint="eastAsia" w:ascii="宋体" w:hAnsi="宋体" w:cs="宋体"/>
                <w:color w:val="000000"/>
                <w:sz w:val="22"/>
                <w:szCs w:val="22"/>
              </w:rPr>
              <w:t>6、详见图纸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86EB6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510AB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ABD240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4265.63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0A7A50">
            <w:pPr>
              <w:jc w:val="center"/>
              <w:rPr>
                <w:rFonts w:hint="eastAsia" w:ascii="宋体" w:hAnsi="宋体" w:cs="宋体"/>
                <w:color w:val="000000"/>
                <w:sz w:val="22"/>
                <w:szCs w:val="22"/>
              </w:rPr>
            </w:pPr>
          </w:p>
        </w:tc>
      </w:tr>
      <w:tr w14:paraId="2779E88F">
        <w:tblPrEx>
          <w:tblCellMar>
            <w:top w:w="0" w:type="dxa"/>
            <w:left w:w="0" w:type="dxa"/>
            <w:bottom w:w="0" w:type="dxa"/>
            <w:right w:w="0" w:type="dxa"/>
          </w:tblCellMar>
        </w:tblPrEx>
        <w:trPr>
          <w:trHeight w:val="1261" w:hRule="atLeast"/>
        </w:trPr>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71BD6B">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129</w:t>
            </w:r>
          </w:p>
        </w:tc>
        <w:tc>
          <w:tcPr>
            <w:tcW w:w="5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CC1BC5">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混凝土基础</w:t>
            </w:r>
          </w:p>
        </w:tc>
        <w:tc>
          <w:tcPr>
            <w:tcW w:w="26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5341C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1、3.5m*2.2m*0.5+1.2m*1.6m*2.5mC25砼φ377F型单悬臂标杆基础；</w:t>
            </w:r>
            <w:r>
              <w:rPr>
                <w:rFonts w:hint="eastAsia" w:ascii="宋体" w:hAnsi="宋体" w:cs="宋体"/>
                <w:color w:val="000000"/>
                <w:sz w:val="22"/>
                <w:szCs w:val="22"/>
              </w:rPr>
              <w:br w:type="textWrapping"/>
            </w:r>
            <w:r>
              <w:rPr>
                <w:rFonts w:hint="eastAsia" w:ascii="宋体" w:hAnsi="宋体" w:cs="宋体"/>
                <w:color w:val="000000"/>
                <w:sz w:val="22"/>
                <w:szCs w:val="22"/>
              </w:rPr>
              <w:t>2、20cm厚片石垫层,表层灌砂，10cm厚C10细石混凝土垫层，C25混凝土基础浇筑，基础开挖后采用塘渣回填；</w:t>
            </w:r>
            <w:r>
              <w:rPr>
                <w:rFonts w:hint="eastAsia" w:ascii="宋体" w:hAnsi="宋体" w:cs="宋体"/>
                <w:color w:val="000000"/>
                <w:sz w:val="22"/>
                <w:szCs w:val="22"/>
              </w:rPr>
              <w:br w:type="textWrapping"/>
            </w:r>
            <w:r>
              <w:rPr>
                <w:rFonts w:hint="eastAsia" w:ascii="宋体" w:hAnsi="宋体" w:cs="宋体"/>
                <w:color w:val="000000"/>
                <w:sz w:val="22"/>
                <w:szCs w:val="22"/>
              </w:rPr>
              <w:t>2、钢筋制安，立柱下加劲肋、底座法兰、螺栓连接件等预埋铁件制作、安装；</w:t>
            </w:r>
            <w:r>
              <w:rPr>
                <w:rFonts w:hint="eastAsia" w:ascii="宋体" w:hAnsi="宋体" w:cs="宋体"/>
                <w:color w:val="000000"/>
                <w:sz w:val="22"/>
                <w:szCs w:val="22"/>
              </w:rPr>
              <w:br w:type="textWrapping"/>
            </w:r>
            <w:r>
              <w:rPr>
                <w:rFonts w:hint="eastAsia" w:ascii="宋体" w:hAnsi="宋体" w:cs="宋体"/>
                <w:color w:val="000000"/>
                <w:sz w:val="22"/>
                <w:szCs w:val="22"/>
              </w:rPr>
              <w:t>3、土方开挖、土方类别及土方外运运距由施工单位自行考虑;</w:t>
            </w:r>
            <w:r>
              <w:rPr>
                <w:rFonts w:hint="eastAsia" w:ascii="宋体" w:hAnsi="宋体" w:cs="宋体"/>
                <w:color w:val="000000"/>
                <w:sz w:val="22"/>
                <w:szCs w:val="22"/>
              </w:rPr>
              <w:br w:type="textWrapping"/>
            </w:r>
            <w:r>
              <w:rPr>
                <w:rFonts w:hint="eastAsia" w:ascii="宋体" w:hAnsi="宋体" w:cs="宋体"/>
                <w:color w:val="000000"/>
                <w:sz w:val="22"/>
                <w:szCs w:val="22"/>
              </w:rPr>
              <w:t>4、模板制安</w:t>
            </w:r>
            <w:r>
              <w:rPr>
                <w:rFonts w:hint="eastAsia" w:ascii="宋体" w:hAnsi="宋体" w:cs="宋体"/>
                <w:color w:val="000000"/>
                <w:sz w:val="22"/>
                <w:szCs w:val="22"/>
              </w:rPr>
              <w:br w:type="textWrapping"/>
            </w:r>
            <w:r>
              <w:rPr>
                <w:rFonts w:hint="eastAsia" w:ascii="宋体" w:hAnsi="宋体" w:cs="宋体"/>
                <w:color w:val="000000"/>
                <w:sz w:val="22"/>
                <w:szCs w:val="22"/>
              </w:rPr>
              <w:t>5、详见图纸</w:t>
            </w:r>
          </w:p>
        </w:tc>
        <w:tc>
          <w:tcPr>
            <w:tcW w:w="2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10A4A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4DD6E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 </w:t>
            </w:r>
          </w:p>
        </w:tc>
        <w:tc>
          <w:tcPr>
            <w:tcW w:w="54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8A2A80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14319.71 </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F80C96">
            <w:pPr>
              <w:jc w:val="center"/>
              <w:rPr>
                <w:rFonts w:hint="eastAsia" w:ascii="宋体" w:hAnsi="宋体" w:cs="宋体"/>
                <w:color w:val="000000"/>
                <w:sz w:val="22"/>
                <w:szCs w:val="22"/>
              </w:rPr>
            </w:pPr>
          </w:p>
        </w:tc>
      </w:tr>
      <w:tr w14:paraId="17C1A7D3">
        <w:tblPrEx>
          <w:tblCellMar>
            <w:top w:w="0" w:type="dxa"/>
            <w:left w:w="0" w:type="dxa"/>
            <w:bottom w:w="0" w:type="dxa"/>
            <w:right w:w="0" w:type="dxa"/>
          </w:tblCellMar>
        </w:tblPrEx>
        <w:trPr>
          <w:trHeight w:val="3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2F88F9">
            <w:pPr>
              <w:widowControl/>
              <w:jc w:val="left"/>
              <w:textAlignment w:val="center"/>
              <w:rPr>
                <w:rFonts w:hint="eastAsia" w:ascii="宋体" w:hAnsi="宋体" w:cs="宋体"/>
                <w:b/>
                <w:bCs/>
                <w:color w:val="000000"/>
                <w:sz w:val="22"/>
                <w:szCs w:val="22"/>
              </w:rPr>
            </w:pPr>
            <w:r>
              <w:rPr>
                <w:rFonts w:hint="eastAsia" w:ascii="宋体" w:hAnsi="宋体" w:cs="宋体"/>
                <w:b/>
                <w:bCs/>
                <w:color w:val="000000"/>
                <w:sz w:val="22"/>
                <w:szCs w:val="22"/>
              </w:rPr>
              <w:t>备注：</w:t>
            </w:r>
            <w:r>
              <w:rPr>
                <w:rFonts w:hint="eastAsia" w:ascii="宋体" w:hAnsi="宋体" w:cs="宋体"/>
                <w:b/>
                <w:bCs/>
                <w:sz w:val="22"/>
                <w:szCs w:val="22"/>
              </w:rPr>
              <w:t>1、▲上述表格中的工程量仅为供应商商务报价用，采购人有权根据实际需求调整工作内容及数量。具体数量按实计算，结算单价按单价最高限价×折扣率进行计算；</w:t>
            </w:r>
          </w:p>
          <w:p w14:paraId="1ED70A12">
            <w:pPr>
              <w:widowControl/>
              <w:jc w:val="left"/>
              <w:textAlignment w:val="center"/>
              <w:rPr>
                <w:rFonts w:hint="eastAsia" w:ascii="宋体" w:hAnsi="宋体" w:cs="宋体"/>
                <w:b/>
                <w:bCs/>
                <w:sz w:val="22"/>
                <w:szCs w:val="22"/>
              </w:rPr>
            </w:pPr>
            <w:r>
              <w:rPr>
                <w:rFonts w:hint="eastAsia" w:ascii="宋体" w:hAnsi="宋体" w:cs="宋体"/>
                <w:b/>
                <w:bCs/>
                <w:sz w:val="22"/>
                <w:szCs w:val="22"/>
              </w:rPr>
              <w:t>2、▲本次投标品目招标人已设最高单价限价，各投标人在招标人设定的最高单价限价的基础上根据企业自身实力及市场行情自行填报折扣率，不同投标品目要求填报统一的折扣率（即所有投标品目的折扣率均相同），否则其报价无效并作无效标处理。</w:t>
            </w:r>
          </w:p>
          <w:p w14:paraId="7E8DCD07">
            <w:pPr>
              <w:widowControl/>
              <w:jc w:val="left"/>
              <w:textAlignment w:val="center"/>
              <w:rPr>
                <w:rFonts w:hint="eastAsia" w:ascii="宋体" w:hAnsi="宋体" w:cs="宋体"/>
                <w:b/>
                <w:sz w:val="22"/>
                <w:szCs w:val="22"/>
              </w:rPr>
            </w:pPr>
            <w:r>
              <w:rPr>
                <w:rFonts w:hint="eastAsia" w:ascii="宋体" w:hAnsi="宋体" w:cs="宋体"/>
                <w:b/>
                <w:bCs/>
                <w:sz w:val="22"/>
                <w:szCs w:val="22"/>
              </w:rPr>
              <w:t>3、投标人须对上述表格中的各个品目折扣后单价进行报价（所有投标品目的折扣率均相同），报价列入投标报价明细表中。在项目实施过程中如需采购的产品不在本次采购清单中，则由甲乙双方协商，以市场价及中标折扣率进行结算。</w:t>
            </w:r>
          </w:p>
        </w:tc>
      </w:tr>
    </w:tbl>
    <w:p w14:paraId="568B8594">
      <w:pPr>
        <w:widowControl/>
        <w:tabs>
          <w:tab w:val="left" w:pos="540"/>
        </w:tabs>
        <w:autoSpaceDE w:val="0"/>
        <w:autoSpaceDN w:val="0"/>
        <w:snapToGrid w:val="0"/>
        <w:spacing w:line="360" w:lineRule="auto"/>
        <w:textAlignment w:val="bottom"/>
        <w:rPr>
          <w:rFonts w:hint="eastAsia" w:ascii="宋体" w:hAnsi="宋体" w:cs="宋体"/>
          <w:bCs/>
          <w:kern w:val="0"/>
          <w:sz w:val="22"/>
          <w:szCs w:val="22"/>
          <w:u w:val="single"/>
        </w:rPr>
      </w:pPr>
      <w:r>
        <w:rPr>
          <w:rFonts w:hint="eastAsia" w:ascii="宋体" w:hAnsi="宋体" w:cs="宋体"/>
          <w:sz w:val="22"/>
          <w:szCs w:val="22"/>
        </w:rPr>
        <w:t>注：</w:t>
      </w:r>
      <w:r>
        <w:rPr>
          <w:rFonts w:hint="eastAsia" w:ascii="宋体" w:hAnsi="宋体" w:cs="宋体"/>
          <w:bCs/>
          <w:kern w:val="0"/>
          <w:sz w:val="22"/>
          <w:szCs w:val="22"/>
        </w:rPr>
        <w:t>1、</w:t>
      </w:r>
      <w:r>
        <w:rPr>
          <w:rFonts w:hint="eastAsia" w:ascii="宋体" w:hAnsi="宋体" w:cs="宋体"/>
          <w:bCs/>
          <w:color w:val="000000"/>
          <w:kern w:val="0"/>
          <w:sz w:val="22"/>
          <w:szCs w:val="22"/>
          <w:lang w:bidi="ar"/>
        </w:rPr>
        <w:t>清单定义及工程量计算约定：</w:t>
      </w:r>
    </w:p>
    <w:p w14:paraId="751AA3B0">
      <w:pPr>
        <w:widowControl/>
        <w:spacing w:line="360" w:lineRule="auto"/>
        <w:ind w:firstLine="440" w:firstLineChars="200"/>
        <w:jc w:val="left"/>
        <w:textAlignment w:val="center"/>
        <w:rPr>
          <w:rFonts w:hint="eastAsia" w:ascii="宋体" w:hAnsi="宋体" w:cs="宋体"/>
          <w:bCs/>
          <w:color w:val="000000"/>
          <w:kern w:val="0"/>
          <w:sz w:val="22"/>
          <w:szCs w:val="22"/>
          <w:lang w:bidi="ar"/>
        </w:rPr>
      </w:pPr>
      <w:r>
        <w:rPr>
          <w:rFonts w:hint="eastAsia" w:ascii="宋体" w:hAnsi="宋体" w:cs="宋体"/>
          <w:bCs/>
          <w:color w:val="000000"/>
          <w:kern w:val="0"/>
          <w:sz w:val="22"/>
          <w:szCs w:val="22"/>
          <w:lang w:bidi="ar"/>
        </w:rPr>
        <w:t>①线型交通标线（白色或黄色，虚线或实线）：含中心线、车道分界线、公交停靠站标线交叉口停车线、人行横道线、左转待转区线、网格线等线型实线或虚线，工程量按标线漆划的净面积计算。</w:t>
      </w:r>
    </w:p>
    <w:p w14:paraId="082EB039">
      <w:pPr>
        <w:widowControl/>
        <w:spacing w:line="360" w:lineRule="auto"/>
        <w:ind w:firstLine="440" w:firstLineChars="200"/>
        <w:jc w:val="left"/>
        <w:textAlignment w:val="center"/>
        <w:rPr>
          <w:rFonts w:hint="eastAsia" w:ascii="宋体" w:hAnsi="宋体" w:cs="宋体"/>
          <w:bCs/>
          <w:color w:val="000000"/>
          <w:kern w:val="0"/>
          <w:sz w:val="22"/>
          <w:szCs w:val="22"/>
          <w:lang w:bidi="ar"/>
        </w:rPr>
      </w:pPr>
      <w:r>
        <w:rPr>
          <w:rFonts w:hint="eastAsia" w:ascii="宋体" w:hAnsi="宋体" w:cs="宋体"/>
          <w:bCs/>
          <w:color w:val="000000"/>
          <w:kern w:val="0"/>
          <w:sz w:val="22"/>
          <w:szCs w:val="22"/>
          <w:lang w:bidi="ar"/>
        </w:rPr>
        <w:t>②震荡线：工程量按标线漆划的底部净面积计算。</w:t>
      </w:r>
    </w:p>
    <w:p w14:paraId="4054030B">
      <w:pPr>
        <w:widowControl/>
        <w:spacing w:line="360" w:lineRule="auto"/>
        <w:ind w:firstLine="440" w:firstLineChars="200"/>
        <w:jc w:val="left"/>
        <w:textAlignment w:val="center"/>
        <w:rPr>
          <w:rFonts w:hint="eastAsia" w:ascii="宋体" w:hAnsi="宋体" w:cs="宋体"/>
          <w:bCs/>
          <w:color w:val="000000"/>
          <w:kern w:val="0"/>
          <w:sz w:val="22"/>
          <w:szCs w:val="22"/>
          <w:lang w:bidi="ar"/>
        </w:rPr>
      </w:pPr>
      <w:r>
        <w:rPr>
          <w:rFonts w:hint="eastAsia" w:ascii="宋体" w:hAnsi="宋体" w:cs="宋体"/>
          <w:bCs/>
          <w:color w:val="000000"/>
          <w:kern w:val="0"/>
          <w:sz w:val="22"/>
          <w:szCs w:val="22"/>
          <w:lang w:bidi="ar"/>
        </w:rPr>
        <w:t>③机动车停车位标线（含出租车上下客车位，实线或虚线，如有停车方向箭头或字符、图形另计）：工程量按标线漆划的净面积计算。</w:t>
      </w:r>
    </w:p>
    <w:p w14:paraId="4B078736">
      <w:pPr>
        <w:widowControl/>
        <w:spacing w:line="360" w:lineRule="auto"/>
        <w:ind w:firstLine="440" w:firstLineChars="200"/>
        <w:jc w:val="left"/>
        <w:textAlignment w:val="center"/>
        <w:rPr>
          <w:rFonts w:hint="eastAsia" w:ascii="宋体" w:hAnsi="宋体" w:cs="宋体"/>
          <w:bCs/>
          <w:color w:val="000000"/>
          <w:kern w:val="0"/>
          <w:sz w:val="22"/>
          <w:szCs w:val="22"/>
          <w:lang w:bidi="ar"/>
        </w:rPr>
      </w:pPr>
      <w:r>
        <w:rPr>
          <w:rFonts w:hint="eastAsia" w:ascii="宋体" w:hAnsi="宋体" w:cs="宋体"/>
          <w:bCs/>
          <w:color w:val="000000"/>
          <w:kern w:val="0"/>
          <w:sz w:val="22"/>
          <w:szCs w:val="22"/>
          <w:lang w:bidi="ar"/>
        </w:rPr>
        <w:t>④非机动车停车位标线（内部如有自行车等图形另计）：工程量按标线漆划的净面积计算。</w:t>
      </w:r>
    </w:p>
    <w:p w14:paraId="0A524235">
      <w:pPr>
        <w:widowControl/>
        <w:spacing w:line="360" w:lineRule="auto"/>
        <w:ind w:firstLine="440" w:firstLineChars="200"/>
        <w:jc w:val="left"/>
        <w:textAlignment w:val="center"/>
        <w:rPr>
          <w:rFonts w:hint="eastAsia" w:ascii="宋体" w:hAnsi="宋体" w:cs="宋体"/>
          <w:bCs/>
          <w:color w:val="000000"/>
          <w:kern w:val="0"/>
          <w:sz w:val="22"/>
          <w:szCs w:val="22"/>
          <w:lang w:bidi="ar"/>
        </w:rPr>
      </w:pPr>
      <w:r>
        <w:rPr>
          <w:rFonts w:hint="eastAsia" w:ascii="宋体" w:hAnsi="宋体" w:cs="宋体"/>
          <w:bCs/>
          <w:color w:val="000000"/>
          <w:kern w:val="0"/>
          <w:sz w:val="22"/>
          <w:szCs w:val="22"/>
          <w:lang w:bidi="ar"/>
        </w:rPr>
        <w:t>⑤残疾人专用停车位标线（含内部图形）：工程量按整体外框矩形尺寸面积的50%计算。</w:t>
      </w:r>
    </w:p>
    <w:p w14:paraId="06E427CB">
      <w:pPr>
        <w:widowControl/>
        <w:spacing w:line="360" w:lineRule="auto"/>
        <w:ind w:firstLine="440" w:firstLineChars="200"/>
        <w:jc w:val="left"/>
        <w:textAlignment w:val="center"/>
        <w:rPr>
          <w:rFonts w:hint="eastAsia" w:ascii="宋体" w:hAnsi="宋体" w:cs="宋体"/>
          <w:bCs/>
          <w:color w:val="000000"/>
          <w:kern w:val="0"/>
          <w:sz w:val="22"/>
          <w:szCs w:val="22"/>
          <w:lang w:bidi="ar"/>
        </w:rPr>
      </w:pPr>
      <w:r>
        <w:rPr>
          <w:rFonts w:hint="eastAsia" w:ascii="宋体" w:hAnsi="宋体" w:cs="宋体"/>
          <w:bCs/>
          <w:color w:val="000000"/>
          <w:kern w:val="0"/>
          <w:sz w:val="22"/>
          <w:szCs w:val="22"/>
          <w:lang w:bidi="ar"/>
        </w:rPr>
        <w:t>⑥网状标线（白色或黄色）：工程量按标线漆划的底部净面积计算。</w:t>
      </w:r>
    </w:p>
    <w:p w14:paraId="225979A9">
      <w:pPr>
        <w:widowControl/>
        <w:spacing w:line="360" w:lineRule="auto"/>
        <w:ind w:firstLine="440" w:firstLineChars="200"/>
        <w:jc w:val="left"/>
        <w:textAlignment w:val="center"/>
        <w:rPr>
          <w:rFonts w:hint="eastAsia" w:ascii="宋体" w:hAnsi="宋体" w:cs="宋体"/>
          <w:bCs/>
          <w:color w:val="000000"/>
          <w:kern w:val="0"/>
          <w:sz w:val="22"/>
          <w:szCs w:val="22"/>
          <w:lang w:bidi="ar"/>
        </w:rPr>
      </w:pPr>
      <w:r>
        <w:rPr>
          <w:rFonts w:hint="eastAsia" w:ascii="宋体" w:hAnsi="宋体" w:cs="宋体"/>
          <w:bCs/>
          <w:color w:val="000000"/>
          <w:kern w:val="0"/>
          <w:sz w:val="22"/>
          <w:szCs w:val="22"/>
          <w:lang w:bidi="ar"/>
        </w:rPr>
        <w:t>⑦各类文字、字符、图形：含文字、字符、导流线、交叉口转弯导流线、菱形中心圈、圆形中心圈、人行道预告标志线、出入口标志线及其他图形，工程量计算时，文字、字符按单体的外围矩形面积计算，图形按外框尺寸面积计算。</w:t>
      </w:r>
    </w:p>
    <w:p w14:paraId="709DF8F1">
      <w:pPr>
        <w:widowControl/>
        <w:spacing w:line="360" w:lineRule="auto"/>
        <w:ind w:firstLine="440" w:firstLineChars="200"/>
        <w:jc w:val="left"/>
        <w:textAlignment w:val="center"/>
        <w:rPr>
          <w:rFonts w:hint="eastAsia" w:ascii="宋体" w:hAnsi="宋体" w:cs="宋体"/>
          <w:bCs/>
          <w:color w:val="000000"/>
          <w:kern w:val="0"/>
          <w:sz w:val="22"/>
          <w:szCs w:val="22"/>
          <w:lang w:bidi="ar"/>
        </w:rPr>
      </w:pPr>
      <w:r>
        <w:rPr>
          <w:rFonts w:hint="eastAsia" w:ascii="宋体" w:hAnsi="宋体" w:cs="宋体"/>
          <w:bCs/>
          <w:color w:val="000000"/>
          <w:kern w:val="0"/>
          <w:sz w:val="22"/>
          <w:szCs w:val="22"/>
          <w:lang w:bidi="ar"/>
        </w:rPr>
        <w:t>⑧各类导向箭头：工程量按单体的外围矩形面积的50%计算。</w:t>
      </w:r>
    </w:p>
    <w:p w14:paraId="7BFD2709">
      <w:pPr>
        <w:widowControl/>
        <w:spacing w:line="360" w:lineRule="auto"/>
        <w:ind w:firstLine="440" w:firstLineChars="200"/>
        <w:jc w:val="left"/>
        <w:textAlignment w:val="center"/>
        <w:rPr>
          <w:rFonts w:hint="eastAsia" w:ascii="宋体" w:hAnsi="宋体" w:cs="宋体"/>
          <w:bCs/>
          <w:color w:val="000000"/>
          <w:kern w:val="0"/>
          <w:sz w:val="22"/>
          <w:szCs w:val="22"/>
          <w:lang w:bidi="ar"/>
        </w:rPr>
      </w:pPr>
      <w:r>
        <w:rPr>
          <w:rFonts w:hint="eastAsia" w:ascii="宋体" w:hAnsi="宋体" w:cs="宋体"/>
          <w:bCs/>
          <w:color w:val="000000"/>
          <w:kern w:val="0"/>
          <w:sz w:val="22"/>
          <w:szCs w:val="22"/>
          <w:lang w:bidi="ar"/>
        </w:rPr>
        <w:t>⑨清除标线（一般除线）：机械除线，主要适用于适用于混凝土路面，工程量按实际清除面积计算（面积计算约定参照本清单其他各项计算约定）。</w:t>
      </w:r>
    </w:p>
    <w:p w14:paraId="2CA27659">
      <w:pPr>
        <w:widowControl/>
        <w:spacing w:line="360" w:lineRule="auto"/>
        <w:ind w:firstLine="440" w:firstLineChars="200"/>
        <w:jc w:val="left"/>
        <w:textAlignment w:val="center"/>
        <w:rPr>
          <w:rFonts w:hint="eastAsia" w:ascii="宋体" w:hAnsi="宋体" w:cs="宋体"/>
          <w:bCs/>
          <w:color w:val="000000"/>
          <w:kern w:val="0"/>
          <w:sz w:val="22"/>
          <w:szCs w:val="22"/>
          <w:lang w:bidi="ar"/>
        </w:rPr>
      </w:pPr>
      <w:r>
        <w:rPr>
          <w:rFonts w:hint="eastAsia" w:ascii="宋体" w:hAnsi="宋体" w:cs="宋体"/>
          <w:bCs/>
          <w:color w:val="000000"/>
          <w:kern w:val="0"/>
          <w:sz w:val="22"/>
          <w:szCs w:val="22"/>
          <w:lang w:bidi="ar"/>
        </w:rPr>
        <w:t>⑩清除标线（水除线）：水高压除线，主要适用于沥青路面，工程量按实际清除面积计算（面积计算约定参照本清单其他各项计算约定）。</w:t>
      </w:r>
    </w:p>
    <w:p w14:paraId="3368F0F9">
      <w:pPr>
        <w:widowControl/>
        <w:tabs>
          <w:tab w:val="left" w:pos="540"/>
        </w:tabs>
        <w:autoSpaceDE w:val="0"/>
        <w:autoSpaceDN w:val="0"/>
        <w:snapToGrid w:val="0"/>
        <w:spacing w:line="360" w:lineRule="auto"/>
        <w:textAlignment w:val="bottom"/>
        <w:rPr>
          <w:rFonts w:hint="eastAsia" w:ascii="宋体" w:hAnsi="宋体" w:cs="宋体"/>
          <w:sz w:val="22"/>
          <w:szCs w:val="22"/>
        </w:rPr>
      </w:pPr>
      <w:r>
        <w:rPr>
          <w:rFonts w:hint="eastAsia" w:ascii="宋体" w:hAnsi="宋体" w:cs="宋体"/>
          <w:sz w:val="22"/>
          <w:szCs w:val="22"/>
        </w:rPr>
        <w:t>2、具体规格以采购文件为准，具体施工内容、施工工艺，参看国标，采购单位根据标志标线相关规定有权对施工内容进行细节调整。</w:t>
      </w:r>
    </w:p>
    <w:p w14:paraId="2B4B4D60">
      <w:pPr>
        <w:widowControl/>
        <w:tabs>
          <w:tab w:val="left" w:pos="540"/>
        </w:tabs>
        <w:autoSpaceDE w:val="0"/>
        <w:autoSpaceDN w:val="0"/>
        <w:snapToGrid w:val="0"/>
        <w:spacing w:line="360" w:lineRule="auto"/>
        <w:ind w:firstLine="221" w:firstLineChars="100"/>
        <w:textAlignment w:val="bottom"/>
        <w:rPr>
          <w:rFonts w:hint="eastAsia" w:ascii="宋体" w:hAnsi="宋体" w:cs="宋体"/>
          <w:b/>
          <w:color w:val="0000FF"/>
          <w:sz w:val="22"/>
          <w:szCs w:val="22"/>
          <w:u w:val="single"/>
        </w:rPr>
      </w:pPr>
      <w:r>
        <w:rPr>
          <w:rFonts w:hint="eastAsia" w:ascii="宋体" w:hAnsi="宋体" w:cs="宋体"/>
          <w:b/>
          <w:bCs/>
          <w:sz w:val="22"/>
          <w:szCs w:val="22"/>
        </w:rPr>
        <w:t>▲</w:t>
      </w:r>
      <w:r>
        <w:rPr>
          <w:rFonts w:hint="eastAsia" w:ascii="宋体" w:hAnsi="宋体" w:cs="宋体"/>
          <w:b/>
          <w:sz w:val="22"/>
          <w:szCs w:val="22"/>
          <w:u w:val="single"/>
        </w:rPr>
        <w:t>3.1以上所标志的是本项目的主要工作内容，具体根据实际情况施工。本项目以扣率进行报价，综合单价报价包含货物所需的材料、施工设备、人工、施工、安装、运费、管理费、利润、税金以及安全生产费等其他所有费用，请各投标单位根据自身实力进行报价。</w:t>
      </w:r>
      <w:r>
        <w:rPr>
          <w:rFonts w:hint="eastAsia" w:ascii="宋体" w:hAnsi="宋体" w:cs="宋体"/>
          <w:b/>
          <w:color w:val="0000FF"/>
          <w:sz w:val="22"/>
          <w:szCs w:val="22"/>
          <w:u w:val="single"/>
        </w:rPr>
        <w:t>各分项全费用单价报价不得高于各自的全费用单价最高限价，否则作无效标处理。</w:t>
      </w:r>
    </w:p>
    <w:p w14:paraId="5916DD59">
      <w:pPr>
        <w:widowControl/>
        <w:tabs>
          <w:tab w:val="left" w:pos="540"/>
        </w:tabs>
        <w:autoSpaceDE w:val="0"/>
        <w:autoSpaceDN w:val="0"/>
        <w:snapToGrid w:val="0"/>
        <w:spacing w:line="360" w:lineRule="auto"/>
        <w:ind w:firstLine="323" w:firstLineChars="147"/>
        <w:textAlignment w:val="bottom"/>
        <w:rPr>
          <w:rFonts w:hint="eastAsia" w:ascii="宋体" w:hAnsi="宋体" w:cs="宋体"/>
          <w:bCs/>
          <w:sz w:val="22"/>
          <w:szCs w:val="22"/>
        </w:rPr>
      </w:pPr>
      <w:r>
        <w:rPr>
          <w:rFonts w:hint="eastAsia" w:ascii="宋体" w:hAnsi="宋体" w:cs="宋体"/>
          <w:bCs/>
          <w:sz w:val="22"/>
          <w:szCs w:val="22"/>
        </w:rPr>
        <w:t>2.2涂料的所有证明材料原件（包括①交通部公路工程交通工程专项检测机构出具的a、黄色和白色热熔反光型涂料检测报告；b、路面标线用玻璃微珠检测报告；c、白色和黄色热熔突起型涂料检测报告； ②热熔反光型、热熔突起型批量生产合格证；）在发放中标通知书前提交给采购人及监理单位核查确认。</w:t>
      </w:r>
    </w:p>
    <w:p w14:paraId="2AF92F63">
      <w:pPr>
        <w:widowControl/>
        <w:tabs>
          <w:tab w:val="left" w:pos="540"/>
        </w:tabs>
        <w:autoSpaceDE w:val="0"/>
        <w:autoSpaceDN w:val="0"/>
        <w:snapToGrid w:val="0"/>
        <w:spacing w:line="360" w:lineRule="auto"/>
        <w:textAlignment w:val="bottom"/>
        <w:rPr>
          <w:rFonts w:hint="eastAsia" w:ascii="宋体" w:hAnsi="宋体" w:cs="宋体"/>
          <w:sz w:val="22"/>
          <w:szCs w:val="22"/>
        </w:rPr>
      </w:pPr>
      <w:r>
        <w:rPr>
          <w:rFonts w:hint="eastAsia" w:ascii="宋体" w:hAnsi="宋体" w:cs="宋体"/>
          <w:sz w:val="22"/>
          <w:szCs w:val="22"/>
        </w:rPr>
        <w:t>2.3、交通标线的技术要求（质保期如有脱落，中标供应商须免费重新施划）</w:t>
      </w:r>
    </w:p>
    <w:p w14:paraId="105BD9CB">
      <w:pPr>
        <w:spacing w:line="360" w:lineRule="auto"/>
        <w:ind w:firstLine="440" w:firstLineChars="200"/>
        <w:rPr>
          <w:rFonts w:hint="eastAsia" w:ascii="宋体" w:hAnsi="宋体" w:cs="宋体"/>
          <w:bCs/>
          <w:sz w:val="22"/>
          <w:szCs w:val="22"/>
        </w:rPr>
      </w:pPr>
      <w:r>
        <w:rPr>
          <w:rFonts w:hint="eastAsia" w:ascii="宋体" w:hAnsi="宋体" w:cs="宋体"/>
          <w:bCs/>
          <w:sz w:val="22"/>
          <w:szCs w:val="22"/>
        </w:rPr>
        <w:t>（1）道路交通标线是由标划于路面上的各种线条、箭头、文字、立面标记、突起路标和轮廓标等所构成的交通安全设施。交通标线的作用是管制和引导交通。根据国际《道路交通标线标志线》（GB5768-2009）的相关规定，本工程交通标线主要由中心线、车道分界线、车行道边缘线、车道导向线、停止线、导流线、左转弯待转区、人行横道预告标记、导向箭头标记等其他路面标记。标线按规定设置成反光交通标线。</w:t>
      </w:r>
    </w:p>
    <w:p w14:paraId="4B461070">
      <w:pPr>
        <w:spacing w:line="360" w:lineRule="auto"/>
        <w:ind w:firstLine="440" w:firstLineChars="200"/>
        <w:rPr>
          <w:rFonts w:hint="eastAsia" w:ascii="宋体" w:hAnsi="宋体" w:cs="宋体"/>
          <w:bCs/>
          <w:sz w:val="22"/>
          <w:szCs w:val="22"/>
        </w:rPr>
      </w:pPr>
      <w:r>
        <w:rPr>
          <w:rFonts w:hint="eastAsia" w:ascii="宋体" w:hAnsi="宋体" w:cs="宋体"/>
          <w:bCs/>
          <w:sz w:val="22"/>
          <w:szCs w:val="22"/>
        </w:rPr>
        <w:t>（2）标线涂料采用热熔反光型涂料，并使用抗滑材料，涂膜厚度=2MM，为增加夜间反光性，应预混玻璃微珠（选用2号珠，含量为18-25%）和面撒玻璃珠（选用1号珠，0.3-0.4KG/㎡）。热熔型涂料的性能应符合JT/T280的5.2条规定。白色反光标线涂料的亮度因数≥0.35，初始逆反射系数应≥150mcd/1x·㎡，黄色反光涂料的亮度因数≥0.27，初始逆反射系数应≥100mcd/1x·㎡。标线施工前，应根据不同情况采用扫帚、板刷或煤气燃烧器彻底清除路面灰尘、泥沙、水分等涂料粘接妨碍物，并按设计或原有的先行要求放样。连续设置的实线类标线应每隔15M左右设置排水缝，缝宽4CM。</w:t>
      </w:r>
      <w:r>
        <w:rPr>
          <w:rFonts w:hint="eastAsia" w:ascii="宋体" w:hAnsi="宋体" w:cs="宋体"/>
          <w:b/>
          <w:sz w:val="22"/>
          <w:szCs w:val="22"/>
        </w:rPr>
        <w:t>为提高路面与涂膜的粘接力，须在路面上先涂抹底漆（下涂剂）。底漆由合成树脂、可塑剂、芳香族溶剂构成，底漆干燥前，不得进行涂料画线</w:t>
      </w:r>
      <w:r>
        <w:rPr>
          <w:rFonts w:hint="eastAsia" w:ascii="宋体" w:hAnsi="宋体" w:cs="宋体"/>
          <w:bCs/>
          <w:sz w:val="22"/>
          <w:szCs w:val="22"/>
        </w:rPr>
        <w:t>。</w:t>
      </w:r>
    </w:p>
    <w:p w14:paraId="70DAC8EA">
      <w:pPr>
        <w:spacing w:line="360" w:lineRule="auto"/>
        <w:ind w:firstLine="440" w:firstLineChars="200"/>
        <w:rPr>
          <w:rFonts w:hint="eastAsia" w:ascii="宋体" w:hAnsi="宋体" w:cs="宋体"/>
          <w:bCs/>
          <w:sz w:val="22"/>
          <w:szCs w:val="22"/>
        </w:rPr>
      </w:pPr>
      <w:r>
        <w:rPr>
          <w:rFonts w:hint="eastAsia" w:ascii="宋体" w:hAnsi="宋体" w:cs="宋体"/>
          <w:sz w:val="22"/>
          <w:szCs w:val="22"/>
        </w:rPr>
        <w:t>（3）具体功能、技术要求及施工工艺：参照国家统一标准GB5768-2009《道路交通标志和标线》的相关规定，其他配件及技术要求应符合轮廓标技术条件（JT/T388）、凸起路标（JT/T390）、地名、标志（GB17733-2008）、交通标志反光膜（GB/T18833-2012）、道路交通标志板及支撑件（GB/T123827-2009）、公路交通标志板（JT/T279-2004）、公路工程技术标准（JTGB01-2003）、道路交通标志标线质量要求和检测方法等相关标准要求。</w:t>
      </w:r>
    </w:p>
    <w:p w14:paraId="4EAB04A7">
      <w:pPr>
        <w:autoSpaceDE w:val="0"/>
        <w:autoSpaceDN w:val="0"/>
        <w:adjustRightInd w:val="0"/>
        <w:snapToGrid w:val="0"/>
        <w:spacing w:line="360" w:lineRule="auto"/>
        <w:rPr>
          <w:rFonts w:hint="eastAsia" w:ascii="Arial" w:hAnsi="Arial" w:eastAsia="宋体"/>
          <w:b/>
          <w:szCs w:val="21"/>
          <w:lang w:eastAsia="zh-CN"/>
        </w:rPr>
      </w:pPr>
      <w:r>
        <w:rPr>
          <w:rFonts w:hint="eastAsia" w:ascii="宋体" w:hAnsi="宋体" w:cs="宋体"/>
          <w:b/>
          <w:bCs/>
          <w:sz w:val="22"/>
          <w:szCs w:val="22"/>
          <w:lang w:eastAsia="zh-CN"/>
        </w:rPr>
        <w:t>（</w:t>
      </w:r>
      <w:r>
        <w:rPr>
          <w:rFonts w:hint="eastAsia" w:ascii="宋体" w:hAnsi="宋体" w:cs="宋体"/>
          <w:b/>
          <w:bCs/>
          <w:sz w:val="22"/>
          <w:szCs w:val="22"/>
          <w:lang w:val="en-US" w:eastAsia="zh-CN"/>
        </w:rPr>
        <w:t>4</w:t>
      </w:r>
      <w:r>
        <w:rPr>
          <w:rFonts w:hint="eastAsia" w:ascii="宋体" w:hAnsi="宋体" w:cs="宋体"/>
          <w:b/>
          <w:bCs/>
          <w:sz w:val="22"/>
          <w:szCs w:val="22"/>
          <w:lang w:eastAsia="zh-CN"/>
        </w:rPr>
        <w:t>）</w:t>
      </w:r>
      <w:r>
        <w:rPr>
          <w:rFonts w:hint="eastAsia" w:ascii="Arial" w:hAnsi="Arial" w:cs="宋体"/>
          <w:b/>
          <w:szCs w:val="21"/>
          <w:lang w:bidi="ar"/>
        </w:rPr>
        <w:t>热熔雨夜标线的技术要求</w:t>
      </w:r>
      <w:r>
        <w:rPr>
          <w:rFonts w:hint="eastAsia" w:ascii="Arial" w:hAnsi="Arial" w:cs="宋体"/>
          <w:b/>
          <w:szCs w:val="21"/>
          <w:lang w:eastAsia="zh-CN" w:bidi="ar"/>
        </w:rPr>
        <w:t>：</w:t>
      </w:r>
    </w:p>
    <w:p w14:paraId="55FA321C">
      <w:pPr>
        <w:autoSpaceDE w:val="0"/>
        <w:autoSpaceDN w:val="0"/>
        <w:adjustRightInd w:val="0"/>
        <w:snapToGrid w:val="0"/>
        <w:spacing w:line="360" w:lineRule="auto"/>
        <w:rPr>
          <w:rFonts w:ascii="Arial" w:hAnsi="Arial"/>
          <w:szCs w:val="21"/>
        </w:rPr>
      </w:pPr>
      <w:r>
        <w:rPr>
          <w:rFonts w:hint="eastAsia" w:ascii="Arial" w:hAnsi="Arial" w:cs="宋体"/>
          <w:szCs w:val="21"/>
          <w:lang w:bidi="ar"/>
        </w:rPr>
        <w:t>1、热熔雨夜标线应符合</w:t>
      </w:r>
      <w:r>
        <w:rPr>
          <w:rFonts w:ascii="Arial" w:hAnsi="Arial"/>
          <w:szCs w:val="21"/>
          <w:lang w:bidi="ar"/>
        </w:rPr>
        <w:t>GB/T 16311-2009&lt;&lt;</w:t>
      </w:r>
      <w:r>
        <w:rPr>
          <w:rFonts w:hint="eastAsia" w:ascii="Arial" w:hAnsi="Arial" w:cs="宋体"/>
          <w:szCs w:val="21"/>
          <w:lang w:bidi="ar"/>
        </w:rPr>
        <w:t>道路交通标线质量要求和检测方法</w:t>
      </w:r>
      <w:r>
        <w:rPr>
          <w:rFonts w:ascii="Arial" w:hAnsi="Arial"/>
          <w:szCs w:val="21"/>
          <w:lang w:bidi="ar"/>
        </w:rPr>
        <w:t>&gt;&gt;</w:t>
      </w:r>
      <w:r>
        <w:rPr>
          <w:rFonts w:hint="eastAsia" w:ascii="Arial" w:hAnsi="Arial" w:cs="宋体"/>
          <w:szCs w:val="21"/>
          <w:lang w:bidi="ar"/>
        </w:rPr>
        <w:t>关于热熔标线的相关技术要求。</w:t>
      </w:r>
    </w:p>
    <w:p w14:paraId="52A37007">
      <w:pPr>
        <w:autoSpaceDE w:val="0"/>
        <w:autoSpaceDN w:val="0"/>
        <w:adjustRightInd w:val="0"/>
        <w:snapToGrid w:val="0"/>
        <w:spacing w:line="360" w:lineRule="auto"/>
        <w:rPr>
          <w:rFonts w:ascii="Arial" w:hAnsi="Arial"/>
          <w:szCs w:val="21"/>
        </w:rPr>
      </w:pPr>
      <w:r>
        <w:rPr>
          <w:rFonts w:hint="eastAsia" w:ascii="Arial" w:hAnsi="Arial" w:cs="宋体"/>
          <w:szCs w:val="21"/>
          <w:lang w:bidi="ar"/>
        </w:rPr>
        <w:t>（</w:t>
      </w:r>
      <w:r>
        <w:rPr>
          <w:rFonts w:ascii="Arial" w:hAnsi="Arial"/>
          <w:szCs w:val="21"/>
          <w:lang w:bidi="ar"/>
        </w:rPr>
        <w:t>1</w:t>
      </w:r>
      <w:r>
        <w:rPr>
          <w:rFonts w:hint="eastAsia" w:ascii="Arial" w:hAnsi="Arial" w:cs="宋体"/>
          <w:szCs w:val="21"/>
          <w:lang w:bidi="ar"/>
        </w:rPr>
        <w:t>）</w:t>
      </w:r>
      <w:r>
        <w:rPr>
          <w:rFonts w:ascii="Arial" w:hAnsi="Arial"/>
          <w:snapToGrid w:val="0"/>
          <w:szCs w:val="21"/>
          <w:lang w:bidi="ar"/>
        </w:rPr>
        <w:t xml:space="preserve"> </w:t>
      </w:r>
      <w:r>
        <w:rPr>
          <w:rFonts w:hint="eastAsia" w:ascii="Arial" w:hAnsi="Arial" w:cs="宋体"/>
          <w:szCs w:val="21"/>
          <w:lang w:bidi="ar"/>
        </w:rPr>
        <w:t>热熔雨夜标线，白色反光标线的逆反射色应为白色，黄色反光标线的逆反射色应为黄色，测试方法应符合</w:t>
      </w:r>
      <w:r>
        <w:rPr>
          <w:rFonts w:ascii="Arial" w:hAnsi="Arial"/>
          <w:szCs w:val="21"/>
          <w:lang w:bidi="ar"/>
        </w:rPr>
        <w:t>JT/T690</w:t>
      </w:r>
      <w:r>
        <w:rPr>
          <w:rFonts w:hint="eastAsia" w:ascii="Arial" w:hAnsi="Arial" w:cs="宋体"/>
          <w:szCs w:val="21"/>
          <w:lang w:bidi="ar"/>
        </w:rPr>
        <w:t>的相关说明。</w:t>
      </w:r>
    </w:p>
    <w:p w14:paraId="4FDA94EA">
      <w:pPr>
        <w:autoSpaceDE w:val="0"/>
        <w:autoSpaceDN w:val="0"/>
        <w:adjustRightInd w:val="0"/>
        <w:snapToGrid w:val="0"/>
        <w:spacing w:line="360" w:lineRule="auto"/>
        <w:rPr>
          <w:rFonts w:ascii="Arial" w:hAnsi="Arial"/>
          <w:szCs w:val="21"/>
        </w:rPr>
      </w:pPr>
      <w:r>
        <w:rPr>
          <w:rFonts w:hint="eastAsia" w:ascii="Arial" w:hAnsi="Arial" w:cs="宋体"/>
          <w:szCs w:val="21"/>
          <w:lang w:bidi="ar"/>
        </w:rPr>
        <w:t>（</w:t>
      </w:r>
      <w:r>
        <w:rPr>
          <w:rFonts w:ascii="Arial" w:hAnsi="Arial"/>
          <w:szCs w:val="21"/>
          <w:lang w:bidi="ar"/>
        </w:rPr>
        <w:t>2</w:t>
      </w:r>
      <w:r>
        <w:rPr>
          <w:rFonts w:hint="eastAsia" w:ascii="Arial" w:hAnsi="Arial" w:cs="宋体"/>
          <w:szCs w:val="21"/>
          <w:lang w:bidi="ar"/>
        </w:rPr>
        <w:t>）光学逆反射性能</w:t>
      </w:r>
    </w:p>
    <w:p w14:paraId="012D7F29">
      <w:pPr>
        <w:autoSpaceDE w:val="0"/>
        <w:autoSpaceDN w:val="0"/>
        <w:adjustRightInd w:val="0"/>
        <w:snapToGrid w:val="0"/>
        <w:spacing w:line="360" w:lineRule="auto"/>
        <w:rPr>
          <w:rFonts w:ascii="Arial" w:hAnsi="Arial"/>
          <w:szCs w:val="21"/>
        </w:rPr>
      </w:pPr>
      <w:r>
        <w:rPr>
          <w:rFonts w:ascii="Arial" w:hAnsi="Arial"/>
          <w:szCs w:val="21"/>
          <w:lang w:bidi="ar"/>
        </w:rPr>
        <w:t xml:space="preserve">a. </w:t>
      </w:r>
      <w:r>
        <w:rPr>
          <w:rFonts w:hint="eastAsia" w:ascii="Arial" w:hAnsi="Arial" w:cs="宋体"/>
          <w:szCs w:val="21"/>
          <w:lang w:bidi="ar"/>
        </w:rPr>
        <w:t>新划白色标线的初始逆反射亮度系数应满足，干燥状态下的平均值不低于</w:t>
      </w:r>
      <w:r>
        <w:rPr>
          <w:rFonts w:ascii="Arial" w:hAnsi="Arial"/>
          <w:szCs w:val="21"/>
          <w:lang w:bidi="ar"/>
        </w:rPr>
        <w:t>500 mcd</w:t>
      </w:r>
      <w:r>
        <w:rPr>
          <w:rFonts w:hint="eastAsia" w:ascii="Arial" w:hAnsi="Arial" w:cs="宋体"/>
          <w:szCs w:val="21"/>
          <w:lang w:bidi="ar"/>
        </w:rPr>
        <w:t>·</w:t>
      </w:r>
      <w:r>
        <w:rPr>
          <w:rFonts w:ascii="Arial" w:hAnsi="Arial"/>
          <w:szCs w:val="21"/>
          <w:lang w:bidi="ar"/>
        </w:rPr>
        <w:t>m-2</w:t>
      </w:r>
      <w:r>
        <w:rPr>
          <w:rFonts w:hint="eastAsia" w:ascii="Arial" w:hAnsi="Arial" w:cs="宋体"/>
          <w:szCs w:val="21"/>
          <w:lang w:bidi="ar"/>
        </w:rPr>
        <w:t>·</w:t>
      </w:r>
      <w:r>
        <w:rPr>
          <w:rFonts w:ascii="Arial" w:hAnsi="Arial"/>
          <w:szCs w:val="21"/>
          <w:lang w:bidi="ar"/>
        </w:rPr>
        <w:t>lx-1,</w:t>
      </w:r>
      <w:r>
        <w:rPr>
          <w:rFonts w:hint="eastAsia" w:ascii="Arial" w:hAnsi="Arial" w:cs="宋体"/>
          <w:szCs w:val="21"/>
          <w:lang w:bidi="ar"/>
        </w:rPr>
        <w:t>潮湿状态下的平均值不低于</w:t>
      </w:r>
      <w:r>
        <w:rPr>
          <w:rFonts w:ascii="Arial" w:hAnsi="Arial"/>
          <w:szCs w:val="21"/>
          <w:lang w:bidi="ar"/>
        </w:rPr>
        <w:t>350mcd</w:t>
      </w:r>
      <w:r>
        <w:rPr>
          <w:rFonts w:hint="eastAsia" w:ascii="Arial" w:hAnsi="Arial" w:cs="宋体"/>
          <w:szCs w:val="21"/>
          <w:lang w:bidi="ar"/>
        </w:rPr>
        <w:t>·</w:t>
      </w:r>
      <w:r>
        <w:rPr>
          <w:rFonts w:ascii="Arial" w:hAnsi="Arial"/>
          <w:szCs w:val="21"/>
          <w:lang w:bidi="ar"/>
        </w:rPr>
        <w:t>m-2</w:t>
      </w:r>
      <w:r>
        <w:rPr>
          <w:rFonts w:hint="eastAsia" w:ascii="Arial" w:hAnsi="Arial" w:cs="宋体"/>
          <w:szCs w:val="21"/>
          <w:lang w:bidi="ar"/>
        </w:rPr>
        <w:t>·</w:t>
      </w:r>
      <w:r>
        <w:rPr>
          <w:rFonts w:ascii="Arial" w:hAnsi="Arial"/>
          <w:szCs w:val="21"/>
          <w:lang w:bidi="ar"/>
        </w:rPr>
        <w:t>lx-1</w:t>
      </w:r>
      <w:r>
        <w:rPr>
          <w:rFonts w:hint="eastAsia" w:ascii="Arial" w:hAnsi="Arial" w:cs="宋体"/>
          <w:szCs w:val="21"/>
          <w:lang w:bidi="ar"/>
        </w:rPr>
        <w:t>。新划黄色标线的初始逆反射亮度系数应满足，干燥状态下的平均值不低于</w:t>
      </w:r>
      <w:r>
        <w:rPr>
          <w:rFonts w:ascii="Arial" w:hAnsi="Arial"/>
          <w:szCs w:val="21"/>
          <w:lang w:bidi="ar"/>
        </w:rPr>
        <w:t>350 mcd</w:t>
      </w:r>
      <w:r>
        <w:rPr>
          <w:rFonts w:hint="eastAsia" w:ascii="Arial" w:hAnsi="Arial" w:cs="宋体"/>
          <w:szCs w:val="21"/>
          <w:lang w:bidi="ar"/>
        </w:rPr>
        <w:t>·</w:t>
      </w:r>
      <w:r>
        <w:rPr>
          <w:rFonts w:ascii="Arial" w:hAnsi="Arial"/>
          <w:szCs w:val="21"/>
          <w:lang w:bidi="ar"/>
        </w:rPr>
        <w:t>m-2</w:t>
      </w:r>
      <w:r>
        <w:rPr>
          <w:rFonts w:hint="eastAsia" w:ascii="Arial" w:hAnsi="Arial" w:cs="宋体"/>
          <w:szCs w:val="21"/>
          <w:lang w:bidi="ar"/>
        </w:rPr>
        <w:t>·</w:t>
      </w:r>
      <w:r>
        <w:rPr>
          <w:rFonts w:ascii="Arial" w:hAnsi="Arial"/>
          <w:szCs w:val="21"/>
          <w:lang w:bidi="ar"/>
        </w:rPr>
        <w:t>lx-1,</w:t>
      </w:r>
      <w:r>
        <w:rPr>
          <w:rFonts w:hint="eastAsia" w:ascii="Arial" w:hAnsi="Arial" w:cs="宋体"/>
          <w:szCs w:val="21"/>
          <w:lang w:bidi="ar"/>
        </w:rPr>
        <w:t>潮湿状态下的平均值不低于</w:t>
      </w:r>
      <w:r>
        <w:rPr>
          <w:rFonts w:ascii="Arial" w:hAnsi="Arial"/>
          <w:szCs w:val="21"/>
          <w:lang w:bidi="ar"/>
        </w:rPr>
        <w:t>150 mcd</w:t>
      </w:r>
      <w:r>
        <w:rPr>
          <w:rFonts w:hint="eastAsia" w:ascii="Arial" w:hAnsi="Arial" w:cs="宋体"/>
          <w:szCs w:val="21"/>
          <w:lang w:bidi="ar"/>
        </w:rPr>
        <w:t>·</w:t>
      </w:r>
      <w:r>
        <w:rPr>
          <w:rFonts w:ascii="Arial" w:hAnsi="Arial"/>
          <w:szCs w:val="21"/>
          <w:lang w:bidi="ar"/>
        </w:rPr>
        <w:t>m-2</w:t>
      </w:r>
      <w:r>
        <w:rPr>
          <w:rFonts w:hint="eastAsia" w:ascii="Arial" w:hAnsi="Arial" w:cs="宋体"/>
          <w:szCs w:val="21"/>
          <w:lang w:bidi="ar"/>
        </w:rPr>
        <w:t>·</w:t>
      </w:r>
      <w:r>
        <w:rPr>
          <w:rFonts w:ascii="Arial" w:hAnsi="Arial"/>
          <w:szCs w:val="21"/>
          <w:lang w:bidi="ar"/>
        </w:rPr>
        <w:t>lx-1</w:t>
      </w:r>
      <w:r>
        <w:rPr>
          <w:rFonts w:hint="eastAsia" w:ascii="Arial" w:hAnsi="Arial" w:cs="宋体"/>
          <w:szCs w:val="21"/>
          <w:lang w:bidi="ar"/>
        </w:rPr>
        <w:t>。</w:t>
      </w:r>
    </w:p>
    <w:p w14:paraId="22D5437A">
      <w:pPr>
        <w:autoSpaceDE w:val="0"/>
        <w:autoSpaceDN w:val="0"/>
        <w:adjustRightInd w:val="0"/>
        <w:snapToGrid w:val="0"/>
        <w:spacing w:line="360" w:lineRule="auto"/>
        <w:rPr>
          <w:rFonts w:ascii="Arial" w:hAnsi="Arial"/>
          <w:szCs w:val="21"/>
        </w:rPr>
      </w:pPr>
      <w:r>
        <w:rPr>
          <w:rFonts w:hint="eastAsia" w:ascii="Arial" w:hAnsi="Arial" w:cs="宋体"/>
          <w:szCs w:val="21"/>
          <w:lang w:bidi="ar"/>
        </w:rPr>
        <w:t>干燥状态的测试方法参考</w:t>
      </w:r>
      <w:r>
        <w:rPr>
          <w:rFonts w:ascii="Arial" w:hAnsi="Arial"/>
          <w:szCs w:val="21"/>
          <w:lang w:bidi="ar"/>
        </w:rPr>
        <w:t>ASTM E1710</w:t>
      </w:r>
      <w:r>
        <w:rPr>
          <w:rFonts w:hint="eastAsia" w:ascii="Arial" w:hAnsi="Arial" w:cs="宋体"/>
          <w:szCs w:val="21"/>
          <w:lang w:bidi="ar"/>
        </w:rPr>
        <w:t>，潮湿状态的测试方法参考</w:t>
      </w:r>
      <w:r>
        <w:rPr>
          <w:rFonts w:ascii="Arial" w:hAnsi="Arial"/>
          <w:szCs w:val="21"/>
          <w:lang w:bidi="ar"/>
        </w:rPr>
        <w:t>ASTM E2177</w:t>
      </w:r>
      <w:r>
        <w:rPr>
          <w:rFonts w:hint="eastAsia" w:ascii="Arial" w:hAnsi="Arial" w:cs="宋体"/>
          <w:szCs w:val="21"/>
          <w:lang w:bidi="ar"/>
        </w:rPr>
        <w:t>，测试仪器以</w:t>
      </w:r>
      <w:r>
        <w:rPr>
          <w:rFonts w:ascii="Arial" w:hAnsi="Arial"/>
          <w:szCs w:val="21"/>
          <w:lang w:bidi="ar"/>
        </w:rPr>
        <w:t>Delta</w:t>
      </w:r>
      <w:r>
        <w:rPr>
          <w:rFonts w:hint="eastAsia" w:ascii="Arial" w:hAnsi="Arial" w:cs="宋体"/>
          <w:szCs w:val="21"/>
          <w:lang w:bidi="ar"/>
        </w:rPr>
        <w:t>公司的</w:t>
      </w:r>
      <w:r>
        <w:rPr>
          <w:rFonts w:ascii="Arial" w:hAnsi="Arial"/>
          <w:szCs w:val="21"/>
          <w:lang w:bidi="ar"/>
        </w:rPr>
        <w:t>LTL-X</w:t>
      </w:r>
      <w:r>
        <w:rPr>
          <w:rFonts w:hint="eastAsia" w:ascii="Arial" w:hAnsi="Arial" w:cs="宋体"/>
          <w:szCs w:val="21"/>
          <w:lang w:bidi="ar"/>
        </w:rPr>
        <w:t>设备为准。</w:t>
      </w:r>
    </w:p>
    <w:p w14:paraId="31F52A72">
      <w:pPr>
        <w:autoSpaceDE w:val="0"/>
        <w:autoSpaceDN w:val="0"/>
        <w:adjustRightInd w:val="0"/>
        <w:snapToGrid w:val="0"/>
        <w:spacing w:line="360" w:lineRule="auto"/>
        <w:rPr>
          <w:rFonts w:ascii="Arial" w:hAnsi="Arial"/>
          <w:szCs w:val="21"/>
        </w:rPr>
      </w:pPr>
      <w:r>
        <w:rPr>
          <w:rFonts w:ascii="Arial" w:hAnsi="Arial"/>
          <w:szCs w:val="21"/>
          <w:lang w:bidi="ar"/>
        </w:rPr>
        <w:t xml:space="preserve">b. </w:t>
      </w:r>
      <w:r>
        <w:rPr>
          <w:rFonts w:hint="eastAsia" w:ascii="Arial" w:hAnsi="Arial" w:cs="宋体"/>
          <w:szCs w:val="21"/>
          <w:lang w:bidi="ar"/>
        </w:rPr>
        <w:t>正常使用期间，雨夜反光标线应满足夜间可视的要求。</w:t>
      </w:r>
    </w:p>
    <w:p w14:paraId="41D80838">
      <w:pPr>
        <w:autoSpaceDE w:val="0"/>
        <w:autoSpaceDN w:val="0"/>
        <w:adjustRightInd w:val="0"/>
        <w:snapToGrid w:val="0"/>
        <w:spacing w:line="360" w:lineRule="auto"/>
        <w:rPr>
          <w:rFonts w:ascii="Arial" w:hAnsi="Arial"/>
          <w:szCs w:val="21"/>
        </w:rPr>
      </w:pPr>
      <w:r>
        <w:rPr>
          <w:rFonts w:hint="eastAsia" w:ascii="Arial" w:hAnsi="Arial" w:cs="宋体"/>
          <w:szCs w:val="21"/>
          <w:lang w:bidi="ar"/>
        </w:rPr>
        <w:t>三个月后，干燥状态下白色边线亮度系数平均值不低于</w:t>
      </w:r>
      <w:r>
        <w:rPr>
          <w:rFonts w:ascii="Arial" w:hAnsi="Arial"/>
          <w:szCs w:val="21"/>
          <w:lang w:bidi="ar"/>
        </w:rPr>
        <w:t>300 mcd</w:t>
      </w:r>
      <w:r>
        <w:rPr>
          <w:rFonts w:hint="eastAsia" w:ascii="Arial" w:hAnsi="Arial" w:cs="宋体"/>
          <w:szCs w:val="21"/>
          <w:lang w:bidi="ar"/>
        </w:rPr>
        <w:t>·</w:t>
      </w:r>
      <w:r>
        <w:rPr>
          <w:rFonts w:ascii="Arial" w:hAnsi="Arial"/>
          <w:szCs w:val="21"/>
          <w:lang w:bidi="ar"/>
        </w:rPr>
        <w:t>m-2</w:t>
      </w:r>
      <w:r>
        <w:rPr>
          <w:rFonts w:hint="eastAsia" w:ascii="Arial" w:hAnsi="Arial" w:cs="宋体"/>
          <w:szCs w:val="21"/>
          <w:lang w:bidi="ar"/>
        </w:rPr>
        <w:t>·</w:t>
      </w:r>
      <w:r>
        <w:rPr>
          <w:rFonts w:ascii="Arial" w:hAnsi="Arial"/>
          <w:szCs w:val="21"/>
          <w:lang w:bidi="ar"/>
        </w:rPr>
        <w:t>lx-1</w:t>
      </w:r>
      <w:r>
        <w:rPr>
          <w:rFonts w:hint="eastAsia" w:ascii="Arial" w:hAnsi="Arial" w:cs="宋体"/>
          <w:szCs w:val="21"/>
          <w:lang w:bidi="ar"/>
        </w:rPr>
        <w:t>，潮湿状态下白色边线亮度系数的平均值不低于</w:t>
      </w:r>
      <w:r>
        <w:rPr>
          <w:rFonts w:ascii="Arial" w:hAnsi="Arial"/>
          <w:szCs w:val="21"/>
          <w:lang w:bidi="ar"/>
        </w:rPr>
        <w:t>150 mcd</w:t>
      </w:r>
      <w:r>
        <w:rPr>
          <w:rFonts w:hint="eastAsia" w:ascii="Arial" w:hAnsi="Arial" w:cs="宋体"/>
          <w:szCs w:val="21"/>
          <w:lang w:bidi="ar"/>
        </w:rPr>
        <w:t>·</w:t>
      </w:r>
      <w:r>
        <w:rPr>
          <w:rFonts w:ascii="Arial" w:hAnsi="Arial"/>
          <w:szCs w:val="21"/>
          <w:lang w:bidi="ar"/>
        </w:rPr>
        <w:t>m-2</w:t>
      </w:r>
      <w:r>
        <w:rPr>
          <w:rFonts w:hint="eastAsia" w:ascii="Arial" w:hAnsi="Arial" w:cs="宋体"/>
          <w:szCs w:val="21"/>
          <w:lang w:bidi="ar"/>
        </w:rPr>
        <w:t>·</w:t>
      </w:r>
      <w:r>
        <w:rPr>
          <w:rFonts w:ascii="Arial" w:hAnsi="Arial"/>
          <w:szCs w:val="21"/>
          <w:lang w:bidi="ar"/>
        </w:rPr>
        <w:t>lx-1</w:t>
      </w:r>
      <w:r>
        <w:rPr>
          <w:rFonts w:hint="eastAsia" w:ascii="Arial" w:hAnsi="Arial" w:cs="宋体"/>
          <w:szCs w:val="21"/>
          <w:lang w:bidi="ar"/>
        </w:rPr>
        <w:t>。</w:t>
      </w:r>
    </w:p>
    <w:p w14:paraId="26514A8A">
      <w:pPr>
        <w:autoSpaceDE w:val="0"/>
        <w:autoSpaceDN w:val="0"/>
        <w:adjustRightInd w:val="0"/>
        <w:snapToGrid w:val="0"/>
        <w:spacing w:line="360" w:lineRule="auto"/>
        <w:rPr>
          <w:rFonts w:ascii="Arial" w:hAnsi="Arial"/>
          <w:szCs w:val="21"/>
        </w:rPr>
      </w:pPr>
      <w:r>
        <w:rPr>
          <w:rFonts w:hint="eastAsia" w:ascii="Arial" w:hAnsi="Arial" w:cs="宋体"/>
          <w:szCs w:val="21"/>
          <w:lang w:bidi="ar"/>
        </w:rPr>
        <w:t>三个月后，干燥状态下黄色边线亮度系数平均值不低于</w:t>
      </w:r>
      <w:r>
        <w:rPr>
          <w:rFonts w:ascii="Arial" w:hAnsi="Arial"/>
          <w:szCs w:val="21"/>
          <w:lang w:bidi="ar"/>
        </w:rPr>
        <w:t>200 mcd</w:t>
      </w:r>
      <w:r>
        <w:rPr>
          <w:rFonts w:hint="eastAsia" w:ascii="Arial" w:hAnsi="Arial" w:cs="宋体"/>
          <w:szCs w:val="21"/>
          <w:lang w:bidi="ar"/>
        </w:rPr>
        <w:t>·</w:t>
      </w:r>
      <w:r>
        <w:rPr>
          <w:rFonts w:ascii="Arial" w:hAnsi="Arial"/>
          <w:szCs w:val="21"/>
          <w:lang w:bidi="ar"/>
        </w:rPr>
        <w:t>m-2</w:t>
      </w:r>
      <w:r>
        <w:rPr>
          <w:rFonts w:hint="eastAsia" w:ascii="Arial" w:hAnsi="Arial" w:cs="宋体"/>
          <w:szCs w:val="21"/>
          <w:lang w:bidi="ar"/>
        </w:rPr>
        <w:t>·</w:t>
      </w:r>
      <w:r>
        <w:rPr>
          <w:rFonts w:ascii="Arial" w:hAnsi="Arial"/>
          <w:szCs w:val="21"/>
          <w:lang w:bidi="ar"/>
        </w:rPr>
        <w:t>lx-1</w:t>
      </w:r>
      <w:r>
        <w:rPr>
          <w:rFonts w:hint="eastAsia" w:ascii="Arial" w:hAnsi="Arial" w:cs="宋体"/>
          <w:szCs w:val="21"/>
          <w:lang w:bidi="ar"/>
        </w:rPr>
        <w:t>，潮湿状态下黄色边线亮度系数的平均值不低于</w:t>
      </w:r>
      <w:r>
        <w:rPr>
          <w:rFonts w:ascii="Arial" w:hAnsi="Arial"/>
          <w:szCs w:val="21"/>
          <w:lang w:bidi="ar"/>
        </w:rPr>
        <w:t>100 mcd</w:t>
      </w:r>
      <w:r>
        <w:rPr>
          <w:rFonts w:hint="eastAsia" w:ascii="Arial" w:hAnsi="Arial" w:cs="宋体"/>
          <w:szCs w:val="21"/>
          <w:lang w:bidi="ar"/>
        </w:rPr>
        <w:t>·</w:t>
      </w:r>
      <w:r>
        <w:rPr>
          <w:rFonts w:ascii="Arial" w:hAnsi="Arial"/>
          <w:szCs w:val="21"/>
          <w:lang w:bidi="ar"/>
        </w:rPr>
        <w:t>m-2</w:t>
      </w:r>
      <w:r>
        <w:rPr>
          <w:rFonts w:hint="eastAsia" w:ascii="Arial" w:hAnsi="Arial" w:cs="宋体"/>
          <w:szCs w:val="21"/>
          <w:lang w:bidi="ar"/>
        </w:rPr>
        <w:t>·</w:t>
      </w:r>
      <w:r>
        <w:rPr>
          <w:rFonts w:ascii="Arial" w:hAnsi="Arial"/>
          <w:szCs w:val="21"/>
          <w:lang w:bidi="ar"/>
        </w:rPr>
        <w:t>lx-1</w:t>
      </w:r>
      <w:r>
        <w:rPr>
          <w:rFonts w:hint="eastAsia" w:ascii="Arial" w:hAnsi="Arial" w:cs="宋体"/>
          <w:szCs w:val="21"/>
          <w:lang w:bidi="ar"/>
        </w:rPr>
        <w:t>。</w:t>
      </w:r>
    </w:p>
    <w:p w14:paraId="774E781A">
      <w:pPr>
        <w:autoSpaceDE w:val="0"/>
        <w:autoSpaceDN w:val="0"/>
        <w:adjustRightInd w:val="0"/>
        <w:snapToGrid w:val="0"/>
        <w:spacing w:line="360" w:lineRule="auto"/>
        <w:rPr>
          <w:rFonts w:ascii="Arial" w:hAnsi="Arial"/>
          <w:szCs w:val="21"/>
        </w:rPr>
      </w:pPr>
      <w:r>
        <w:rPr>
          <w:rFonts w:hint="eastAsia" w:ascii="Arial" w:hAnsi="Arial" w:cs="宋体"/>
          <w:szCs w:val="21"/>
          <w:lang w:bidi="ar"/>
        </w:rPr>
        <w:t>干燥状态的测试方法参考</w:t>
      </w:r>
      <w:r>
        <w:rPr>
          <w:rFonts w:ascii="Arial" w:hAnsi="Arial"/>
          <w:szCs w:val="21"/>
          <w:lang w:bidi="ar"/>
        </w:rPr>
        <w:t>ASTM E1710</w:t>
      </w:r>
      <w:r>
        <w:rPr>
          <w:rFonts w:hint="eastAsia" w:ascii="Arial" w:hAnsi="Arial" w:cs="宋体"/>
          <w:szCs w:val="21"/>
          <w:lang w:bidi="ar"/>
        </w:rPr>
        <w:t>，潮湿状态的测试方法参考</w:t>
      </w:r>
      <w:r>
        <w:rPr>
          <w:rFonts w:ascii="Arial" w:hAnsi="Arial"/>
          <w:szCs w:val="21"/>
          <w:lang w:bidi="ar"/>
        </w:rPr>
        <w:t>ASTM E2177</w:t>
      </w:r>
      <w:r>
        <w:rPr>
          <w:rFonts w:hint="eastAsia" w:ascii="Arial" w:hAnsi="Arial" w:cs="宋体"/>
          <w:szCs w:val="21"/>
          <w:lang w:bidi="ar"/>
        </w:rPr>
        <w:t>，测试仪器以</w:t>
      </w:r>
      <w:r>
        <w:rPr>
          <w:rFonts w:ascii="Arial" w:hAnsi="Arial"/>
          <w:szCs w:val="21"/>
          <w:lang w:bidi="ar"/>
        </w:rPr>
        <w:t>Delta</w:t>
      </w:r>
      <w:r>
        <w:rPr>
          <w:rFonts w:hint="eastAsia" w:ascii="Arial" w:hAnsi="Arial" w:cs="宋体"/>
          <w:szCs w:val="21"/>
          <w:lang w:bidi="ar"/>
        </w:rPr>
        <w:t>公司的</w:t>
      </w:r>
      <w:r>
        <w:rPr>
          <w:rFonts w:ascii="Arial" w:hAnsi="Arial"/>
          <w:szCs w:val="21"/>
          <w:lang w:bidi="ar"/>
        </w:rPr>
        <w:t>LTL-X</w:t>
      </w:r>
      <w:r>
        <w:rPr>
          <w:rFonts w:hint="eastAsia" w:ascii="Arial" w:hAnsi="Arial" w:cs="宋体"/>
          <w:szCs w:val="21"/>
          <w:lang w:bidi="ar"/>
        </w:rPr>
        <w:t>设备为准。</w:t>
      </w:r>
    </w:p>
    <w:p w14:paraId="21D78D6D">
      <w:pPr>
        <w:snapToGrid w:val="0"/>
        <w:spacing w:line="360" w:lineRule="auto"/>
        <w:outlineLvl w:val="0"/>
        <w:rPr>
          <w:rFonts w:hint="eastAsia" w:ascii="宋体" w:hAnsi="宋体" w:eastAsia="宋体" w:cs="宋体"/>
          <w:b/>
          <w:bCs/>
          <w:sz w:val="22"/>
          <w:szCs w:val="22"/>
          <w:lang w:eastAsia="zh-CN"/>
        </w:rPr>
      </w:pPr>
      <w:r>
        <w:rPr>
          <w:rFonts w:hint="eastAsia" w:ascii="Arial" w:hAnsi="Arial" w:cs="宋体"/>
          <w:szCs w:val="21"/>
          <w:lang w:bidi="ar"/>
        </w:rPr>
        <w:t>在热熔标线施划表面撒播白色或黄色雨夜反光珠和玻璃珠，雨夜珠撒播量不低于</w:t>
      </w:r>
      <w:r>
        <w:rPr>
          <w:rFonts w:ascii="Arial" w:hAnsi="Arial"/>
          <w:szCs w:val="21"/>
          <w:lang w:bidi="ar"/>
        </w:rPr>
        <w:t>260g/m2</w:t>
      </w:r>
      <w:r>
        <w:rPr>
          <w:rFonts w:hint="eastAsia" w:ascii="Arial" w:hAnsi="Arial" w:cs="宋体"/>
          <w:szCs w:val="21"/>
          <w:lang w:bidi="ar"/>
        </w:rPr>
        <w:t>，玻璃珠撒播量不低于</w:t>
      </w:r>
      <w:r>
        <w:rPr>
          <w:rFonts w:ascii="Arial" w:hAnsi="Arial"/>
          <w:szCs w:val="21"/>
          <w:lang w:bidi="ar"/>
        </w:rPr>
        <w:t>600g/m2</w:t>
      </w:r>
      <w:r>
        <w:rPr>
          <w:rFonts w:hint="eastAsia" w:ascii="Arial" w:hAnsi="Arial" w:cs="宋体"/>
          <w:szCs w:val="21"/>
          <w:lang w:bidi="ar"/>
        </w:rPr>
        <w:t>。雨夜珠应为全天候高亮雨夜珠，外观为不规则形状，表层为微晶陶瓷珠涂层结构。</w:t>
      </w:r>
    </w:p>
    <w:p w14:paraId="04270780">
      <w:pPr>
        <w:snapToGrid w:val="0"/>
        <w:spacing w:line="360" w:lineRule="auto"/>
        <w:outlineLvl w:val="0"/>
        <w:rPr>
          <w:rFonts w:hint="eastAsia" w:ascii="宋体" w:hAnsi="宋体" w:cs="宋体"/>
          <w:b/>
          <w:bCs/>
          <w:sz w:val="22"/>
          <w:szCs w:val="22"/>
        </w:rPr>
      </w:pPr>
      <w:r>
        <w:rPr>
          <w:rFonts w:hint="eastAsia" w:ascii="宋体" w:hAnsi="宋体" w:cs="宋体"/>
          <w:b/>
          <w:bCs/>
          <w:sz w:val="22"/>
          <w:szCs w:val="22"/>
        </w:rPr>
        <w:t>3、注意事项</w:t>
      </w:r>
    </w:p>
    <w:p w14:paraId="48EFCEB4">
      <w:pPr>
        <w:snapToGrid w:val="0"/>
        <w:spacing w:line="360" w:lineRule="auto"/>
        <w:ind w:firstLine="108" w:firstLineChars="49"/>
        <w:outlineLvl w:val="0"/>
        <w:rPr>
          <w:rFonts w:hint="eastAsia" w:ascii="宋体" w:hAnsi="宋体" w:cs="宋体"/>
          <w:b/>
          <w:bCs/>
          <w:sz w:val="22"/>
          <w:szCs w:val="22"/>
        </w:rPr>
      </w:pPr>
      <w:r>
        <w:rPr>
          <w:rFonts w:hint="eastAsia" w:ascii="宋体" w:hAnsi="宋体" w:cs="宋体"/>
          <w:b/>
          <w:bCs/>
          <w:sz w:val="22"/>
          <w:szCs w:val="22"/>
        </w:rPr>
        <w:t>▲(1)</w:t>
      </w:r>
      <w:bookmarkStart w:id="42" w:name="_Hlk121140031"/>
      <w:r>
        <w:rPr>
          <w:rFonts w:hint="eastAsia" w:ascii="宋体" w:hAnsi="宋体" w:cs="宋体"/>
          <w:b/>
          <w:bCs/>
          <w:sz w:val="22"/>
          <w:szCs w:val="22"/>
        </w:rPr>
        <w:t>本项目涉及到增设及维护，实际施工情况较复杂，因此采购人会根据实际需求分批次要求中标供应商施工，中标供应商须接到采购人通知后按采购人要求施工。因此中标供应商须在龙港市本地有服务网点,供应商中标后7天内若在龙港市内没注册服务网点，</w:t>
      </w:r>
      <w:r>
        <w:rPr>
          <w:rFonts w:hint="eastAsia" w:ascii="宋体" w:hAnsi="宋体" w:cs="宋体"/>
          <w:sz w:val="22"/>
          <w:szCs w:val="22"/>
        </w:rPr>
        <w:t>如未及时设立扣除维护费10000元，拒不整改的交警大队有权无条件解除合同，并没收全部履约保证金（如果造成交警大队损失的，中标人应予以赔偿）</w:t>
      </w:r>
      <w:bookmarkEnd w:id="42"/>
    </w:p>
    <w:p w14:paraId="79315953">
      <w:pPr>
        <w:pStyle w:val="676"/>
        <w:spacing w:before="156" w:line="360" w:lineRule="auto"/>
        <w:ind w:firstLine="220" w:firstLineChars="100"/>
        <w:rPr>
          <w:rFonts w:hint="eastAsia" w:ascii="宋体" w:hAnsi="宋体" w:cs="宋体"/>
          <w:sz w:val="22"/>
          <w:szCs w:val="22"/>
        </w:rPr>
      </w:pPr>
      <w:r>
        <w:rPr>
          <w:rFonts w:hint="eastAsia" w:ascii="宋体" w:hAnsi="宋体" w:cs="宋体"/>
          <w:sz w:val="22"/>
          <w:szCs w:val="22"/>
        </w:rPr>
        <w:t>（2）中标人必须在中标后，将拟派的技术人员用于本项目施工，专人专岗，不得兼岗。</w:t>
      </w:r>
    </w:p>
    <w:p w14:paraId="49CC3F0F">
      <w:pPr>
        <w:pStyle w:val="676"/>
        <w:spacing w:before="156" w:line="360" w:lineRule="auto"/>
        <w:ind w:firstLine="220" w:firstLineChars="100"/>
        <w:rPr>
          <w:rFonts w:hint="eastAsia" w:ascii="宋体" w:hAnsi="宋体" w:cs="宋体"/>
          <w:sz w:val="22"/>
          <w:szCs w:val="22"/>
        </w:rPr>
      </w:pPr>
      <w:r>
        <w:rPr>
          <w:rFonts w:hint="eastAsia" w:ascii="宋体" w:hAnsi="宋体" w:cs="宋体"/>
          <w:sz w:val="22"/>
          <w:szCs w:val="22"/>
        </w:rPr>
        <w:t>（3）中标人将作为2026年-2028年龙港市交通标志标线增设和维护项目服务的承办单位，在合同履行期间必须接受龙港市公安局交通管理大队的监督管理。</w:t>
      </w:r>
    </w:p>
    <w:p w14:paraId="3F11FD82">
      <w:pPr>
        <w:pStyle w:val="676"/>
        <w:spacing w:before="156" w:line="360" w:lineRule="auto"/>
        <w:ind w:firstLine="220" w:firstLineChars="100"/>
        <w:rPr>
          <w:rFonts w:hint="eastAsia" w:ascii="宋体" w:hAnsi="宋体" w:cs="宋体"/>
          <w:sz w:val="22"/>
          <w:szCs w:val="22"/>
        </w:rPr>
      </w:pPr>
      <w:r>
        <w:rPr>
          <w:rFonts w:hint="eastAsia" w:ascii="宋体" w:hAnsi="宋体" w:cs="宋体"/>
          <w:sz w:val="22"/>
          <w:szCs w:val="22"/>
        </w:rPr>
        <w:t>（4）中标人在承包前必须全面检测一次，其费用由中标人负责，以确保各道路运作正常、无故障。中标人在合同履行期间需每周进行巡查，做好相应的巡查记录。</w:t>
      </w:r>
    </w:p>
    <w:p w14:paraId="0D52CB68">
      <w:pPr>
        <w:pStyle w:val="676"/>
        <w:spacing w:before="156" w:line="360" w:lineRule="auto"/>
        <w:ind w:firstLine="220" w:firstLineChars="100"/>
        <w:rPr>
          <w:rFonts w:hint="eastAsia" w:ascii="宋体" w:hAnsi="宋体" w:cs="宋体"/>
          <w:sz w:val="22"/>
          <w:szCs w:val="22"/>
        </w:rPr>
      </w:pPr>
      <w:r>
        <w:rPr>
          <w:rFonts w:hint="eastAsia" w:ascii="宋体" w:hAnsi="宋体" w:cs="宋体"/>
          <w:sz w:val="22"/>
          <w:szCs w:val="22"/>
        </w:rPr>
        <w:t>（5）拟投入本项目的所有设备由中标人自备。</w:t>
      </w:r>
    </w:p>
    <w:p w14:paraId="3D05C375">
      <w:pPr>
        <w:pStyle w:val="676"/>
        <w:spacing w:before="156" w:line="360" w:lineRule="auto"/>
        <w:ind w:firstLine="220" w:firstLineChars="100"/>
        <w:rPr>
          <w:rFonts w:hint="eastAsia" w:ascii="宋体" w:hAnsi="宋体" w:cs="宋体"/>
          <w:sz w:val="22"/>
          <w:szCs w:val="22"/>
        </w:rPr>
      </w:pPr>
      <w:r>
        <w:rPr>
          <w:rFonts w:hint="eastAsia" w:ascii="宋体" w:hAnsi="宋体" w:cs="宋体"/>
          <w:sz w:val="22"/>
          <w:szCs w:val="22"/>
        </w:rPr>
        <w:t>（6）中标人须设立投诉专线电话，并安排人员实行24小时值班，当交通设施出现故障时，接到通知后（包括微信通知、短信通知、电话通知及书面通知等），中标人必须在2小时内派员赶到现场进行维修。同时在投标时须承诺修复时间（从接到报修时间至修复完成时间）。修护完成后需经过龙港市公安局交通管理大队确认。因特殊情况不能及时修复的，要将故障原因和解决方案立即通知交警大队，确因特殊原因长时间不能修复的，24小时内提供相关情况说明的书面材料到交警大队，并得到交警大队的认可后才能延期修护。</w:t>
      </w:r>
    </w:p>
    <w:p w14:paraId="37F8CEE1">
      <w:pPr>
        <w:pStyle w:val="676"/>
        <w:spacing w:before="156" w:line="360" w:lineRule="auto"/>
        <w:ind w:firstLine="220" w:firstLineChars="100"/>
        <w:rPr>
          <w:rFonts w:hint="eastAsia" w:ascii="宋体" w:hAnsi="宋体" w:cs="宋体"/>
          <w:sz w:val="22"/>
          <w:szCs w:val="22"/>
        </w:rPr>
      </w:pPr>
      <w:r>
        <w:rPr>
          <w:rFonts w:hint="eastAsia" w:ascii="宋体" w:hAnsi="宋体" w:cs="宋体"/>
          <w:sz w:val="22"/>
          <w:szCs w:val="22"/>
        </w:rPr>
        <w:t>（7）在设施维修施工过程中，中标人必须做好安全防护措施，并且遵守和执行安全、文明施工等规定，尽可能不影响道路交通。必须为所有技术及施工人员购买人身意外保险，维护期所有发生的安全事故和施工质量均由中标人自行承担，采购人不承担任何责任。</w:t>
      </w:r>
    </w:p>
    <w:p w14:paraId="418AD899">
      <w:pPr>
        <w:pStyle w:val="676"/>
        <w:spacing w:before="156" w:line="360" w:lineRule="auto"/>
        <w:ind w:firstLine="220" w:firstLineChars="100"/>
        <w:rPr>
          <w:rFonts w:hint="eastAsia" w:ascii="宋体" w:hAnsi="宋体" w:cs="宋体"/>
          <w:sz w:val="22"/>
          <w:szCs w:val="22"/>
        </w:rPr>
      </w:pPr>
      <w:r>
        <w:rPr>
          <w:rFonts w:hint="eastAsia" w:ascii="宋体" w:hAnsi="宋体" w:cs="宋体"/>
          <w:sz w:val="22"/>
          <w:szCs w:val="22"/>
        </w:rPr>
        <w:t>（8）服务方必须接受龙港市公安局交通管理大队的业务指导，及时处理和改正提出的存在问题。</w:t>
      </w:r>
    </w:p>
    <w:p w14:paraId="35B91ABC">
      <w:pPr>
        <w:pStyle w:val="676"/>
        <w:spacing w:before="156" w:line="360" w:lineRule="auto"/>
        <w:ind w:firstLine="440"/>
        <w:rPr>
          <w:rFonts w:hint="eastAsia" w:ascii="宋体" w:hAnsi="宋体" w:cs="宋体"/>
          <w:sz w:val="22"/>
          <w:szCs w:val="22"/>
        </w:rPr>
      </w:pPr>
      <w:r>
        <w:rPr>
          <w:rFonts w:hint="eastAsia" w:ascii="宋体" w:hAnsi="宋体" w:cs="宋体"/>
          <w:sz w:val="22"/>
          <w:szCs w:val="22"/>
        </w:rPr>
        <w:t>4、日常维护内容及范围：</w:t>
      </w:r>
    </w:p>
    <w:p w14:paraId="756BB5FD">
      <w:pPr>
        <w:pStyle w:val="676"/>
        <w:spacing w:before="156" w:line="360" w:lineRule="auto"/>
        <w:ind w:firstLine="220" w:firstLineChars="100"/>
        <w:rPr>
          <w:rFonts w:hint="eastAsia" w:ascii="宋体" w:hAnsi="宋体" w:cs="宋体"/>
          <w:sz w:val="22"/>
          <w:szCs w:val="22"/>
        </w:rPr>
      </w:pPr>
      <w:r>
        <w:rPr>
          <w:rFonts w:hint="eastAsia" w:ascii="宋体" w:hAnsi="宋体" w:cs="宋体"/>
          <w:sz w:val="22"/>
          <w:szCs w:val="22"/>
        </w:rPr>
        <w:t>（1）维修设施因交通事故、他人施工、故意破坏及盗窃等因素导致损坏的，在维护之列。</w:t>
      </w:r>
    </w:p>
    <w:p w14:paraId="4D7977AB">
      <w:pPr>
        <w:pStyle w:val="676"/>
        <w:spacing w:before="156" w:line="360" w:lineRule="auto"/>
        <w:ind w:firstLine="220" w:firstLineChars="100"/>
        <w:rPr>
          <w:rFonts w:hint="eastAsia" w:ascii="宋体" w:hAnsi="宋体" w:cs="宋体"/>
          <w:sz w:val="22"/>
          <w:szCs w:val="22"/>
        </w:rPr>
      </w:pPr>
      <w:r>
        <w:rPr>
          <w:rFonts w:hint="eastAsia" w:ascii="宋体" w:hAnsi="宋体" w:cs="宋体"/>
          <w:sz w:val="22"/>
          <w:szCs w:val="22"/>
        </w:rPr>
        <w:t>（2）因不可抗拒力如遇自然灾害（指台风、水灾、火灾、地震、雷击等）在包年维护范围。</w:t>
      </w:r>
    </w:p>
    <w:p w14:paraId="2A901F05">
      <w:pPr>
        <w:pStyle w:val="676"/>
        <w:spacing w:before="156" w:line="360" w:lineRule="auto"/>
        <w:ind w:firstLine="220" w:firstLineChars="100"/>
        <w:rPr>
          <w:rFonts w:hint="eastAsia" w:ascii="宋体" w:hAnsi="宋体" w:cs="宋体"/>
          <w:sz w:val="22"/>
          <w:szCs w:val="22"/>
        </w:rPr>
      </w:pPr>
      <w:r>
        <w:rPr>
          <w:rFonts w:hint="eastAsia" w:ascii="宋体" w:hAnsi="宋体" w:cs="宋体"/>
          <w:sz w:val="22"/>
          <w:szCs w:val="22"/>
        </w:rPr>
        <w:t>（3）存在质量问题的。</w:t>
      </w:r>
    </w:p>
    <w:p w14:paraId="538CE4AA">
      <w:pPr>
        <w:widowControl/>
        <w:autoSpaceDE w:val="0"/>
        <w:autoSpaceDN w:val="0"/>
        <w:spacing w:line="360" w:lineRule="auto"/>
        <w:ind w:firstLine="440" w:firstLineChars="200"/>
        <w:textAlignment w:val="bottom"/>
        <w:rPr>
          <w:rFonts w:hint="eastAsia" w:ascii="宋体" w:hAnsi="宋体" w:cs="宋体"/>
          <w:sz w:val="22"/>
          <w:szCs w:val="22"/>
        </w:rPr>
      </w:pPr>
      <w:r>
        <w:rPr>
          <w:rFonts w:hint="eastAsia" w:ascii="宋体" w:hAnsi="宋体" w:cs="宋体"/>
          <w:sz w:val="22"/>
          <w:szCs w:val="22"/>
        </w:rPr>
        <w:t>5、交通设施维护（维修）的响应时间：属于合同范围和内容的项目，维护单位应在接到维护通知之时起30分钟内到场修理更换，2小时内维修更换完毕，未在规定时间内完成修复，超出每小时扣款500元，累加扣款上不封顶。</w:t>
      </w:r>
    </w:p>
    <w:p w14:paraId="31C3FC90">
      <w:pPr>
        <w:widowControl/>
        <w:autoSpaceDE w:val="0"/>
        <w:autoSpaceDN w:val="0"/>
        <w:spacing w:line="360" w:lineRule="auto"/>
        <w:ind w:firstLine="440" w:firstLineChars="200"/>
        <w:textAlignment w:val="bottom"/>
        <w:rPr>
          <w:rFonts w:hint="eastAsia" w:ascii="宋体" w:hAnsi="宋体" w:cs="宋体"/>
          <w:sz w:val="22"/>
          <w:szCs w:val="22"/>
        </w:rPr>
      </w:pPr>
      <w:r>
        <w:rPr>
          <w:rFonts w:hint="eastAsia" w:ascii="宋体" w:hAnsi="宋体" w:cs="宋体"/>
          <w:sz w:val="22"/>
          <w:szCs w:val="22"/>
        </w:rPr>
        <w:t>6、▲中标人有2次以上（不含2次）无正当理由不履行合同，交警大队有权无条件解除合同，并没收全部履约保证金（如果造成交警大队损失的，中标人应予以赔偿）。同时由交警大队提请市政府采购监管科备案并列入不良行为名单，限制其今后三年内参加与交警大队有关的政府招标采购活动。</w:t>
      </w:r>
    </w:p>
    <w:p w14:paraId="432801AE">
      <w:pPr>
        <w:widowControl/>
        <w:autoSpaceDE w:val="0"/>
        <w:autoSpaceDN w:val="0"/>
        <w:spacing w:line="360" w:lineRule="auto"/>
        <w:ind w:firstLine="440" w:firstLineChars="200"/>
        <w:textAlignment w:val="bottom"/>
        <w:rPr>
          <w:rFonts w:hint="eastAsia" w:ascii="宋体" w:hAnsi="宋体" w:cs="宋体"/>
          <w:sz w:val="22"/>
          <w:szCs w:val="22"/>
        </w:rPr>
      </w:pPr>
      <w:r>
        <w:rPr>
          <w:rFonts w:hint="eastAsia" w:ascii="宋体" w:hAnsi="宋体" w:cs="宋体"/>
          <w:sz w:val="22"/>
          <w:szCs w:val="22"/>
        </w:rPr>
        <w:t>7、▲因工程验收不合格或出现重大质量安全隐患问题，中标人应无条件进行返工，直至验收合格或隐患消除，由此而产生的一切责任由中标人负责，产生的费用，交警大队不予支付。若中标人有2次拒不返工或出现2次工程验收不合格或存在2次存在重大质量安全隐患情况的，交警大队有权无条件取消年度中标合同，并提请市政府采购监管科将该维护单位列入不良行为名单，限制其今后三年内参加与警大队有关的政府招标采购活动。</w:t>
      </w:r>
    </w:p>
    <w:p w14:paraId="6C8B4D67">
      <w:pPr>
        <w:widowControl/>
        <w:autoSpaceDE w:val="0"/>
        <w:autoSpaceDN w:val="0"/>
        <w:spacing w:line="360" w:lineRule="auto"/>
        <w:ind w:firstLine="440" w:firstLineChars="200"/>
        <w:textAlignment w:val="bottom"/>
        <w:rPr>
          <w:rFonts w:hint="eastAsia" w:ascii="宋体" w:hAnsi="宋体" w:cs="宋体"/>
          <w:sz w:val="22"/>
          <w:szCs w:val="22"/>
        </w:rPr>
      </w:pPr>
      <w:r>
        <w:rPr>
          <w:rFonts w:hint="eastAsia" w:ascii="宋体" w:hAnsi="宋体" w:cs="宋体"/>
          <w:sz w:val="22"/>
          <w:szCs w:val="22"/>
        </w:rPr>
        <w:t>8、▲中标人在承担上述所有条款或多项违约责任后，仍应继续履行合同规定的义务（交警大队给予解除合同的除外）。交警大队未能及时追究中标人的任何一项违约责任并不表明交警大队放弃追究中标人该项或其他违约责任。</w:t>
      </w:r>
    </w:p>
    <w:p w14:paraId="6C2291F1">
      <w:pPr>
        <w:widowControl/>
        <w:autoSpaceDE w:val="0"/>
        <w:autoSpaceDN w:val="0"/>
        <w:spacing w:line="360" w:lineRule="auto"/>
        <w:ind w:firstLine="440" w:firstLineChars="200"/>
        <w:textAlignment w:val="bottom"/>
        <w:rPr>
          <w:rFonts w:hint="eastAsia" w:ascii="宋体" w:hAnsi="宋体" w:cs="宋体"/>
          <w:sz w:val="22"/>
          <w:szCs w:val="22"/>
        </w:rPr>
      </w:pPr>
      <w:r>
        <w:rPr>
          <w:rFonts w:hint="eastAsia" w:ascii="宋体" w:hAnsi="宋体" w:cs="宋体"/>
          <w:sz w:val="22"/>
          <w:szCs w:val="22"/>
        </w:rPr>
        <w:t>9、</w:t>
      </w:r>
      <w:bookmarkStart w:id="43" w:name="_Hlk121139629"/>
      <w:r>
        <w:rPr>
          <w:rFonts w:hint="eastAsia" w:ascii="宋体" w:hAnsi="宋体" w:cs="宋体"/>
          <w:sz w:val="22"/>
          <w:szCs w:val="22"/>
        </w:rPr>
        <w:t>▲中标人投标属虚假承诺，或抽检后经权威部门检测提供的货物不能满足招标文件要求（在一个合同期内由中标人承担5次检测费用，投标人报价时应考虑在内），或是由于中标人的过错造成合同无法继续履行的，中标人履约保证金不予退还外，还应向交警大队支付不少于合同总价15%赔偿金（年度总额）。同时，交警大队有权无条件取消年度中标合同，并提请市政府采购监管科将该维护单位列入不良行为名单，限制其今后三年内参加与警大队有关的政府招标采购活动。</w:t>
      </w:r>
      <w:bookmarkEnd w:id="43"/>
    </w:p>
    <w:p w14:paraId="5AAF1CF3">
      <w:pPr>
        <w:widowControl/>
        <w:autoSpaceDE w:val="0"/>
        <w:autoSpaceDN w:val="0"/>
        <w:spacing w:line="360" w:lineRule="auto"/>
        <w:ind w:firstLine="440" w:firstLineChars="200"/>
        <w:textAlignment w:val="bottom"/>
        <w:rPr>
          <w:rFonts w:hint="eastAsia" w:ascii="宋体" w:hAnsi="宋体" w:cs="宋体"/>
          <w:sz w:val="22"/>
          <w:szCs w:val="22"/>
        </w:rPr>
      </w:pPr>
      <w:r>
        <w:rPr>
          <w:rFonts w:hint="eastAsia" w:ascii="宋体" w:hAnsi="宋体" w:cs="宋体"/>
          <w:sz w:val="22"/>
          <w:szCs w:val="22"/>
        </w:rPr>
        <w:t>10、所有施工人员，上路工作期间必须穿背面印有本中标人单位名称的工作服。经发现未按规定着装的，第一次：警告维护单位并进行整改。第二次：处罚维护单位500元并进行整改。第三次：处罚维护单位1000元并进行整改。以此类推。</w:t>
      </w:r>
    </w:p>
    <w:p w14:paraId="0732E6D3">
      <w:pPr>
        <w:widowControl/>
        <w:autoSpaceDE w:val="0"/>
        <w:autoSpaceDN w:val="0"/>
        <w:spacing w:line="360" w:lineRule="auto"/>
        <w:ind w:firstLine="440" w:firstLineChars="200"/>
        <w:textAlignment w:val="bottom"/>
        <w:rPr>
          <w:rFonts w:hint="eastAsia" w:ascii="宋体" w:hAnsi="宋体" w:cs="宋体"/>
          <w:sz w:val="22"/>
          <w:szCs w:val="22"/>
        </w:rPr>
      </w:pPr>
      <w:r>
        <w:rPr>
          <w:rFonts w:hint="eastAsia" w:ascii="宋体" w:hAnsi="宋体" w:cs="宋体"/>
          <w:sz w:val="22"/>
          <w:szCs w:val="22"/>
        </w:rPr>
        <w:t>11、合同期结束后，中标人需对合同内容进行巡查，无任何问题后，待业主验收后方能解除合同。</w:t>
      </w:r>
    </w:p>
    <w:p w14:paraId="51957517">
      <w:pPr>
        <w:widowControl/>
        <w:autoSpaceDE w:val="0"/>
        <w:autoSpaceDN w:val="0"/>
        <w:spacing w:line="360" w:lineRule="auto"/>
        <w:ind w:firstLine="440" w:firstLineChars="200"/>
        <w:textAlignment w:val="bottom"/>
        <w:rPr>
          <w:rFonts w:hint="eastAsia" w:ascii="宋体" w:hAnsi="宋体" w:cs="宋体"/>
          <w:sz w:val="22"/>
          <w:szCs w:val="22"/>
        </w:rPr>
      </w:pPr>
      <w:r>
        <w:rPr>
          <w:rFonts w:hint="eastAsia" w:ascii="宋体" w:hAnsi="宋体" w:cs="宋体"/>
          <w:sz w:val="22"/>
          <w:szCs w:val="22"/>
        </w:rPr>
        <w:t>12、如中标人不在约定期限内及时进行维护的，交警大队可委托其他人员修理，保修费用从该中标人应得的维修工程款及质保金中内扣除，并可以追究违约责任。</w:t>
      </w:r>
    </w:p>
    <w:p w14:paraId="21247966">
      <w:pPr>
        <w:snapToGrid w:val="0"/>
        <w:spacing w:line="360" w:lineRule="auto"/>
        <w:outlineLvl w:val="0"/>
        <w:rPr>
          <w:rFonts w:hint="eastAsia" w:ascii="宋体" w:hAnsi="宋体" w:cs="宋体"/>
          <w:b/>
          <w:bCs/>
          <w:sz w:val="22"/>
          <w:szCs w:val="22"/>
        </w:rPr>
      </w:pPr>
      <w:r>
        <w:rPr>
          <w:rFonts w:hint="eastAsia" w:ascii="宋体" w:hAnsi="宋体" w:cs="宋体"/>
          <w:b/>
          <w:bCs/>
          <w:sz w:val="22"/>
          <w:szCs w:val="22"/>
        </w:rPr>
        <w:t>三、商务条款</w:t>
      </w:r>
    </w:p>
    <w:p w14:paraId="52009ECD">
      <w:pPr>
        <w:widowControl/>
        <w:tabs>
          <w:tab w:val="left" w:pos="540"/>
        </w:tabs>
        <w:autoSpaceDE w:val="0"/>
        <w:autoSpaceDN w:val="0"/>
        <w:snapToGrid w:val="0"/>
        <w:spacing w:line="360" w:lineRule="auto"/>
        <w:textAlignment w:val="bottom"/>
        <w:rPr>
          <w:rFonts w:hint="eastAsia" w:ascii="宋体" w:hAnsi="宋体" w:cs="宋体"/>
          <w:sz w:val="22"/>
          <w:szCs w:val="22"/>
        </w:rPr>
      </w:pPr>
      <w:r>
        <w:rPr>
          <w:rFonts w:hint="eastAsia" w:ascii="宋体" w:hAnsi="宋体" w:cs="宋体"/>
          <w:sz w:val="22"/>
          <w:szCs w:val="22"/>
        </w:rPr>
        <w:t>1、质保期</w:t>
      </w:r>
    </w:p>
    <w:p w14:paraId="3413784F">
      <w:pPr>
        <w:widowControl/>
        <w:autoSpaceDE w:val="0"/>
        <w:autoSpaceDN w:val="0"/>
        <w:spacing w:line="360" w:lineRule="auto"/>
        <w:ind w:firstLine="440" w:firstLineChars="200"/>
        <w:textAlignment w:val="bottom"/>
        <w:rPr>
          <w:rFonts w:hint="eastAsia" w:ascii="宋体" w:hAnsi="宋体" w:cs="宋体"/>
          <w:b/>
          <w:bCs/>
          <w:sz w:val="22"/>
          <w:szCs w:val="22"/>
        </w:rPr>
      </w:pPr>
      <w:r>
        <w:rPr>
          <w:rFonts w:hint="eastAsia" w:ascii="宋体" w:hAnsi="宋体" w:cs="宋体"/>
          <w:bCs/>
          <w:sz w:val="22"/>
          <w:szCs w:val="22"/>
        </w:rPr>
        <w:t>1.1、</w:t>
      </w:r>
      <w:bookmarkStart w:id="44" w:name="_Hlk121139120"/>
      <w:r>
        <w:rPr>
          <w:rFonts w:hint="eastAsia" w:ascii="宋体" w:hAnsi="宋体" w:cs="宋体"/>
          <w:sz w:val="22"/>
          <w:szCs w:val="22"/>
        </w:rPr>
        <w:t>▲</w:t>
      </w:r>
      <w:r>
        <w:rPr>
          <w:rFonts w:hint="eastAsia" w:ascii="宋体" w:hAnsi="宋体" w:cs="宋体"/>
          <w:b/>
          <w:bCs/>
          <w:sz w:val="22"/>
          <w:szCs w:val="22"/>
        </w:rPr>
        <w:t>服务期：合同生效后3年；责任缺陷期1年（采购内容中有明确的除外）。</w:t>
      </w:r>
    </w:p>
    <w:p w14:paraId="60A7ECE8">
      <w:pPr>
        <w:widowControl/>
        <w:autoSpaceDE w:val="0"/>
        <w:autoSpaceDN w:val="0"/>
        <w:spacing w:line="360" w:lineRule="auto"/>
        <w:ind w:firstLine="442" w:firstLineChars="200"/>
        <w:textAlignment w:val="bottom"/>
        <w:rPr>
          <w:rFonts w:hint="default" w:ascii="宋体" w:hAnsi="宋体" w:eastAsia="宋体" w:cs="宋体"/>
          <w:b/>
          <w:bCs/>
          <w:color w:val="C00000"/>
          <w:sz w:val="22"/>
          <w:szCs w:val="22"/>
          <w:lang w:val="en-US" w:eastAsia="zh-CN"/>
        </w:rPr>
      </w:pPr>
      <w:r>
        <w:rPr>
          <w:rFonts w:hint="eastAsia" w:ascii="宋体" w:hAnsi="宋体" w:cs="宋体"/>
          <w:b/>
          <w:bCs/>
          <w:sz w:val="22"/>
          <w:szCs w:val="22"/>
        </w:rPr>
        <w:t>合同一年一签，一年服务期限届满后，如采购人对供应商这一年的管理服务质量</w:t>
      </w:r>
      <w:r>
        <w:rPr>
          <w:rFonts w:hint="eastAsia" w:ascii="宋体" w:hAnsi="宋体" w:cs="宋体"/>
          <w:b/>
          <w:bCs/>
          <w:sz w:val="22"/>
          <w:szCs w:val="22"/>
          <w:lang w:eastAsia="zh-CN"/>
        </w:rPr>
        <w:t>通过</w:t>
      </w:r>
      <w:r>
        <w:rPr>
          <w:rFonts w:hint="eastAsia" w:ascii="宋体" w:hAnsi="宋体" w:cs="宋体"/>
          <w:b/>
          <w:bCs/>
          <w:color w:val="C00000"/>
          <w:sz w:val="22"/>
          <w:szCs w:val="22"/>
          <w:lang w:eastAsia="zh-CN"/>
        </w:rPr>
        <w:t>验收合格和考核的（考核分</w:t>
      </w:r>
      <w:r>
        <w:rPr>
          <w:rFonts w:hint="eastAsia" w:ascii="宋体" w:hAnsi="宋体" w:cs="宋体"/>
          <w:color w:val="C00000"/>
          <w:sz w:val="24"/>
        </w:rPr>
        <w:t>≥</w:t>
      </w:r>
      <w:r>
        <w:rPr>
          <w:rFonts w:hint="eastAsia" w:ascii="宋体" w:hAnsi="宋体" w:cs="宋体"/>
          <w:color w:val="C00000"/>
          <w:sz w:val="24"/>
          <w:lang w:val="en-US" w:eastAsia="zh-CN"/>
        </w:rPr>
        <w:t>7</w:t>
      </w:r>
      <w:r>
        <w:rPr>
          <w:rFonts w:hint="eastAsia" w:ascii="宋体" w:hAnsi="宋体" w:cs="宋体"/>
          <w:color w:val="C00000"/>
          <w:sz w:val="24"/>
        </w:rPr>
        <w:t>5分</w:t>
      </w:r>
      <w:r>
        <w:rPr>
          <w:rFonts w:hint="eastAsia" w:ascii="宋体" w:hAnsi="宋体" w:cs="宋体"/>
          <w:b/>
          <w:bCs/>
          <w:color w:val="C00000"/>
          <w:sz w:val="22"/>
          <w:szCs w:val="22"/>
          <w:lang w:eastAsia="zh-CN"/>
        </w:rPr>
        <w:t>）</w:t>
      </w:r>
      <w:r>
        <w:rPr>
          <w:rFonts w:hint="eastAsia" w:ascii="宋体" w:hAnsi="宋体" w:cs="宋体"/>
          <w:b/>
          <w:bCs/>
          <w:sz w:val="22"/>
          <w:szCs w:val="22"/>
        </w:rPr>
        <w:t>，根据本次中标价格可以</w:t>
      </w:r>
      <w:r>
        <w:rPr>
          <w:rFonts w:hint="eastAsia" w:ascii="宋体" w:hAnsi="宋体" w:cs="宋体"/>
          <w:b/>
          <w:bCs/>
          <w:sz w:val="22"/>
          <w:szCs w:val="22"/>
          <w:lang w:eastAsia="zh-CN"/>
        </w:rPr>
        <w:t>继</w:t>
      </w:r>
      <w:r>
        <w:rPr>
          <w:rFonts w:hint="eastAsia" w:ascii="宋体" w:hAnsi="宋体" w:cs="宋体"/>
          <w:b/>
          <w:bCs/>
          <w:sz w:val="22"/>
          <w:szCs w:val="22"/>
        </w:rPr>
        <w:t>续签</w:t>
      </w:r>
      <w:r>
        <w:rPr>
          <w:rFonts w:hint="eastAsia" w:ascii="宋体" w:hAnsi="宋体" w:cs="宋体"/>
          <w:b/>
          <w:bCs/>
          <w:sz w:val="22"/>
          <w:szCs w:val="22"/>
          <w:lang w:eastAsia="zh-CN"/>
        </w:rPr>
        <w:t>订次</w:t>
      </w:r>
      <w:r>
        <w:rPr>
          <w:rFonts w:hint="eastAsia" w:ascii="宋体" w:hAnsi="宋体" w:cs="宋体"/>
          <w:b/>
          <w:bCs/>
          <w:sz w:val="22"/>
          <w:szCs w:val="22"/>
        </w:rPr>
        <w:t>年</w:t>
      </w:r>
      <w:r>
        <w:rPr>
          <w:rFonts w:hint="eastAsia" w:ascii="宋体" w:hAnsi="宋体" w:cs="宋体"/>
          <w:b/>
          <w:bCs/>
          <w:sz w:val="22"/>
          <w:szCs w:val="22"/>
          <w:lang w:eastAsia="zh-CN"/>
        </w:rPr>
        <w:t>合同</w:t>
      </w:r>
      <w:r>
        <w:rPr>
          <w:rFonts w:hint="eastAsia" w:ascii="宋体" w:hAnsi="宋体" w:cs="宋体"/>
          <w:b/>
          <w:bCs/>
          <w:sz w:val="22"/>
          <w:szCs w:val="22"/>
        </w:rPr>
        <w:t>；</w:t>
      </w:r>
      <w:bookmarkEnd w:id="44"/>
      <w:r>
        <w:rPr>
          <w:rFonts w:hint="eastAsia" w:ascii="宋体" w:hAnsi="宋体" w:cs="宋体"/>
          <w:b/>
          <w:bCs/>
          <w:sz w:val="22"/>
          <w:szCs w:val="22"/>
        </w:rPr>
        <w:t>如采购人发现中标人未能履行投标时的服务承诺，或发现中标人履约能力不能满足招标人的要求的，招标人有权提前解除合同</w:t>
      </w:r>
      <w:r>
        <w:rPr>
          <w:rFonts w:hint="eastAsia" w:ascii="宋体" w:hAnsi="宋体" w:cs="宋体"/>
          <w:b/>
          <w:bCs/>
          <w:color w:val="C00000"/>
          <w:sz w:val="22"/>
          <w:szCs w:val="22"/>
          <w:lang w:eastAsia="zh-CN"/>
        </w:rPr>
        <w:t>或终止次年签约</w:t>
      </w:r>
      <w:r>
        <w:rPr>
          <w:rFonts w:hint="eastAsia" w:ascii="宋体" w:hAnsi="宋体" w:cs="宋体"/>
          <w:b/>
          <w:bCs/>
          <w:sz w:val="22"/>
          <w:szCs w:val="22"/>
        </w:rPr>
        <w:t>。</w:t>
      </w:r>
      <w:r>
        <w:rPr>
          <w:rFonts w:hint="eastAsia" w:ascii="宋体" w:hAnsi="宋体" w:cs="宋体"/>
          <w:b/>
          <w:bCs/>
          <w:color w:val="C00000"/>
          <w:sz w:val="22"/>
          <w:szCs w:val="22"/>
          <w:lang w:eastAsia="zh-CN"/>
        </w:rPr>
        <w:t>每年度服务金额</w:t>
      </w:r>
      <w:r>
        <w:rPr>
          <w:rFonts w:hint="eastAsia" w:ascii="宋体" w:hAnsi="宋体" w:cs="宋体"/>
          <w:b/>
          <w:bCs/>
          <w:color w:val="C00000"/>
          <w:sz w:val="22"/>
          <w:szCs w:val="22"/>
          <w:lang w:val="en-US" w:eastAsia="zh-CN"/>
        </w:rPr>
        <w:t>260万元，按年度服务结算；第二年及第三年合同金额，如遇财政预算削减的，采购人有权消减合同金额，投标供应商应充分考虑由此带来的风险。</w:t>
      </w:r>
    </w:p>
    <w:p w14:paraId="5A38F3EA">
      <w:pPr>
        <w:widowControl/>
        <w:autoSpaceDE w:val="0"/>
        <w:autoSpaceDN w:val="0"/>
        <w:spacing w:line="360" w:lineRule="auto"/>
        <w:ind w:firstLine="442" w:firstLineChars="200"/>
        <w:textAlignment w:val="bottom"/>
        <w:rPr>
          <w:rFonts w:hint="eastAsia" w:ascii="宋体" w:hAnsi="宋体" w:cs="宋体"/>
          <w:b/>
          <w:bCs/>
          <w:sz w:val="22"/>
          <w:szCs w:val="22"/>
        </w:rPr>
      </w:pPr>
      <w:r>
        <w:rPr>
          <w:rFonts w:hint="eastAsia" w:ascii="宋体" w:hAnsi="宋体" w:cs="宋体"/>
          <w:b/>
          <w:bCs/>
          <w:sz w:val="22"/>
          <w:szCs w:val="22"/>
        </w:rPr>
        <w:t>1.2、▲中标供应商在接到施工电话后2小时内赶到现场，提供不间断的服务直到单项服务内容结束。</w:t>
      </w:r>
    </w:p>
    <w:p w14:paraId="58A23330">
      <w:pPr>
        <w:widowControl/>
        <w:autoSpaceDE w:val="0"/>
        <w:autoSpaceDN w:val="0"/>
        <w:spacing w:line="360" w:lineRule="auto"/>
        <w:ind w:firstLine="442" w:firstLineChars="200"/>
        <w:textAlignment w:val="bottom"/>
        <w:rPr>
          <w:rFonts w:hint="eastAsia" w:ascii="宋体" w:hAnsi="宋体" w:cs="宋体"/>
          <w:bCs/>
          <w:sz w:val="22"/>
          <w:szCs w:val="22"/>
        </w:rPr>
      </w:pPr>
      <w:r>
        <w:rPr>
          <w:rFonts w:hint="eastAsia" w:ascii="宋体" w:hAnsi="宋体" w:cs="宋体"/>
          <w:b/>
          <w:bCs/>
          <w:sz w:val="22"/>
          <w:szCs w:val="22"/>
        </w:rPr>
        <w:t>1.3、中标供应商必须对合同中规定的内容提供相应的质保期一年（另有超过1年规定的按原规定执行）；时间从整体工程验收合格之日起计算。质保期内供方须免费负责修理和替换任何由于产品自身的质量问题造成的损坏，并负责有关费用。提供质保期内巡视保养措施、时间。</w:t>
      </w:r>
    </w:p>
    <w:p w14:paraId="698A6DE9">
      <w:pPr>
        <w:widowControl/>
        <w:autoSpaceDE w:val="0"/>
        <w:autoSpaceDN w:val="0"/>
        <w:snapToGrid w:val="0"/>
        <w:spacing w:line="360" w:lineRule="auto"/>
        <w:ind w:firstLine="440" w:firstLineChars="200"/>
        <w:textAlignment w:val="bottom"/>
        <w:rPr>
          <w:rFonts w:hint="eastAsia" w:ascii="宋体" w:hAnsi="宋体" w:cs="宋体"/>
          <w:sz w:val="22"/>
          <w:szCs w:val="22"/>
        </w:rPr>
      </w:pPr>
      <w:r>
        <w:rPr>
          <w:rFonts w:hint="eastAsia" w:ascii="宋体" w:hAnsi="宋体" w:cs="宋体"/>
          <w:sz w:val="22"/>
          <w:szCs w:val="22"/>
        </w:rPr>
        <w:t>1.4、投标供应商在投标文件中说明质保期内提供的服务计划。</w:t>
      </w:r>
    </w:p>
    <w:p w14:paraId="5A096ABB">
      <w:pPr>
        <w:widowControl/>
        <w:tabs>
          <w:tab w:val="left" w:pos="540"/>
        </w:tabs>
        <w:autoSpaceDE w:val="0"/>
        <w:autoSpaceDN w:val="0"/>
        <w:snapToGrid w:val="0"/>
        <w:spacing w:line="360" w:lineRule="auto"/>
        <w:textAlignment w:val="bottom"/>
        <w:rPr>
          <w:rFonts w:hint="eastAsia" w:ascii="宋体" w:hAnsi="宋体" w:cs="宋体"/>
          <w:sz w:val="22"/>
          <w:szCs w:val="22"/>
        </w:rPr>
      </w:pPr>
      <w:r>
        <w:rPr>
          <w:rFonts w:hint="eastAsia" w:ascii="宋体" w:hAnsi="宋体" w:cs="宋体"/>
          <w:sz w:val="22"/>
          <w:szCs w:val="22"/>
        </w:rPr>
        <w:t xml:space="preserve">2、付款方式： </w:t>
      </w:r>
    </w:p>
    <w:p w14:paraId="2BDD2A7C">
      <w:pPr>
        <w:widowControl/>
        <w:autoSpaceDE w:val="0"/>
        <w:autoSpaceDN w:val="0"/>
        <w:spacing w:line="360" w:lineRule="auto"/>
        <w:ind w:firstLine="440" w:firstLineChars="200"/>
        <w:textAlignment w:val="bottom"/>
        <w:rPr>
          <w:rFonts w:hint="eastAsia" w:ascii="宋体" w:hAnsi="宋体" w:cs="宋体"/>
          <w:sz w:val="22"/>
          <w:szCs w:val="22"/>
          <w:u w:val="single"/>
        </w:rPr>
      </w:pPr>
      <w:bookmarkStart w:id="45" w:name="_Hlk121139251"/>
      <w:bookmarkStart w:id="46" w:name="_Toc112675539"/>
      <w:bookmarkStart w:id="47" w:name="_Toc112722777"/>
      <w:bookmarkStart w:id="48" w:name="_Toc112674939"/>
      <w:r>
        <w:rPr>
          <w:rFonts w:hint="eastAsia" w:ascii="宋体" w:hAnsi="宋体" w:cs="宋体"/>
          <w:sz w:val="22"/>
          <w:szCs w:val="22"/>
          <w:u w:val="single"/>
        </w:rPr>
        <w:t>合同签订并提交发票后7个工作日内，采购人向中标供应商支付</w:t>
      </w:r>
      <w:r>
        <w:rPr>
          <w:rFonts w:hint="eastAsia" w:ascii="宋体" w:hAnsi="宋体" w:cs="宋体"/>
          <w:sz w:val="22"/>
          <w:szCs w:val="22"/>
          <w:highlight w:val="yellow"/>
          <w:u w:val="single"/>
          <w:lang w:val="en-US" w:eastAsia="zh-CN"/>
        </w:rPr>
        <w:t>每年度</w:t>
      </w:r>
      <w:r>
        <w:rPr>
          <w:rFonts w:hint="eastAsia" w:ascii="宋体" w:hAnsi="宋体" w:cs="宋体"/>
          <w:sz w:val="22"/>
          <w:szCs w:val="22"/>
          <w:u w:val="single"/>
        </w:rPr>
        <w:t>合同总价40%的预付款，剩余的合同款按</w:t>
      </w:r>
      <w:r>
        <w:rPr>
          <w:rFonts w:hint="eastAsia" w:ascii="宋体" w:hAnsi="宋体" w:cs="宋体"/>
          <w:color w:val="C00000"/>
          <w:sz w:val="22"/>
          <w:szCs w:val="22"/>
          <w:u w:val="single"/>
          <w:lang w:eastAsia="zh-CN"/>
        </w:rPr>
        <w:t>年</w:t>
      </w:r>
      <w:r>
        <w:rPr>
          <w:rFonts w:hint="eastAsia" w:ascii="宋体" w:hAnsi="宋体" w:cs="宋体"/>
          <w:color w:val="C00000"/>
          <w:sz w:val="22"/>
          <w:szCs w:val="22"/>
          <w:u w:val="single"/>
        </w:rPr>
        <w:t>度</w:t>
      </w:r>
      <w:r>
        <w:rPr>
          <w:rFonts w:hint="eastAsia" w:ascii="宋体" w:hAnsi="宋体" w:cs="宋体"/>
          <w:sz w:val="22"/>
          <w:szCs w:val="22"/>
          <w:u w:val="single"/>
        </w:rPr>
        <w:t>完成的工程量及中标单价进行结算</w:t>
      </w:r>
      <w:r>
        <w:rPr>
          <w:rFonts w:hint="eastAsia" w:ascii="宋体" w:hAnsi="宋体" w:cs="宋体"/>
          <w:sz w:val="22"/>
          <w:szCs w:val="22"/>
          <w:u w:val="single"/>
          <w:lang w:eastAsia="zh-CN"/>
        </w:rPr>
        <w:t>，</w:t>
      </w:r>
      <w:r>
        <w:rPr>
          <w:rFonts w:hint="eastAsia" w:ascii="宋体" w:hAnsi="宋体" w:cs="宋体"/>
          <w:sz w:val="22"/>
          <w:szCs w:val="22"/>
          <w:u w:val="single"/>
        </w:rPr>
        <w:t>付款时应提交</w:t>
      </w:r>
      <w:r>
        <w:rPr>
          <w:rFonts w:hint="eastAsia" w:ascii="宋体" w:hAnsi="宋体" w:cs="宋体"/>
          <w:sz w:val="22"/>
          <w:szCs w:val="22"/>
          <w:u w:val="single"/>
          <w:lang w:val="en-US" w:eastAsia="zh-CN"/>
        </w:rPr>
        <w:t>考核材料、</w:t>
      </w:r>
      <w:r>
        <w:rPr>
          <w:rFonts w:hint="eastAsia" w:ascii="宋体" w:hAnsi="宋体" w:cs="宋体"/>
          <w:sz w:val="22"/>
          <w:szCs w:val="22"/>
          <w:u w:val="single"/>
        </w:rPr>
        <w:t>验收</w:t>
      </w:r>
      <w:r>
        <w:rPr>
          <w:rFonts w:hint="eastAsia" w:ascii="宋体" w:hAnsi="宋体" w:cs="宋体"/>
          <w:sz w:val="22"/>
          <w:szCs w:val="22"/>
          <w:u w:val="single"/>
          <w:lang w:val="en-US" w:eastAsia="zh-CN"/>
        </w:rPr>
        <w:t>材料及</w:t>
      </w:r>
      <w:r>
        <w:rPr>
          <w:rFonts w:hint="eastAsia" w:ascii="宋体" w:hAnsi="宋体" w:cs="宋体"/>
          <w:sz w:val="22"/>
          <w:szCs w:val="22"/>
          <w:u w:val="single"/>
        </w:rPr>
        <w:t>结算材料和发票材料齐全，</w:t>
      </w:r>
      <w:r>
        <w:rPr>
          <w:rFonts w:hint="eastAsia" w:ascii="宋体" w:hAnsi="宋体" w:cs="宋体"/>
          <w:sz w:val="22"/>
          <w:szCs w:val="22"/>
          <w:u w:val="single"/>
          <w:lang w:val="en-US" w:eastAsia="zh-CN"/>
        </w:rPr>
        <w:t>根据完成的实际工程数量扣除考核结果扣罚金额（如有）后</w:t>
      </w:r>
      <w:r>
        <w:rPr>
          <w:rFonts w:hint="eastAsia" w:ascii="宋体" w:hAnsi="宋体" w:cs="宋体"/>
          <w:sz w:val="22"/>
          <w:szCs w:val="22"/>
          <w:u w:val="single"/>
        </w:rPr>
        <w:t>7个工作日内支付。</w:t>
      </w:r>
    </w:p>
    <w:bookmarkEnd w:id="45"/>
    <w:p w14:paraId="54B298A6">
      <w:pPr>
        <w:spacing w:line="360" w:lineRule="auto"/>
        <w:rPr>
          <w:rFonts w:hint="eastAsia" w:ascii="宋体" w:hAnsi="宋体" w:cs="宋体"/>
          <w:bCs/>
          <w:sz w:val="22"/>
          <w:szCs w:val="22"/>
        </w:rPr>
      </w:pPr>
      <w:r>
        <w:rPr>
          <w:rFonts w:hint="eastAsia" w:ascii="宋体" w:hAnsi="宋体" w:cs="宋体"/>
          <w:sz w:val="22"/>
          <w:szCs w:val="22"/>
        </w:rPr>
        <w:t>3、交货完工期：</w:t>
      </w:r>
      <w:r>
        <w:rPr>
          <w:rFonts w:hint="eastAsia" w:ascii="宋体" w:hAnsi="宋体" w:cs="宋体"/>
          <w:sz w:val="22"/>
          <w:szCs w:val="22"/>
          <w:u w:val="single"/>
        </w:rPr>
        <w:t>中标人须按采购人要求分期分批安装、更换、完工。更换或新建完工时间以采购人确定《道路交通标志标线维护通知书》为准。</w:t>
      </w:r>
    </w:p>
    <w:bookmarkEnd w:id="46"/>
    <w:bookmarkEnd w:id="47"/>
    <w:bookmarkEnd w:id="48"/>
    <w:p w14:paraId="16C3A41F">
      <w:pPr>
        <w:widowControl/>
        <w:autoSpaceDE w:val="0"/>
        <w:autoSpaceDN w:val="0"/>
        <w:snapToGrid w:val="0"/>
        <w:spacing w:line="360" w:lineRule="auto"/>
        <w:textAlignment w:val="bottom"/>
        <w:rPr>
          <w:rFonts w:hint="eastAsia" w:ascii="宋体" w:hAnsi="宋体" w:cs="宋体"/>
          <w:sz w:val="22"/>
          <w:szCs w:val="22"/>
        </w:rPr>
      </w:pPr>
      <w:r>
        <w:rPr>
          <w:rFonts w:hint="eastAsia" w:ascii="宋体" w:hAnsi="宋体" w:cs="宋体"/>
          <w:sz w:val="22"/>
          <w:szCs w:val="22"/>
        </w:rPr>
        <w:t>4、质量目标要求达到标段工程交（竣）工验收：合格及以上。</w:t>
      </w:r>
    </w:p>
    <w:p w14:paraId="792DA1A4">
      <w:pPr>
        <w:snapToGrid w:val="0"/>
        <w:spacing w:line="360" w:lineRule="auto"/>
        <w:outlineLvl w:val="0"/>
        <w:rPr>
          <w:rFonts w:hint="eastAsia" w:ascii="宋体" w:hAnsi="宋体" w:cs="宋体"/>
          <w:bCs/>
          <w:sz w:val="22"/>
          <w:szCs w:val="22"/>
        </w:rPr>
      </w:pPr>
      <w:r>
        <w:rPr>
          <w:rFonts w:hint="eastAsia" w:ascii="宋体" w:hAnsi="宋体" w:cs="宋体"/>
          <w:bCs/>
          <w:sz w:val="22"/>
          <w:szCs w:val="22"/>
        </w:rPr>
        <w:t>四、工作范围：</w:t>
      </w:r>
    </w:p>
    <w:p w14:paraId="5074F0BB">
      <w:pPr>
        <w:snapToGrid w:val="0"/>
        <w:spacing w:line="360" w:lineRule="auto"/>
        <w:rPr>
          <w:rFonts w:hint="eastAsia" w:ascii="宋体" w:hAnsi="宋体" w:cs="宋体"/>
          <w:sz w:val="22"/>
          <w:szCs w:val="22"/>
        </w:rPr>
      </w:pPr>
      <w:r>
        <w:rPr>
          <w:rFonts w:hint="eastAsia" w:ascii="宋体" w:hAnsi="宋体" w:cs="宋体"/>
          <w:sz w:val="22"/>
          <w:szCs w:val="22"/>
        </w:rPr>
        <w:t>根据招标文件，各供应商须按国家有关标准及规范完成下列工作：</w:t>
      </w:r>
    </w:p>
    <w:p w14:paraId="38760B67">
      <w:pPr>
        <w:tabs>
          <w:tab w:val="left" w:pos="1740"/>
        </w:tabs>
        <w:snapToGrid w:val="0"/>
        <w:spacing w:line="360" w:lineRule="auto"/>
        <w:outlineLvl w:val="0"/>
        <w:rPr>
          <w:rFonts w:hint="eastAsia" w:ascii="宋体" w:hAnsi="宋体" w:cs="宋体"/>
          <w:sz w:val="22"/>
          <w:szCs w:val="22"/>
        </w:rPr>
      </w:pPr>
      <w:r>
        <w:rPr>
          <w:rFonts w:hint="eastAsia" w:ascii="宋体" w:hAnsi="宋体" w:cs="宋体"/>
          <w:sz w:val="22"/>
          <w:szCs w:val="22"/>
        </w:rPr>
        <w:t>1.提供完整成套的货物或服务</w:t>
      </w:r>
    </w:p>
    <w:p w14:paraId="4FF1330C">
      <w:pPr>
        <w:snapToGrid w:val="0"/>
        <w:spacing w:line="360" w:lineRule="auto"/>
        <w:rPr>
          <w:rFonts w:hint="eastAsia" w:ascii="宋体" w:hAnsi="宋体" w:cs="宋体"/>
          <w:sz w:val="22"/>
          <w:szCs w:val="22"/>
        </w:rPr>
      </w:pPr>
      <w:r>
        <w:rPr>
          <w:rFonts w:hint="eastAsia" w:ascii="宋体" w:hAnsi="宋体" w:cs="宋体"/>
          <w:sz w:val="22"/>
          <w:szCs w:val="22"/>
        </w:rPr>
        <w:t xml:space="preserve">2.货物及相关附件的提供、运输、装卸、就位、施工、检验、通过验收； </w:t>
      </w:r>
    </w:p>
    <w:p w14:paraId="479596DF">
      <w:pPr>
        <w:tabs>
          <w:tab w:val="left" w:pos="1740"/>
        </w:tabs>
        <w:snapToGrid w:val="0"/>
        <w:spacing w:line="360" w:lineRule="auto"/>
        <w:rPr>
          <w:rFonts w:hint="eastAsia" w:ascii="宋体" w:hAnsi="宋体" w:cs="宋体"/>
          <w:sz w:val="22"/>
          <w:szCs w:val="22"/>
        </w:rPr>
      </w:pPr>
      <w:r>
        <w:rPr>
          <w:rFonts w:hint="eastAsia" w:ascii="宋体" w:hAnsi="宋体" w:cs="宋体"/>
          <w:sz w:val="22"/>
          <w:szCs w:val="22"/>
        </w:rPr>
        <w:t>3.完成各项施工、检验、测试工作，并在采购人的配合下进行验收；提供各种数据资料；直至通过验收。</w:t>
      </w:r>
    </w:p>
    <w:p w14:paraId="44F939BC">
      <w:pPr>
        <w:snapToGrid w:val="0"/>
        <w:spacing w:line="360" w:lineRule="auto"/>
        <w:rPr>
          <w:rFonts w:hint="eastAsia" w:ascii="宋体" w:hAnsi="宋体" w:cs="宋体"/>
          <w:sz w:val="22"/>
          <w:szCs w:val="22"/>
        </w:rPr>
      </w:pPr>
      <w:r>
        <w:rPr>
          <w:rFonts w:hint="eastAsia" w:ascii="宋体" w:hAnsi="宋体" w:cs="宋体"/>
          <w:sz w:val="22"/>
          <w:szCs w:val="22"/>
        </w:rPr>
        <w:t>4.保期内系统的维保及维修；</w:t>
      </w:r>
    </w:p>
    <w:p w14:paraId="76AF2547">
      <w:pPr>
        <w:snapToGrid w:val="0"/>
        <w:spacing w:line="360" w:lineRule="auto"/>
        <w:rPr>
          <w:rFonts w:hint="eastAsia" w:ascii="宋体" w:hAnsi="宋体" w:cs="宋体"/>
          <w:sz w:val="22"/>
          <w:szCs w:val="22"/>
        </w:rPr>
      </w:pPr>
      <w:r>
        <w:rPr>
          <w:rFonts w:hint="eastAsia" w:ascii="宋体" w:hAnsi="宋体" w:cs="宋体"/>
          <w:sz w:val="22"/>
          <w:szCs w:val="22"/>
        </w:rPr>
        <w:t>5.售后服务的措施及承诺。</w:t>
      </w:r>
    </w:p>
    <w:p w14:paraId="0E7F5C58">
      <w:pPr>
        <w:snapToGrid w:val="0"/>
        <w:spacing w:line="360" w:lineRule="auto"/>
        <w:rPr>
          <w:rFonts w:hint="eastAsia" w:ascii="宋体" w:hAnsi="宋体" w:cs="宋体"/>
          <w:sz w:val="22"/>
          <w:szCs w:val="22"/>
        </w:rPr>
      </w:pPr>
      <w:r>
        <w:rPr>
          <w:rFonts w:hint="eastAsia" w:ascii="宋体" w:hAnsi="宋体" w:cs="宋体"/>
          <w:sz w:val="22"/>
          <w:szCs w:val="22"/>
        </w:rPr>
        <w:t>以上工作内容的费用均包含在投标总价中。</w:t>
      </w:r>
    </w:p>
    <w:p w14:paraId="5576C1B0">
      <w:pPr>
        <w:spacing w:line="360" w:lineRule="auto"/>
        <w:rPr>
          <w:rFonts w:hint="eastAsia" w:ascii="宋体" w:hAnsi="宋体" w:cs="宋体"/>
          <w:kern w:val="0"/>
          <w:sz w:val="44"/>
          <w:szCs w:val="44"/>
        </w:rPr>
      </w:pPr>
      <w:r>
        <w:rPr>
          <w:rFonts w:hint="eastAsia" w:ascii="宋体" w:hAnsi="宋体" w:cs="宋体"/>
          <w:kern w:val="0"/>
          <w:sz w:val="44"/>
          <w:szCs w:val="44"/>
        </w:rPr>
        <w:br w:type="page"/>
      </w:r>
    </w:p>
    <w:p w14:paraId="2BBF8C12">
      <w:pPr>
        <w:jc w:val="center"/>
        <w:rPr>
          <w:rFonts w:hint="eastAsia" w:ascii="宋体" w:hAnsi="宋体" w:cs="宋体"/>
          <w:sz w:val="44"/>
          <w:szCs w:val="44"/>
        </w:rPr>
      </w:pPr>
      <w:r>
        <w:rPr>
          <w:rFonts w:hint="eastAsia" w:ascii="宋体" w:hAnsi="宋体" w:cs="宋体"/>
          <w:kern w:val="0"/>
          <w:sz w:val="44"/>
          <w:szCs w:val="44"/>
        </w:rPr>
        <w:t>道路交通标志标线维护通知书</w:t>
      </w:r>
    </w:p>
    <w:p w14:paraId="345BE4AE">
      <w:pPr>
        <w:jc w:val="right"/>
        <w:rPr>
          <w:rFonts w:hint="eastAsia" w:ascii="宋体" w:hAnsi="宋体" w:cs="宋体"/>
          <w:sz w:val="28"/>
          <w:szCs w:val="28"/>
        </w:rPr>
      </w:pPr>
      <w:r>
        <w:rPr>
          <w:rFonts w:hint="eastAsia" w:ascii="宋体" w:hAnsi="宋体" w:cs="宋体"/>
          <w:sz w:val="28"/>
          <w:szCs w:val="28"/>
        </w:rPr>
        <w:t>编号：[202</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u w:val="single"/>
        </w:rPr>
        <w:t>0001</w:t>
      </w:r>
      <w:r>
        <w:rPr>
          <w:rFonts w:hint="eastAsia" w:ascii="宋体" w:hAnsi="宋体" w:cs="宋体"/>
          <w:sz w:val="28"/>
          <w:szCs w:val="28"/>
        </w:rPr>
        <w:t>号</w:t>
      </w:r>
    </w:p>
    <w:p w14:paraId="1DE04582">
      <w:pPr>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公司（单位）：</w:t>
      </w:r>
    </w:p>
    <w:p w14:paraId="7EC26498">
      <w:pPr>
        <w:ind w:firstLine="585"/>
        <w:rPr>
          <w:rFonts w:hint="eastAsia" w:ascii="宋体" w:hAnsi="宋体" w:cs="宋体"/>
          <w:sz w:val="28"/>
          <w:szCs w:val="28"/>
        </w:rPr>
      </w:pPr>
      <w:r>
        <w:rPr>
          <w:rFonts w:hint="eastAsia" w:ascii="宋体" w:hAnsi="宋体" w:cs="宋体"/>
          <w:sz w:val="28"/>
          <w:szCs w:val="28"/>
        </w:rPr>
        <w:t>近期，</w:t>
      </w:r>
      <w:r>
        <w:rPr>
          <w:rFonts w:hint="eastAsia" w:ascii="宋体" w:hAnsi="宋体" w:cs="宋体"/>
          <w:sz w:val="28"/>
          <w:szCs w:val="28"/>
        </w:rPr>
        <w:fldChar w:fldCharType="begin"/>
      </w:r>
      <w:r>
        <w:rPr>
          <w:rFonts w:hint="eastAsia" w:ascii="宋体" w:hAnsi="宋体" w:cs="宋体"/>
          <w:sz w:val="28"/>
          <w:szCs w:val="28"/>
        </w:rPr>
        <w:instrText xml:space="preserve"> HYPERLINK "javascript:cubeOpenHref(" \o "杭州市质量计量科学研究院" </w:instrText>
      </w:r>
      <w:r>
        <w:rPr>
          <w:rFonts w:hint="eastAsia" w:ascii="宋体" w:hAnsi="宋体" w:cs="宋体"/>
          <w:sz w:val="28"/>
          <w:szCs w:val="28"/>
        </w:rPr>
        <w:fldChar w:fldCharType="separate"/>
      </w:r>
      <w:r>
        <w:rPr>
          <w:rFonts w:hint="eastAsia" w:ascii="宋体" w:hAnsi="宋体" w:cs="宋体"/>
          <w:sz w:val="28"/>
          <w:szCs w:val="28"/>
        </w:rPr>
        <w:t>交通管理大队</w:t>
      </w:r>
      <w:r>
        <w:rPr>
          <w:rFonts w:hint="eastAsia" w:ascii="宋体" w:hAnsi="宋体" w:cs="宋体"/>
          <w:sz w:val="28"/>
          <w:szCs w:val="28"/>
        </w:rPr>
        <w:fldChar w:fldCharType="end"/>
      </w:r>
      <w:r>
        <w:rPr>
          <w:rFonts w:hint="eastAsia" w:ascii="宋体" w:hAnsi="宋体" w:cs="宋体"/>
          <w:sz w:val="28"/>
          <w:szCs w:val="28"/>
        </w:rPr>
        <w:t>通过隐患排查发现，</w:t>
      </w:r>
      <w:r>
        <w:rPr>
          <w:rFonts w:hint="eastAsia" w:ascii="宋体" w:hAnsi="宋体" w:cs="宋体"/>
          <w:sz w:val="28"/>
          <w:szCs w:val="28"/>
          <w:u w:val="single"/>
        </w:rPr>
        <w:t xml:space="preserve">              </w:t>
      </w:r>
      <w:r>
        <w:rPr>
          <w:rFonts w:hint="eastAsia" w:ascii="宋体" w:hAnsi="宋体" w:cs="宋体"/>
          <w:sz w:val="28"/>
          <w:szCs w:val="28"/>
        </w:rPr>
        <w:t>辖区内</w:t>
      </w:r>
      <w:r>
        <w:rPr>
          <w:rFonts w:hint="eastAsia" w:ascii="宋体" w:hAnsi="宋体" w:cs="宋体"/>
          <w:sz w:val="28"/>
          <w:szCs w:val="28"/>
          <w:u w:val="single"/>
        </w:rPr>
        <w:t xml:space="preserve">                    </w:t>
      </w:r>
      <w:r>
        <w:rPr>
          <w:rFonts w:hint="eastAsia" w:ascii="宋体" w:hAnsi="宋体" w:cs="宋体"/>
          <w:sz w:val="28"/>
          <w:szCs w:val="28"/>
        </w:rPr>
        <w:t>道路，因</w:t>
      </w:r>
      <w:r>
        <w:rPr>
          <w:rFonts w:hint="eastAsia" w:ascii="宋体" w:hAnsi="宋体" w:cs="宋体"/>
          <w:sz w:val="28"/>
          <w:szCs w:val="28"/>
          <w:u w:val="single"/>
        </w:rPr>
        <w:t xml:space="preserve">                           </w:t>
      </w:r>
      <w:r>
        <w:rPr>
          <w:rFonts w:hint="eastAsia" w:ascii="宋体" w:hAnsi="宋体" w:cs="宋体"/>
          <w:sz w:val="28"/>
          <w:szCs w:val="28"/>
        </w:rPr>
        <w:t>等原因，需要进行维护或更新。请贵单位于五日内向我大队提交维护方案及预算清单，并在我单位确认后</w:t>
      </w:r>
      <w:r>
        <w:rPr>
          <w:rFonts w:hint="eastAsia" w:ascii="宋体" w:hAnsi="宋体" w:cs="宋体"/>
          <w:sz w:val="28"/>
          <w:szCs w:val="28"/>
          <w:u w:val="single"/>
        </w:rPr>
        <w:t xml:space="preserve">    </w:t>
      </w:r>
      <w:r>
        <w:rPr>
          <w:rFonts w:hint="eastAsia" w:ascii="宋体" w:hAnsi="宋体" w:cs="宋体"/>
          <w:sz w:val="28"/>
          <w:szCs w:val="28"/>
        </w:rPr>
        <w:t>内完成施工。</w:t>
      </w:r>
    </w:p>
    <w:p w14:paraId="0BF607FD">
      <w:pPr>
        <w:rPr>
          <w:rFonts w:hint="eastAsia" w:ascii="宋体" w:hAnsi="宋体" w:cs="宋体"/>
          <w:b/>
          <w:sz w:val="28"/>
          <w:szCs w:val="28"/>
        </w:rPr>
      </w:pPr>
      <w:r>
        <w:rPr>
          <w:rFonts w:hint="eastAsia" w:ascii="宋体" w:hAnsi="宋体" w:cs="宋体"/>
          <w:sz w:val="28"/>
          <w:szCs w:val="28"/>
        </w:rPr>
        <w:t>附件：《需要维护项目清单》</w:t>
      </w:r>
    </w:p>
    <w:p w14:paraId="11C0610C">
      <w:pPr>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"javascript:cubeOpenHref(" \o "杭州市质量计量科学研究院" </w:instrText>
      </w:r>
      <w:r>
        <w:rPr>
          <w:rFonts w:hint="eastAsia" w:ascii="宋体" w:hAnsi="宋体" w:cs="宋体"/>
          <w:sz w:val="28"/>
          <w:szCs w:val="28"/>
        </w:rPr>
        <w:fldChar w:fldCharType="separate"/>
      </w:r>
      <w:r>
        <w:rPr>
          <w:rFonts w:hint="eastAsia" w:ascii="宋体" w:hAnsi="宋体" w:cs="宋体"/>
          <w:sz w:val="28"/>
          <w:szCs w:val="28"/>
        </w:rPr>
        <w:t>龙港市公安局交通管理大队</w:t>
      </w:r>
      <w:r>
        <w:rPr>
          <w:rFonts w:hint="eastAsia" w:ascii="宋体" w:hAnsi="宋体" w:cs="宋体"/>
          <w:sz w:val="28"/>
          <w:szCs w:val="28"/>
        </w:rPr>
        <w:fldChar w:fldCharType="end"/>
      </w:r>
    </w:p>
    <w:p w14:paraId="7D23C54F">
      <w:pPr>
        <w:jc w:val="right"/>
        <w:rPr>
          <w:rFonts w:hint="eastAsia" w:ascii="宋体" w:hAnsi="宋体" w:cs="宋体"/>
          <w:b/>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501E31B2">
      <w:pPr>
        <w:jc w:val="center"/>
        <w:rPr>
          <w:rFonts w:hint="eastAsia" w:ascii="宋体" w:hAnsi="宋体" w:cs="宋体"/>
          <w:b/>
          <w:sz w:val="30"/>
          <w:szCs w:val="30"/>
        </w:rPr>
      </w:pPr>
    </w:p>
    <w:p w14:paraId="5344D13E">
      <w:pPr>
        <w:jc w:val="center"/>
        <w:rPr>
          <w:rFonts w:hint="eastAsia" w:ascii="宋体" w:hAnsi="宋体" w:cs="宋体"/>
          <w:b/>
          <w:sz w:val="30"/>
          <w:szCs w:val="30"/>
        </w:rPr>
      </w:pPr>
    </w:p>
    <w:p w14:paraId="636588BA">
      <w:pPr>
        <w:jc w:val="center"/>
        <w:rPr>
          <w:rFonts w:hint="eastAsia" w:ascii="宋体" w:hAnsi="宋体" w:cs="宋体"/>
          <w:b/>
          <w:sz w:val="30"/>
          <w:szCs w:val="30"/>
        </w:rPr>
      </w:pPr>
    </w:p>
    <w:p w14:paraId="262A0AF9">
      <w:pPr>
        <w:jc w:val="center"/>
        <w:rPr>
          <w:rFonts w:hint="eastAsia" w:ascii="宋体" w:hAnsi="宋体" w:cs="宋体"/>
          <w:b/>
          <w:sz w:val="30"/>
          <w:szCs w:val="30"/>
        </w:rPr>
      </w:pPr>
    </w:p>
    <w:p w14:paraId="7299B18D">
      <w:pPr>
        <w:jc w:val="center"/>
        <w:rPr>
          <w:rFonts w:hint="eastAsia" w:ascii="宋体" w:hAnsi="宋体" w:cs="宋体"/>
          <w:b/>
          <w:sz w:val="30"/>
          <w:szCs w:val="30"/>
        </w:rPr>
      </w:pPr>
    </w:p>
    <w:p w14:paraId="714B0109">
      <w:pPr>
        <w:jc w:val="center"/>
        <w:rPr>
          <w:rFonts w:hint="eastAsia" w:ascii="宋体" w:hAnsi="宋体" w:cs="宋体"/>
          <w:b/>
          <w:sz w:val="30"/>
          <w:szCs w:val="30"/>
        </w:rPr>
      </w:pPr>
    </w:p>
    <w:p w14:paraId="69E647F6">
      <w:pPr>
        <w:jc w:val="center"/>
        <w:rPr>
          <w:rFonts w:hint="eastAsia" w:ascii="宋体" w:hAnsi="宋体" w:cs="宋体"/>
          <w:b/>
          <w:sz w:val="30"/>
          <w:szCs w:val="30"/>
        </w:rPr>
      </w:pPr>
    </w:p>
    <w:p w14:paraId="62AA8D08">
      <w:pPr>
        <w:jc w:val="center"/>
        <w:rPr>
          <w:rFonts w:hint="eastAsia" w:ascii="宋体" w:hAnsi="宋体" w:cs="宋体"/>
          <w:b/>
          <w:sz w:val="30"/>
          <w:szCs w:val="30"/>
        </w:rPr>
      </w:pPr>
    </w:p>
    <w:p w14:paraId="531F9DC7">
      <w:pPr>
        <w:jc w:val="center"/>
        <w:rPr>
          <w:rFonts w:hint="eastAsia" w:ascii="宋体" w:hAnsi="宋体" w:cs="宋体"/>
          <w:b/>
          <w:sz w:val="30"/>
          <w:szCs w:val="30"/>
        </w:rPr>
      </w:pPr>
    </w:p>
    <w:p w14:paraId="77DBE941">
      <w:pPr>
        <w:jc w:val="center"/>
        <w:rPr>
          <w:rFonts w:hint="eastAsia" w:ascii="宋体" w:hAnsi="宋体" w:cs="宋体"/>
          <w:b/>
          <w:sz w:val="30"/>
          <w:szCs w:val="30"/>
        </w:rPr>
      </w:pPr>
    </w:p>
    <w:p w14:paraId="6942AFC0">
      <w:pPr>
        <w:rPr>
          <w:rFonts w:hint="eastAsia" w:ascii="宋体" w:hAnsi="宋体" w:cs="宋体"/>
          <w:b/>
          <w:sz w:val="30"/>
          <w:szCs w:val="30"/>
        </w:rPr>
      </w:pPr>
      <w:r>
        <w:rPr>
          <w:rFonts w:hint="eastAsia" w:ascii="宋体" w:hAnsi="宋体" w:cs="宋体"/>
          <w:b/>
          <w:sz w:val="30"/>
          <w:szCs w:val="30"/>
        </w:rPr>
        <w:br w:type="page"/>
      </w:r>
    </w:p>
    <w:p w14:paraId="1E6ADE14">
      <w:pPr>
        <w:jc w:val="center"/>
        <w:rPr>
          <w:rFonts w:hint="eastAsia" w:ascii="宋体" w:hAnsi="宋体" w:cs="宋体"/>
          <w:b/>
          <w:sz w:val="30"/>
          <w:szCs w:val="30"/>
        </w:rPr>
      </w:pPr>
      <w:r>
        <w:rPr>
          <w:rFonts w:hint="eastAsia" w:ascii="宋体" w:hAnsi="宋体" w:cs="宋体"/>
          <w:b/>
          <w:sz w:val="30"/>
          <w:szCs w:val="30"/>
        </w:rPr>
        <w:t>需要维护项目清单</w:t>
      </w:r>
    </w:p>
    <w:tbl>
      <w:tblPr>
        <w:tblStyle w:val="64"/>
        <w:tblW w:w="9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2085"/>
        <w:gridCol w:w="2085"/>
        <w:gridCol w:w="1762"/>
        <w:gridCol w:w="1603"/>
        <w:gridCol w:w="1441"/>
      </w:tblGrid>
      <w:tr w14:paraId="27FA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921" w:type="dxa"/>
            <w:noWrap w:val="0"/>
            <w:vAlign w:val="top"/>
          </w:tcPr>
          <w:p w14:paraId="155741AE">
            <w:pPr>
              <w:jc w:val="center"/>
              <w:rPr>
                <w:rFonts w:hint="eastAsia" w:ascii="宋体" w:hAnsi="宋体" w:cs="宋体"/>
                <w:b/>
                <w:sz w:val="28"/>
                <w:szCs w:val="28"/>
              </w:rPr>
            </w:pPr>
            <w:r>
              <w:rPr>
                <w:rFonts w:hint="eastAsia" w:ascii="宋体" w:hAnsi="宋体" w:cs="宋体"/>
                <w:b/>
                <w:sz w:val="28"/>
                <w:szCs w:val="28"/>
              </w:rPr>
              <w:t>序号</w:t>
            </w:r>
          </w:p>
        </w:tc>
        <w:tc>
          <w:tcPr>
            <w:tcW w:w="2085" w:type="dxa"/>
            <w:noWrap w:val="0"/>
            <w:vAlign w:val="top"/>
          </w:tcPr>
          <w:p w14:paraId="5BA0BDFF">
            <w:pPr>
              <w:jc w:val="center"/>
              <w:rPr>
                <w:rFonts w:hint="eastAsia" w:ascii="宋体" w:hAnsi="宋体" w:cs="宋体"/>
                <w:b/>
                <w:sz w:val="28"/>
                <w:szCs w:val="28"/>
              </w:rPr>
            </w:pPr>
            <w:r>
              <w:rPr>
                <w:rFonts w:hint="eastAsia" w:ascii="宋体" w:hAnsi="宋体" w:cs="宋体"/>
                <w:b/>
                <w:sz w:val="28"/>
                <w:szCs w:val="28"/>
              </w:rPr>
              <w:t>路段</w:t>
            </w:r>
          </w:p>
        </w:tc>
        <w:tc>
          <w:tcPr>
            <w:tcW w:w="2085" w:type="dxa"/>
            <w:noWrap w:val="0"/>
            <w:vAlign w:val="top"/>
          </w:tcPr>
          <w:p w14:paraId="4037AE3D">
            <w:pPr>
              <w:jc w:val="center"/>
              <w:rPr>
                <w:rFonts w:hint="eastAsia" w:ascii="宋体" w:hAnsi="宋体" w:cs="宋体"/>
                <w:b/>
                <w:sz w:val="28"/>
                <w:szCs w:val="28"/>
              </w:rPr>
            </w:pPr>
            <w:r>
              <w:rPr>
                <w:rFonts w:hint="eastAsia" w:ascii="宋体" w:hAnsi="宋体" w:cs="宋体"/>
                <w:b/>
                <w:sz w:val="28"/>
                <w:szCs w:val="28"/>
              </w:rPr>
              <w:t>项目名称</w:t>
            </w:r>
          </w:p>
        </w:tc>
        <w:tc>
          <w:tcPr>
            <w:tcW w:w="1762" w:type="dxa"/>
            <w:noWrap w:val="0"/>
            <w:vAlign w:val="top"/>
          </w:tcPr>
          <w:p w14:paraId="3837EC83">
            <w:pPr>
              <w:jc w:val="center"/>
              <w:rPr>
                <w:rFonts w:hint="eastAsia" w:ascii="宋体" w:hAnsi="宋体" w:cs="宋体"/>
                <w:b/>
                <w:sz w:val="28"/>
                <w:szCs w:val="28"/>
              </w:rPr>
            </w:pPr>
            <w:r>
              <w:rPr>
                <w:rFonts w:hint="eastAsia" w:ascii="宋体" w:hAnsi="宋体" w:cs="宋体"/>
                <w:b/>
                <w:sz w:val="28"/>
                <w:szCs w:val="28"/>
              </w:rPr>
              <w:t>规格</w:t>
            </w:r>
          </w:p>
        </w:tc>
        <w:tc>
          <w:tcPr>
            <w:tcW w:w="1603" w:type="dxa"/>
            <w:noWrap w:val="0"/>
            <w:vAlign w:val="top"/>
          </w:tcPr>
          <w:p w14:paraId="0C7A2616">
            <w:pPr>
              <w:jc w:val="center"/>
              <w:rPr>
                <w:rFonts w:hint="eastAsia" w:ascii="宋体" w:hAnsi="宋体" w:cs="宋体"/>
                <w:b/>
                <w:sz w:val="28"/>
                <w:szCs w:val="28"/>
              </w:rPr>
            </w:pPr>
            <w:r>
              <w:rPr>
                <w:rFonts w:hint="eastAsia" w:ascii="宋体" w:hAnsi="宋体" w:cs="宋体"/>
                <w:b/>
                <w:sz w:val="28"/>
                <w:szCs w:val="28"/>
              </w:rPr>
              <w:t>数量</w:t>
            </w:r>
          </w:p>
        </w:tc>
        <w:tc>
          <w:tcPr>
            <w:tcW w:w="1441" w:type="dxa"/>
            <w:noWrap w:val="0"/>
            <w:vAlign w:val="top"/>
          </w:tcPr>
          <w:p w14:paraId="45D929F1">
            <w:pPr>
              <w:jc w:val="center"/>
              <w:rPr>
                <w:rFonts w:hint="eastAsia" w:ascii="宋体" w:hAnsi="宋体" w:cs="宋体"/>
                <w:b/>
                <w:sz w:val="28"/>
                <w:szCs w:val="28"/>
              </w:rPr>
            </w:pPr>
            <w:r>
              <w:rPr>
                <w:rFonts w:hint="eastAsia" w:ascii="宋体" w:hAnsi="宋体" w:cs="宋体"/>
                <w:b/>
                <w:sz w:val="28"/>
                <w:szCs w:val="28"/>
              </w:rPr>
              <w:t>备注</w:t>
            </w:r>
          </w:p>
        </w:tc>
      </w:tr>
      <w:tr w14:paraId="6BFAF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1" w:type="dxa"/>
            <w:noWrap w:val="0"/>
            <w:vAlign w:val="top"/>
          </w:tcPr>
          <w:p w14:paraId="382F6601">
            <w:pPr>
              <w:jc w:val="center"/>
              <w:rPr>
                <w:rFonts w:hint="eastAsia" w:ascii="宋体" w:hAnsi="宋体" w:cs="宋体"/>
                <w:b/>
                <w:sz w:val="30"/>
                <w:szCs w:val="30"/>
                <w:u w:val="single"/>
              </w:rPr>
            </w:pPr>
          </w:p>
          <w:p w14:paraId="54F716B4">
            <w:pPr>
              <w:jc w:val="center"/>
              <w:rPr>
                <w:rFonts w:hint="eastAsia" w:ascii="宋体" w:hAnsi="宋体" w:cs="宋体"/>
                <w:b/>
                <w:sz w:val="30"/>
                <w:szCs w:val="30"/>
                <w:u w:val="single"/>
              </w:rPr>
            </w:pPr>
          </w:p>
        </w:tc>
        <w:tc>
          <w:tcPr>
            <w:tcW w:w="2085" w:type="dxa"/>
            <w:noWrap w:val="0"/>
            <w:vAlign w:val="top"/>
          </w:tcPr>
          <w:p w14:paraId="3D84226B">
            <w:pPr>
              <w:jc w:val="center"/>
              <w:rPr>
                <w:rFonts w:hint="eastAsia" w:ascii="宋体" w:hAnsi="宋体" w:cs="宋体"/>
                <w:b/>
                <w:sz w:val="30"/>
                <w:szCs w:val="30"/>
                <w:u w:val="single"/>
              </w:rPr>
            </w:pPr>
          </w:p>
        </w:tc>
        <w:tc>
          <w:tcPr>
            <w:tcW w:w="2085" w:type="dxa"/>
            <w:noWrap w:val="0"/>
            <w:vAlign w:val="top"/>
          </w:tcPr>
          <w:p w14:paraId="784C8A6F">
            <w:pPr>
              <w:jc w:val="center"/>
              <w:rPr>
                <w:rFonts w:hint="eastAsia" w:ascii="宋体" w:hAnsi="宋体" w:cs="宋体"/>
                <w:b/>
                <w:sz w:val="30"/>
                <w:szCs w:val="30"/>
                <w:u w:val="single"/>
              </w:rPr>
            </w:pPr>
          </w:p>
        </w:tc>
        <w:tc>
          <w:tcPr>
            <w:tcW w:w="1762" w:type="dxa"/>
            <w:noWrap w:val="0"/>
            <w:vAlign w:val="top"/>
          </w:tcPr>
          <w:p w14:paraId="7E4B858A">
            <w:pPr>
              <w:jc w:val="center"/>
              <w:rPr>
                <w:rFonts w:hint="eastAsia" w:ascii="宋体" w:hAnsi="宋体" w:cs="宋体"/>
                <w:b/>
                <w:sz w:val="30"/>
                <w:szCs w:val="30"/>
                <w:u w:val="single"/>
              </w:rPr>
            </w:pPr>
          </w:p>
        </w:tc>
        <w:tc>
          <w:tcPr>
            <w:tcW w:w="1603" w:type="dxa"/>
            <w:noWrap w:val="0"/>
            <w:vAlign w:val="top"/>
          </w:tcPr>
          <w:p w14:paraId="34C19301">
            <w:pPr>
              <w:jc w:val="center"/>
              <w:rPr>
                <w:rFonts w:hint="eastAsia" w:ascii="宋体" w:hAnsi="宋体" w:cs="宋体"/>
                <w:b/>
                <w:sz w:val="30"/>
                <w:szCs w:val="30"/>
                <w:u w:val="single"/>
              </w:rPr>
            </w:pPr>
          </w:p>
        </w:tc>
        <w:tc>
          <w:tcPr>
            <w:tcW w:w="1441" w:type="dxa"/>
            <w:noWrap w:val="0"/>
            <w:vAlign w:val="top"/>
          </w:tcPr>
          <w:p w14:paraId="0D93B8AD">
            <w:pPr>
              <w:jc w:val="center"/>
              <w:rPr>
                <w:rFonts w:hint="eastAsia" w:ascii="宋体" w:hAnsi="宋体" w:cs="宋体"/>
                <w:b/>
                <w:sz w:val="30"/>
                <w:szCs w:val="30"/>
                <w:u w:val="single"/>
              </w:rPr>
            </w:pPr>
          </w:p>
        </w:tc>
      </w:tr>
      <w:tr w14:paraId="3EDA3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1" w:type="dxa"/>
            <w:noWrap w:val="0"/>
            <w:vAlign w:val="top"/>
          </w:tcPr>
          <w:p w14:paraId="361DCEDD">
            <w:pPr>
              <w:jc w:val="center"/>
              <w:rPr>
                <w:rFonts w:hint="eastAsia" w:ascii="宋体" w:hAnsi="宋体" w:cs="宋体"/>
                <w:b/>
                <w:sz w:val="30"/>
                <w:szCs w:val="30"/>
                <w:u w:val="single"/>
              </w:rPr>
            </w:pPr>
          </w:p>
          <w:p w14:paraId="169B663D">
            <w:pPr>
              <w:jc w:val="center"/>
              <w:rPr>
                <w:rFonts w:hint="eastAsia" w:ascii="宋体" w:hAnsi="宋体" w:cs="宋体"/>
                <w:b/>
                <w:sz w:val="30"/>
                <w:szCs w:val="30"/>
                <w:u w:val="single"/>
              </w:rPr>
            </w:pPr>
          </w:p>
        </w:tc>
        <w:tc>
          <w:tcPr>
            <w:tcW w:w="2085" w:type="dxa"/>
            <w:noWrap w:val="0"/>
            <w:vAlign w:val="top"/>
          </w:tcPr>
          <w:p w14:paraId="2CC949A8">
            <w:pPr>
              <w:jc w:val="center"/>
              <w:rPr>
                <w:rFonts w:hint="eastAsia" w:ascii="宋体" w:hAnsi="宋体" w:cs="宋体"/>
                <w:b/>
                <w:sz w:val="30"/>
                <w:szCs w:val="30"/>
                <w:u w:val="single"/>
              </w:rPr>
            </w:pPr>
          </w:p>
        </w:tc>
        <w:tc>
          <w:tcPr>
            <w:tcW w:w="2085" w:type="dxa"/>
            <w:noWrap w:val="0"/>
            <w:vAlign w:val="top"/>
          </w:tcPr>
          <w:p w14:paraId="16239303">
            <w:pPr>
              <w:jc w:val="center"/>
              <w:rPr>
                <w:rFonts w:hint="eastAsia" w:ascii="宋体" w:hAnsi="宋体" w:cs="宋体"/>
                <w:b/>
                <w:sz w:val="30"/>
                <w:szCs w:val="30"/>
                <w:u w:val="single"/>
              </w:rPr>
            </w:pPr>
          </w:p>
        </w:tc>
        <w:tc>
          <w:tcPr>
            <w:tcW w:w="1762" w:type="dxa"/>
            <w:noWrap w:val="0"/>
            <w:vAlign w:val="top"/>
          </w:tcPr>
          <w:p w14:paraId="54FC380C">
            <w:pPr>
              <w:jc w:val="center"/>
              <w:rPr>
                <w:rFonts w:hint="eastAsia" w:ascii="宋体" w:hAnsi="宋体" w:cs="宋体"/>
                <w:b/>
                <w:sz w:val="30"/>
                <w:szCs w:val="30"/>
                <w:u w:val="single"/>
              </w:rPr>
            </w:pPr>
          </w:p>
        </w:tc>
        <w:tc>
          <w:tcPr>
            <w:tcW w:w="1603" w:type="dxa"/>
            <w:noWrap w:val="0"/>
            <w:vAlign w:val="top"/>
          </w:tcPr>
          <w:p w14:paraId="16E27C43">
            <w:pPr>
              <w:jc w:val="center"/>
              <w:rPr>
                <w:rFonts w:hint="eastAsia" w:ascii="宋体" w:hAnsi="宋体" w:cs="宋体"/>
                <w:b/>
                <w:sz w:val="30"/>
                <w:szCs w:val="30"/>
                <w:u w:val="single"/>
              </w:rPr>
            </w:pPr>
          </w:p>
        </w:tc>
        <w:tc>
          <w:tcPr>
            <w:tcW w:w="1441" w:type="dxa"/>
            <w:noWrap w:val="0"/>
            <w:vAlign w:val="top"/>
          </w:tcPr>
          <w:p w14:paraId="2E0E3F57">
            <w:pPr>
              <w:jc w:val="center"/>
              <w:rPr>
                <w:rFonts w:hint="eastAsia" w:ascii="宋体" w:hAnsi="宋体" w:cs="宋体"/>
                <w:b/>
                <w:sz w:val="30"/>
                <w:szCs w:val="30"/>
                <w:u w:val="single"/>
              </w:rPr>
            </w:pPr>
          </w:p>
        </w:tc>
      </w:tr>
      <w:tr w14:paraId="6DA3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921" w:type="dxa"/>
            <w:noWrap w:val="0"/>
            <w:vAlign w:val="top"/>
          </w:tcPr>
          <w:p w14:paraId="56040238">
            <w:pPr>
              <w:jc w:val="center"/>
              <w:rPr>
                <w:rFonts w:hint="eastAsia" w:ascii="宋体" w:hAnsi="宋体" w:cs="宋体"/>
                <w:b/>
                <w:sz w:val="30"/>
                <w:szCs w:val="30"/>
                <w:u w:val="single"/>
              </w:rPr>
            </w:pPr>
          </w:p>
          <w:p w14:paraId="552A2E77">
            <w:pPr>
              <w:jc w:val="center"/>
              <w:rPr>
                <w:rFonts w:hint="eastAsia" w:ascii="宋体" w:hAnsi="宋体" w:cs="宋体"/>
                <w:b/>
                <w:sz w:val="30"/>
                <w:szCs w:val="30"/>
                <w:u w:val="single"/>
              </w:rPr>
            </w:pPr>
          </w:p>
        </w:tc>
        <w:tc>
          <w:tcPr>
            <w:tcW w:w="2085" w:type="dxa"/>
            <w:noWrap w:val="0"/>
            <w:vAlign w:val="top"/>
          </w:tcPr>
          <w:p w14:paraId="5FC29C5D">
            <w:pPr>
              <w:jc w:val="center"/>
              <w:rPr>
                <w:rFonts w:hint="eastAsia" w:ascii="宋体" w:hAnsi="宋体" w:cs="宋体"/>
                <w:b/>
                <w:sz w:val="30"/>
                <w:szCs w:val="30"/>
                <w:u w:val="single"/>
              </w:rPr>
            </w:pPr>
          </w:p>
        </w:tc>
        <w:tc>
          <w:tcPr>
            <w:tcW w:w="2085" w:type="dxa"/>
            <w:noWrap w:val="0"/>
            <w:vAlign w:val="top"/>
          </w:tcPr>
          <w:p w14:paraId="1EB864CD">
            <w:pPr>
              <w:jc w:val="center"/>
              <w:rPr>
                <w:rFonts w:hint="eastAsia" w:ascii="宋体" w:hAnsi="宋体" w:cs="宋体"/>
                <w:b/>
                <w:sz w:val="30"/>
                <w:szCs w:val="30"/>
                <w:u w:val="single"/>
              </w:rPr>
            </w:pPr>
          </w:p>
        </w:tc>
        <w:tc>
          <w:tcPr>
            <w:tcW w:w="1762" w:type="dxa"/>
            <w:noWrap w:val="0"/>
            <w:vAlign w:val="top"/>
          </w:tcPr>
          <w:p w14:paraId="6F7D2A04">
            <w:pPr>
              <w:jc w:val="center"/>
              <w:rPr>
                <w:rFonts w:hint="eastAsia" w:ascii="宋体" w:hAnsi="宋体" w:cs="宋体"/>
                <w:b/>
                <w:sz w:val="30"/>
                <w:szCs w:val="30"/>
                <w:u w:val="single"/>
              </w:rPr>
            </w:pPr>
          </w:p>
        </w:tc>
        <w:tc>
          <w:tcPr>
            <w:tcW w:w="1603" w:type="dxa"/>
            <w:noWrap w:val="0"/>
            <w:vAlign w:val="top"/>
          </w:tcPr>
          <w:p w14:paraId="71D89829">
            <w:pPr>
              <w:jc w:val="center"/>
              <w:rPr>
                <w:rFonts w:hint="eastAsia" w:ascii="宋体" w:hAnsi="宋体" w:cs="宋体"/>
                <w:b/>
                <w:sz w:val="30"/>
                <w:szCs w:val="30"/>
                <w:u w:val="single"/>
              </w:rPr>
            </w:pPr>
          </w:p>
        </w:tc>
        <w:tc>
          <w:tcPr>
            <w:tcW w:w="1441" w:type="dxa"/>
            <w:noWrap w:val="0"/>
            <w:vAlign w:val="top"/>
          </w:tcPr>
          <w:p w14:paraId="3C3B54C2">
            <w:pPr>
              <w:jc w:val="center"/>
              <w:rPr>
                <w:rFonts w:hint="eastAsia" w:ascii="宋体" w:hAnsi="宋体" w:cs="宋体"/>
                <w:b/>
                <w:sz w:val="30"/>
                <w:szCs w:val="30"/>
                <w:u w:val="single"/>
              </w:rPr>
            </w:pPr>
          </w:p>
        </w:tc>
      </w:tr>
    </w:tbl>
    <w:p w14:paraId="458E73A6">
      <w:pPr>
        <w:rPr>
          <w:rFonts w:hint="eastAsia" w:ascii="宋体" w:hAnsi="宋体" w:cs="宋体"/>
          <w:sz w:val="30"/>
          <w:szCs w:val="30"/>
        </w:rPr>
      </w:pPr>
      <w:r>
        <w:rPr>
          <w:rFonts w:hint="eastAsia" w:ascii="宋体" w:hAnsi="宋体" w:cs="宋体"/>
          <w:sz w:val="30"/>
          <w:szCs w:val="30"/>
        </w:rPr>
        <w:t>注：此通知书一式两份，一份交建设单位，一份存档。</w:t>
      </w:r>
    </w:p>
    <w:p w14:paraId="737A07A4">
      <w:pPr>
        <w:pStyle w:val="63"/>
        <w:ind w:firstLine="5561" w:firstLineChars="1731"/>
        <w:rPr>
          <w:rFonts w:hint="eastAsia" w:cs="宋体"/>
          <w:b/>
          <w:sz w:val="32"/>
          <w:szCs w:val="32"/>
        </w:rPr>
      </w:pPr>
    </w:p>
    <w:p w14:paraId="11B16C38">
      <w:pPr>
        <w:pStyle w:val="63"/>
        <w:ind w:firstLine="5561" w:firstLineChars="1731"/>
        <w:rPr>
          <w:rFonts w:hint="eastAsia" w:cs="宋体"/>
          <w:b/>
          <w:sz w:val="32"/>
          <w:szCs w:val="32"/>
        </w:rPr>
      </w:pPr>
      <w:r>
        <w:rPr>
          <w:rFonts w:hint="eastAsia" w:cs="宋体"/>
          <w:b/>
          <w:sz w:val="32"/>
          <w:szCs w:val="32"/>
        </w:rPr>
        <w:t>上报人员：</w:t>
      </w:r>
    </w:p>
    <w:p w14:paraId="0B881611">
      <w:pPr>
        <w:pStyle w:val="63"/>
        <w:ind w:firstLine="5561" w:firstLineChars="1731"/>
        <w:rPr>
          <w:rFonts w:hint="eastAsia" w:cs="宋体"/>
          <w:b/>
          <w:sz w:val="32"/>
          <w:szCs w:val="32"/>
        </w:rPr>
      </w:pPr>
      <w:r>
        <w:rPr>
          <w:rFonts w:hint="eastAsia" w:cs="宋体"/>
          <w:b/>
          <w:sz w:val="32"/>
          <w:szCs w:val="32"/>
        </w:rPr>
        <w:t>专管民警：</w:t>
      </w:r>
    </w:p>
    <w:p w14:paraId="40A5A010">
      <w:pPr>
        <w:ind w:right="640"/>
        <w:jc w:val="center"/>
        <w:rPr>
          <w:rFonts w:hint="eastAsia" w:ascii="宋体" w:hAnsi="宋体" w:cs="宋体"/>
          <w:b/>
          <w:sz w:val="32"/>
          <w:szCs w:val="32"/>
        </w:rPr>
      </w:pPr>
      <w:r>
        <w:rPr>
          <w:rFonts w:hint="eastAsia" w:ascii="宋体" w:hAnsi="宋体" w:cs="宋体"/>
          <w:b/>
          <w:sz w:val="32"/>
          <w:szCs w:val="32"/>
        </w:rPr>
        <w:t xml:space="preserve">                             大队领导：</w:t>
      </w:r>
    </w:p>
    <w:p w14:paraId="36556930">
      <w:pPr>
        <w:pStyle w:val="63"/>
        <w:ind w:firstLine="643"/>
        <w:rPr>
          <w:rFonts w:hint="eastAsia" w:cs="宋体"/>
          <w:b/>
          <w:sz w:val="32"/>
          <w:szCs w:val="32"/>
        </w:rPr>
      </w:pPr>
    </w:p>
    <w:p w14:paraId="3F2CB144">
      <w:pPr>
        <w:rPr>
          <w:rFonts w:hint="eastAsia" w:ascii="宋体" w:hAnsi="宋体" w:cs="宋体"/>
          <w:b/>
          <w:bCs/>
          <w:kern w:val="0"/>
          <w:sz w:val="40"/>
          <w:szCs w:val="40"/>
        </w:rPr>
      </w:pPr>
      <w:r>
        <w:rPr>
          <w:rFonts w:hint="eastAsia" w:ascii="宋体" w:hAnsi="宋体" w:cs="宋体"/>
          <w:b/>
          <w:bCs/>
          <w:kern w:val="0"/>
          <w:sz w:val="40"/>
          <w:szCs w:val="40"/>
        </w:rPr>
        <w:br w:type="page"/>
      </w:r>
    </w:p>
    <w:p w14:paraId="739C81FB">
      <w:pPr>
        <w:jc w:val="center"/>
        <w:rPr>
          <w:rFonts w:hint="eastAsia" w:ascii="宋体" w:hAnsi="宋体" w:cs="宋体"/>
          <w:sz w:val="30"/>
          <w:szCs w:val="30"/>
        </w:rPr>
      </w:pPr>
      <w:r>
        <w:rPr>
          <w:rFonts w:hint="eastAsia" w:ascii="宋体" w:hAnsi="宋体" w:cs="宋体"/>
          <w:b/>
          <w:bCs/>
          <w:kern w:val="0"/>
          <w:sz w:val="40"/>
          <w:szCs w:val="40"/>
        </w:rPr>
        <w:t>结 算 表</w:t>
      </w:r>
    </w:p>
    <w:tbl>
      <w:tblPr>
        <w:tblStyle w:val="64"/>
        <w:tblW w:w="0" w:type="auto"/>
        <w:jc w:val="center"/>
        <w:tblLayout w:type="fixed"/>
        <w:tblCellMar>
          <w:top w:w="0" w:type="dxa"/>
          <w:left w:w="108" w:type="dxa"/>
          <w:bottom w:w="0" w:type="dxa"/>
          <w:right w:w="108" w:type="dxa"/>
        </w:tblCellMar>
      </w:tblPr>
      <w:tblGrid>
        <w:gridCol w:w="520"/>
        <w:gridCol w:w="780"/>
        <w:gridCol w:w="1840"/>
        <w:gridCol w:w="740"/>
        <w:gridCol w:w="1120"/>
        <w:gridCol w:w="780"/>
        <w:gridCol w:w="740"/>
        <w:gridCol w:w="1060"/>
        <w:gridCol w:w="1660"/>
      </w:tblGrid>
      <w:tr w14:paraId="12A155DA">
        <w:tblPrEx>
          <w:tblCellMar>
            <w:top w:w="0" w:type="dxa"/>
            <w:left w:w="108" w:type="dxa"/>
            <w:bottom w:w="0" w:type="dxa"/>
            <w:right w:w="108" w:type="dxa"/>
          </w:tblCellMar>
        </w:tblPrEx>
        <w:trPr>
          <w:trHeight w:val="375" w:hRule="atLeast"/>
          <w:jc w:val="center"/>
        </w:trPr>
        <w:tc>
          <w:tcPr>
            <w:tcW w:w="6520" w:type="dxa"/>
            <w:gridSpan w:val="7"/>
            <w:tcBorders>
              <w:top w:val="nil"/>
              <w:left w:val="nil"/>
              <w:bottom w:val="nil"/>
              <w:right w:val="nil"/>
            </w:tcBorders>
            <w:noWrap w:val="0"/>
            <w:vAlign w:val="center"/>
          </w:tcPr>
          <w:p w14:paraId="631A309F">
            <w:pPr>
              <w:widowControl/>
              <w:jc w:val="left"/>
              <w:rPr>
                <w:rFonts w:hint="eastAsia" w:ascii="宋体" w:hAnsi="宋体" w:cs="宋体"/>
                <w:kern w:val="0"/>
                <w:sz w:val="22"/>
              </w:rPr>
            </w:pPr>
            <w:r>
              <w:rPr>
                <w:rFonts w:hint="eastAsia" w:ascii="宋体" w:hAnsi="宋体" w:cs="宋体"/>
                <w:kern w:val="0"/>
                <w:sz w:val="22"/>
              </w:rPr>
              <w:t>单位工程及专业工程名称：            维修编号（维修通知书）：</w:t>
            </w:r>
          </w:p>
        </w:tc>
        <w:tc>
          <w:tcPr>
            <w:tcW w:w="2720" w:type="dxa"/>
            <w:gridSpan w:val="2"/>
            <w:tcBorders>
              <w:top w:val="nil"/>
              <w:left w:val="nil"/>
              <w:bottom w:val="nil"/>
              <w:right w:val="nil"/>
            </w:tcBorders>
            <w:noWrap w:val="0"/>
            <w:vAlign w:val="center"/>
          </w:tcPr>
          <w:p w14:paraId="4857A772">
            <w:pPr>
              <w:widowControl/>
              <w:ind w:firstLine="1100" w:firstLineChars="500"/>
              <w:jc w:val="left"/>
              <w:rPr>
                <w:rFonts w:hint="eastAsia" w:ascii="宋体" w:hAnsi="宋体" w:cs="宋体"/>
                <w:kern w:val="0"/>
                <w:sz w:val="22"/>
              </w:rPr>
            </w:pPr>
            <w:r>
              <w:rPr>
                <w:rFonts w:hint="eastAsia" w:ascii="宋体" w:hAnsi="宋体" w:cs="宋体"/>
                <w:kern w:val="0"/>
                <w:sz w:val="22"/>
              </w:rPr>
              <w:t>货币单位：元</w:t>
            </w:r>
          </w:p>
        </w:tc>
      </w:tr>
      <w:tr w14:paraId="472D68C3">
        <w:tblPrEx>
          <w:tblCellMar>
            <w:top w:w="0" w:type="dxa"/>
            <w:left w:w="108" w:type="dxa"/>
            <w:bottom w:w="0" w:type="dxa"/>
            <w:right w:w="108" w:type="dxa"/>
          </w:tblCellMar>
        </w:tblPrEx>
        <w:trPr>
          <w:trHeight w:val="765" w:hRule="atLeast"/>
          <w:jc w:val="center"/>
        </w:trPr>
        <w:tc>
          <w:tcPr>
            <w:tcW w:w="520" w:type="dxa"/>
            <w:tcBorders>
              <w:top w:val="single" w:color="auto" w:sz="4" w:space="0"/>
              <w:left w:val="single" w:color="auto" w:sz="4" w:space="0"/>
              <w:bottom w:val="single" w:color="auto" w:sz="4" w:space="0"/>
              <w:right w:val="single" w:color="auto" w:sz="4" w:space="0"/>
            </w:tcBorders>
            <w:noWrap w:val="0"/>
            <w:vAlign w:val="center"/>
          </w:tcPr>
          <w:p w14:paraId="70F3D84C">
            <w:pPr>
              <w:widowControl/>
              <w:jc w:val="center"/>
              <w:rPr>
                <w:rFonts w:hint="eastAsia" w:ascii="宋体" w:hAnsi="宋体" w:cs="宋体"/>
                <w:kern w:val="0"/>
                <w:sz w:val="24"/>
              </w:rPr>
            </w:pPr>
            <w:r>
              <w:rPr>
                <w:rFonts w:hint="eastAsia" w:ascii="宋体" w:hAnsi="宋体" w:cs="宋体"/>
                <w:kern w:val="0"/>
                <w:sz w:val="24"/>
              </w:rPr>
              <w:t>序号</w:t>
            </w:r>
          </w:p>
        </w:tc>
        <w:tc>
          <w:tcPr>
            <w:tcW w:w="780" w:type="dxa"/>
            <w:tcBorders>
              <w:top w:val="single" w:color="auto" w:sz="4" w:space="0"/>
              <w:left w:val="nil"/>
              <w:bottom w:val="single" w:color="auto" w:sz="4" w:space="0"/>
              <w:right w:val="single" w:color="auto" w:sz="4" w:space="0"/>
            </w:tcBorders>
            <w:noWrap w:val="0"/>
            <w:vAlign w:val="center"/>
          </w:tcPr>
          <w:p w14:paraId="2A9539F2">
            <w:pPr>
              <w:widowControl/>
              <w:jc w:val="center"/>
              <w:rPr>
                <w:rFonts w:hint="eastAsia" w:ascii="宋体" w:hAnsi="宋体" w:cs="宋体"/>
                <w:kern w:val="0"/>
                <w:sz w:val="24"/>
              </w:rPr>
            </w:pPr>
            <w:r>
              <w:rPr>
                <w:rFonts w:hint="eastAsia" w:ascii="宋体" w:hAnsi="宋体" w:cs="宋体"/>
                <w:kern w:val="0"/>
                <w:sz w:val="24"/>
              </w:rPr>
              <w:t>项目编码</w:t>
            </w:r>
          </w:p>
        </w:tc>
        <w:tc>
          <w:tcPr>
            <w:tcW w:w="1840" w:type="dxa"/>
            <w:tcBorders>
              <w:top w:val="single" w:color="auto" w:sz="4" w:space="0"/>
              <w:left w:val="nil"/>
              <w:bottom w:val="single" w:color="auto" w:sz="4" w:space="0"/>
              <w:right w:val="single" w:color="auto" w:sz="4" w:space="0"/>
            </w:tcBorders>
            <w:noWrap w:val="0"/>
            <w:vAlign w:val="center"/>
          </w:tcPr>
          <w:p w14:paraId="55F8CCB1">
            <w:pPr>
              <w:widowControl/>
              <w:jc w:val="center"/>
              <w:rPr>
                <w:rFonts w:hint="eastAsia" w:ascii="宋体" w:hAnsi="宋体" w:cs="宋体"/>
                <w:kern w:val="0"/>
                <w:sz w:val="24"/>
              </w:rPr>
            </w:pPr>
            <w:r>
              <w:rPr>
                <w:rFonts w:hint="eastAsia" w:ascii="宋体" w:hAnsi="宋体" w:cs="宋体"/>
                <w:kern w:val="0"/>
                <w:sz w:val="24"/>
              </w:rPr>
              <w:t>项目名称</w:t>
            </w:r>
          </w:p>
        </w:tc>
        <w:tc>
          <w:tcPr>
            <w:tcW w:w="740" w:type="dxa"/>
            <w:tcBorders>
              <w:top w:val="single" w:color="auto" w:sz="4" w:space="0"/>
              <w:left w:val="nil"/>
              <w:bottom w:val="single" w:color="auto" w:sz="4" w:space="0"/>
              <w:right w:val="single" w:color="auto" w:sz="4" w:space="0"/>
            </w:tcBorders>
            <w:noWrap w:val="0"/>
            <w:vAlign w:val="center"/>
          </w:tcPr>
          <w:p w14:paraId="39E6407E">
            <w:pPr>
              <w:widowControl/>
              <w:jc w:val="center"/>
              <w:rPr>
                <w:rFonts w:hint="eastAsia" w:ascii="宋体" w:hAnsi="宋体" w:cs="宋体"/>
                <w:kern w:val="0"/>
                <w:sz w:val="24"/>
              </w:rPr>
            </w:pPr>
            <w:r>
              <w:rPr>
                <w:rFonts w:hint="eastAsia" w:ascii="宋体" w:hAnsi="宋体" w:cs="宋体"/>
                <w:kern w:val="0"/>
                <w:sz w:val="24"/>
              </w:rPr>
              <w:t>计量单位</w:t>
            </w:r>
          </w:p>
        </w:tc>
        <w:tc>
          <w:tcPr>
            <w:tcW w:w="1120" w:type="dxa"/>
            <w:tcBorders>
              <w:top w:val="single" w:color="auto" w:sz="4" w:space="0"/>
              <w:left w:val="nil"/>
              <w:bottom w:val="single" w:color="auto" w:sz="4" w:space="0"/>
              <w:right w:val="single" w:color="auto" w:sz="4" w:space="0"/>
            </w:tcBorders>
            <w:noWrap w:val="0"/>
            <w:vAlign w:val="center"/>
          </w:tcPr>
          <w:p w14:paraId="07181630">
            <w:pPr>
              <w:widowControl/>
              <w:jc w:val="center"/>
              <w:rPr>
                <w:rFonts w:hint="eastAsia" w:ascii="宋体" w:hAnsi="宋体" w:cs="宋体"/>
                <w:kern w:val="0"/>
                <w:sz w:val="24"/>
              </w:rPr>
            </w:pPr>
            <w:r>
              <w:rPr>
                <w:rFonts w:hint="eastAsia" w:ascii="宋体" w:hAnsi="宋体" w:cs="宋体"/>
                <w:kern w:val="0"/>
                <w:sz w:val="24"/>
              </w:rPr>
              <w:t>规格</w:t>
            </w:r>
          </w:p>
        </w:tc>
        <w:tc>
          <w:tcPr>
            <w:tcW w:w="780" w:type="dxa"/>
            <w:tcBorders>
              <w:top w:val="single" w:color="auto" w:sz="4" w:space="0"/>
              <w:left w:val="nil"/>
              <w:bottom w:val="single" w:color="auto" w:sz="4" w:space="0"/>
              <w:right w:val="single" w:color="auto" w:sz="4" w:space="0"/>
            </w:tcBorders>
            <w:noWrap w:val="0"/>
            <w:vAlign w:val="center"/>
          </w:tcPr>
          <w:p w14:paraId="4D792A47">
            <w:pPr>
              <w:widowControl/>
              <w:jc w:val="center"/>
              <w:rPr>
                <w:rFonts w:hint="eastAsia" w:ascii="宋体" w:hAnsi="宋体" w:cs="宋体"/>
                <w:kern w:val="0"/>
                <w:sz w:val="24"/>
              </w:rPr>
            </w:pPr>
            <w:r>
              <w:rPr>
                <w:rFonts w:hint="eastAsia" w:ascii="宋体" w:hAnsi="宋体" w:cs="宋体"/>
                <w:kern w:val="0"/>
                <w:sz w:val="24"/>
              </w:rPr>
              <w:t>数量</w:t>
            </w:r>
          </w:p>
        </w:tc>
        <w:tc>
          <w:tcPr>
            <w:tcW w:w="740" w:type="dxa"/>
            <w:tcBorders>
              <w:top w:val="single" w:color="auto" w:sz="4" w:space="0"/>
              <w:left w:val="nil"/>
              <w:bottom w:val="single" w:color="auto" w:sz="4" w:space="0"/>
              <w:right w:val="single" w:color="auto" w:sz="4" w:space="0"/>
            </w:tcBorders>
            <w:noWrap w:val="0"/>
            <w:vAlign w:val="center"/>
          </w:tcPr>
          <w:p w14:paraId="3CF978BC">
            <w:pPr>
              <w:widowControl/>
              <w:jc w:val="center"/>
              <w:rPr>
                <w:rFonts w:hint="eastAsia" w:ascii="宋体" w:hAnsi="宋体" w:cs="宋体"/>
                <w:kern w:val="0"/>
                <w:sz w:val="24"/>
              </w:rPr>
            </w:pPr>
            <w:r>
              <w:rPr>
                <w:rFonts w:hint="eastAsia" w:ascii="宋体" w:hAnsi="宋体" w:cs="宋体"/>
                <w:kern w:val="0"/>
                <w:sz w:val="24"/>
              </w:rPr>
              <w:t>综合单价</w:t>
            </w:r>
          </w:p>
        </w:tc>
        <w:tc>
          <w:tcPr>
            <w:tcW w:w="1060" w:type="dxa"/>
            <w:tcBorders>
              <w:top w:val="single" w:color="auto" w:sz="4" w:space="0"/>
              <w:left w:val="nil"/>
              <w:bottom w:val="single" w:color="auto" w:sz="4" w:space="0"/>
              <w:right w:val="single" w:color="auto" w:sz="4" w:space="0"/>
            </w:tcBorders>
            <w:noWrap w:val="0"/>
            <w:vAlign w:val="center"/>
          </w:tcPr>
          <w:p w14:paraId="54138BAC">
            <w:pPr>
              <w:widowControl/>
              <w:jc w:val="center"/>
              <w:rPr>
                <w:rFonts w:hint="eastAsia" w:ascii="宋体" w:hAnsi="宋体" w:cs="宋体"/>
                <w:kern w:val="0"/>
                <w:sz w:val="24"/>
              </w:rPr>
            </w:pPr>
            <w:r>
              <w:rPr>
                <w:rFonts w:hint="eastAsia" w:ascii="宋体" w:hAnsi="宋体" w:cs="宋体"/>
                <w:kern w:val="0"/>
                <w:sz w:val="24"/>
              </w:rPr>
              <w:t>合价</w:t>
            </w:r>
          </w:p>
        </w:tc>
        <w:tc>
          <w:tcPr>
            <w:tcW w:w="1660" w:type="dxa"/>
            <w:tcBorders>
              <w:top w:val="single" w:color="auto" w:sz="4" w:space="0"/>
              <w:left w:val="nil"/>
              <w:bottom w:val="single" w:color="auto" w:sz="4" w:space="0"/>
              <w:right w:val="single" w:color="auto" w:sz="4" w:space="0"/>
            </w:tcBorders>
            <w:noWrap w:val="0"/>
            <w:vAlign w:val="center"/>
          </w:tcPr>
          <w:p w14:paraId="4219FE35">
            <w:pPr>
              <w:widowControl/>
              <w:jc w:val="center"/>
              <w:rPr>
                <w:rFonts w:hint="eastAsia" w:ascii="宋体" w:hAnsi="宋体" w:cs="宋体"/>
                <w:kern w:val="0"/>
                <w:sz w:val="24"/>
              </w:rPr>
            </w:pPr>
            <w:r>
              <w:rPr>
                <w:rFonts w:hint="eastAsia" w:ascii="宋体" w:hAnsi="宋体" w:cs="宋体"/>
                <w:kern w:val="0"/>
                <w:sz w:val="24"/>
              </w:rPr>
              <w:t>备注（修复时间）</w:t>
            </w:r>
          </w:p>
        </w:tc>
      </w:tr>
      <w:tr w14:paraId="617156A3">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71DC957D">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7CB43B92">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6FF0C6AA">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65EF5862">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660F46A9">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30734541">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74738DF6">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25DB4FD5">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66C76917">
            <w:pPr>
              <w:widowControl/>
              <w:jc w:val="left"/>
              <w:rPr>
                <w:rFonts w:hint="eastAsia" w:ascii="宋体" w:hAnsi="宋体" w:cs="宋体"/>
                <w:kern w:val="0"/>
                <w:sz w:val="24"/>
              </w:rPr>
            </w:pPr>
            <w:r>
              <w:rPr>
                <w:rFonts w:hint="eastAsia" w:ascii="宋体" w:hAnsi="宋体" w:cs="宋体"/>
                <w:kern w:val="0"/>
                <w:sz w:val="24"/>
              </w:rPr>
              <w:t>　</w:t>
            </w:r>
          </w:p>
        </w:tc>
      </w:tr>
      <w:tr w14:paraId="6249C010">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1305B973">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4CD1093C">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0A9CE03A">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0C327E3E">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34A6FFCA">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01091E17">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7DFDC5C3">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5EEDEDE8">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0707F2E6">
            <w:pPr>
              <w:widowControl/>
              <w:jc w:val="left"/>
              <w:rPr>
                <w:rFonts w:hint="eastAsia" w:ascii="宋体" w:hAnsi="宋体" w:cs="宋体"/>
                <w:kern w:val="0"/>
                <w:sz w:val="24"/>
              </w:rPr>
            </w:pPr>
            <w:r>
              <w:rPr>
                <w:rFonts w:hint="eastAsia" w:ascii="宋体" w:hAnsi="宋体" w:cs="宋体"/>
                <w:kern w:val="0"/>
                <w:sz w:val="24"/>
              </w:rPr>
              <w:t>　</w:t>
            </w:r>
          </w:p>
        </w:tc>
      </w:tr>
      <w:tr w14:paraId="02D2A301">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4C6863D5">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43A1F567">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49A5A942">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3FE9074C">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45480F51">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23188031">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498B2BC5">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25E0EE11">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6A693826">
            <w:pPr>
              <w:widowControl/>
              <w:jc w:val="left"/>
              <w:rPr>
                <w:rFonts w:hint="eastAsia" w:ascii="宋体" w:hAnsi="宋体" w:cs="宋体"/>
                <w:kern w:val="0"/>
                <w:sz w:val="24"/>
              </w:rPr>
            </w:pPr>
            <w:r>
              <w:rPr>
                <w:rFonts w:hint="eastAsia" w:ascii="宋体" w:hAnsi="宋体" w:cs="宋体"/>
                <w:kern w:val="0"/>
                <w:sz w:val="24"/>
              </w:rPr>
              <w:t>　</w:t>
            </w:r>
          </w:p>
        </w:tc>
      </w:tr>
      <w:tr w14:paraId="14E3B9DC">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47D79E95">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55D8D68A">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48BDAA5E">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5BA0F6BF">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11569219">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31A587D4">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11F7830C">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0B415BD0">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76506E62">
            <w:pPr>
              <w:widowControl/>
              <w:jc w:val="left"/>
              <w:rPr>
                <w:rFonts w:hint="eastAsia" w:ascii="宋体" w:hAnsi="宋体" w:cs="宋体"/>
                <w:kern w:val="0"/>
                <w:sz w:val="24"/>
              </w:rPr>
            </w:pPr>
            <w:r>
              <w:rPr>
                <w:rFonts w:hint="eastAsia" w:ascii="宋体" w:hAnsi="宋体" w:cs="宋体"/>
                <w:kern w:val="0"/>
                <w:sz w:val="24"/>
              </w:rPr>
              <w:t>　</w:t>
            </w:r>
          </w:p>
        </w:tc>
      </w:tr>
      <w:tr w14:paraId="3C70CDEB">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39D64E14">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30B842B9">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3429B2CB">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5E992ADD">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63182B3A">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6D6B7B7C">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5B205F47">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6F44AA70">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74E86B8E">
            <w:pPr>
              <w:widowControl/>
              <w:jc w:val="left"/>
              <w:rPr>
                <w:rFonts w:hint="eastAsia" w:ascii="宋体" w:hAnsi="宋体" w:cs="宋体"/>
                <w:kern w:val="0"/>
                <w:sz w:val="24"/>
              </w:rPr>
            </w:pPr>
            <w:r>
              <w:rPr>
                <w:rFonts w:hint="eastAsia" w:ascii="宋体" w:hAnsi="宋体" w:cs="宋体"/>
                <w:kern w:val="0"/>
                <w:sz w:val="24"/>
              </w:rPr>
              <w:t>　</w:t>
            </w:r>
          </w:p>
        </w:tc>
      </w:tr>
      <w:tr w14:paraId="40DC65C7">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487F8687">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337F1A9A">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1FA1AF1C">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3744DC67">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32368EBA">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0E2C1E39">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1B079F70">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16271016">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593E68BA">
            <w:pPr>
              <w:widowControl/>
              <w:jc w:val="left"/>
              <w:rPr>
                <w:rFonts w:hint="eastAsia" w:ascii="宋体" w:hAnsi="宋体" w:cs="宋体"/>
                <w:kern w:val="0"/>
                <w:sz w:val="24"/>
              </w:rPr>
            </w:pPr>
            <w:r>
              <w:rPr>
                <w:rFonts w:hint="eastAsia" w:ascii="宋体" w:hAnsi="宋体" w:cs="宋体"/>
                <w:kern w:val="0"/>
                <w:sz w:val="24"/>
              </w:rPr>
              <w:t>　</w:t>
            </w:r>
          </w:p>
        </w:tc>
      </w:tr>
      <w:tr w14:paraId="0BF3BB3D">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50EFFEB5">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33BDADC2">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1FD9E759">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06C9ED5C">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1F5B7A55">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4703C038">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5C3647D6">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6996C92C">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1897BAF4">
            <w:pPr>
              <w:widowControl/>
              <w:jc w:val="left"/>
              <w:rPr>
                <w:rFonts w:hint="eastAsia" w:ascii="宋体" w:hAnsi="宋体" w:cs="宋体"/>
                <w:kern w:val="0"/>
                <w:sz w:val="24"/>
              </w:rPr>
            </w:pPr>
            <w:r>
              <w:rPr>
                <w:rFonts w:hint="eastAsia" w:ascii="宋体" w:hAnsi="宋体" w:cs="宋体"/>
                <w:kern w:val="0"/>
                <w:sz w:val="24"/>
              </w:rPr>
              <w:t>　</w:t>
            </w:r>
          </w:p>
        </w:tc>
      </w:tr>
      <w:tr w14:paraId="705562F7">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1E687F98">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5967AD8E">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14DE0BB9">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5FA6B126">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76E2DDA2">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2CB2CA80">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7BB7D53F">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5D7A91F8">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13C9F243">
            <w:pPr>
              <w:widowControl/>
              <w:jc w:val="left"/>
              <w:rPr>
                <w:rFonts w:hint="eastAsia" w:ascii="宋体" w:hAnsi="宋体" w:cs="宋体"/>
                <w:kern w:val="0"/>
                <w:sz w:val="24"/>
              </w:rPr>
            </w:pPr>
            <w:r>
              <w:rPr>
                <w:rFonts w:hint="eastAsia" w:ascii="宋体" w:hAnsi="宋体" w:cs="宋体"/>
                <w:kern w:val="0"/>
                <w:sz w:val="24"/>
              </w:rPr>
              <w:t>　</w:t>
            </w:r>
          </w:p>
        </w:tc>
      </w:tr>
      <w:tr w14:paraId="3A13FE21">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1F175D73">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7C80467E">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421BD207">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1334A2D1">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3C912199">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3CA446FD">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3B07B883">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4BC28C52">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2D8455FB">
            <w:pPr>
              <w:widowControl/>
              <w:jc w:val="left"/>
              <w:rPr>
                <w:rFonts w:hint="eastAsia" w:ascii="宋体" w:hAnsi="宋体" w:cs="宋体"/>
                <w:kern w:val="0"/>
                <w:sz w:val="24"/>
              </w:rPr>
            </w:pPr>
            <w:r>
              <w:rPr>
                <w:rFonts w:hint="eastAsia" w:ascii="宋体" w:hAnsi="宋体" w:cs="宋体"/>
                <w:kern w:val="0"/>
                <w:sz w:val="24"/>
              </w:rPr>
              <w:t>　</w:t>
            </w:r>
          </w:p>
        </w:tc>
      </w:tr>
      <w:tr w14:paraId="040A1193">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700A0A94">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74974AE4">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0B215810">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51F91AA0">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4FA24B06">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3361CBAF">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5AC3996C">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719A146D">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726E5C75">
            <w:pPr>
              <w:widowControl/>
              <w:jc w:val="left"/>
              <w:rPr>
                <w:rFonts w:hint="eastAsia" w:ascii="宋体" w:hAnsi="宋体" w:cs="宋体"/>
                <w:kern w:val="0"/>
                <w:sz w:val="24"/>
              </w:rPr>
            </w:pPr>
            <w:r>
              <w:rPr>
                <w:rFonts w:hint="eastAsia" w:ascii="宋体" w:hAnsi="宋体" w:cs="宋体"/>
                <w:kern w:val="0"/>
                <w:sz w:val="24"/>
              </w:rPr>
              <w:t>　</w:t>
            </w:r>
          </w:p>
        </w:tc>
      </w:tr>
      <w:tr w14:paraId="5C22ABF7">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3B7C2868">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19DA044A">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4BB7B32B">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21B8FA27">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3F69BE8C">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57C18D6A">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160AC155">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21B321F6">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516ED414">
            <w:pPr>
              <w:widowControl/>
              <w:jc w:val="left"/>
              <w:rPr>
                <w:rFonts w:hint="eastAsia" w:ascii="宋体" w:hAnsi="宋体" w:cs="宋体"/>
                <w:kern w:val="0"/>
                <w:sz w:val="24"/>
              </w:rPr>
            </w:pPr>
            <w:r>
              <w:rPr>
                <w:rFonts w:hint="eastAsia" w:ascii="宋体" w:hAnsi="宋体" w:cs="宋体"/>
                <w:kern w:val="0"/>
                <w:sz w:val="24"/>
              </w:rPr>
              <w:t>　</w:t>
            </w:r>
          </w:p>
        </w:tc>
      </w:tr>
      <w:tr w14:paraId="11CD341F">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73841095">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56A44FAB">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52EBAE96">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2BC0FF62">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4866835C">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08A4EDB0">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7DC76F30">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575954A0">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4F1B7A93">
            <w:pPr>
              <w:widowControl/>
              <w:jc w:val="left"/>
              <w:rPr>
                <w:rFonts w:hint="eastAsia" w:ascii="宋体" w:hAnsi="宋体" w:cs="宋体"/>
                <w:kern w:val="0"/>
                <w:sz w:val="24"/>
              </w:rPr>
            </w:pPr>
            <w:r>
              <w:rPr>
                <w:rFonts w:hint="eastAsia" w:ascii="宋体" w:hAnsi="宋体" w:cs="宋体"/>
                <w:kern w:val="0"/>
                <w:sz w:val="24"/>
              </w:rPr>
              <w:t>　</w:t>
            </w:r>
          </w:p>
        </w:tc>
      </w:tr>
      <w:tr w14:paraId="0716F4EB">
        <w:tblPrEx>
          <w:tblCellMar>
            <w:top w:w="0" w:type="dxa"/>
            <w:left w:w="108" w:type="dxa"/>
            <w:bottom w:w="0" w:type="dxa"/>
            <w:right w:w="108" w:type="dxa"/>
          </w:tblCellMar>
        </w:tblPrEx>
        <w:trPr>
          <w:trHeight w:val="600" w:hRule="atLeast"/>
          <w:jc w:val="center"/>
        </w:trPr>
        <w:tc>
          <w:tcPr>
            <w:tcW w:w="520" w:type="dxa"/>
            <w:tcBorders>
              <w:top w:val="nil"/>
              <w:left w:val="single" w:color="auto" w:sz="4" w:space="0"/>
              <w:bottom w:val="single" w:color="auto" w:sz="4" w:space="0"/>
              <w:right w:val="single" w:color="auto" w:sz="4" w:space="0"/>
            </w:tcBorders>
            <w:noWrap w:val="0"/>
            <w:vAlign w:val="center"/>
          </w:tcPr>
          <w:p w14:paraId="26BC4C12">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7CA79D50">
            <w:pPr>
              <w:widowControl/>
              <w:jc w:val="left"/>
              <w:rPr>
                <w:rFonts w:hint="eastAsia"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14:paraId="46A34F10">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330F630B">
            <w:pPr>
              <w:widowControl/>
              <w:jc w:val="left"/>
              <w:rPr>
                <w:rFonts w:hint="eastAsia" w:ascii="宋体" w:hAnsi="宋体" w:cs="宋体"/>
                <w:kern w:val="0"/>
                <w:sz w:val="24"/>
              </w:rPr>
            </w:pPr>
            <w:r>
              <w:rPr>
                <w:rFonts w:hint="eastAsia" w:ascii="宋体" w:hAnsi="宋体" w:cs="宋体"/>
                <w:kern w:val="0"/>
                <w:sz w:val="24"/>
              </w:rPr>
              <w:t>　</w:t>
            </w:r>
          </w:p>
        </w:tc>
        <w:tc>
          <w:tcPr>
            <w:tcW w:w="1120" w:type="dxa"/>
            <w:tcBorders>
              <w:top w:val="nil"/>
              <w:left w:val="nil"/>
              <w:bottom w:val="single" w:color="auto" w:sz="4" w:space="0"/>
              <w:right w:val="single" w:color="auto" w:sz="4" w:space="0"/>
            </w:tcBorders>
            <w:noWrap w:val="0"/>
            <w:vAlign w:val="center"/>
          </w:tcPr>
          <w:p w14:paraId="1E8257A7">
            <w:pPr>
              <w:widowControl/>
              <w:jc w:val="left"/>
              <w:rPr>
                <w:rFonts w:hint="eastAsia" w:ascii="宋体" w:hAnsi="宋体" w:cs="宋体"/>
                <w:kern w:val="0"/>
                <w:sz w:val="24"/>
              </w:rPr>
            </w:pPr>
            <w:r>
              <w:rPr>
                <w:rFonts w:hint="eastAsia" w:ascii="宋体" w:hAnsi="宋体" w:cs="宋体"/>
                <w:kern w:val="0"/>
                <w:sz w:val="24"/>
              </w:rPr>
              <w:t>　</w:t>
            </w:r>
          </w:p>
        </w:tc>
        <w:tc>
          <w:tcPr>
            <w:tcW w:w="780" w:type="dxa"/>
            <w:tcBorders>
              <w:top w:val="nil"/>
              <w:left w:val="nil"/>
              <w:bottom w:val="single" w:color="auto" w:sz="4" w:space="0"/>
              <w:right w:val="single" w:color="auto" w:sz="4" w:space="0"/>
            </w:tcBorders>
            <w:noWrap w:val="0"/>
            <w:vAlign w:val="center"/>
          </w:tcPr>
          <w:p w14:paraId="7A47A5DF">
            <w:pPr>
              <w:widowControl/>
              <w:jc w:val="left"/>
              <w:rPr>
                <w:rFonts w:hint="eastAsia"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noWrap w:val="0"/>
            <w:vAlign w:val="center"/>
          </w:tcPr>
          <w:p w14:paraId="2FD1E887">
            <w:pPr>
              <w:widowControl/>
              <w:jc w:val="left"/>
              <w:rPr>
                <w:rFonts w:hint="eastAsia" w:ascii="宋体" w:hAnsi="宋体" w:cs="宋体"/>
                <w:kern w:val="0"/>
                <w:sz w:val="24"/>
              </w:rPr>
            </w:pPr>
            <w:r>
              <w:rPr>
                <w:rFonts w:hint="eastAsia" w:ascii="宋体" w:hAnsi="宋体" w:cs="宋体"/>
                <w:kern w:val="0"/>
                <w:sz w:val="24"/>
              </w:rPr>
              <w:t>　</w:t>
            </w:r>
          </w:p>
        </w:tc>
        <w:tc>
          <w:tcPr>
            <w:tcW w:w="1060" w:type="dxa"/>
            <w:tcBorders>
              <w:top w:val="nil"/>
              <w:left w:val="nil"/>
              <w:bottom w:val="single" w:color="auto" w:sz="4" w:space="0"/>
              <w:right w:val="single" w:color="auto" w:sz="4" w:space="0"/>
            </w:tcBorders>
            <w:noWrap w:val="0"/>
            <w:vAlign w:val="center"/>
          </w:tcPr>
          <w:p w14:paraId="0F25D86D">
            <w:pPr>
              <w:widowControl/>
              <w:jc w:val="left"/>
              <w:rPr>
                <w:rFonts w:hint="eastAsia" w:ascii="宋体" w:hAnsi="宋体" w:cs="宋体"/>
                <w:kern w:val="0"/>
                <w:sz w:val="24"/>
              </w:rPr>
            </w:pPr>
            <w:r>
              <w:rPr>
                <w:rFonts w:hint="eastAsia" w:ascii="宋体" w:hAnsi="宋体" w:cs="宋体"/>
                <w:kern w:val="0"/>
                <w:sz w:val="24"/>
              </w:rPr>
              <w:t>　</w:t>
            </w:r>
          </w:p>
        </w:tc>
        <w:tc>
          <w:tcPr>
            <w:tcW w:w="1660" w:type="dxa"/>
            <w:tcBorders>
              <w:top w:val="nil"/>
              <w:left w:val="nil"/>
              <w:bottom w:val="single" w:color="auto" w:sz="4" w:space="0"/>
              <w:right w:val="single" w:color="auto" w:sz="4" w:space="0"/>
            </w:tcBorders>
            <w:noWrap w:val="0"/>
            <w:vAlign w:val="center"/>
          </w:tcPr>
          <w:p w14:paraId="3DA02573">
            <w:pPr>
              <w:widowControl/>
              <w:jc w:val="left"/>
              <w:rPr>
                <w:rFonts w:hint="eastAsia" w:ascii="宋体" w:hAnsi="宋体" w:cs="宋体"/>
                <w:kern w:val="0"/>
                <w:sz w:val="24"/>
              </w:rPr>
            </w:pPr>
            <w:r>
              <w:rPr>
                <w:rFonts w:hint="eastAsia" w:ascii="宋体" w:hAnsi="宋体" w:cs="宋体"/>
                <w:kern w:val="0"/>
                <w:sz w:val="24"/>
              </w:rPr>
              <w:t>　</w:t>
            </w:r>
          </w:p>
        </w:tc>
      </w:tr>
      <w:tr w14:paraId="164BC093">
        <w:tblPrEx>
          <w:tblCellMar>
            <w:top w:w="0" w:type="dxa"/>
            <w:left w:w="108" w:type="dxa"/>
            <w:bottom w:w="0" w:type="dxa"/>
            <w:right w:w="108" w:type="dxa"/>
          </w:tblCellMar>
        </w:tblPrEx>
        <w:trPr>
          <w:trHeight w:val="285" w:hRule="atLeast"/>
          <w:jc w:val="center"/>
        </w:trPr>
        <w:tc>
          <w:tcPr>
            <w:tcW w:w="3140" w:type="dxa"/>
            <w:gridSpan w:val="3"/>
            <w:tcBorders>
              <w:top w:val="single" w:color="auto" w:sz="4" w:space="0"/>
              <w:left w:val="nil"/>
              <w:bottom w:val="nil"/>
              <w:right w:val="nil"/>
            </w:tcBorders>
            <w:noWrap w:val="0"/>
            <w:vAlign w:val="center"/>
          </w:tcPr>
          <w:p w14:paraId="0FA5DF35">
            <w:pPr>
              <w:widowControl/>
              <w:jc w:val="left"/>
              <w:rPr>
                <w:rFonts w:hint="eastAsia" w:ascii="宋体" w:hAnsi="宋体" w:cs="宋体"/>
                <w:kern w:val="0"/>
                <w:sz w:val="24"/>
              </w:rPr>
            </w:pPr>
          </w:p>
        </w:tc>
        <w:tc>
          <w:tcPr>
            <w:tcW w:w="3380" w:type="dxa"/>
            <w:gridSpan w:val="4"/>
            <w:tcBorders>
              <w:top w:val="single" w:color="auto" w:sz="4" w:space="0"/>
              <w:left w:val="nil"/>
              <w:bottom w:val="nil"/>
              <w:right w:val="nil"/>
            </w:tcBorders>
            <w:noWrap w:val="0"/>
            <w:vAlign w:val="center"/>
          </w:tcPr>
          <w:p w14:paraId="793E54D0">
            <w:pPr>
              <w:widowControl/>
              <w:jc w:val="left"/>
              <w:rPr>
                <w:rFonts w:hint="eastAsia" w:ascii="宋体" w:hAnsi="宋体" w:cs="宋体"/>
                <w:kern w:val="0"/>
                <w:sz w:val="24"/>
              </w:rPr>
            </w:pPr>
          </w:p>
        </w:tc>
        <w:tc>
          <w:tcPr>
            <w:tcW w:w="2720" w:type="dxa"/>
            <w:gridSpan w:val="2"/>
            <w:tcBorders>
              <w:top w:val="single" w:color="auto" w:sz="4" w:space="0"/>
              <w:left w:val="nil"/>
              <w:bottom w:val="nil"/>
              <w:right w:val="nil"/>
            </w:tcBorders>
            <w:noWrap w:val="0"/>
            <w:vAlign w:val="center"/>
          </w:tcPr>
          <w:p w14:paraId="71D517F0">
            <w:pPr>
              <w:widowControl/>
              <w:jc w:val="left"/>
              <w:rPr>
                <w:rFonts w:hint="eastAsia" w:ascii="宋体" w:hAnsi="宋体" w:cs="宋体"/>
                <w:kern w:val="0"/>
                <w:sz w:val="24"/>
              </w:rPr>
            </w:pPr>
          </w:p>
        </w:tc>
      </w:tr>
    </w:tbl>
    <w:p w14:paraId="1CD05B3E">
      <w:pPr>
        <w:rPr>
          <w:rFonts w:hint="eastAsia" w:ascii="宋体" w:hAnsi="宋体" w:cs="宋体"/>
          <w:sz w:val="30"/>
          <w:szCs w:val="30"/>
        </w:rPr>
      </w:pPr>
    </w:p>
    <w:p w14:paraId="69EBB17A">
      <w:pPr>
        <w:rPr>
          <w:rFonts w:hint="eastAsia" w:ascii="宋体" w:hAnsi="宋体" w:cs="宋体"/>
          <w:sz w:val="30"/>
          <w:szCs w:val="30"/>
        </w:rPr>
      </w:pPr>
      <w:r>
        <w:rPr>
          <w:rFonts w:hint="eastAsia" w:ascii="宋体" w:hAnsi="宋体" w:cs="宋体"/>
          <w:sz w:val="30"/>
          <w:szCs w:val="30"/>
        </w:rPr>
        <w:t>现场维护人员：                    专管民警：</w:t>
      </w:r>
    </w:p>
    <w:p w14:paraId="1CCFEEF3">
      <w:pPr>
        <w:ind w:firstLine="5100" w:firstLineChars="1700"/>
        <w:rPr>
          <w:rFonts w:hint="eastAsia" w:ascii="宋体" w:hAnsi="宋体" w:cs="宋体"/>
          <w:sz w:val="30"/>
          <w:szCs w:val="30"/>
        </w:rPr>
      </w:pPr>
      <w:r>
        <w:rPr>
          <w:rFonts w:hint="eastAsia" w:ascii="宋体" w:hAnsi="宋体" w:cs="宋体"/>
          <w:sz w:val="30"/>
          <w:szCs w:val="30"/>
        </w:rPr>
        <w:t>大队领导：</w:t>
      </w:r>
    </w:p>
    <w:p w14:paraId="2E2740B3">
      <w:pPr>
        <w:ind w:firstLine="5100" w:firstLineChars="1700"/>
        <w:rPr>
          <w:rFonts w:hint="eastAsia" w:ascii="宋体" w:hAnsi="宋体" w:cs="宋体"/>
          <w:sz w:val="30"/>
          <w:szCs w:val="30"/>
        </w:rPr>
      </w:pPr>
      <w:r>
        <w:rPr>
          <w:rFonts w:hint="eastAsia" w:ascii="宋体" w:hAnsi="宋体" w:cs="宋体"/>
          <w:sz w:val="30"/>
          <w:szCs w:val="30"/>
        </w:rPr>
        <w:t>日期：</w:t>
      </w:r>
    </w:p>
    <w:p w14:paraId="076CF4AD">
      <w:pPr>
        <w:jc w:val="center"/>
        <w:rPr>
          <w:rFonts w:hint="eastAsia" w:ascii="宋体" w:hAnsi="宋体" w:cs="宋体"/>
          <w:b/>
          <w:bCs/>
          <w:sz w:val="36"/>
          <w:szCs w:val="36"/>
        </w:rPr>
      </w:pPr>
    </w:p>
    <w:p w14:paraId="6B22E876">
      <w:pPr>
        <w:jc w:val="center"/>
        <w:rPr>
          <w:rFonts w:hint="eastAsia" w:ascii="宋体" w:hAnsi="宋体" w:cs="宋体"/>
          <w:b/>
          <w:bCs/>
          <w:sz w:val="36"/>
          <w:szCs w:val="36"/>
        </w:rPr>
      </w:pPr>
    </w:p>
    <w:p w14:paraId="6FA7B708">
      <w:pPr>
        <w:jc w:val="center"/>
        <w:rPr>
          <w:rFonts w:hint="eastAsia" w:ascii="宋体" w:hAnsi="宋体" w:cs="宋体"/>
          <w:b/>
          <w:bCs/>
          <w:sz w:val="36"/>
          <w:szCs w:val="36"/>
        </w:rPr>
      </w:pPr>
    </w:p>
    <w:p w14:paraId="0E570C72">
      <w:pPr>
        <w:jc w:val="center"/>
        <w:rPr>
          <w:rFonts w:hint="eastAsia" w:ascii="宋体" w:hAnsi="宋体" w:cs="宋体"/>
          <w:b/>
          <w:bCs/>
          <w:sz w:val="36"/>
          <w:szCs w:val="36"/>
        </w:rPr>
      </w:pPr>
    </w:p>
    <w:p w14:paraId="58F54F51">
      <w:pPr>
        <w:jc w:val="center"/>
        <w:rPr>
          <w:rFonts w:hint="eastAsia" w:ascii="宋体" w:hAnsi="宋体" w:cs="宋体"/>
          <w:b/>
          <w:bCs/>
          <w:sz w:val="36"/>
          <w:szCs w:val="36"/>
        </w:rPr>
      </w:pPr>
    </w:p>
    <w:p w14:paraId="3F2349B2">
      <w:pPr>
        <w:jc w:val="center"/>
        <w:rPr>
          <w:rFonts w:hint="eastAsia" w:ascii="宋体" w:hAnsi="宋体" w:cs="宋体"/>
          <w:b/>
          <w:bCs/>
          <w:sz w:val="36"/>
          <w:szCs w:val="36"/>
        </w:rPr>
      </w:pPr>
    </w:p>
    <w:p w14:paraId="0B029ED8">
      <w:pPr>
        <w:jc w:val="center"/>
        <w:rPr>
          <w:rFonts w:hint="eastAsia" w:ascii="宋体" w:hAnsi="宋体" w:cs="宋体"/>
          <w:sz w:val="36"/>
          <w:szCs w:val="36"/>
        </w:rPr>
      </w:pPr>
      <w:r>
        <w:rPr>
          <w:rFonts w:hint="eastAsia" w:ascii="宋体" w:hAnsi="宋体" w:cs="宋体"/>
          <w:b/>
          <w:bCs/>
          <w:sz w:val="36"/>
          <w:szCs w:val="36"/>
        </w:rPr>
        <w:t>项 目 竣 工 验 收 单</w:t>
      </w:r>
    </w:p>
    <w:p w14:paraId="32D3783F">
      <w:pPr>
        <w:rPr>
          <w:rFonts w:hint="eastAsia" w:ascii="宋体" w:hAnsi="宋体" w:cs="宋体"/>
          <w:sz w:val="30"/>
          <w:szCs w:val="30"/>
        </w:rPr>
      </w:pPr>
    </w:p>
    <w:tbl>
      <w:tblPr>
        <w:tblStyle w:val="64"/>
        <w:tblW w:w="9499" w:type="dxa"/>
        <w:jc w:val="center"/>
        <w:tblLayout w:type="fixed"/>
        <w:tblCellMar>
          <w:top w:w="0" w:type="dxa"/>
          <w:left w:w="108" w:type="dxa"/>
          <w:bottom w:w="0" w:type="dxa"/>
          <w:right w:w="108" w:type="dxa"/>
        </w:tblCellMar>
      </w:tblPr>
      <w:tblGrid>
        <w:gridCol w:w="847"/>
        <w:gridCol w:w="3151"/>
        <w:gridCol w:w="718"/>
        <w:gridCol w:w="1991"/>
        <w:gridCol w:w="768"/>
        <w:gridCol w:w="2024"/>
      </w:tblGrid>
      <w:tr w14:paraId="7FC3B1A3">
        <w:tblPrEx>
          <w:tblCellMar>
            <w:top w:w="0" w:type="dxa"/>
            <w:left w:w="108" w:type="dxa"/>
            <w:bottom w:w="0" w:type="dxa"/>
            <w:right w:w="108" w:type="dxa"/>
          </w:tblCellMar>
        </w:tblPrEx>
        <w:trPr>
          <w:trHeight w:val="40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20E68355">
            <w:pPr>
              <w:widowControl/>
              <w:jc w:val="center"/>
              <w:rPr>
                <w:rFonts w:hint="eastAsia" w:ascii="宋体" w:hAnsi="宋体" w:cs="宋体"/>
                <w:b/>
                <w:bCs/>
                <w:kern w:val="0"/>
                <w:sz w:val="24"/>
              </w:rPr>
            </w:pPr>
            <w:r>
              <w:rPr>
                <w:rFonts w:hint="eastAsia" w:ascii="宋体" w:hAnsi="宋体" w:cs="宋体"/>
                <w:b/>
                <w:bCs/>
                <w:kern w:val="0"/>
                <w:sz w:val="24"/>
              </w:rPr>
              <w:t>项目名称</w:t>
            </w:r>
          </w:p>
        </w:tc>
        <w:tc>
          <w:tcPr>
            <w:tcW w:w="8652" w:type="dxa"/>
            <w:gridSpan w:val="5"/>
            <w:tcBorders>
              <w:top w:val="single" w:color="auto" w:sz="4" w:space="0"/>
              <w:left w:val="nil"/>
              <w:bottom w:val="single" w:color="auto" w:sz="4" w:space="0"/>
              <w:right w:val="single" w:color="000000" w:sz="4" w:space="0"/>
            </w:tcBorders>
            <w:noWrap w:val="0"/>
            <w:vAlign w:val="center"/>
          </w:tcPr>
          <w:p w14:paraId="3E37A0AB">
            <w:pPr>
              <w:widowControl/>
              <w:jc w:val="left"/>
              <w:rPr>
                <w:rFonts w:hint="eastAsia" w:ascii="宋体" w:hAnsi="宋体" w:cs="宋体"/>
                <w:kern w:val="0"/>
                <w:sz w:val="24"/>
              </w:rPr>
            </w:pPr>
            <w:r>
              <w:rPr>
                <w:rFonts w:hint="eastAsia" w:ascii="宋体" w:hAnsi="宋体" w:cs="宋体"/>
                <w:kern w:val="0"/>
                <w:sz w:val="24"/>
              </w:rPr>
              <w:t>　</w:t>
            </w:r>
          </w:p>
        </w:tc>
      </w:tr>
      <w:tr w14:paraId="212CD18C">
        <w:tblPrEx>
          <w:tblCellMar>
            <w:top w:w="0" w:type="dxa"/>
            <w:left w:w="108" w:type="dxa"/>
            <w:bottom w:w="0" w:type="dxa"/>
            <w:right w:w="108" w:type="dxa"/>
          </w:tblCellMar>
        </w:tblPrEx>
        <w:trPr>
          <w:trHeight w:val="409" w:hRule="atLeast"/>
          <w:jc w:val="center"/>
        </w:trPr>
        <w:tc>
          <w:tcPr>
            <w:tcW w:w="847" w:type="dxa"/>
            <w:tcBorders>
              <w:top w:val="nil"/>
              <w:left w:val="single" w:color="auto" w:sz="4" w:space="0"/>
              <w:bottom w:val="single" w:color="auto" w:sz="4" w:space="0"/>
              <w:right w:val="single" w:color="auto" w:sz="4" w:space="0"/>
            </w:tcBorders>
            <w:noWrap w:val="0"/>
            <w:vAlign w:val="center"/>
          </w:tcPr>
          <w:p w14:paraId="187398E6">
            <w:pPr>
              <w:widowControl/>
              <w:jc w:val="center"/>
              <w:rPr>
                <w:rFonts w:hint="eastAsia" w:ascii="宋体" w:hAnsi="宋体" w:cs="宋体"/>
                <w:b/>
                <w:bCs/>
                <w:kern w:val="0"/>
                <w:sz w:val="24"/>
              </w:rPr>
            </w:pPr>
            <w:r>
              <w:rPr>
                <w:rFonts w:hint="eastAsia" w:ascii="宋体" w:hAnsi="宋体" w:cs="宋体"/>
                <w:b/>
                <w:bCs/>
                <w:kern w:val="0"/>
                <w:sz w:val="24"/>
              </w:rPr>
              <w:t>项目编号</w:t>
            </w:r>
          </w:p>
        </w:tc>
        <w:tc>
          <w:tcPr>
            <w:tcW w:w="8652" w:type="dxa"/>
            <w:gridSpan w:val="5"/>
            <w:tcBorders>
              <w:top w:val="single" w:color="auto" w:sz="4" w:space="0"/>
              <w:left w:val="nil"/>
              <w:bottom w:val="single" w:color="auto" w:sz="4" w:space="0"/>
              <w:right w:val="single" w:color="000000" w:sz="4" w:space="0"/>
            </w:tcBorders>
            <w:noWrap w:val="0"/>
            <w:vAlign w:val="center"/>
          </w:tcPr>
          <w:p w14:paraId="52D736E7">
            <w:pPr>
              <w:widowControl/>
              <w:jc w:val="left"/>
              <w:rPr>
                <w:rFonts w:hint="eastAsia" w:ascii="宋体" w:hAnsi="宋体" w:cs="宋体"/>
                <w:kern w:val="0"/>
                <w:sz w:val="24"/>
              </w:rPr>
            </w:pPr>
            <w:r>
              <w:rPr>
                <w:rFonts w:hint="eastAsia" w:ascii="宋体" w:hAnsi="宋体" w:cs="宋体"/>
                <w:kern w:val="0"/>
                <w:sz w:val="24"/>
              </w:rPr>
              <w:t>　</w:t>
            </w:r>
          </w:p>
        </w:tc>
      </w:tr>
      <w:tr w14:paraId="55C611A7">
        <w:tblPrEx>
          <w:tblCellMar>
            <w:top w:w="0" w:type="dxa"/>
            <w:left w:w="108" w:type="dxa"/>
            <w:bottom w:w="0" w:type="dxa"/>
            <w:right w:w="108" w:type="dxa"/>
          </w:tblCellMar>
        </w:tblPrEx>
        <w:trPr>
          <w:trHeight w:val="409" w:hRule="atLeast"/>
          <w:jc w:val="center"/>
        </w:trPr>
        <w:tc>
          <w:tcPr>
            <w:tcW w:w="847" w:type="dxa"/>
            <w:tcBorders>
              <w:top w:val="nil"/>
              <w:left w:val="single" w:color="auto" w:sz="4" w:space="0"/>
              <w:bottom w:val="single" w:color="auto" w:sz="4" w:space="0"/>
              <w:right w:val="single" w:color="auto" w:sz="4" w:space="0"/>
            </w:tcBorders>
            <w:noWrap w:val="0"/>
            <w:vAlign w:val="center"/>
          </w:tcPr>
          <w:p w14:paraId="04165FDC">
            <w:pPr>
              <w:widowControl/>
              <w:jc w:val="center"/>
              <w:rPr>
                <w:rFonts w:hint="eastAsia" w:ascii="宋体" w:hAnsi="宋体" w:cs="宋体"/>
                <w:b/>
                <w:bCs/>
                <w:kern w:val="0"/>
                <w:sz w:val="24"/>
              </w:rPr>
            </w:pPr>
            <w:r>
              <w:rPr>
                <w:rFonts w:hint="eastAsia" w:ascii="宋体" w:hAnsi="宋体" w:cs="宋体"/>
                <w:b/>
                <w:bCs/>
                <w:kern w:val="0"/>
                <w:sz w:val="24"/>
              </w:rPr>
              <w:t>施工单位</w:t>
            </w:r>
          </w:p>
        </w:tc>
        <w:tc>
          <w:tcPr>
            <w:tcW w:w="3151" w:type="dxa"/>
            <w:tcBorders>
              <w:top w:val="single" w:color="auto" w:sz="4" w:space="0"/>
              <w:left w:val="nil"/>
              <w:bottom w:val="single" w:color="auto" w:sz="4" w:space="0"/>
              <w:right w:val="single" w:color="000000" w:sz="4" w:space="0"/>
            </w:tcBorders>
            <w:noWrap w:val="0"/>
            <w:vAlign w:val="center"/>
          </w:tcPr>
          <w:p w14:paraId="41C83D43">
            <w:pPr>
              <w:widowControl/>
              <w:jc w:val="left"/>
              <w:rPr>
                <w:rFonts w:hint="eastAsia" w:ascii="宋体" w:hAnsi="宋体" w:cs="宋体"/>
                <w:kern w:val="0"/>
                <w:sz w:val="24"/>
              </w:rPr>
            </w:pPr>
            <w:r>
              <w:rPr>
                <w:rFonts w:hint="eastAsia" w:ascii="宋体" w:hAnsi="宋体" w:cs="宋体"/>
                <w:kern w:val="0"/>
                <w:sz w:val="24"/>
              </w:rPr>
              <w:t>　</w:t>
            </w:r>
          </w:p>
        </w:tc>
        <w:tc>
          <w:tcPr>
            <w:tcW w:w="718" w:type="dxa"/>
            <w:tcBorders>
              <w:top w:val="nil"/>
              <w:left w:val="nil"/>
              <w:bottom w:val="single" w:color="auto" w:sz="4" w:space="0"/>
              <w:right w:val="single" w:color="auto" w:sz="4" w:space="0"/>
            </w:tcBorders>
            <w:noWrap w:val="0"/>
            <w:vAlign w:val="center"/>
          </w:tcPr>
          <w:p w14:paraId="551CEFF5">
            <w:pPr>
              <w:widowControl/>
              <w:jc w:val="center"/>
              <w:rPr>
                <w:rFonts w:hint="eastAsia" w:ascii="宋体" w:hAnsi="宋体" w:cs="宋体"/>
                <w:b/>
                <w:bCs/>
                <w:kern w:val="0"/>
                <w:sz w:val="24"/>
              </w:rPr>
            </w:pPr>
            <w:r>
              <w:rPr>
                <w:rFonts w:hint="eastAsia" w:ascii="宋体" w:hAnsi="宋体" w:cs="宋体"/>
                <w:b/>
                <w:bCs/>
                <w:kern w:val="0"/>
                <w:sz w:val="24"/>
              </w:rPr>
              <w:t>开工日期</w:t>
            </w:r>
          </w:p>
        </w:tc>
        <w:tc>
          <w:tcPr>
            <w:tcW w:w="1991" w:type="dxa"/>
            <w:tcBorders>
              <w:top w:val="nil"/>
              <w:left w:val="nil"/>
              <w:bottom w:val="single" w:color="auto" w:sz="4" w:space="0"/>
              <w:right w:val="nil"/>
            </w:tcBorders>
            <w:noWrap w:val="0"/>
            <w:vAlign w:val="center"/>
          </w:tcPr>
          <w:p w14:paraId="01EBCD68">
            <w:pPr>
              <w:widowControl/>
              <w:jc w:val="center"/>
              <w:rPr>
                <w:rFonts w:hint="eastAsia" w:ascii="宋体" w:hAnsi="宋体" w:cs="宋体"/>
                <w:b/>
                <w:bCs/>
                <w:kern w:val="0"/>
                <w:sz w:val="24"/>
              </w:rPr>
            </w:pPr>
            <w:r>
              <w:rPr>
                <w:rFonts w:hint="eastAsia" w:ascii="宋体" w:hAnsi="宋体" w:cs="宋体"/>
                <w:b/>
                <w:bCs/>
                <w:kern w:val="0"/>
                <w:sz w:val="24"/>
              </w:rPr>
              <w:t>　</w:t>
            </w:r>
          </w:p>
        </w:tc>
        <w:tc>
          <w:tcPr>
            <w:tcW w:w="768" w:type="dxa"/>
            <w:tcBorders>
              <w:top w:val="nil"/>
              <w:left w:val="single" w:color="auto" w:sz="4" w:space="0"/>
              <w:bottom w:val="single" w:color="auto" w:sz="4" w:space="0"/>
              <w:right w:val="single" w:color="auto" w:sz="4" w:space="0"/>
            </w:tcBorders>
            <w:noWrap w:val="0"/>
            <w:vAlign w:val="center"/>
          </w:tcPr>
          <w:p w14:paraId="0AD7B2E6">
            <w:pPr>
              <w:widowControl/>
              <w:jc w:val="center"/>
              <w:rPr>
                <w:rFonts w:hint="eastAsia" w:ascii="宋体" w:hAnsi="宋体" w:cs="宋体"/>
                <w:b/>
                <w:bCs/>
                <w:kern w:val="0"/>
                <w:sz w:val="24"/>
              </w:rPr>
            </w:pPr>
            <w:r>
              <w:rPr>
                <w:rFonts w:hint="eastAsia" w:ascii="宋体" w:hAnsi="宋体" w:cs="宋体"/>
                <w:b/>
                <w:bCs/>
                <w:kern w:val="0"/>
                <w:sz w:val="24"/>
              </w:rPr>
              <w:t>完工日期</w:t>
            </w:r>
          </w:p>
        </w:tc>
        <w:tc>
          <w:tcPr>
            <w:tcW w:w="2024" w:type="dxa"/>
            <w:tcBorders>
              <w:top w:val="nil"/>
              <w:left w:val="nil"/>
              <w:bottom w:val="single" w:color="auto" w:sz="4" w:space="0"/>
              <w:right w:val="single" w:color="auto" w:sz="4" w:space="0"/>
            </w:tcBorders>
            <w:noWrap w:val="0"/>
            <w:vAlign w:val="center"/>
          </w:tcPr>
          <w:p w14:paraId="29D2E510">
            <w:pPr>
              <w:widowControl/>
              <w:jc w:val="left"/>
              <w:rPr>
                <w:rFonts w:hint="eastAsia" w:ascii="宋体" w:hAnsi="宋体" w:cs="宋体"/>
                <w:kern w:val="0"/>
                <w:sz w:val="24"/>
              </w:rPr>
            </w:pPr>
            <w:r>
              <w:rPr>
                <w:rFonts w:hint="eastAsia" w:ascii="宋体" w:hAnsi="宋体" w:cs="宋体"/>
                <w:kern w:val="0"/>
                <w:sz w:val="24"/>
              </w:rPr>
              <w:t>　</w:t>
            </w:r>
          </w:p>
        </w:tc>
      </w:tr>
      <w:tr w14:paraId="5CB0BA8B">
        <w:tblPrEx>
          <w:tblCellMar>
            <w:top w:w="0" w:type="dxa"/>
            <w:left w:w="108" w:type="dxa"/>
            <w:bottom w:w="0" w:type="dxa"/>
            <w:right w:w="108" w:type="dxa"/>
          </w:tblCellMar>
        </w:tblPrEx>
        <w:trPr>
          <w:trHeight w:val="312" w:hRule="atLeast"/>
          <w:jc w:val="center"/>
        </w:trPr>
        <w:tc>
          <w:tcPr>
            <w:tcW w:w="9499" w:type="dxa"/>
            <w:gridSpan w:val="6"/>
            <w:vMerge w:val="restart"/>
            <w:tcBorders>
              <w:top w:val="single" w:color="auto" w:sz="4" w:space="0"/>
              <w:left w:val="single" w:color="auto" w:sz="4" w:space="0"/>
              <w:bottom w:val="single" w:color="auto" w:sz="4" w:space="0"/>
              <w:right w:val="single" w:color="000000" w:sz="4" w:space="0"/>
            </w:tcBorders>
            <w:noWrap w:val="0"/>
            <w:vAlign w:val="top"/>
          </w:tcPr>
          <w:p w14:paraId="0120E0F1">
            <w:pPr>
              <w:widowControl/>
              <w:jc w:val="left"/>
              <w:rPr>
                <w:rFonts w:hint="eastAsia" w:ascii="宋体" w:hAnsi="宋体" w:cs="宋体"/>
                <w:b/>
                <w:bCs/>
                <w:kern w:val="0"/>
                <w:sz w:val="24"/>
              </w:rPr>
            </w:pPr>
            <w:r>
              <w:rPr>
                <w:rFonts w:hint="eastAsia" w:ascii="宋体" w:hAnsi="宋体" w:cs="宋体"/>
                <w:b/>
                <w:bCs/>
                <w:kern w:val="0"/>
                <w:sz w:val="24"/>
              </w:rPr>
              <w:t>工程预算清单：</w:t>
            </w:r>
          </w:p>
        </w:tc>
      </w:tr>
      <w:tr w14:paraId="04CB2C99">
        <w:tblPrEx>
          <w:tblCellMar>
            <w:top w:w="0" w:type="dxa"/>
            <w:left w:w="108" w:type="dxa"/>
            <w:bottom w:w="0" w:type="dxa"/>
            <w:right w:w="108" w:type="dxa"/>
          </w:tblCellMar>
        </w:tblPrEx>
        <w:trPr>
          <w:trHeight w:val="312" w:hRule="atLeast"/>
          <w:jc w:val="center"/>
        </w:trPr>
        <w:tc>
          <w:tcPr>
            <w:tcW w:w="9499" w:type="dxa"/>
            <w:gridSpan w:val="6"/>
            <w:vMerge w:val="continue"/>
            <w:tcBorders>
              <w:top w:val="single" w:color="auto" w:sz="4" w:space="0"/>
              <w:left w:val="single" w:color="auto" w:sz="4" w:space="0"/>
              <w:bottom w:val="single" w:color="auto" w:sz="4" w:space="0"/>
              <w:right w:val="single" w:color="000000" w:sz="4" w:space="0"/>
            </w:tcBorders>
            <w:noWrap w:val="0"/>
            <w:vAlign w:val="center"/>
          </w:tcPr>
          <w:p w14:paraId="0BE9043F">
            <w:pPr>
              <w:widowControl/>
              <w:jc w:val="left"/>
              <w:rPr>
                <w:rFonts w:hint="eastAsia" w:ascii="宋体" w:hAnsi="宋体" w:cs="宋体"/>
                <w:b/>
                <w:bCs/>
                <w:kern w:val="0"/>
                <w:sz w:val="24"/>
              </w:rPr>
            </w:pPr>
          </w:p>
        </w:tc>
      </w:tr>
      <w:tr w14:paraId="68B2CA3E">
        <w:tblPrEx>
          <w:tblCellMar>
            <w:top w:w="0" w:type="dxa"/>
            <w:left w:w="108" w:type="dxa"/>
            <w:bottom w:w="0" w:type="dxa"/>
            <w:right w:w="108" w:type="dxa"/>
          </w:tblCellMar>
        </w:tblPrEx>
        <w:trPr>
          <w:trHeight w:val="312" w:hRule="atLeast"/>
          <w:jc w:val="center"/>
        </w:trPr>
        <w:tc>
          <w:tcPr>
            <w:tcW w:w="9499" w:type="dxa"/>
            <w:gridSpan w:val="6"/>
            <w:vMerge w:val="continue"/>
            <w:tcBorders>
              <w:top w:val="single" w:color="auto" w:sz="4" w:space="0"/>
              <w:left w:val="single" w:color="auto" w:sz="4" w:space="0"/>
              <w:bottom w:val="single" w:color="auto" w:sz="4" w:space="0"/>
              <w:right w:val="single" w:color="000000" w:sz="4" w:space="0"/>
            </w:tcBorders>
            <w:noWrap w:val="0"/>
            <w:vAlign w:val="center"/>
          </w:tcPr>
          <w:p w14:paraId="6FC69BA8">
            <w:pPr>
              <w:widowControl/>
              <w:jc w:val="left"/>
              <w:rPr>
                <w:rFonts w:hint="eastAsia" w:ascii="宋体" w:hAnsi="宋体" w:cs="宋体"/>
                <w:b/>
                <w:bCs/>
                <w:kern w:val="0"/>
                <w:sz w:val="24"/>
              </w:rPr>
            </w:pPr>
          </w:p>
        </w:tc>
      </w:tr>
      <w:tr w14:paraId="12B87E7B">
        <w:tblPrEx>
          <w:tblCellMar>
            <w:top w:w="0" w:type="dxa"/>
            <w:left w:w="108" w:type="dxa"/>
            <w:bottom w:w="0" w:type="dxa"/>
            <w:right w:w="108" w:type="dxa"/>
          </w:tblCellMar>
        </w:tblPrEx>
        <w:trPr>
          <w:trHeight w:val="312" w:hRule="atLeast"/>
          <w:jc w:val="center"/>
        </w:trPr>
        <w:tc>
          <w:tcPr>
            <w:tcW w:w="9499" w:type="dxa"/>
            <w:gridSpan w:val="6"/>
            <w:vMerge w:val="continue"/>
            <w:tcBorders>
              <w:top w:val="single" w:color="auto" w:sz="4" w:space="0"/>
              <w:left w:val="single" w:color="auto" w:sz="4" w:space="0"/>
              <w:bottom w:val="single" w:color="auto" w:sz="4" w:space="0"/>
              <w:right w:val="single" w:color="000000" w:sz="4" w:space="0"/>
            </w:tcBorders>
            <w:noWrap w:val="0"/>
            <w:vAlign w:val="center"/>
          </w:tcPr>
          <w:p w14:paraId="07338F83">
            <w:pPr>
              <w:widowControl/>
              <w:jc w:val="left"/>
              <w:rPr>
                <w:rFonts w:hint="eastAsia" w:ascii="宋体" w:hAnsi="宋体" w:cs="宋体"/>
                <w:b/>
                <w:bCs/>
                <w:kern w:val="0"/>
                <w:sz w:val="24"/>
              </w:rPr>
            </w:pPr>
          </w:p>
        </w:tc>
      </w:tr>
      <w:tr w14:paraId="4DC2513F">
        <w:tblPrEx>
          <w:tblCellMar>
            <w:top w:w="0" w:type="dxa"/>
            <w:left w:w="108" w:type="dxa"/>
            <w:bottom w:w="0" w:type="dxa"/>
            <w:right w:w="108" w:type="dxa"/>
          </w:tblCellMar>
        </w:tblPrEx>
        <w:trPr>
          <w:trHeight w:val="312" w:hRule="atLeast"/>
          <w:jc w:val="center"/>
        </w:trPr>
        <w:tc>
          <w:tcPr>
            <w:tcW w:w="9499" w:type="dxa"/>
            <w:gridSpan w:val="6"/>
            <w:vMerge w:val="continue"/>
            <w:tcBorders>
              <w:top w:val="single" w:color="auto" w:sz="4" w:space="0"/>
              <w:left w:val="single" w:color="auto" w:sz="4" w:space="0"/>
              <w:bottom w:val="single" w:color="auto" w:sz="4" w:space="0"/>
              <w:right w:val="single" w:color="000000" w:sz="4" w:space="0"/>
            </w:tcBorders>
            <w:noWrap w:val="0"/>
            <w:vAlign w:val="center"/>
          </w:tcPr>
          <w:p w14:paraId="295C25D1">
            <w:pPr>
              <w:widowControl/>
              <w:jc w:val="left"/>
              <w:rPr>
                <w:rFonts w:hint="eastAsia" w:ascii="宋体" w:hAnsi="宋体" w:cs="宋体"/>
                <w:b/>
                <w:bCs/>
                <w:kern w:val="0"/>
                <w:sz w:val="24"/>
              </w:rPr>
            </w:pPr>
          </w:p>
        </w:tc>
      </w:tr>
      <w:tr w14:paraId="7A067450">
        <w:tblPrEx>
          <w:tblCellMar>
            <w:top w:w="0" w:type="dxa"/>
            <w:left w:w="108" w:type="dxa"/>
            <w:bottom w:w="0" w:type="dxa"/>
            <w:right w:w="108" w:type="dxa"/>
          </w:tblCellMar>
        </w:tblPrEx>
        <w:trPr>
          <w:trHeight w:val="312" w:hRule="atLeast"/>
          <w:jc w:val="center"/>
        </w:trPr>
        <w:tc>
          <w:tcPr>
            <w:tcW w:w="9499" w:type="dxa"/>
            <w:gridSpan w:val="6"/>
            <w:vMerge w:val="continue"/>
            <w:tcBorders>
              <w:top w:val="single" w:color="auto" w:sz="4" w:space="0"/>
              <w:left w:val="single" w:color="auto" w:sz="4" w:space="0"/>
              <w:bottom w:val="single" w:color="auto" w:sz="4" w:space="0"/>
              <w:right w:val="single" w:color="000000" w:sz="4" w:space="0"/>
            </w:tcBorders>
            <w:noWrap w:val="0"/>
            <w:vAlign w:val="center"/>
          </w:tcPr>
          <w:p w14:paraId="1144A923">
            <w:pPr>
              <w:widowControl/>
              <w:jc w:val="left"/>
              <w:rPr>
                <w:rFonts w:hint="eastAsia" w:ascii="宋体" w:hAnsi="宋体" w:cs="宋体"/>
                <w:b/>
                <w:bCs/>
                <w:kern w:val="0"/>
                <w:sz w:val="24"/>
              </w:rPr>
            </w:pPr>
          </w:p>
        </w:tc>
      </w:tr>
      <w:tr w14:paraId="202065C5">
        <w:tblPrEx>
          <w:tblCellMar>
            <w:top w:w="0" w:type="dxa"/>
            <w:left w:w="108" w:type="dxa"/>
            <w:bottom w:w="0" w:type="dxa"/>
            <w:right w:w="108" w:type="dxa"/>
          </w:tblCellMar>
        </w:tblPrEx>
        <w:trPr>
          <w:trHeight w:val="766" w:hRule="atLeast"/>
          <w:jc w:val="center"/>
        </w:trPr>
        <w:tc>
          <w:tcPr>
            <w:tcW w:w="9499" w:type="dxa"/>
            <w:gridSpan w:val="6"/>
            <w:vMerge w:val="continue"/>
            <w:tcBorders>
              <w:top w:val="single" w:color="auto" w:sz="4" w:space="0"/>
              <w:left w:val="single" w:color="auto" w:sz="4" w:space="0"/>
              <w:bottom w:val="single" w:color="auto" w:sz="4" w:space="0"/>
              <w:right w:val="single" w:color="000000" w:sz="4" w:space="0"/>
            </w:tcBorders>
            <w:noWrap w:val="0"/>
            <w:vAlign w:val="center"/>
          </w:tcPr>
          <w:p w14:paraId="3DB08136">
            <w:pPr>
              <w:widowControl/>
              <w:jc w:val="left"/>
              <w:rPr>
                <w:rFonts w:hint="eastAsia" w:ascii="宋体" w:hAnsi="宋体" w:cs="宋体"/>
                <w:b/>
                <w:bCs/>
                <w:kern w:val="0"/>
                <w:sz w:val="24"/>
              </w:rPr>
            </w:pPr>
          </w:p>
        </w:tc>
      </w:tr>
      <w:tr w14:paraId="0225E854">
        <w:tblPrEx>
          <w:tblCellMar>
            <w:top w:w="0" w:type="dxa"/>
            <w:left w:w="108" w:type="dxa"/>
            <w:bottom w:w="0" w:type="dxa"/>
            <w:right w:w="108" w:type="dxa"/>
          </w:tblCellMar>
        </w:tblPrEx>
        <w:trPr>
          <w:trHeight w:val="2489" w:hRule="atLeast"/>
          <w:jc w:val="center"/>
        </w:trPr>
        <w:tc>
          <w:tcPr>
            <w:tcW w:w="9499" w:type="dxa"/>
            <w:gridSpan w:val="6"/>
            <w:tcBorders>
              <w:top w:val="single" w:color="auto" w:sz="4" w:space="0"/>
              <w:left w:val="single" w:color="auto" w:sz="4" w:space="0"/>
              <w:bottom w:val="single" w:color="auto" w:sz="4" w:space="0"/>
              <w:right w:val="single" w:color="000000" w:sz="4" w:space="0"/>
            </w:tcBorders>
            <w:noWrap w:val="0"/>
            <w:vAlign w:val="top"/>
          </w:tcPr>
          <w:p w14:paraId="2CF88238">
            <w:pPr>
              <w:widowControl/>
              <w:jc w:val="left"/>
              <w:rPr>
                <w:rFonts w:hint="eastAsia" w:ascii="宋体" w:hAnsi="宋体" w:cs="宋体"/>
                <w:b/>
                <w:bCs/>
                <w:kern w:val="0"/>
                <w:sz w:val="24"/>
              </w:rPr>
            </w:pPr>
            <w:r>
              <w:rPr>
                <w:rFonts w:hint="eastAsia" w:ascii="宋体" w:hAnsi="宋体" w:cs="宋体"/>
                <w:b/>
                <w:bCs/>
                <w:kern w:val="0"/>
                <w:sz w:val="24"/>
              </w:rPr>
              <w:t>工程完成情况：</w:t>
            </w:r>
          </w:p>
        </w:tc>
      </w:tr>
      <w:tr w14:paraId="6EB0E6A0">
        <w:tblPrEx>
          <w:tblCellMar>
            <w:top w:w="0" w:type="dxa"/>
            <w:left w:w="108" w:type="dxa"/>
            <w:bottom w:w="0" w:type="dxa"/>
            <w:right w:w="108" w:type="dxa"/>
          </w:tblCellMar>
        </w:tblPrEx>
        <w:trPr>
          <w:trHeight w:val="1584" w:hRule="atLeast"/>
          <w:jc w:val="center"/>
        </w:trPr>
        <w:tc>
          <w:tcPr>
            <w:tcW w:w="9499" w:type="dxa"/>
            <w:gridSpan w:val="6"/>
            <w:tcBorders>
              <w:top w:val="single" w:color="auto" w:sz="4" w:space="0"/>
              <w:left w:val="single" w:color="auto" w:sz="4" w:space="0"/>
              <w:bottom w:val="single" w:color="auto" w:sz="4" w:space="0"/>
              <w:right w:val="single" w:color="000000" w:sz="4" w:space="0"/>
            </w:tcBorders>
            <w:noWrap w:val="0"/>
            <w:vAlign w:val="top"/>
          </w:tcPr>
          <w:p w14:paraId="16C2A62D">
            <w:pPr>
              <w:widowControl/>
              <w:jc w:val="left"/>
              <w:rPr>
                <w:rFonts w:hint="eastAsia" w:ascii="宋体" w:hAnsi="宋体" w:cs="宋体"/>
                <w:b/>
                <w:bCs/>
                <w:kern w:val="0"/>
                <w:sz w:val="24"/>
              </w:rPr>
            </w:pPr>
            <w:r>
              <w:rPr>
                <w:rFonts w:hint="eastAsia" w:ascii="宋体" w:hAnsi="宋体" w:cs="宋体"/>
                <w:b/>
                <w:bCs/>
                <w:kern w:val="0"/>
                <w:sz w:val="24"/>
              </w:rPr>
              <w:t>验收意见：</w:t>
            </w:r>
          </w:p>
        </w:tc>
      </w:tr>
      <w:tr w14:paraId="26EEAE9C">
        <w:tblPrEx>
          <w:tblCellMar>
            <w:top w:w="0" w:type="dxa"/>
            <w:left w:w="108" w:type="dxa"/>
            <w:bottom w:w="0" w:type="dxa"/>
            <w:right w:w="108" w:type="dxa"/>
          </w:tblCellMar>
        </w:tblPrEx>
        <w:trPr>
          <w:trHeight w:val="850" w:hRule="atLeast"/>
          <w:jc w:val="center"/>
        </w:trPr>
        <w:tc>
          <w:tcPr>
            <w:tcW w:w="9499" w:type="dxa"/>
            <w:gridSpan w:val="6"/>
            <w:tcBorders>
              <w:top w:val="single" w:color="auto" w:sz="4" w:space="0"/>
              <w:left w:val="single" w:color="auto" w:sz="4" w:space="0"/>
              <w:bottom w:val="single" w:color="auto" w:sz="4" w:space="0"/>
              <w:right w:val="single" w:color="000000" w:sz="4" w:space="0"/>
            </w:tcBorders>
            <w:noWrap w:val="0"/>
            <w:vAlign w:val="bottom"/>
          </w:tcPr>
          <w:p w14:paraId="2701BE8F">
            <w:pPr>
              <w:widowControl/>
              <w:jc w:val="left"/>
              <w:rPr>
                <w:rFonts w:hint="eastAsia" w:ascii="宋体" w:hAnsi="宋体" w:cs="宋体"/>
                <w:kern w:val="0"/>
                <w:sz w:val="24"/>
              </w:rPr>
            </w:pPr>
            <w:r>
              <w:rPr>
                <w:rFonts w:hint="eastAsia" w:ascii="宋体" w:hAnsi="宋体" w:cs="宋体"/>
                <w:kern w:val="0"/>
                <w:sz w:val="24"/>
              </w:rPr>
              <w:t>验收单位：</w:t>
            </w:r>
          </w:p>
          <w:p w14:paraId="43463856">
            <w:pPr>
              <w:pStyle w:val="31"/>
              <w:ind w:left="1260"/>
              <w:rPr>
                <w:rFonts w:hint="eastAsia" w:ascii="宋体" w:hAnsi="宋体" w:cs="宋体"/>
              </w:rPr>
            </w:pPr>
          </w:p>
          <w:p w14:paraId="5E84504A">
            <w:pPr>
              <w:widowControl/>
              <w:jc w:val="left"/>
              <w:rPr>
                <w:rFonts w:hint="eastAsia" w:ascii="宋体" w:hAnsi="宋体" w:cs="宋体"/>
                <w:kern w:val="0"/>
                <w:sz w:val="24"/>
              </w:rPr>
            </w:pPr>
            <w:r>
              <w:rPr>
                <w:rFonts w:hint="eastAsia" w:ascii="宋体" w:hAnsi="宋体" w:cs="宋体"/>
                <w:kern w:val="0"/>
                <w:sz w:val="24"/>
              </w:rPr>
              <w:t>验收人：                                      施工单位负责人：</w:t>
            </w:r>
          </w:p>
        </w:tc>
      </w:tr>
    </w:tbl>
    <w:p w14:paraId="4707310A">
      <w:pPr>
        <w:rPr>
          <w:rFonts w:hint="eastAsia" w:ascii="宋体" w:hAnsi="宋体" w:cs="宋体"/>
        </w:rPr>
      </w:pPr>
      <w:r>
        <w:rPr>
          <w:rFonts w:hint="eastAsia" w:ascii="宋体" w:hAnsi="宋体" w:cs="宋体"/>
        </w:rPr>
        <w:br w:type="page"/>
      </w:r>
    </w:p>
    <w:p w14:paraId="132E4546">
      <w:pPr>
        <w:rPr>
          <w:rFonts w:hint="eastAsia"/>
        </w:rPr>
      </w:pPr>
    </w:p>
    <w:p w14:paraId="4DD9F38E">
      <w:pPr>
        <w:numPr>
          <w:ilvl w:val="0"/>
          <w:numId w:val="5"/>
        </w:numPr>
        <w:autoSpaceDE w:val="0"/>
        <w:autoSpaceDN w:val="0"/>
        <w:snapToGrid w:val="0"/>
        <w:spacing w:line="360" w:lineRule="auto"/>
        <w:textAlignment w:val="bottom"/>
        <w:rPr>
          <w:rFonts w:hint="eastAsia" w:ascii="宋体" w:hAnsi="宋体" w:cs="宋体"/>
          <w:sz w:val="24"/>
        </w:rPr>
      </w:pPr>
      <w:r>
        <w:rPr>
          <w:rFonts w:hint="eastAsia" w:ascii="宋体" w:hAnsi="宋体" w:cs="宋体"/>
          <w:b/>
          <w:sz w:val="24"/>
          <w:lang w:val="zh-CN"/>
        </w:rPr>
        <w:t>考核办法：</w:t>
      </w:r>
    </w:p>
    <w:p w14:paraId="29018CCC">
      <w:pPr>
        <w:autoSpaceDE w:val="0"/>
        <w:autoSpaceDN w:val="0"/>
        <w:snapToGrid w:val="0"/>
        <w:spacing w:line="360" w:lineRule="auto"/>
        <w:ind w:firstLine="482" w:firstLineChars="200"/>
        <w:textAlignment w:val="bottom"/>
        <w:rPr>
          <w:rFonts w:hint="default" w:ascii="宋体" w:hAnsi="宋体" w:eastAsia="宋体" w:cs="宋体"/>
          <w:b/>
          <w:bCs/>
          <w:sz w:val="24"/>
          <w:lang w:val="en-US" w:eastAsia="zh-CN"/>
        </w:rPr>
      </w:pPr>
      <w:r>
        <w:rPr>
          <w:rFonts w:hint="eastAsia" w:ascii="宋体" w:hAnsi="宋体" w:cs="宋体"/>
          <w:b/>
          <w:bCs/>
          <w:sz w:val="24"/>
        </w:rPr>
        <w:t>供应商考核基础分为100分，实行扣分制。本项目每年度末考核一次。一年服务期满后，若年度考核分≥</w:t>
      </w:r>
      <w:r>
        <w:rPr>
          <w:rFonts w:hint="eastAsia" w:ascii="宋体" w:hAnsi="宋体" w:cs="宋体"/>
          <w:b/>
          <w:bCs/>
          <w:sz w:val="24"/>
          <w:lang w:val="en-US" w:eastAsia="zh-CN"/>
        </w:rPr>
        <w:t>90</w:t>
      </w:r>
      <w:r>
        <w:rPr>
          <w:rFonts w:hint="eastAsia" w:ascii="宋体" w:hAnsi="宋体" w:cs="宋体"/>
          <w:b/>
          <w:bCs/>
          <w:sz w:val="24"/>
        </w:rPr>
        <w:t>分</w:t>
      </w:r>
      <w:r>
        <w:rPr>
          <w:rFonts w:hint="eastAsia" w:ascii="宋体" w:hAnsi="宋体" w:cs="宋体"/>
          <w:b/>
          <w:bCs/>
          <w:sz w:val="24"/>
          <w:lang w:eastAsia="zh-CN"/>
        </w:rPr>
        <w:t>，</w:t>
      </w:r>
      <w:r>
        <w:rPr>
          <w:rFonts w:hint="eastAsia" w:ascii="宋体" w:hAnsi="宋体" w:cs="宋体"/>
          <w:b/>
          <w:bCs/>
          <w:sz w:val="24"/>
          <w:lang w:val="en-US" w:eastAsia="zh-CN"/>
        </w:rPr>
        <w:t>全额支付合同款项；85分≤年度考核得分＜90</w:t>
      </w:r>
      <w:r>
        <w:rPr>
          <w:rFonts w:hint="eastAsia" w:ascii="宋体" w:hAnsi="宋体" w:cs="宋体"/>
          <w:b/>
          <w:bCs/>
          <w:sz w:val="24"/>
        </w:rPr>
        <w:t>分</w:t>
      </w:r>
      <w:r>
        <w:rPr>
          <w:rFonts w:hint="eastAsia" w:ascii="宋体" w:hAnsi="宋体" w:cs="宋体"/>
          <w:b/>
          <w:bCs/>
          <w:sz w:val="24"/>
          <w:lang w:eastAsia="zh-CN"/>
        </w:rPr>
        <w:t>，</w:t>
      </w:r>
      <w:r>
        <w:rPr>
          <w:rFonts w:hint="eastAsia" w:ascii="宋体" w:hAnsi="宋体" w:cs="宋体"/>
          <w:b/>
          <w:bCs/>
          <w:sz w:val="24"/>
          <w:lang w:val="en-US" w:eastAsia="zh-CN"/>
        </w:rPr>
        <w:t>在90分的基础上每降低1分扣罚2000元；80分≤年度考核得分＜85</w:t>
      </w:r>
      <w:r>
        <w:rPr>
          <w:rFonts w:hint="eastAsia" w:ascii="宋体" w:hAnsi="宋体" w:cs="宋体"/>
          <w:b/>
          <w:bCs/>
          <w:sz w:val="24"/>
        </w:rPr>
        <w:t>分</w:t>
      </w:r>
      <w:r>
        <w:rPr>
          <w:rFonts w:hint="eastAsia" w:ascii="宋体" w:hAnsi="宋体" w:cs="宋体"/>
          <w:b/>
          <w:bCs/>
          <w:sz w:val="24"/>
          <w:lang w:eastAsia="zh-CN"/>
        </w:rPr>
        <w:t>，</w:t>
      </w:r>
      <w:r>
        <w:rPr>
          <w:rFonts w:hint="eastAsia" w:ascii="宋体" w:hAnsi="宋体" w:cs="宋体"/>
          <w:b/>
          <w:bCs/>
          <w:sz w:val="24"/>
          <w:lang w:val="en-US" w:eastAsia="zh-CN"/>
        </w:rPr>
        <w:t>在85分的基础上每降低1分累加扣罚5000元；75分≤年度考核得分＜80</w:t>
      </w:r>
      <w:r>
        <w:rPr>
          <w:rFonts w:hint="eastAsia" w:ascii="宋体" w:hAnsi="宋体" w:cs="宋体"/>
          <w:b/>
          <w:bCs/>
          <w:sz w:val="24"/>
        </w:rPr>
        <w:t>分</w:t>
      </w:r>
      <w:r>
        <w:rPr>
          <w:rFonts w:hint="eastAsia" w:ascii="宋体" w:hAnsi="宋体" w:cs="宋体"/>
          <w:b/>
          <w:bCs/>
          <w:sz w:val="24"/>
          <w:lang w:eastAsia="zh-CN"/>
        </w:rPr>
        <w:t>，</w:t>
      </w:r>
      <w:r>
        <w:rPr>
          <w:rFonts w:hint="eastAsia" w:ascii="宋体" w:hAnsi="宋体" w:cs="宋体"/>
          <w:b/>
          <w:bCs/>
          <w:sz w:val="24"/>
          <w:lang w:val="en-US" w:eastAsia="zh-CN"/>
        </w:rPr>
        <w:t>在80分的基础上每降低1分累加扣罚10000元；年度考核得分＜75</w:t>
      </w:r>
      <w:r>
        <w:rPr>
          <w:rFonts w:hint="eastAsia" w:ascii="宋体" w:hAnsi="宋体" w:cs="宋体"/>
          <w:b/>
          <w:bCs/>
          <w:sz w:val="24"/>
        </w:rPr>
        <w:t>分</w:t>
      </w:r>
      <w:r>
        <w:rPr>
          <w:rFonts w:hint="eastAsia" w:ascii="宋体" w:hAnsi="宋体" w:cs="宋体"/>
          <w:b/>
          <w:bCs/>
          <w:sz w:val="24"/>
          <w:lang w:eastAsia="zh-CN"/>
        </w:rPr>
        <w:t>，</w:t>
      </w:r>
      <w:r>
        <w:rPr>
          <w:rFonts w:hint="eastAsia" w:ascii="宋体" w:hAnsi="宋体" w:cs="宋体"/>
          <w:b/>
          <w:bCs/>
          <w:sz w:val="24"/>
          <w:lang w:val="en-US" w:eastAsia="zh-CN"/>
        </w:rPr>
        <w:t>除扣罚处罚金外，不予续签合同</w:t>
      </w:r>
      <w:r>
        <w:rPr>
          <w:rFonts w:hint="eastAsia" w:ascii="宋体" w:hAnsi="宋体" w:cs="宋体"/>
          <w:b/>
          <w:bCs/>
          <w:sz w:val="24"/>
          <w:lang w:eastAsia="zh-CN"/>
        </w:rPr>
        <w:t>。</w:t>
      </w:r>
    </w:p>
    <w:tbl>
      <w:tblPr>
        <w:tblStyle w:val="64"/>
        <w:tblW w:w="9620" w:type="dxa"/>
        <w:jc w:val="center"/>
        <w:tblLayout w:type="fixed"/>
        <w:tblCellMar>
          <w:top w:w="0" w:type="dxa"/>
          <w:left w:w="108" w:type="dxa"/>
          <w:bottom w:w="0" w:type="dxa"/>
          <w:right w:w="108" w:type="dxa"/>
        </w:tblCellMar>
      </w:tblPr>
      <w:tblGrid>
        <w:gridCol w:w="1116"/>
        <w:gridCol w:w="945"/>
        <w:gridCol w:w="558"/>
        <w:gridCol w:w="2170"/>
        <w:gridCol w:w="3271"/>
        <w:gridCol w:w="775"/>
        <w:gridCol w:w="785"/>
      </w:tblGrid>
      <w:tr w14:paraId="55D2EA01">
        <w:tblPrEx>
          <w:tblCellMar>
            <w:top w:w="0" w:type="dxa"/>
            <w:left w:w="108" w:type="dxa"/>
            <w:bottom w:w="0" w:type="dxa"/>
            <w:right w:w="108" w:type="dxa"/>
          </w:tblCellMar>
        </w:tblPrEx>
        <w:trPr>
          <w:trHeight w:val="90" w:hRule="atLeast"/>
          <w:jc w:val="center"/>
        </w:trPr>
        <w:tc>
          <w:tcPr>
            <w:tcW w:w="9620" w:type="dxa"/>
            <w:gridSpan w:val="7"/>
            <w:tcBorders>
              <w:top w:val="single" w:color="auto" w:sz="4" w:space="0"/>
              <w:left w:val="single" w:color="auto" w:sz="4" w:space="0"/>
              <w:bottom w:val="single" w:color="auto" w:sz="4" w:space="0"/>
              <w:right w:val="single" w:color="auto" w:sz="4" w:space="0"/>
            </w:tcBorders>
            <w:noWrap w:val="0"/>
            <w:vAlign w:val="center"/>
          </w:tcPr>
          <w:p w14:paraId="6C71435C">
            <w:pPr>
              <w:widowControl/>
              <w:jc w:val="center"/>
              <w:rPr>
                <w:rFonts w:hint="eastAsia" w:ascii="宋体" w:hAnsi="宋体" w:cs="宋体"/>
                <w:b/>
                <w:bCs/>
                <w:kern w:val="0"/>
                <w:sz w:val="22"/>
                <w:szCs w:val="22"/>
              </w:rPr>
            </w:pPr>
            <w:r>
              <w:rPr>
                <w:rFonts w:hint="eastAsia" w:ascii="宋体" w:hAnsi="宋体" w:cs="宋体"/>
                <w:b/>
                <w:bCs/>
                <w:kern w:val="0"/>
                <w:sz w:val="22"/>
                <w:szCs w:val="22"/>
              </w:rPr>
              <w:t xml:space="preserve"> </w:t>
            </w:r>
            <w:r>
              <w:rPr>
                <w:rFonts w:hint="eastAsia" w:ascii="宋体" w:hAnsi="宋体" w:cs="宋体"/>
                <w:b/>
                <w:bCs/>
                <w:kern w:val="0"/>
                <w:sz w:val="22"/>
                <w:szCs w:val="22"/>
                <w:lang w:eastAsia="zh-CN"/>
              </w:rPr>
              <w:t>龙港</w:t>
            </w:r>
            <w:r>
              <w:rPr>
                <w:rFonts w:hint="eastAsia" w:ascii="宋体" w:hAnsi="宋体" w:cs="宋体"/>
                <w:b/>
                <w:bCs/>
                <w:kern w:val="0"/>
                <w:sz w:val="22"/>
                <w:szCs w:val="22"/>
              </w:rPr>
              <w:t xml:space="preserve">市道路交通标志标线维护单位年度考核评分表                            </w:t>
            </w:r>
          </w:p>
        </w:tc>
      </w:tr>
      <w:tr w14:paraId="6B6560E7">
        <w:tblPrEx>
          <w:tblCellMar>
            <w:top w:w="0" w:type="dxa"/>
            <w:left w:w="108" w:type="dxa"/>
            <w:bottom w:w="0" w:type="dxa"/>
            <w:right w:w="108" w:type="dxa"/>
          </w:tblCellMar>
        </w:tblPrEx>
        <w:trPr>
          <w:trHeight w:val="90" w:hRule="atLeast"/>
          <w:jc w:val="center"/>
        </w:trPr>
        <w:tc>
          <w:tcPr>
            <w:tcW w:w="8060" w:type="dxa"/>
            <w:gridSpan w:val="5"/>
            <w:tcBorders>
              <w:top w:val="single" w:color="auto" w:sz="4" w:space="0"/>
              <w:left w:val="single" w:color="auto" w:sz="4" w:space="0"/>
              <w:bottom w:val="nil"/>
              <w:right w:val="single" w:color="000000" w:sz="4" w:space="0"/>
            </w:tcBorders>
            <w:noWrap w:val="0"/>
            <w:vAlign w:val="bottom"/>
          </w:tcPr>
          <w:p w14:paraId="777B9D08">
            <w:pPr>
              <w:widowControl/>
              <w:rPr>
                <w:rFonts w:hint="eastAsia" w:ascii="宋体" w:hAnsi="宋体" w:cs="宋体"/>
                <w:b/>
                <w:bCs/>
                <w:kern w:val="0"/>
                <w:sz w:val="22"/>
                <w:szCs w:val="22"/>
              </w:rPr>
            </w:pPr>
            <w:r>
              <w:rPr>
                <w:rFonts w:hint="eastAsia" w:ascii="宋体" w:hAnsi="宋体" w:cs="宋体"/>
                <w:b/>
                <w:bCs/>
                <w:kern w:val="0"/>
                <w:sz w:val="22"/>
                <w:szCs w:val="22"/>
              </w:rPr>
              <w:t xml:space="preserve">施工单位：            考核时间：                    考核得分：          </w:t>
            </w:r>
          </w:p>
        </w:tc>
        <w:tc>
          <w:tcPr>
            <w:tcW w:w="775" w:type="dxa"/>
            <w:tcBorders>
              <w:top w:val="nil"/>
              <w:left w:val="nil"/>
              <w:bottom w:val="nil"/>
              <w:right w:val="single" w:color="auto" w:sz="4" w:space="0"/>
            </w:tcBorders>
            <w:noWrap w:val="0"/>
            <w:vAlign w:val="bottom"/>
          </w:tcPr>
          <w:p w14:paraId="06C006B0">
            <w:pPr>
              <w:widowControl/>
              <w:jc w:val="center"/>
              <w:rPr>
                <w:rFonts w:hint="eastAsia" w:ascii="宋体" w:hAnsi="宋体" w:cs="宋体"/>
                <w:b/>
                <w:bCs/>
                <w:kern w:val="0"/>
                <w:sz w:val="22"/>
                <w:szCs w:val="22"/>
              </w:rPr>
            </w:pPr>
            <w:r>
              <w:rPr>
                <w:rFonts w:hint="eastAsia" w:ascii="宋体" w:hAnsi="宋体" w:cs="宋体"/>
                <w:b/>
                <w:bCs/>
                <w:kern w:val="0"/>
                <w:sz w:val="22"/>
                <w:szCs w:val="22"/>
              </w:rPr>
              <w:t>分值</w:t>
            </w:r>
          </w:p>
        </w:tc>
        <w:tc>
          <w:tcPr>
            <w:tcW w:w="785" w:type="dxa"/>
            <w:tcBorders>
              <w:top w:val="nil"/>
              <w:left w:val="nil"/>
              <w:bottom w:val="nil"/>
              <w:right w:val="single" w:color="auto" w:sz="4" w:space="0"/>
            </w:tcBorders>
            <w:noWrap w:val="0"/>
            <w:vAlign w:val="bottom"/>
          </w:tcPr>
          <w:p w14:paraId="1AE8F932">
            <w:pPr>
              <w:widowControl/>
              <w:jc w:val="center"/>
              <w:rPr>
                <w:rFonts w:hint="eastAsia" w:ascii="宋体" w:hAnsi="宋体" w:cs="宋体"/>
                <w:b/>
                <w:bCs/>
                <w:kern w:val="0"/>
                <w:sz w:val="22"/>
                <w:szCs w:val="22"/>
              </w:rPr>
            </w:pPr>
            <w:r>
              <w:rPr>
                <w:rFonts w:hint="eastAsia" w:ascii="宋体" w:hAnsi="宋体" w:cs="宋体"/>
                <w:b/>
                <w:bCs/>
                <w:kern w:val="0"/>
                <w:sz w:val="22"/>
                <w:szCs w:val="22"/>
              </w:rPr>
              <w:t>扣分</w:t>
            </w:r>
          </w:p>
        </w:tc>
      </w:tr>
      <w:tr w14:paraId="23B6D9F4">
        <w:tblPrEx>
          <w:tblCellMar>
            <w:top w:w="0" w:type="dxa"/>
            <w:left w:w="108" w:type="dxa"/>
            <w:bottom w:w="0" w:type="dxa"/>
            <w:right w:w="108" w:type="dxa"/>
          </w:tblCellMar>
        </w:tblPrEx>
        <w:trPr>
          <w:trHeight w:val="90" w:hRule="atLeast"/>
          <w:jc w:val="center"/>
        </w:trPr>
        <w:tc>
          <w:tcPr>
            <w:tcW w:w="1116" w:type="dxa"/>
            <w:vMerge w:val="restart"/>
            <w:tcBorders>
              <w:top w:val="single" w:color="auto" w:sz="4" w:space="0"/>
              <w:left w:val="single" w:color="auto" w:sz="4" w:space="0"/>
              <w:bottom w:val="single" w:color="000000" w:sz="4" w:space="0"/>
              <w:right w:val="single" w:color="auto" w:sz="4" w:space="0"/>
            </w:tcBorders>
            <w:noWrap w:val="0"/>
            <w:vAlign w:val="center"/>
          </w:tcPr>
          <w:p w14:paraId="13858645">
            <w:pPr>
              <w:widowControl/>
              <w:jc w:val="center"/>
              <w:rPr>
                <w:rFonts w:hint="eastAsia" w:ascii="宋体" w:hAnsi="宋体" w:cs="宋体"/>
                <w:kern w:val="0"/>
                <w:sz w:val="22"/>
                <w:szCs w:val="22"/>
              </w:rPr>
            </w:pPr>
            <w:r>
              <w:rPr>
                <w:rFonts w:hint="eastAsia" w:ascii="宋体" w:hAnsi="宋体" w:cs="宋体"/>
                <w:kern w:val="0"/>
                <w:sz w:val="22"/>
                <w:szCs w:val="22"/>
              </w:rPr>
              <w:t>项目考核</w:t>
            </w: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14:paraId="2FF0E6FB">
            <w:pPr>
              <w:widowControl/>
              <w:jc w:val="center"/>
              <w:rPr>
                <w:rFonts w:hint="eastAsia" w:ascii="宋体" w:hAnsi="宋体" w:cs="宋体"/>
                <w:kern w:val="0"/>
                <w:sz w:val="22"/>
                <w:szCs w:val="22"/>
              </w:rPr>
            </w:pPr>
            <w:r>
              <w:rPr>
                <w:rFonts w:hint="eastAsia" w:ascii="宋体" w:hAnsi="宋体" w:cs="宋体"/>
                <w:kern w:val="0"/>
                <w:sz w:val="22"/>
                <w:szCs w:val="22"/>
              </w:rPr>
              <w:t>工作进度</w:t>
            </w:r>
          </w:p>
        </w:tc>
        <w:tc>
          <w:tcPr>
            <w:tcW w:w="558" w:type="dxa"/>
            <w:tcBorders>
              <w:top w:val="single" w:color="auto" w:sz="4" w:space="0"/>
              <w:left w:val="nil"/>
              <w:bottom w:val="single" w:color="auto" w:sz="4" w:space="0"/>
              <w:right w:val="single" w:color="auto" w:sz="4" w:space="0"/>
            </w:tcBorders>
            <w:noWrap w:val="0"/>
            <w:vAlign w:val="center"/>
          </w:tcPr>
          <w:p w14:paraId="0EAB5515">
            <w:pPr>
              <w:widowControl/>
              <w:jc w:val="center"/>
              <w:rPr>
                <w:rFonts w:hint="eastAsia" w:ascii="宋体" w:hAnsi="宋体" w:cs="宋体"/>
                <w:kern w:val="0"/>
                <w:sz w:val="22"/>
                <w:szCs w:val="22"/>
              </w:rPr>
            </w:pPr>
            <w:r>
              <w:rPr>
                <w:rFonts w:hint="eastAsia" w:ascii="宋体" w:hAnsi="宋体" w:cs="宋体"/>
                <w:kern w:val="0"/>
                <w:sz w:val="22"/>
                <w:szCs w:val="22"/>
              </w:rPr>
              <w:t>A-1</w:t>
            </w:r>
          </w:p>
        </w:tc>
        <w:tc>
          <w:tcPr>
            <w:tcW w:w="5441" w:type="dxa"/>
            <w:gridSpan w:val="2"/>
            <w:tcBorders>
              <w:top w:val="single" w:color="auto" w:sz="4" w:space="0"/>
              <w:left w:val="nil"/>
              <w:bottom w:val="single" w:color="auto" w:sz="4" w:space="0"/>
              <w:right w:val="single" w:color="auto" w:sz="4" w:space="0"/>
            </w:tcBorders>
            <w:noWrap w:val="0"/>
            <w:vAlign w:val="center"/>
          </w:tcPr>
          <w:p w14:paraId="2A023AF8">
            <w:pPr>
              <w:widowControl/>
              <w:rPr>
                <w:rFonts w:hint="eastAsia" w:ascii="宋体" w:hAnsi="宋体" w:cs="宋体"/>
                <w:kern w:val="0"/>
                <w:sz w:val="22"/>
                <w:szCs w:val="22"/>
              </w:rPr>
            </w:pPr>
            <w:r>
              <w:rPr>
                <w:rFonts w:hint="eastAsia" w:ascii="宋体" w:hAnsi="宋体" w:cs="宋体"/>
                <w:kern w:val="0"/>
                <w:sz w:val="22"/>
                <w:szCs w:val="22"/>
              </w:rPr>
              <w:t>工程建设进度信息有虚报、误报，每次</w:t>
            </w:r>
          </w:p>
        </w:tc>
        <w:tc>
          <w:tcPr>
            <w:tcW w:w="775" w:type="dxa"/>
            <w:tcBorders>
              <w:top w:val="single" w:color="auto" w:sz="4" w:space="0"/>
              <w:left w:val="nil"/>
              <w:bottom w:val="single" w:color="auto" w:sz="4" w:space="0"/>
              <w:right w:val="single" w:color="auto" w:sz="4" w:space="0"/>
            </w:tcBorders>
            <w:noWrap w:val="0"/>
            <w:vAlign w:val="center"/>
          </w:tcPr>
          <w:p w14:paraId="4F82FF96">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785" w:type="dxa"/>
            <w:tcBorders>
              <w:top w:val="single" w:color="auto" w:sz="4" w:space="0"/>
              <w:left w:val="nil"/>
              <w:bottom w:val="single" w:color="auto" w:sz="4" w:space="0"/>
              <w:right w:val="single" w:color="auto" w:sz="4" w:space="0"/>
            </w:tcBorders>
            <w:noWrap w:val="0"/>
            <w:vAlign w:val="bottom"/>
          </w:tcPr>
          <w:p w14:paraId="138B6406">
            <w:pPr>
              <w:widowControl/>
              <w:jc w:val="center"/>
              <w:rPr>
                <w:rFonts w:hint="eastAsia" w:ascii="宋体" w:hAnsi="宋体" w:cs="宋体"/>
                <w:kern w:val="0"/>
                <w:sz w:val="22"/>
                <w:szCs w:val="22"/>
              </w:rPr>
            </w:pPr>
          </w:p>
        </w:tc>
      </w:tr>
      <w:tr w14:paraId="4FAFE0BD">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55C30E8B">
            <w:pPr>
              <w:widowControl/>
              <w:jc w:val="left"/>
              <w:rPr>
                <w:rFonts w:hint="eastAsia" w:ascii="宋体" w:hAnsi="宋体" w:cs="宋体"/>
                <w:kern w:val="0"/>
                <w:sz w:val="22"/>
                <w:szCs w:val="22"/>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0407CCA1">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5D7758A9">
            <w:pPr>
              <w:widowControl/>
              <w:jc w:val="center"/>
              <w:rPr>
                <w:rFonts w:hint="eastAsia" w:ascii="宋体" w:hAnsi="宋体" w:cs="宋体"/>
                <w:kern w:val="0"/>
                <w:sz w:val="22"/>
                <w:szCs w:val="22"/>
              </w:rPr>
            </w:pPr>
            <w:r>
              <w:rPr>
                <w:rFonts w:hint="eastAsia" w:ascii="宋体" w:hAnsi="宋体" w:cs="宋体"/>
                <w:kern w:val="0"/>
                <w:sz w:val="22"/>
                <w:szCs w:val="22"/>
              </w:rPr>
              <w:t>A-2</w:t>
            </w:r>
          </w:p>
        </w:tc>
        <w:tc>
          <w:tcPr>
            <w:tcW w:w="5441" w:type="dxa"/>
            <w:gridSpan w:val="2"/>
            <w:tcBorders>
              <w:top w:val="nil"/>
              <w:left w:val="nil"/>
              <w:bottom w:val="single" w:color="auto" w:sz="4" w:space="0"/>
              <w:right w:val="single" w:color="auto" w:sz="4" w:space="0"/>
            </w:tcBorders>
            <w:noWrap w:val="0"/>
            <w:vAlign w:val="center"/>
          </w:tcPr>
          <w:p w14:paraId="266F936C">
            <w:pPr>
              <w:widowControl/>
              <w:rPr>
                <w:rFonts w:hint="eastAsia" w:ascii="宋体" w:hAnsi="宋体" w:cs="宋体"/>
                <w:kern w:val="0"/>
                <w:sz w:val="22"/>
                <w:szCs w:val="22"/>
              </w:rPr>
            </w:pPr>
            <w:r>
              <w:rPr>
                <w:rFonts w:hint="eastAsia" w:ascii="宋体" w:hAnsi="宋体" w:cs="宋体"/>
                <w:kern w:val="0"/>
                <w:sz w:val="22"/>
                <w:szCs w:val="22"/>
              </w:rPr>
              <w:t>施工工期超过合理工期的，每超过一天</w:t>
            </w:r>
          </w:p>
        </w:tc>
        <w:tc>
          <w:tcPr>
            <w:tcW w:w="775" w:type="dxa"/>
            <w:tcBorders>
              <w:top w:val="nil"/>
              <w:left w:val="nil"/>
              <w:bottom w:val="single" w:color="auto" w:sz="4" w:space="0"/>
              <w:right w:val="single" w:color="auto" w:sz="4" w:space="0"/>
            </w:tcBorders>
            <w:noWrap w:val="0"/>
            <w:vAlign w:val="center"/>
          </w:tcPr>
          <w:p w14:paraId="2EAAAEB4">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785" w:type="dxa"/>
            <w:tcBorders>
              <w:top w:val="nil"/>
              <w:left w:val="nil"/>
              <w:bottom w:val="single" w:color="auto" w:sz="4" w:space="0"/>
              <w:right w:val="single" w:color="auto" w:sz="4" w:space="0"/>
            </w:tcBorders>
            <w:noWrap w:val="0"/>
            <w:vAlign w:val="bottom"/>
          </w:tcPr>
          <w:p w14:paraId="58C068D4">
            <w:pPr>
              <w:widowControl/>
              <w:jc w:val="center"/>
              <w:rPr>
                <w:rFonts w:hint="eastAsia" w:ascii="宋体" w:hAnsi="宋体" w:cs="宋体"/>
                <w:kern w:val="0"/>
                <w:sz w:val="22"/>
                <w:szCs w:val="22"/>
              </w:rPr>
            </w:pPr>
          </w:p>
        </w:tc>
      </w:tr>
      <w:tr w14:paraId="58DCB82C">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09B79AB2">
            <w:pPr>
              <w:widowControl/>
              <w:jc w:val="left"/>
              <w:rPr>
                <w:rFonts w:hint="eastAsia" w:ascii="宋体" w:hAnsi="宋体" w:cs="宋体"/>
                <w:kern w:val="0"/>
                <w:sz w:val="22"/>
                <w:szCs w:val="22"/>
              </w:rPr>
            </w:pPr>
          </w:p>
        </w:tc>
        <w:tc>
          <w:tcPr>
            <w:tcW w:w="945" w:type="dxa"/>
            <w:vMerge w:val="restart"/>
            <w:tcBorders>
              <w:top w:val="nil"/>
              <w:left w:val="single" w:color="auto" w:sz="4" w:space="0"/>
              <w:bottom w:val="single" w:color="auto" w:sz="4" w:space="0"/>
              <w:right w:val="single" w:color="auto" w:sz="4" w:space="0"/>
            </w:tcBorders>
            <w:noWrap w:val="0"/>
            <w:vAlign w:val="center"/>
          </w:tcPr>
          <w:p w14:paraId="428C72C0">
            <w:pPr>
              <w:widowControl/>
              <w:jc w:val="center"/>
              <w:rPr>
                <w:rFonts w:hint="eastAsia" w:ascii="宋体" w:hAnsi="宋体" w:cs="宋体"/>
                <w:kern w:val="0"/>
                <w:sz w:val="22"/>
                <w:szCs w:val="22"/>
              </w:rPr>
            </w:pPr>
            <w:r>
              <w:rPr>
                <w:rFonts w:hint="eastAsia" w:ascii="宋体" w:hAnsi="宋体" w:cs="宋体"/>
                <w:kern w:val="0"/>
                <w:sz w:val="22"/>
                <w:szCs w:val="22"/>
              </w:rPr>
              <w:t>工程质量规范</w:t>
            </w:r>
          </w:p>
        </w:tc>
        <w:tc>
          <w:tcPr>
            <w:tcW w:w="558" w:type="dxa"/>
            <w:tcBorders>
              <w:top w:val="nil"/>
              <w:left w:val="nil"/>
              <w:bottom w:val="single" w:color="auto" w:sz="4" w:space="0"/>
              <w:right w:val="single" w:color="auto" w:sz="4" w:space="0"/>
            </w:tcBorders>
            <w:noWrap w:val="0"/>
            <w:vAlign w:val="center"/>
          </w:tcPr>
          <w:p w14:paraId="57083131">
            <w:pPr>
              <w:widowControl/>
              <w:jc w:val="center"/>
              <w:rPr>
                <w:rFonts w:hint="eastAsia" w:ascii="宋体" w:hAnsi="宋体" w:cs="宋体"/>
                <w:kern w:val="0"/>
                <w:sz w:val="22"/>
                <w:szCs w:val="22"/>
              </w:rPr>
            </w:pPr>
            <w:r>
              <w:rPr>
                <w:rFonts w:hint="eastAsia" w:ascii="宋体" w:hAnsi="宋体" w:cs="宋体"/>
                <w:kern w:val="0"/>
                <w:sz w:val="22"/>
                <w:szCs w:val="22"/>
              </w:rPr>
              <w:t>B-1</w:t>
            </w:r>
          </w:p>
        </w:tc>
        <w:tc>
          <w:tcPr>
            <w:tcW w:w="5441" w:type="dxa"/>
            <w:gridSpan w:val="2"/>
            <w:tcBorders>
              <w:top w:val="nil"/>
              <w:left w:val="nil"/>
              <w:bottom w:val="single" w:color="auto" w:sz="4" w:space="0"/>
              <w:right w:val="single" w:color="auto" w:sz="4" w:space="0"/>
            </w:tcBorders>
            <w:noWrap w:val="0"/>
            <w:vAlign w:val="center"/>
          </w:tcPr>
          <w:p w14:paraId="5A42C5ED">
            <w:pPr>
              <w:widowControl/>
              <w:rPr>
                <w:rFonts w:hint="eastAsia" w:ascii="宋体" w:hAnsi="宋体" w:cs="宋体"/>
                <w:kern w:val="0"/>
                <w:sz w:val="22"/>
                <w:szCs w:val="22"/>
              </w:rPr>
            </w:pPr>
            <w:r>
              <w:rPr>
                <w:rFonts w:hint="eastAsia" w:ascii="宋体" w:hAnsi="宋体" w:cs="宋体"/>
                <w:kern w:val="0"/>
                <w:sz w:val="22"/>
                <w:szCs w:val="22"/>
              </w:rPr>
              <w:t>现场未配备施工管理人员，每次</w:t>
            </w:r>
          </w:p>
        </w:tc>
        <w:tc>
          <w:tcPr>
            <w:tcW w:w="775" w:type="dxa"/>
            <w:tcBorders>
              <w:top w:val="nil"/>
              <w:left w:val="nil"/>
              <w:bottom w:val="single" w:color="auto" w:sz="4" w:space="0"/>
              <w:right w:val="single" w:color="auto" w:sz="4" w:space="0"/>
            </w:tcBorders>
            <w:noWrap w:val="0"/>
            <w:vAlign w:val="center"/>
          </w:tcPr>
          <w:p w14:paraId="533E5F42">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785" w:type="dxa"/>
            <w:tcBorders>
              <w:top w:val="nil"/>
              <w:left w:val="nil"/>
              <w:bottom w:val="single" w:color="auto" w:sz="4" w:space="0"/>
              <w:right w:val="single" w:color="auto" w:sz="4" w:space="0"/>
            </w:tcBorders>
            <w:noWrap w:val="0"/>
            <w:vAlign w:val="bottom"/>
          </w:tcPr>
          <w:p w14:paraId="2E048261">
            <w:pPr>
              <w:widowControl/>
              <w:jc w:val="center"/>
              <w:rPr>
                <w:rFonts w:hint="eastAsia" w:ascii="宋体" w:hAnsi="宋体" w:cs="宋体"/>
                <w:kern w:val="0"/>
                <w:sz w:val="22"/>
                <w:szCs w:val="22"/>
              </w:rPr>
            </w:pPr>
          </w:p>
        </w:tc>
      </w:tr>
      <w:tr w14:paraId="15A63DCB">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4AC130D3">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026654A6">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444D40F3">
            <w:pPr>
              <w:widowControl/>
              <w:jc w:val="center"/>
              <w:rPr>
                <w:rFonts w:hint="eastAsia" w:ascii="宋体" w:hAnsi="宋体" w:cs="宋体"/>
                <w:kern w:val="0"/>
                <w:sz w:val="22"/>
                <w:szCs w:val="22"/>
              </w:rPr>
            </w:pPr>
            <w:r>
              <w:rPr>
                <w:rFonts w:hint="eastAsia" w:ascii="宋体" w:hAnsi="宋体" w:cs="宋体"/>
                <w:kern w:val="0"/>
                <w:sz w:val="22"/>
                <w:szCs w:val="22"/>
              </w:rPr>
              <w:t>B-2</w:t>
            </w:r>
          </w:p>
        </w:tc>
        <w:tc>
          <w:tcPr>
            <w:tcW w:w="5441" w:type="dxa"/>
            <w:gridSpan w:val="2"/>
            <w:tcBorders>
              <w:top w:val="nil"/>
              <w:left w:val="nil"/>
              <w:bottom w:val="single" w:color="auto" w:sz="4" w:space="0"/>
              <w:right w:val="single" w:color="auto" w:sz="4" w:space="0"/>
            </w:tcBorders>
            <w:noWrap w:val="0"/>
            <w:vAlign w:val="center"/>
          </w:tcPr>
          <w:p w14:paraId="4838B363">
            <w:pPr>
              <w:widowControl/>
              <w:rPr>
                <w:rFonts w:hint="eastAsia" w:ascii="宋体" w:hAnsi="宋体" w:cs="宋体"/>
                <w:kern w:val="0"/>
                <w:sz w:val="22"/>
                <w:szCs w:val="22"/>
              </w:rPr>
            </w:pPr>
            <w:r>
              <w:rPr>
                <w:rFonts w:hint="eastAsia" w:ascii="宋体" w:hAnsi="宋体" w:cs="宋体"/>
                <w:kern w:val="0"/>
                <w:sz w:val="22"/>
                <w:szCs w:val="22"/>
              </w:rPr>
              <w:t>施工、测试仪器仪表配备不齐，每发现一次</w:t>
            </w:r>
          </w:p>
        </w:tc>
        <w:tc>
          <w:tcPr>
            <w:tcW w:w="775" w:type="dxa"/>
            <w:tcBorders>
              <w:top w:val="nil"/>
              <w:left w:val="nil"/>
              <w:bottom w:val="single" w:color="auto" w:sz="4" w:space="0"/>
              <w:right w:val="single" w:color="auto" w:sz="4" w:space="0"/>
            </w:tcBorders>
            <w:noWrap w:val="0"/>
            <w:vAlign w:val="center"/>
          </w:tcPr>
          <w:p w14:paraId="0C062C06">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785" w:type="dxa"/>
            <w:tcBorders>
              <w:top w:val="nil"/>
              <w:left w:val="nil"/>
              <w:bottom w:val="single" w:color="auto" w:sz="4" w:space="0"/>
              <w:right w:val="single" w:color="auto" w:sz="4" w:space="0"/>
            </w:tcBorders>
            <w:noWrap w:val="0"/>
            <w:vAlign w:val="bottom"/>
          </w:tcPr>
          <w:p w14:paraId="5B76CA61">
            <w:pPr>
              <w:widowControl/>
              <w:jc w:val="center"/>
              <w:rPr>
                <w:rFonts w:hint="eastAsia" w:ascii="宋体" w:hAnsi="宋体" w:cs="宋体"/>
                <w:kern w:val="0"/>
                <w:sz w:val="22"/>
                <w:szCs w:val="22"/>
              </w:rPr>
            </w:pPr>
          </w:p>
        </w:tc>
      </w:tr>
      <w:tr w14:paraId="2A92605C">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4880B704">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3679BA32">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3E30B1CD">
            <w:pPr>
              <w:widowControl/>
              <w:jc w:val="center"/>
              <w:rPr>
                <w:rFonts w:hint="eastAsia" w:ascii="宋体" w:hAnsi="宋体" w:cs="宋体"/>
                <w:kern w:val="0"/>
                <w:sz w:val="22"/>
                <w:szCs w:val="22"/>
              </w:rPr>
            </w:pPr>
            <w:r>
              <w:rPr>
                <w:rFonts w:hint="eastAsia" w:ascii="宋体" w:hAnsi="宋体" w:cs="宋体"/>
                <w:kern w:val="0"/>
                <w:sz w:val="22"/>
                <w:szCs w:val="22"/>
              </w:rPr>
              <w:t>B-3</w:t>
            </w:r>
          </w:p>
        </w:tc>
        <w:tc>
          <w:tcPr>
            <w:tcW w:w="5441" w:type="dxa"/>
            <w:gridSpan w:val="2"/>
            <w:tcBorders>
              <w:top w:val="nil"/>
              <w:left w:val="nil"/>
              <w:bottom w:val="single" w:color="auto" w:sz="4" w:space="0"/>
              <w:right w:val="single" w:color="auto" w:sz="4" w:space="0"/>
            </w:tcBorders>
            <w:noWrap w:val="0"/>
            <w:vAlign w:val="center"/>
          </w:tcPr>
          <w:p w14:paraId="72131914">
            <w:pPr>
              <w:widowControl/>
              <w:rPr>
                <w:rFonts w:hint="eastAsia" w:ascii="宋体" w:hAnsi="宋体" w:cs="宋体"/>
                <w:kern w:val="0"/>
                <w:sz w:val="22"/>
                <w:szCs w:val="22"/>
              </w:rPr>
            </w:pPr>
            <w:r>
              <w:rPr>
                <w:rFonts w:hint="eastAsia" w:ascii="宋体" w:hAnsi="宋体" w:cs="宋体"/>
                <w:kern w:val="0"/>
                <w:sz w:val="22"/>
                <w:szCs w:val="22"/>
              </w:rPr>
              <w:t>由于工程施工不当导致后期需做重大方案设计变更的</w:t>
            </w:r>
          </w:p>
        </w:tc>
        <w:tc>
          <w:tcPr>
            <w:tcW w:w="775" w:type="dxa"/>
            <w:tcBorders>
              <w:top w:val="nil"/>
              <w:left w:val="nil"/>
              <w:bottom w:val="single" w:color="auto" w:sz="4" w:space="0"/>
              <w:right w:val="single" w:color="auto" w:sz="4" w:space="0"/>
            </w:tcBorders>
            <w:noWrap w:val="0"/>
            <w:vAlign w:val="center"/>
          </w:tcPr>
          <w:p w14:paraId="106A438D">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785" w:type="dxa"/>
            <w:tcBorders>
              <w:top w:val="nil"/>
              <w:left w:val="nil"/>
              <w:bottom w:val="single" w:color="auto" w:sz="4" w:space="0"/>
              <w:right w:val="single" w:color="auto" w:sz="4" w:space="0"/>
            </w:tcBorders>
            <w:noWrap w:val="0"/>
            <w:vAlign w:val="bottom"/>
          </w:tcPr>
          <w:p w14:paraId="2598D1BE">
            <w:pPr>
              <w:widowControl/>
              <w:jc w:val="center"/>
              <w:rPr>
                <w:rFonts w:hint="eastAsia" w:ascii="宋体" w:hAnsi="宋体" w:cs="宋体"/>
                <w:kern w:val="0"/>
                <w:sz w:val="22"/>
                <w:szCs w:val="22"/>
              </w:rPr>
            </w:pPr>
          </w:p>
        </w:tc>
      </w:tr>
      <w:tr w14:paraId="73E92CE1">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6FC07852">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218B5F72">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550593F5">
            <w:pPr>
              <w:widowControl/>
              <w:jc w:val="center"/>
              <w:rPr>
                <w:rFonts w:hint="eastAsia" w:ascii="宋体" w:hAnsi="宋体" w:cs="宋体"/>
                <w:kern w:val="0"/>
                <w:sz w:val="22"/>
                <w:szCs w:val="22"/>
              </w:rPr>
            </w:pPr>
            <w:r>
              <w:rPr>
                <w:rFonts w:hint="eastAsia" w:ascii="宋体" w:hAnsi="宋体" w:cs="宋体"/>
                <w:kern w:val="0"/>
                <w:sz w:val="22"/>
                <w:szCs w:val="22"/>
              </w:rPr>
              <w:t>B-4</w:t>
            </w:r>
          </w:p>
        </w:tc>
        <w:tc>
          <w:tcPr>
            <w:tcW w:w="5441" w:type="dxa"/>
            <w:gridSpan w:val="2"/>
            <w:tcBorders>
              <w:top w:val="nil"/>
              <w:left w:val="nil"/>
              <w:bottom w:val="single" w:color="auto" w:sz="4" w:space="0"/>
              <w:right w:val="single" w:color="auto" w:sz="4" w:space="0"/>
            </w:tcBorders>
            <w:noWrap w:val="0"/>
            <w:vAlign w:val="center"/>
          </w:tcPr>
          <w:p w14:paraId="32A4B338">
            <w:pPr>
              <w:widowControl/>
              <w:rPr>
                <w:rFonts w:hint="eastAsia" w:ascii="宋体" w:hAnsi="宋体" w:cs="宋体"/>
                <w:kern w:val="0"/>
                <w:sz w:val="22"/>
                <w:szCs w:val="22"/>
              </w:rPr>
            </w:pPr>
            <w:r>
              <w:rPr>
                <w:rFonts w:hint="eastAsia" w:ascii="宋体" w:hAnsi="宋体" w:cs="宋体"/>
                <w:kern w:val="0"/>
                <w:sz w:val="22"/>
                <w:szCs w:val="22"/>
              </w:rPr>
              <w:t>隐蔽工程施工未及时报验，擅自隐蔽或使用的不合格材料或质量不达标，每次</w:t>
            </w:r>
          </w:p>
        </w:tc>
        <w:tc>
          <w:tcPr>
            <w:tcW w:w="775" w:type="dxa"/>
            <w:tcBorders>
              <w:top w:val="nil"/>
              <w:left w:val="nil"/>
              <w:bottom w:val="single" w:color="auto" w:sz="4" w:space="0"/>
              <w:right w:val="single" w:color="auto" w:sz="4" w:space="0"/>
            </w:tcBorders>
            <w:noWrap w:val="0"/>
            <w:vAlign w:val="center"/>
          </w:tcPr>
          <w:p w14:paraId="15C4FE09">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785" w:type="dxa"/>
            <w:tcBorders>
              <w:top w:val="nil"/>
              <w:left w:val="nil"/>
              <w:bottom w:val="single" w:color="auto" w:sz="4" w:space="0"/>
              <w:right w:val="single" w:color="auto" w:sz="4" w:space="0"/>
            </w:tcBorders>
            <w:noWrap w:val="0"/>
            <w:vAlign w:val="bottom"/>
          </w:tcPr>
          <w:p w14:paraId="6BFA2FA6">
            <w:pPr>
              <w:widowControl/>
              <w:jc w:val="center"/>
              <w:rPr>
                <w:rFonts w:hint="eastAsia" w:ascii="宋体" w:hAnsi="宋体" w:cs="宋体"/>
                <w:kern w:val="0"/>
                <w:sz w:val="22"/>
                <w:szCs w:val="22"/>
              </w:rPr>
            </w:pPr>
          </w:p>
        </w:tc>
      </w:tr>
      <w:tr w14:paraId="210FDECC">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34818D11">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5B100F48">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21F0D622">
            <w:pPr>
              <w:widowControl/>
              <w:jc w:val="center"/>
              <w:rPr>
                <w:rFonts w:hint="eastAsia" w:ascii="宋体" w:hAnsi="宋体" w:cs="宋体"/>
                <w:kern w:val="0"/>
                <w:sz w:val="22"/>
                <w:szCs w:val="22"/>
              </w:rPr>
            </w:pPr>
            <w:r>
              <w:rPr>
                <w:rFonts w:hint="eastAsia" w:ascii="宋体" w:hAnsi="宋体" w:cs="宋体"/>
                <w:kern w:val="0"/>
                <w:sz w:val="22"/>
                <w:szCs w:val="22"/>
              </w:rPr>
              <w:t>B-5</w:t>
            </w:r>
          </w:p>
        </w:tc>
        <w:tc>
          <w:tcPr>
            <w:tcW w:w="5441" w:type="dxa"/>
            <w:gridSpan w:val="2"/>
            <w:tcBorders>
              <w:top w:val="nil"/>
              <w:left w:val="nil"/>
              <w:bottom w:val="single" w:color="auto" w:sz="4" w:space="0"/>
              <w:right w:val="single" w:color="auto" w:sz="4" w:space="0"/>
            </w:tcBorders>
            <w:noWrap w:val="0"/>
            <w:vAlign w:val="center"/>
          </w:tcPr>
          <w:p w14:paraId="547EEEC1">
            <w:pPr>
              <w:widowControl/>
              <w:rPr>
                <w:rFonts w:hint="eastAsia" w:ascii="宋体" w:hAnsi="宋体" w:cs="宋体"/>
                <w:kern w:val="0"/>
                <w:sz w:val="22"/>
                <w:szCs w:val="22"/>
              </w:rPr>
            </w:pPr>
            <w:r>
              <w:rPr>
                <w:rFonts w:hint="eastAsia" w:ascii="宋体" w:hAnsi="宋体" w:cs="宋体"/>
                <w:kern w:val="0"/>
                <w:sz w:val="22"/>
                <w:szCs w:val="22"/>
              </w:rPr>
              <w:t>采购单位现场巡检发现的施工质量问题或规范问题,每个</w:t>
            </w:r>
          </w:p>
        </w:tc>
        <w:tc>
          <w:tcPr>
            <w:tcW w:w="775" w:type="dxa"/>
            <w:tcBorders>
              <w:top w:val="nil"/>
              <w:left w:val="nil"/>
              <w:bottom w:val="single" w:color="auto" w:sz="4" w:space="0"/>
              <w:right w:val="single" w:color="auto" w:sz="4" w:space="0"/>
            </w:tcBorders>
            <w:noWrap w:val="0"/>
            <w:vAlign w:val="center"/>
          </w:tcPr>
          <w:p w14:paraId="55CB8D2C">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785" w:type="dxa"/>
            <w:tcBorders>
              <w:top w:val="nil"/>
              <w:left w:val="nil"/>
              <w:bottom w:val="single" w:color="auto" w:sz="4" w:space="0"/>
              <w:right w:val="single" w:color="auto" w:sz="4" w:space="0"/>
            </w:tcBorders>
            <w:noWrap w:val="0"/>
            <w:vAlign w:val="bottom"/>
          </w:tcPr>
          <w:p w14:paraId="3AF14FB1">
            <w:pPr>
              <w:widowControl/>
              <w:jc w:val="center"/>
              <w:rPr>
                <w:rFonts w:hint="eastAsia" w:ascii="宋体" w:hAnsi="宋体" w:cs="宋体"/>
                <w:kern w:val="0"/>
                <w:sz w:val="22"/>
                <w:szCs w:val="22"/>
              </w:rPr>
            </w:pPr>
          </w:p>
        </w:tc>
      </w:tr>
      <w:tr w14:paraId="232713EF">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47187F90">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687E5458">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1FD42E7F">
            <w:pPr>
              <w:widowControl/>
              <w:jc w:val="center"/>
              <w:rPr>
                <w:rFonts w:hint="eastAsia" w:ascii="宋体" w:hAnsi="宋体" w:cs="宋体"/>
                <w:kern w:val="0"/>
                <w:sz w:val="22"/>
                <w:szCs w:val="22"/>
              </w:rPr>
            </w:pPr>
            <w:r>
              <w:rPr>
                <w:rFonts w:hint="eastAsia" w:ascii="宋体" w:hAnsi="宋体" w:cs="宋体"/>
                <w:kern w:val="0"/>
                <w:sz w:val="22"/>
                <w:szCs w:val="22"/>
              </w:rPr>
              <w:t>B-6</w:t>
            </w:r>
          </w:p>
        </w:tc>
        <w:tc>
          <w:tcPr>
            <w:tcW w:w="5441" w:type="dxa"/>
            <w:gridSpan w:val="2"/>
            <w:tcBorders>
              <w:top w:val="nil"/>
              <w:left w:val="nil"/>
              <w:bottom w:val="single" w:color="auto" w:sz="4" w:space="0"/>
              <w:right w:val="single" w:color="auto" w:sz="4" w:space="0"/>
            </w:tcBorders>
            <w:noWrap w:val="0"/>
            <w:vAlign w:val="center"/>
          </w:tcPr>
          <w:p w14:paraId="3F34E1C0">
            <w:pPr>
              <w:widowControl/>
              <w:rPr>
                <w:rFonts w:hint="eastAsia" w:ascii="宋体" w:hAnsi="宋体" w:cs="宋体"/>
                <w:kern w:val="0"/>
                <w:sz w:val="22"/>
                <w:szCs w:val="22"/>
              </w:rPr>
            </w:pPr>
            <w:r>
              <w:rPr>
                <w:rFonts w:hint="eastAsia" w:ascii="宋体" w:hAnsi="宋体" w:cs="宋体"/>
                <w:kern w:val="0"/>
                <w:sz w:val="22"/>
                <w:szCs w:val="22"/>
              </w:rPr>
              <w:t>工程正式验收时，发现的每个质量问题</w:t>
            </w:r>
          </w:p>
        </w:tc>
        <w:tc>
          <w:tcPr>
            <w:tcW w:w="775" w:type="dxa"/>
            <w:tcBorders>
              <w:top w:val="nil"/>
              <w:left w:val="nil"/>
              <w:bottom w:val="single" w:color="auto" w:sz="4" w:space="0"/>
              <w:right w:val="single" w:color="auto" w:sz="4" w:space="0"/>
            </w:tcBorders>
            <w:noWrap w:val="0"/>
            <w:vAlign w:val="center"/>
          </w:tcPr>
          <w:p w14:paraId="567AB7C8">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785" w:type="dxa"/>
            <w:tcBorders>
              <w:top w:val="nil"/>
              <w:left w:val="nil"/>
              <w:bottom w:val="single" w:color="auto" w:sz="4" w:space="0"/>
              <w:right w:val="single" w:color="auto" w:sz="4" w:space="0"/>
            </w:tcBorders>
            <w:noWrap w:val="0"/>
            <w:vAlign w:val="bottom"/>
          </w:tcPr>
          <w:p w14:paraId="3BC8C3A7">
            <w:pPr>
              <w:widowControl/>
              <w:jc w:val="center"/>
              <w:rPr>
                <w:rFonts w:hint="eastAsia" w:ascii="宋体" w:hAnsi="宋体" w:cs="宋体"/>
                <w:kern w:val="0"/>
                <w:sz w:val="22"/>
                <w:szCs w:val="22"/>
              </w:rPr>
            </w:pPr>
          </w:p>
        </w:tc>
      </w:tr>
      <w:tr w14:paraId="0CED9FD0">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07A67599">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71E5A0BA">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5C3A6092">
            <w:pPr>
              <w:widowControl/>
              <w:jc w:val="center"/>
              <w:rPr>
                <w:rFonts w:hint="eastAsia" w:ascii="宋体" w:hAnsi="宋体" w:cs="宋体"/>
                <w:kern w:val="0"/>
                <w:sz w:val="22"/>
                <w:szCs w:val="22"/>
              </w:rPr>
            </w:pPr>
            <w:r>
              <w:rPr>
                <w:rFonts w:hint="eastAsia" w:ascii="宋体" w:hAnsi="宋体" w:cs="宋体"/>
                <w:kern w:val="0"/>
                <w:sz w:val="22"/>
                <w:szCs w:val="22"/>
              </w:rPr>
              <w:t>B-7</w:t>
            </w:r>
          </w:p>
        </w:tc>
        <w:tc>
          <w:tcPr>
            <w:tcW w:w="5441" w:type="dxa"/>
            <w:gridSpan w:val="2"/>
            <w:tcBorders>
              <w:top w:val="nil"/>
              <w:left w:val="nil"/>
              <w:bottom w:val="single" w:color="auto" w:sz="4" w:space="0"/>
              <w:right w:val="single" w:color="auto" w:sz="4" w:space="0"/>
            </w:tcBorders>
            <w:noWrap w:val="0"/>
            <w:vAlign w:val="center"/>
          </w:tcPr>
          <w:p w14:paraId="7EA00B0C">
            <w:pPr>
              <w:widowControl/>
              <w:rPr>
                <w:rFonts w:hint="eastAsia" w:ascii="宋体" w:hAnsi="宋体" w:cs="宋体"/>
                <w:kern w:val="0"/>
                <w:sz w:val="22"/>
                <w:szCs w:val="22"/>
              </w:rPr>
            </w:pPr>
            <w:r>
              <w:rPr>
                <w:rFonts w:hint="eastAsia" w:ascii="宋体" w:hAnsi="宋体" w:cs="宋体"/>
                <w:kern w:val="0"/>
                <w:sz w:val="22"/>
                <w:szCs w:val="22"/>
              </w:rPr>
              <w:t>未严格按设计方案施工或擅自更改设计进行施工，每次</w:t>
            </w:r>
          </w:p>
        </w:tc>
        <w:tc>
          <w:tcPr>
            <w:tcW w:w="775" w:type="dxa"/>
            <w:tcBorders>
              <w:top w:val="nil"/>
              <w:left w:val="nil"/>
              <w:bottom w:val="single" w:color="auto" w:sz="4" w:space="0"/>
              <w:right w:val="single" w:color="auto" w:sz="4" w:space="0"/>
            </w:tcBorders>
            <w:noWrap w:val="0"/>
            <w:vAlign w:val="center"/>
          </w:tcPr>
          <w:p w14:paraId="5BF799D3">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785" w:type="dxa"/>
            <w:tcBorders>
              <w:top w:val="nil"/>
              <w:left w:val="nil"/>
              <w:bottom w:val="single" w:color="auto" w:sz="4" w:space="0"/>
              <w:right w:val="single" w:color="auto" w:sz="4" w:space="0"/>
            </w:tcBorders>
            <w:noWrap w:val="0"/>
            <w:vAlign w:val="bottom"/>
          </w:tcPr>
          <w:p w14:paraId="0D5CE40A">
            <w:pPr>
              <w:widowControl/>
              <w:jc w:val="center"/>
              <w:rPr>
                <w:rFonts w:hint="eastAsia" w:ascii="宋体" w:hAnsi="宋体" w:cs="宋体"/>
                <w:kern w:val="0"/>
                <w:sz w:val="22"/>
                <w:szCs w:val="22"/>
              </w:rPr>
            </w:pPr>
          </w:p>
        </w:tc>
      </w:tr>
      <w:tr w14:paraId="53264181">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7F1C76B8">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39963E18">
            <w:pPr>
              <w:widowControl/>
              <w:jc w:val="left"/>
              <w:rPr>
                <w:rFonts w:hint="eastAsia" w:ascii="宋体" w:hAnsi="宋体" w:cs="宋体"/>
                <w:kern w:val="0"/>
                <w:sz w:val="22"/>
                <w:szCs w:val="22"/>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4FA74805">
            <w:pPr>
              <w:widowControl/>
              <w:jc w:val="center"/>
              <w:rPr>
                <w:rFonts w:hint="eastAsia" w:ascii="宋体" w:hAnsi="宋体" w:cs="宋体"/>
                <w:kern w:val="0"/>
                <w:sz w:val="22"/>
                <w:szCs w:val="22"/>
              </w:rPr>
            </w:pPr>
            <w:r>
              <w:rPr>
                <w:rFonts w:hint="eastAsia" w:ascii="宋体" w:hAnsi="宋体" w:cs="宋体"/>
                <w:kern w:val="0"/>
                <w:sz w:val="22"/>
                <w:szCs w:val="22"/>
              </w:rPr>
              <w:t>B-8</w:t>
            </w:r>
          </w:p>
        </w:tc>
        <w:tc>
          <w:tcPr>
            <w:tcW w:w="5441" w:type="dxa"/>
            <w:gridSpan w:val="2"/>
            <w:tcBorders>
              <w:top w:val="single" w:color="auto" w:sz="4" w:space="0"/>
              <w:left w:val="single" w:color="auto" w:sz="4" w:space="0"/>
              <w:bottom w:val="single" w:color="auto" w:sz="4" w:space="0"/>
              <w:right w:val="single" w:color="auto" w:sz="4" w:space="0"/>
            </w:tcBorders>
            <w:noWrap w:val="0"/>
            <w:vAlign w:val="center"/>
          </w:tcPr>
          <w:p w14:paraId="281DD8A7">
            <w:pPr>
              <w:widowControl/>
              <w:rPr>
                <w:rFonts w:hint="eastAsia" w:ascii="宋体" w:hAnsi="宋体" w:cs="宋体"/>
                <w:kern w:val="0"/>
                <w:sz w:val="22"/>
                <w:szCs w:val="22"/>
              </w:rPr>
            </w:pPr>
            <w:r>
              <w:rPr>
                <w:rFonts w:hint="eastAsia" w:ascii="宋体" w:hAnsi="宋体" w:cs="宋体"/>
                <w:kern w:val="0"/>
                <w:sz w:val="22"/>
                <w:szCs w:val="22"/>
              </w:rPr>
              <w:t>因施工单位原因，导致市民有理投诉的</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D64630D">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785" w:type="dxa"/>
            <w:tcBorders>
              <w:top w:val="single" w:color="auto" w:sz="4" w:space="0"/>
              <w:left w:val="single" w:color="auto" w:sz="4" w:space="0"/>
              <w:bottom w:val="single" w:color="auto" w:sz="4" w:space="0"/>
              <w:right w:val="single" w:color="auto" w:sz="4" w:space="0"/>
            </w:tcBorders>
            <w:noWrap w:val="0"/>
            <w:vAlign w:val="bottom"/>
          </w:tcPr>
          <w:p w14:paraId="249DA279">
            <w:pPr>
              <w:widowControl/>
              <w:jc w:val="center"/>
              <w:rPr>
                <w:rFonts w:hint="eastAsia" w:ascii="宋体" w:hAnsi="宋体" w:cs="宋体"/>
                <w:kern w:val="0"/>
                <w:sz w:val="22"/>
                <w:szCs w:val="22"/>
              </w:rPr>
            </w:pPr>
          </w:p>
        </w:tc>
      </w:tr>
      <w:tr w14:paraId="6DA2B89A">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4578FEE5">
            <w:pPr>
              <w:widowControl/>
              <w:jc w:val="left"/>
              <w:rPr>
                <w:rFonts w:hint="eastAsia" w:ascii="宋体" w:hAnsi="宋体" w:cs="宋体"/>
                <w:kern w:val="0"/>
                <w:sz w:val="22"/>
                <w:szCs w:val="22"/>
              </w:rPr>
            </w:pPr>
          </w:p>
        </w:tc>
        <w:tc>
          <w:tcPr>
            <w:tcW w:w="945" w:type="dxa"/>
            <w:vMerge w:val="restart"/>
            <w:tcBorders>
              <w:top w:val="nil"/>
              <w:left w:val="single" w:color="auto" w:sz="4" w:space="0"/>
              <w:bottom w:val="single" w:color="auto" w:sz="4" w:space="0"/>
              <w:right w:val="single" w:color="auto" w:sz="4" w:space="0"/>
            </w:tcBorders>
            <w:noWrap w:val="0"/>
            <w:vAlign w:val="center"/>
          </w:tcPr>
          <w:p w14:paraId="60AFC315">
            <w:pPr>
              <w:widowControl/>
              <w:jc w:val="center"/>
              <w:rPr>
                <w:rFonts w:hint="eastAsia" w:ascii="宋体" w:hAnsi="宋体" w:cs="宋体"/>
                <w:kern w:val="0"/>
                <w:sz w:val="22"/>
                <w:szCs w:val="22"/>
              </w:rPr>
            </w:pPr>
            <w:r>
              <w:rPr>
                <w:rFonts w:hint="eastAsia" w:ascii="宋体" w:hAnsi="宋体" w:cs="宋体"/>
                <w:kern w:val="0"/>
                <w:sz w:val="22"/>
                <w:szCs w:val="22"/>
              </w:rPr>
              <w:t>安全文明</w:t>
            </w:r>
          </w:p>
        </w:tc>
        <w:tc>
          <w:tcPr>
            <w:tcW w:w="558" w:type="dxa"/>
            <w:tcBorders>
              <w:top w:val="single" w:color="auto" w:sz="4" w:space="0"/>
              <w:left w:val="single" w:color="auto" w:sz="4" w:space="0"/>
              <w:bottom w:val="single" w:color="auto" w:sz="4" w:space="0"/>
              <w:right w:val="single" w:color="auto" w:sz="4" w:space="0"/>
            </w:tcBorders>
            <w:noWrap w:val="0"/>
            <w:vAlign w:val="center"/>
          </w:tcPr>
          <w:p w14:paraId="6B504D5D">
            <w:pPr>
              <w:widowControl/>
              <w:jc w:val="center"/>
              <w:rPr>
                <w:rFonts w:hint="eastAsia" w:ascii="宋体" w:hAnsi="宋体" w:cs="宋体"/>
                <w:kern w:val="0"/>
                <w:sz w:val="22"/>
                <w:szCs w:val="22"/>
              </w:rPr>
            </w:pPr>
            <w:r>
              <w:rPr>
                <w:rFonts w:hint="eastAsia" w:ascii="宋体" w:hAnsi="宋体" w:cs="宋体"/>
                <w:kern w:val="0"/>
                <w:sz w:val="22"/>
                <w:szCs w:val="22"/>
              </w:rPr>
              <w:t>C-1</w:t>
            </w:r>
          </w:p>
        </w:tc>
        <w:tc>
          <w:tcPr>
            <w:tcW w:w="5441" w:type="dxa"/>
            <w:gridSpan w:val="2"/>
            <w:tcBorders>
              <w:top w:val="single" w:color="auto" w:sz="4" w:space="0"/>
              <w:left w:val="single" w:color="auto" w:sz="4" w:space="0"/>
              <w:bottom w:val="single" w:color="auto" w:sz="4" w:space="0"/>
              <w:right w:val="single" w:color="auto" w:sz="4" w:space="0"/>
            </w:tcBorders>
            <w:noWrap w:val="0"/>
            <w:vAlign w:val="center"/>
          </w:tcPr>
          <w:p w14:paraId="6B50071F">
            <w:pPr>
              <w:widowControl/>
              <w:rPr>
                <w:rFonts w:hint="eastAsia" w:ascii="宋体" w:hAnsi="宋体" w:cs="宋体"/>
                <w:kern w:val="0"/>
                <w:sz w:val="22"/>
                <w:szCs w:val="22"/>
              </w:rPr>
            </w:pPr>
            <w:r>
              <w:rPr>
                <w:rFonts w:hint="eastAsia" w:ascii="宋体" w:hAnsi="宋体" w:cs="宋体"/>
                <w:kern w:val="0"/>
                <w:sz w:val="22"/>
                <w:szCs w:val="22"/>
              </w:rPr>
              <w:t>施工现场无专、兼职的安全员</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5F9BA38">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785" w:type="dxa"/>
            <w:tcBorders>
              <w:top w:val="single" w:color="auto" w:sz="4" w:space="0"/>
              <w:left w:val="single" w:color="auto" w:sz="4" w:space="0"/>
              <w:bottom w:val="single" w:color="auto" w:sz="4" w:space="0"/>
              <w:right w:val="single" w:color="auto" w:sz="4" w:space="0"/>
            </w:tcBorders>
            <w:noWrap w:val="0"/>
            <w:vAlign w:val="bottom"/>
          </w:tcPr>
          <w:p w14:paraId="03A7DF68">
            <w:pPr>
              <w:widowControl/>
              <w:jc w:val="center"/>
              <w:rPr>
                <w:rFonts w:hint="eastAsia" w:ascii="宋体" w:hAnsi="宋体" w:cs="宋体"/>
                <w:kern w:val="0"/>
                <w:sz w:val="22"/>
                <w:szCs w:val="22"/>
              </w:rPr>
            </w:pPr>
          </w:p>
        </w:tc>
      </w:tr>
      <w:tr w14:paraId="679600D3">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15C96ECA">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0D5C85AA">
            <w:pPr>
              <w:widowControl/>
              <w:jc w:val="left"/>
              <w:rPr>
                <w:rFonts w:hint="eastAsia" w:ascii="宋体" w:hAnsi="宋体" w:cs="宋体"/>
                <w:kern w:val="0"/>
                <w:sz w:val="22"/>
                <w:szCs w:val="22"/>
              </w:rPr>
            </w:pPr>
          </w:p>
        </w:tc>
        <w:tc>
          <w:tcPr>
            <w:tcW w:w="558" w:type="dxa"/>
            <w:tcBorders>
              <w:top w:val="single" w:color="auto" w:sz="4" w:space="0"/>
              <w:left w:val="nil"/>
              <w:bottom w:val="single" w:color="auto" w:sz="4" w:space="0"/>
              <w:right w:val="single" w:color="auto" w:sz="4" w:space="0"/>
            </w:tcBorders>
            <w:noWrap w:val="0"/>
            <w:vAlign w:val="center"/>
          </w:tcPr>
          <w:p w14:paraId="4FBE90F0">
            <w:pPr>
              <w:widowControl/>
              <w:jc w:val="center"/>
              <w:rPr>
                <w:rFonts w:hint="eastAsia" w:ascii="宋体" w:hAnsi="宋体" w:cs="宋体"/>
                <w:kern w:val="0"/>
                <w:sz w:val="22"/>
                <w:szCs w:val="22"/>
              </w:rPr>
            </w:pPr>
            <w:r>
              <w:rPr>
                <w:rFonts w:hint="eastAsia" w:ascii="宋体" w:hAnsi="宋体" w:cs="宋体"/>
                <w:kern w:val="0"/>
                <w:sz w:val="22"/>
                <w:szCs w:val="22"/>
              </w:rPr>
              <w:t>C-2</w:t>
            </w:r>
          </w:p>
        </w:tc>
        <w:tc>
          <w:tcPr>
            <w:tcW w:w="5441" w:type="dxa"/>
            <w:gridSpan w:val="2"/>
            <w:tcBorders>
              <w:top w:val="single" w:color="auto" w:sz="4" w:space="0"/>
              <w:left w:val="nil"/>
              <w:bottom w:val="single" w:color="auto" w:sz="4" w:space="0"/>
              <w:right w:val="single" w:color="auto" w:sz="4" w:space="0"/>
            </w:tcBorders>
            <w:noWrap w:val="0"/>
            <w:vAlign w:val="center"/>
          </w:tcPr>
          <w:p w14:paraId="47DF4F74">
            <w:pPr>
              <w:widowControl/>
              <w:rPr>
                <w:rFonts w:hint="eastAsia" w:ascii="宋体" w:hAnsi="宋体" w:cs="宋体"/>
                <w:kern w:val="0"/>
                <w:sz w:val="22"/>
                <w:szCs w:val="22"/>
              </w:rPr>
            </w:pPr>
            <w:r>
              <w:rPr>
                <w:rFonts w:hint="eastAsia" w:ascii="宋体" w:hAnsi="宋体" w:cs="宋体"/>
                <w:kern w:val="0"/>
                <w:sz w:val="22"/>
                <w:szCs w:val="22"/>
              </w:rPr>
              <w:t>施工现场材料、设备摆放凌乱，垃圾不及时外运</w:t>
            </w:r>
          </w:p>
        </w:tc>
        <w:tc>
          <w:tcPr>
            <w:tcW w:w="775" w:type="dxa"/>
            <w:tcBorders>
              <w:top w:val="single" w:color="auto" w:sz="4" w:space="0"/>
              <w:left w:val="nil"/>
              <w:bottom w:val="single" w:color="auto" w:sz="4" w:space="0"/>
              <w:right w:val="single" w:color="auto" w:sz="4" w:space="0"/>
            </w:tcBorders>
            <w:noWrap w:val="0"/>
            <w:vAlign w:val="center"/>
          </w:tcPr>
          <w:p w14:paraId="138D876F">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785" w:type="dxa"/>
            <w:tcBorders>
              <w:top w:val="single" w:color="auto" w:sz="4" w:space="0"/>
              <w:left w:val="nil"/>
              <w:bottom w:val="single" w:color="auto" w:sz="4" w:space="0"/>
              <w:right w:val="single" w:color="auto" w:sz="4" w:space="0"/>
            </w:tcBorders>
            <w:noWrap w:val="0"/>
            <w:vAlign w:val="bottom"/>
          </w:tcPr>
          <w:p w14:paraId="4019DEFF">
            <w:pPr>
              <w:widowControl/>
              <w:jc w:val="center"/>
              <w:rPr>
                <w:rFonts w:hint="eastAsia" w:ascii="宋体" w:hAnsi="宋体" w:cs="宋体"/>
                <w:kern w:val="0"/>
                <w:sz w:val="22"/>
                <w:szCs w:val="22"/>
              </w:rPr>
            </w:pPr>
          </w:p>
        </w:tc>
      </w:tr>
      <w:tr w14:paraId="5E9946FD">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4F58D8D2">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70747D4E">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635A872A">
            <w:pPr>
              <w:widowControl/>
              <w:jc w:val="center"/>
              <w:rPr>
                <w:rFonts w:hint="eastAsia" w:ascii="宋体" w:hAnsi="宋体" w:cs="宋体"/>
                <w:kern w:val="0"/>
                <w:sz w:val="22"/>
                <w:szCs w:val="22"/>
              </w:rPr>
            </w:pPr>
            <w:r>
              <w:rPr>
                <w:rFonts w:hint="eastAsia" w:ascii="宋体" w:hAnsi="宋体" w:cs="宋体"/>
                <w:kern w:val="0"/>
                <w:sz w:val="22"/>
                <w:szCs w:val="22"/>
              </w:rPr>
              <w:t>C-3</w:t>
            </w:r>
          </w:p>
        </w:tc>
        <w:tc>
          <w:tcPr>
            <w:tcW w:w="5441" w:type="dxa"/>
            <w:gridSpan w:val="2"/>
            <w:tcBorders>
              <w:top w:val="nil"/>
              <w:left w:val="nil"/>
              <w:bottom w:val="single" w:color="auto" w:sz="4" w:space="0"/>
              <w:right w:val="single" w:color="auto" w:sz="4" w:space="0"/>
            </w:tcBorders>
            <w:noWrap w:val="0"/>
            <w:vAlign w:val="center"/>
          </w:tcPr>
          <w:p w14:paraId="33F47125">
            <w:pPr>
              <w:widowControl/>
              <w:rPr>
                <w:rFonts w:hint="eastAsia" w:ascii="宋体" w:hAnsi="宋体" w:cs="宋体"/>
                <w:kern w:val="0"/>
                <w:sz w:val="22"/>
                <w:szCs w:val="22"/>
              </w:rPr>
            </w:pPr>
            <w:r>
              <w:rPr>
                <w:rFonts w:hint="eastAsia" w:ascii="宋体" w:hAnsi="宋体" w:cs="宋体"/>
                <w:kern w:val="0"/>
                <w:sz w:val="22"/>
                <w:szCs w:val="22"/>
              </w:rPr>
              <w:t>高空、井下作业人员未佩戴安全帽、安全带等防护用品的，每次</w:t>
            </w:r>
          </w:p>
        </w:tc>
        <w:tc>
          <w:tcPr>
            <w:tcW w:w="775" w:type="dxa"/>
            <w:tcBorders>
              <w:top w:val="nil"/>
              <w:left w:val="nil"/>
              <w:bottom w:val="single" w:color="auto" w:sz="4" w:space="0"/>
              <w:right w:val="single" w:color="auto" w:sz="4" w:space="0"/>
            </w:tcBorders>
            <w:noWrap w:val="0"/>
            <w:vAlign w:val="center"/>
          </w:tcPr>
          <w:p w14:paraId="10FA7589">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785" w:type="dxa"/>
            <w:tcBorders>
              <w:top w:val="nil"/>
              <w:left w:val="nil"/>
              <w:bottom w:val="single" w:color="auto" w:sz="4" w:space="0"/>
              <w:right w:val="single" w:color="auto" w:sz="4" w:space="0"/>
            </w:tcBorders>
            <w:noWrap w:val="0"/>
            <w:vAlign w:val="bottom"/>
          </w:tcPr>
          <w:p w14:paraId="40CA142E">
            <w:pPr>
              <w:widowControl/>
              <w:jc w:val="center"/>
              <w:rPr>
                <w:rFonts w:hint="eastAsia" w:ascii="宋体" w:hAnsi="宋体" w:cs="宋体"/>
                <w:kern w:val="0"/>
                <w:sz w:val="22"/>
                <w:szCs w:val="22"/>
              </w:rPr>
            </w:pPr>
          </w:p>
        </w:tc>
      </w:tr>
      <w:tr w14:paraId="4857AFC8">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132A94F4">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53CF20F7">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6D6EA9BC">
            <w:pPr>
              <w:widowControl/>
              <w:jc w:val="center"/>
              <w:rPr>
                <w:rFonts w:hint="eastAsia" w:ascii="宋体" w:hAnsi="宋体" w:cs="宋体"/>
                <w:kern w:val="0"/>
                <w:sz w:val="22"/>
                <w:szCs w:val="22"/>
              </w:rPr>
            </w:pPr>
            <w:r>
              <w:rPr>
                <w:rFonts w:hint="eastAsia" w:ascii="宋体" w:hAnsi="宋体" w:cs="宋体"/>
                <w:kern w:val="0"/>
                <w:sz w:val="22"/>
                <w:szCs w:val="22"/>
              </w:rPr>
              <w:t>C-4</w:t>
            </w:r>
          </w:p>
        </w:tc>
        <w:tc>
          <w:tcPr>
            <w:tcW w:w="5441" w:type="dxa"/>
            <w:gridSpan w:val="2"/>
            <w:tcBorders>
              <w:top w:val="nil"/>
              <w:left w:val="nil"/>
              <w:bottom w:val="single" w:color="auto" w:sz="4" w:space="0"/>
              <w:right w:val="single" w:color="auto" w:sz="4" w:space="0"/>
            </w:tcBorders>
            <w:noWrap w:val="0"/>
            <w:vAlign w:val="center"/>
          </w:tcPr>
          <w:p w14:paraId="268245EC">
            <w:pPr>
              <w:widowControl/>
              <w:rPr>
                <w:rFonts w:hint="eastAsia" w:ascii="宋体" w:hAnsi="宋体" w:cs="宋体"/>
                <w:kern w:val="0"/>
                <w:sz w:val="22"/>
                <w:szCs w:val="22"/>
              </w:rPr>
            </w:pPr>
            <w:r>
              <w:rPr>
                <w:rFonts w:hint="eastAsia" w:ascii="宋体" w:hAnsi="宋体" w:cs="宋体"/>
                <w:kern w:val="0"/>
                <w:sz w:val="22"/>
                <w:szCs w:val="22"/>
              </w:rPr>
              <w:t>不符合国家相关法律规定，行业相关安全操作规范、规程的其他行为，每次</w:t>
            </w:r>
          </w:p>
        </w:tc>
        <w:tc>
          <w:tcPr>
            <w:tcW w:w="775" w:type="dxa"/>
            <w:tcBorders>
              <w:top w:val="nil"/>
              <w:left w:val="nil"/>
              <w:bottom w:val="single" w:color="auto" w:sz="4" w:space="0"/>
              <w:right w:val="single" w:color="auto" w:sz="4" w:space="0"/>
            </w:tcBorders>
            <w:noWrap w:val="0"/>
            <w:vAlign w:val="center"/>
          </w:tcPr>
          <w:p w14:paraId="06487EBF">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785" w:type="dxa"/>
            <w:tcBorders>
              <w:top w:val="nil"/>
              <w:left w:val="nil"/>
              <w:bottom w:val="single" w:color="auto" w:sz="4" w:space="0"/>
              <w:right w:val="single" w:color="auto" w:sz="4" w:space="0"/>
            </w:tcBorders>
            <w:noWrap w:val="0"/>
            <w:vAlign w:val="bottom"/>
          </w:tcPr>
          <w:p w14:paraId="2AEF9CD9">
            <w:pPr>
              <w:widowControl/>
              <w:jc w:val="center"/>
              <w:rPr>
                <w:rFonts w:hint="eastAsia" w:ascii="宋体" w:hAnsi="宋体" w:cs="宋体"/>
                <w:kern w:val="0"/>
                <w:sz w:val="22"/>
                <w:szCs w:val="22"/>
              </w:rPr>
            </w:pPr>
          </w:p>
        </w:tc>
      </w:tr>
      <w:tr w14:paraId="1BF47976">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69482D64">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78CFA38C">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3F7B7ADB">
            <w:pPr>
              <w:widowControl/>
              <w:jc w:val="center"/>
              <w:rPr>
                <w:rFonts w:hint="eastAsia" w:ascii="宋体" w:hAnsi="宋体" w:cs="宋体"/>
                <w:kern w:val="0"/>
                <w:sz w:val="22"/>
                <w:szCs w:val="22"/>
              </w:rPr>
            </w:pPr>
            <w:r>
              <w:rPr>
                <w:rFonts w:hint="eastAsia" w:ascii="宋体" w:hAnsi="宋体" w:cs="宋体"/>
                <w:kern w:val="0"/>
                <w:sz w:val="22"/>
                <w:szCs w:val="22"/>
              </w:rPr>
              <w:t>C-5</w:t>
            </w:r>
          </w:p>
        </w:tc>
        <w:tc>
          <w:tcPr>
            <w:tcW w:w="5441" w:type="dxa"/>
            <w:gridSpan w:val="2"/>
            <w:tcBorders>
              <w:top w:val="nil"/>
              <w:left w:val="nil"/>
              <w:bottom w:val="single" w:color="auto" w:sz="4" w:space="0"/>
              <w:right w:val="single" w:color="auto" w:sz="4" w:space="0"/>
            </w:tcBorders>
            <w:noWrap w:val="0"/>
            <w:vAlign w:val="center"/>
          </w:tcPr>
          <w:p w14:paraId="3E9C869B">
            <w:pPr>
              <w:widowControl/>
              <w:rPr>
                <w:rFonts w:hint="eastAsia" w:ascii="宋体" w:hAnsi="宋体" w:cs="宋体"/>
                <w:kern w:val="0"/>
                <w:sz w:val="22"/>
                <w:szCs w:val="22"/>
              </w:rPr>
            </w:pPr>
            <w:r>
              <w:rPr>
                <w:rFonts w:hint="eastAsia" w:ascii="宋体" w:hAnsi="宋体" w:cs="宋体"/>
                <w:kern w:val="0"/>
                <w:sz w:val="22"/>
                <w:szCs w:val="22"/>
              </w:rPr>
              <w:t>现场存在重大安全事故隐患，被要求停工整顿的</w:t>
            </w:r>
          </w:p>
        </w:tc>
        <w:tc>
          <w:tcPr>
            <w:tcW w:w="775" w:type="dxa"/>
            <w:tcBorders>
              <w:top w:val="nil"/>
              <w:left w:val="nil"/>
              <w:bottom w:val="single" w:color="auto" w:sz="4" w:space="0"/>
              <w:right w:val="single" w:color="auto" w:sz="4" w:space="0"/>
            </w:tcBorders>
            <w:noWrap w:val="0"/>
            <w:vAlign w:val="center"/>
          </w:tcPr>
          <w:p w14:paraId="31FE543A">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785" w:type="dxa"/>
            <w:tcBorders>
              <w:top w:val="nil"/>
              <w:left w:val="nil"/>
              <w:bottom w:val="single" w:color="auto" w:sz="4" w:space="0"/>
              <w:right w:val="single" w:color="auto" w:sz="4" w:space="0"/>
            </w:tcBorders>
            <w:noWrap w:val="0"/>
            <w:vAlign w:val="bottom"/>
          </w:tcPr>
          <w:p w14:paraId="142891E0">
            <w:pPr>
              <w:widowControl/>
              <w:jc w:val="center"/>
              <w:rPr>
                <w:rFonts w:hint="eastAsia" w:ascii="宋体" w:hAnsi="宋体" w:cs="宋体"/>
                <w:kern w:val="0"/>
                <w:sz w:val="22"/>
                <w:szCs w:val="22"/>
              </w:rPr>
            </w:pPr>
          </w:p>
        </w:tc>
      </w:tr>
      <w:tr w14:paraId="49E794F5">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02DB93A3">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4F896C8B">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7600D64B">
            <w:pPr>
              <w:widowControl/>
              <w:jc w:val="center"/>
              <w:rPr>
                <w:rFonts w:hint="eastAsia" w:ascii="宋体" w:hAnsi="宋体" w:cs="宋体"/>
                <w:kern w:val="0"/>
                <w:sz w:val="22"/>
                <w:szCs w:val="22"/>
              </w:rPr>
            </w:pPr>
            <w:r>
              <w:rPr>
                <w:rFonts w:hint="eastAsia" w:ascii="宋体" w:hAnsi="宋体" w:cs="宋体"/>
                <w:kern w:val="0"/>
                <w:sz w:val="22"/>
                <w:szCs w:val="22"/>
              </w:rPr>
              <w:t>C-6</w:t>
            </w:r>
          </w:p>
        </w:tc>
        <w:tc>
          <w:tcPr>
            <w:tcW w:w="5441" w:type="dxa"/>
            <w:gridSpan w:val="2"/>
            <w:tcBorders>
              <w:top w:val="nil"/>
              <w:left w:val="nil"/>
              <w:bottom w:val="single" w:color="auto" w:sz="4" w:space="0"/>
              <w:right w:val="single" w:color="auto" w:sz="4" w:space="0"/>
            </w:tcBorders>
            <w:noWrap w:val="0"/>
            <w:vAlign w:val="center"/>
          </w:tcPr>
          <w:p w14:paraId="7FB9E2F8">
            <w:pPr>
              <w:widowControl/>
              <w:rPr>
                <w:rFonts w:hint="eastAsia" w:ascii="宋体" w:hAnsi="宋体" w:cs="宋体"/>
                <w:kern w:val="0"/>
                <w:sz w:val="22"/>
                <w:szCs w:val="22"/>
              </w:rPr>
            </w:pPr>
            <w:r>
              <w:rPr>
                <w:rFonts w:hint="eastAsia" w:ascii="宋体" w:hAnsi="宋体" w:cs="宋体"/>
                <w:kern w:val="0"/>
                <w:sz w:val="22"/>
                <w:szCs w:val="22"/>
              </w:rPr>
              <w:t>因施工单位原因，每出现一次施工安全事故</w:t>
            </w:r>
          </w:p>
        </w:tc>
        <w:tc>
          <w:tcPr>
            <w:tcW w:w="775" w:type="dxa"/>
            <w:tcBorders>
              <w:top w:val="nil"/>
              <w:left w:val="nil"/>
              <w:bottom w:val="single" w:color="auto" w:sz="4" w:space="0"/>
              <w:right w:val="single" w:color="auto" w:sz="4" w:space="0"/>
            </w:tcBorders>
            <w:noWrap w:val="0"/>
            <w:vAlign w:val="center"/>
          </w:tcPr>
          <w:p w14:paraId="43801121">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785" w:type="dxa"/>
            <w:tcBorders>
              <w:top w:val="nil"/>
              <w:left w:val="nil"/>
              <w:bottom w:val="single" w:color="auto" w:sz="4" w:space="0"/>
              <w:right w:val="single" w:color="auto" w:sz="4" w:space="0"/>
            </w:tcBorders>
            <w:noWrap w:val="0"/>
            <w:vAlign w:val="bottom"/>
          </w:tcPr>
          <w:p w14:paraId="0D107274">
            <w:pPr>
              <w:widowControl/>
              <w:jc w:val="center"/>
              <w:rPr>
                <w:rFonts w:hint="eastAsia" w:ascii="宋体" w:hAnsi="宋体" w:cs="宋体"/>
                <w:kern w:val="0"/>
                <w:sz w:val="22"/>
                <w:szCs w:val="22"/>
              </w:rPr>
            </w:pPr>
          </w:p>
        </w:tc>
      </w:tr>
      <w:tr w14:paraId="654008BD">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63824AB0">
            <w:pPr>
              <w:widowControl/>
              <w:jc w:val="left"/>
              <w:rPr>
                <w:rFonts w:hint="eastAsia" w:ascii="宋体" w:hAnsi="宋体" w:cs="宋体"/>
                <w:kern w:val="0"/>
                <w:sz w:val="22"/>
                <w:szCs w:val="22"/>
              </w:rPr>
            </w:pPr>
          </w:p>
        </w:tc>
        <w:tc>
          <w:tcPr>
            <w:tcW w:w="945" w:type="dxa"/>
            <w:vMerge w:val="restart"/>
            <w:tcBorders>
              <w:top w:val="nil"/>
              <w:left w:val="single" w:color="auto" w:sz="4" w:space="0"/>
              <w:bottom w:val="single" w:color="auto" w:sz="4" w:space="0"/>
              <w:right w:val="single" w:color="auto" w:sz="4" w:space="0"/>
            </w:tcBorders>
            <w:noWrap w:val="0"/>
            <w:vAlign w:val="center"/>
          </w:tcPr>
          <w:p w14:paraId="4686AC0F">
            <w:pPr>
              <w:widowControl/>
              <w:jc w:val="center"/>
              <w:rPr>
                <w:rFonts w:hint="eastAsia" w:ascii="宋体" w:hAnsi="宋体" w:cs="宋体"/>
                <w:kern w:val="0"/>
                <w:sz w:val="22"/>
                <w:szCs w:val="22"/>
              </w:rPr>
            </w:pPr>
            <w:r>
              <w:rPr>
                <w:rFonts w:hint="eastAsia" w:ascii="宋体" w:hAnsi="宋体" w:cs="宋体"/>
                <w:kern w:val="0"/>
                <w:sz w:val="22"/>
                <w:szCs w:val="22"/>
              </w:rPr>
              <w:t>工程配合</w:t>
            </w:r>
          </w:p>
        </w:tc>
        <w:tc>
          <w:tcPr>
            <w:tcW w:w="558" w:type="dxa"/>
            <w:tcBorders>
              <w:top w:val="nil"/>
              <w:left w:val="nil"/>
              <w:bottom w:val="single" w:color="auto" w:sz="4" w:space="0"/>
              <w:right w:val="single" w:color="auto" w:sz="4" w:space="0"/>
            </w:tcBorders>
            <w:noWrap w:val="0"/>
            <w:vAlign w:val="center"/>
          </w:tcPr>
          <w:p w14:paraId="0D86BDDD">
            <w:pPr>
              <w:widowControl/>
              <w:jc w:val="center"/>
              <w:rPr>
                <w:rFonts w:hint="eastAsia" w:ascii="宋体" w:hAnsi="宋体" w:cs="宋体"/>
                <w:kern w:val="0"/>
                <w:sz w:val="22"/>
                <w:szCs w:val="22"/>
              </w:rPr>
            </w:pPr>
            <w:r>
              <w:rPr>
                <w:rFonts w:hint="eastAsia" w:ascii="宋体" w:hAnsi="宋体" w:cs="宋体"/>
                <w:kern w:val="0"/>
                <w:sz w:val="22"/>
                <w:szCs w:val="22"/>
              </w:rPr>
              <w:t>D-1</w:t>
            </w:r>
          </w:p>
        </w:tc>
        <w:tc>
          <w:tcPr>
            <w:tcW w:w="5441" w:type="dxa"/>
            <w:gridSpan w:val="2"/>
            <w:tcBorders>
              <w:top w:val="nil"/>
              <w:left w:val="nil"/>
              <w:bottom w:val="single" w:color="auto" w:sz="4" w:space="0"/>
              <w:right w:val="single" w:color="auto" w:sz="4" w:space="0"/>
            </w:tcBorders>
            <w:noWrap w:val="0"/>
            <w:vAlign w:val="center"/>
          </w:tcPr>
          <w:p w14:paraId="1BA3250A">
            <w:pPr>
              <w:widowControl/>
              <w:rPr>
                <w:rFonts w:hint="eastAsia" w:ascii="宋体" w:hAnsi="宋体" w:cs="宋体"/>
                <w:kern w:val="0"/>
                <w:sz w:val="22"/>
                <w:szCs w:val="22"/>
              </w:rPr>
            </w:pPr>
            <w:r>
              <w:rPr>
                <w:rFonts w:hint="eastAsia" w:ascii="宋体" w:hAnsi="宋体" w:cs="宋体"/>
                <w:kern w:val="0"/>
                <w:sz w:val="22"/>
                <w:szCs w:val="22"/>
              </w:rPr>
              <w:t>不按时参加各种会议，每次</w:t>
            </w:r>
          </w:p>
        </w:tc>
        <w:tc>
          <w:tcPr>
            <w:tcW w:w="775" w:type="dxa"/>
            <w:tcBorders>
              <w:top w:val="nil"/>
              <w:left w:val="nil"/>
              <w:bottom w:val="single" w:color="auto" w:sz="4" w:space="0"/>
              <w:right w:val="single" w:color="auto" w:sz="4" w:space="0"/>
            </w:tcBorders>
            <w:noWrap w:val="0"/>
            <w:vAlign w:val="center"/>
          </w:tcPr>
          <w:p w14:paraId="78E947AA">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785" w:type="dxa"/>
            <w:tcBorders>
              <w:top w:val="nil"/>
              <w:left w:val="nil"/>
              <w:bottom w:val="single" w:color="auto" w:sz="4" w:space="0"/>
              <w:right w:val="single" w:color="auto" w:sz="4" w:space="0"/>
            </w:tcBorders>
            <w:noWrap w:val="0"/>
            <w:vAlign w:val="bottom"/>
          </w:tcPr>
          <w:p w14:paraId="06A94A2C">
            <w:pPr>
              <w:widowControl/>
              <w:jc w:val="center"/>
              <w:rPr>
                <w:rFonts w:hint="eastAsia" w:ascii="宋体" w:hAnsi="宋体" w:cs="宋体"/>
                <w:kern w:val="0"/>
                <w:sz w:val="22"/>
                <w:szCs w:val="22"/>
              </w:rPr>
            </w:pPr>
          </w:p>
        </w:tc>
      </w:tr>
      <w:tr w14:paraId="7B976439">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34D3C0C0">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3CF4D98D">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6D13AE78">
            <w:pPr>
              <w:widowControl/>
              <w:jc w:val="center"/>
              <w:rPr>
                <w:rFonts w:hint="eastAsia" w:ascii="宋体" w:hAnsi="宋体" w:cs="宋体"/>
                <w:kern w:val="0"/>
                <w:sz w:val="22"/>
                <w:szCs w:val="22"/>
              </w:rPr>
            </w:pPr>
            <w:r>
              <w:rPr>
                <w:rFonts w:hint="eastAsia" w:ascii="宋体" w:hAnsi="宋体" w:cs="宋体"/>
                <w:kern w:val="0"/>
                <w:sz w:val="22"/>
                <w:szCs w:val="22"/>
              </w:rPr>
              <w:t>D-2</w:t>
            </w:r>
          </w:p>
        </w:tc>
        <w:tc>
          <w:tcPr>
            <w:tcW w:w="5441" w:type="dxa"/>
            <w:gridSpan w:val="2"/>
            <w:tcBorders>
              <w:top w:val="nil"/>
              <w:left w:val="nil"/>
              <w:bottom w:val="single" w:color="auto" w:sz="4" w:space="0"/>
              <w:right w:val="single" w:color="auto" w:sz="4" w:space="0"/>
            </w:tcBorders>
            <w:noWrap w:val="0"/>
            <w:vAlign w:val="center"/>
          </w:tcPr>
          <w:p w14:paraId="13C686EB">
            <w:pPr>
              <w:widowControl/>
              <w:rPr>
                <w:rFonts w:hint="eastAsia" w:ascii="宋体" w:hAnsi="宋体" w:cs="宋体"/>
                <w:kern w:val="0"/>
                <w:sz w:val="22"/>
                <w:szCs w:val="22"/>
              </w:rPr>
            </w:pPr>
            <w:r>
              <w:rPr>
                <w:rFonts w:hint="eastAsia" w:ascii="宋体" w:hAnsi="宋体" w:cs="宋体"/>
                <w:kern w:val="0"/>
                <w:sz w:val="22"/>
                <w:szCs w:val="22"/>
              </w:rPr>
              <w:t>不参加各种会议，或未派规定人员参加会议，每次</w:t>
            </w:r>
          </w:p>
        </w:tc>
        <w:tc>
          <w:tcPr>
            <w:tcW w:w="775" w:type="dxa"/>
            <w:tcBorders>
              <w:top w:val="nil"/>
              <w:left w:val="nil"/>
              <w:bottom w:val="single" w:color="auto" w:sz="4" w:space="0"/>
              <w:right w:val="single" w:color="auto" w:sz="4" w:space="0"/>
            </w:tcBorders>
            <w:noWrap w:val="0"/>
            <w:vAlign w:val="center"/>
          </w:tcPr>
          <w:p w14:paraId="210DFF93">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785" w:type="dxa"/>
            <w:tcBorders>
              <w:top w:val="nil"/>
              <w:left w:val="nil"/>
              <w:bottom w:val="single" w:color="auto" w:sz="4" w:space="0"/>
              <w:right w:val="single" w:color="auto" w:sz="4" w:space="0"/>
            </w:tcBorders>
            <w:noWrap w:val="0"/>
            <w:vAlign w:val="bottom"/>
          </w:tcPr>
          <w:p w14:paraId="115BDF5E">
            <w:pPr>
              <w:widowControl/>
              <w:jc w:val="center"/>
              <w:rPr>
                <w:rFonts w:hint="eastAsia" w:ascii="宋体" w:hAnsi="宋体" w:cs="宋体"/>
                <w:kern w:val="0"/>
                <w:sz w:val="22"/>
                <w:szCs w:val="22"/>
              </w:rPr>
            </w:pPr>
          </w:p>
        </w:tc>
      </w:tr>
      <w:tr w14:paraId="6FF3A440">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06061D8E">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767B7A2D">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6C269F58">
            <w:pPr>
              <w:widowControl/>
              <w:jc w:val="center"/>
              <w:rPr>
                <w:rFonts w:hint="eastAsia" w:ascii="宋体" w:hAnsi="宋体" w:cs="宋体"/>
                <w:kern w:val="0"/>
                <w:sz w:val="22"/>
                <w:szCs w:val="22"/>
              </w:rPr>
            </w:pPr>
            <w:r>
              <w:rPr>
                <w:rFonts w:hint="eastAsia" w:ascii="宋体" w:hAnsi="宋体" w:cs="宋体"/>
                <w:kern w:val="0"/>
                <w:sz w:val="22"/>
                <w:szCs w:val="22"/>
              </w:rPr>
              <w:t>D-3</w:t>
            </w:r>
          </w:p>
        </w:tc>
        <w:tc>
          <w:tcPr>
            <w:tcW w:w="5441" w:type="dxa"/>
            <w:gridSpan w:val="2"/>
            <w:tcBorders>
              <w:top w:val="nil"/>
              <w:left w:val="nil"/>
              <w:bottom w:val="single" w:color="auto" w:sz="4" w:space="0"/>
              <w:right w:val="single" w:color="auto" w:sz="4" w:space="0"/>
            </w:tcBorders>
            <w:noWrap w:val="0"/>
            <w:vAlign w:val="center"/>
          </w:tcPr>
          <w:p w14:paraId="1783E028">
            <w:pPr>
              <w:widowControl/>
              <w:rPr>
                <w:rFonts w:hint="eastAsia" w:ascii="宋体" w:hAnsi="宋体" w:cs="宋体"/>
                <w:kern w:val="0"/>
                <w:sz w:val="22"/>
                <w:szCs w:val="22"/>
              </w:rPr>
            </w:pPr>
            <w:r>
              <w:rPr>
                <w:rFonts w:hint="eastAsia" w:ascii="宋体" w:hAnsi="宋体" w:cs="宋体"/>
                <w:kern w:val="0"/>
                <w:sz w:val="22"/>
                <w:szCs w:val="22"/>
              </w:rPr>
              <w:t>未经建设单位批准，施工单位对主要管理人员进行更换的</w:t>
            </w:r>
          </w:p>
        </w:tc>
        <w:tc>
          <w:tcPr>
            <w:tcW w:w="775" w:type="dxa"/>
            <w:tcBorders>
              <w:top w:val="nil"/>
              <w:left w:val="nil"/>
              <w:bottom w:val="single" w:color="auto" w:sz="4" w:space="0"/>
              <w:right w:val="single" w:color="auto" w:sz="4" w:space="0"/>
            </w:tcBorders>
            <w:noWrap w:val="0"/>
            <w:vAlign w:val="center"/>
          </w:tcPr>
          <w:p w14:paraId="1293B621">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785" w:type="dxa"/>
            <w:tcBorders>
              <w:top w:val="nil"/>
              <w:left w:val="nil"/>
              <w:bottom w:val="single" w:color="auto" w:sz="4" w:space="0"/>
              <w:right w:val="single" w:color="auto" w:sz="4" w:space="0"/>
            </w:tcBorders>
            <w:noWrap w:val="0"/>
            <w:vAlign w:val="bottom"/>
          </w:tcPr>
          <w:p w14:paraId="2DD212A5">
            <w:pPr>
              <w:widowControl/>
              <w:jc w:val="center"/>
              <w:rPr>
                <w:rFonts w:hint="eastAsia" w:ascii="宋体" w:hAnsi="宋体" w:cs="宋体"/>
                <w:kern w:val="0"/>
                <w:sz w:val="22"/>
                <w:szCs w:val="22"/>
              </w:rPr>
            </w:pPr>
          </w:p>
        </w:tc>
      </w:tr>
      <w:tr w14:paraId="333F58F2">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0725E73C">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4B078653">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4E625611">
            <w:pPr>
              <w:widowControl/>
              <w:jc w:val="center"/>
              <w:rPr>
                <w:rFonts w:hint="eastAsia" w:ascii="宋体" w:hAnsi="宋体" w:cs="宋体"/>
                <w:kern w:val="0"/>
                <w:sz w:val="22"/>
                <w:szCs w:val="22"/>
              </w:rPr>
            </w:pPr>
            <w:r>
              <w:rPr>
                <w:rFonts w:hint="eastAsia" w:ascii="宋体" w:hAnsi="宋体" w:cs="宋体"/>
                <w:kern w:val="0"/>
                <w:sz w:val="22"/>
                <w:szCs w:val="22"/>
              </w:rPr>
              <w:t>D-4</w:t>
            </w:r>
          </w:p>
        </w:tc>
        <w:tc>
          <w:tcPr>
            <w:tcW w:w="5441" w:type="dxa"/>
            <w:gridSpan w:val="2"/>
            <w:tcBorders>
              <w:top w:val="nil"/>
              <w:left w:val="nil"/>
              <w:bottom w:val="single" w:color="auto" w:sz="4" w:space="0"/>
              <w:right w:val="single" w:color="auto" w:sz="4" w:space="0"/>
            </w:tcBorders>
            <w:noWrap w:val="0"/>
            <w:vAlign w:val="center"/>
          </w:tcPr>
          <w:p w14:paraId="30CD0B8A">
            <w:pPr>
              <w:widowControl/>
              <w:rPr>
                <w:rFonts w:hint="eastAsia" w:ascii="宋体" w:hAnsi="宋体" w:cs="宋体"/>
                <w:kern w:val="0"/>
                <w:sz w:val="22"/>
                <w:szCs w:val="22"/>
              </w:rPr>
            </w:pPr>
            <w:r>
              <w:rPr>
                <w:rFonts w:hint="eastAsia" w:ascii="宋体" w:hAnsi="宋体" w:cs="宋体"/>
                <w:kern w:val="0"/>
                <w:sz w:val="22"/>
                <w:szCs w:val="22"/>
              </w:rPr>
              <w:t>对建设单位单位要求完成的工作不主动配合或态度较差，每工程</w:t>
            </w:r>
          </w:p>
        </w:tc>
        <w:tc>
          <w:tcPr>
            <w:tcW w:w="775" w:type="dxa"/>
            <w:tcBorders>
              <w:top w:val="nil"/>
              <w:left w:val="nil"/>
              <w:bottom w:val="single" w:color="auto" w:sz="4" w:space="0"/>
              <w:right w:val="single" w:color="auto" w:sz="4" w:space="0"/>
            </w:tcBorders>
            <w:noWrap w:val="0"/>
            <w:vAlign w:val="center"/>
          </w:tcPr>
          <w:p w14:paraId="11058229">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785" w:type="dxa"/>
            <w:tcBorders>
              <w:top w:val="nil"/>
              <w:left w:val="nil"/>
              <w:bottom w:val="single" w:color="auto" w:sz="4" w:space="0"/>
              <w:right w:val="single" w:color="auto" w:sz="4" w:space="0"/>
            </w:tcBorders>
            <w:noWrap w:val="0"/>
            <w:vAlign w:val="bottom"/>
          </w:tcPr>
          <w:p w14:paraId="4CA3419A">
            <w:pPr>
              <w:widowControl/>
              <w:jc w:val="center"/>
              <w:rPr>
                <w:rFonts w:hint="eastAsia" w:ascii="宋体" w:hAnsi="宋体" w:cs="宋体"/>
                <w:kern w:val="0"/>
                <w:sz w:val="22"/>
                <w:szCs w:val="22"/>
              </w:rPr>
            </w:pPr>
          </w:p>
        </w:tc>
      </w:tr>
      <w:tr w14:paraId="555BD823">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64E21E4C">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084BE2E7">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1DD8856B">
            <w:pPr>
              <w:widowControl/>
              <w:jc w:val="center"/>
              <w:rPr>
                <w:rFonts w:hint="eastAsia" w:ascii="宋体" w:hAnsi="宋体" w:cs="宋体"/>
                <w:kern w:val="0"/>
                <w:sz w:val="22"/>
                <w:szCs w:val="22"/>
              </w:rPr>
            </w:pPr>
            <w:r>
              <w:rPr>
                <w:rFonts w:hint="eastAsia" w:ascii="宋体" w:hAnsi="宋体" w:cs="宋体"/>
                <w:kern w:val="0"/>
                <w:sz w:val="22"/>
                <w:szCs w:val="22"/>
              </w:rPr>
              <w:t>D-5</w:t>
            </w:r>
          </w:p>
        </w:tc>
        <w:tc>
          <w:tcPr>
            <w:tcW w:w="5441" w:type="dxa"/>
            <w:gridSpan w:val="2"/>
            <w:tcBorders>
              <w:top w:val="nil"/>
              <w:left w:val="nil"/>
              <w:bottom w:val="single" w:color="auto" w:sz="4" w:space="0"/>
              <w:right w:val="single" w:color="auto" w:sz="4" w:space="0"/>
            </w:tcBorders>
            <w:noWrap w:val="0"/>
            <w:vAlign w:val="center"/>
          </w:tcPr>
          <w:p w14:paraId="7CC9F868">
            <w:pPr>
              <w:widowControl/>
              <w:rPr>
                <w:rFonts w:hint="eastAsia" w:ascii="宋体" w:hAnsi="宋体" w:cs="宋体"/>
                <w:kern w:val="0"/>
                <w:sz w:val="22"/>
                <w:szCs w:val="22"/>
              </w:rPr>
            </w:pPr>
            <w:r>
              <w:rPr>
                <w:rFonts w:hint="eastAsia" w:ascii="宋体" w:hAnsi="宋体" w:cs="宋体"/>
                <w:kern w:val="0"/>
                <w:sz w:val="22"/>
                <w:szCs w:val="22"/>
              </w:rPr>
              <w:t>未经建设单位单位批准，自行进场施工的，每次</w:t>
            </w:r>
          </w:p>
        </w:tc>
        <w:tc>
          <w:tcPr>
            <w:tcW w:w="775" w:type="dxa"/>
            <w:tcBorders>
              <w:top w:val="nil"/>
              <w:left w:val="nil"/>
              <w:bottom w:val="single" w:color="auto" w:sz="4" w:space="0"/>
              <w:right w:val="single" w:color="auto" w:sz="4" w:space="0"/>
            </w:tcBorders>
            <w:noWrap w:val="0"/>
            <w:vAlign w:val="center"/>
          </w:tcPr>
          <w:p w14:paraId="50C132C3">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785" w:type="dxa"/>
            <w:tcBorders>
              <w:top w:val="nil"/>
              <w:left w:val="nil"/>
              <w:bottom w:val="single" w:color="auto" w:sz="4" w:space="0"/>
              <w:right w:val="single" w:color="auto" w:sz="4" w:space="0"/>
            </w:tcBorders>
            <w:noWrap w:val="0"/>
            <w:vAlign w:val="bottom"/>
          </w:tcPr>
          <w:p w14:paraId="1DE1930E">
            <w:pPr>
              <w:widowControl/>
              <w:jc w:val="center"/>
              <w:rPr>
                <w:rFonts w:hint="eastAsia" w:ascii="宋体" w:hAnsi="宋体" w:cs="宋体"/>
                <w:kern w:val="0"/>
                <w:sz w:val="22"/>
                <w:szCs w:val="22"/>
              </w:rPr>
            </w:pPr>
          </w:p>
        </w:tc>
      </w:tr>
      <w:tr w14:paraId="5946A6DA">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2C104347">
            <w:pPr>
              <w:widowControl/>
              <w:jc w:val="left"/>
              <w:rPr>
                <w:rFonts w:hint="eastAsia" w:ascii="宋体" w:hAnsi="宋体" w:cs="宋体"/>
                <w:kern w:val="0"/>
                <w:sz w:val="22"/>
                <w:szCs w:val="22"/>
              </w:rPr>
            </w:pPr>
          </w:p>
        </w:tc>
        <w:tc>
          <w:tcPr>
            <w:tcW w:w="945" w:type="dxa"/>
            <w:vMerge w:val="restart"/>
            <w:tcBorders>
              <w:top w:val="nil"/>
              <w:left w:val="single" w:color="auto" w:sz="4" w:space="0"/>
              <w:bottom w:val="single" w:color="auto" w:sz="4" w:space="0"/>
              <w:right w:val="single" w:color="auto" w:sz="4" w:space="0"/>
            </w:tcBorders>
            <w:noWrap w:val="0"/>
            <w:vAlign w:val="center"/>
          </w:tcPr>
          <w:p w14:paraId="32A5E949">
            <w:pPr>
              <w:widowControl/>
              <w:jc w:val="center"/>
              <w:rPr>
                <w:rFonts w:hint="eastAsia" w:ascii="宋体" w:hAnsi="宋体" w:cs="宋体"/>
                <w:kern w:val="0"/>
                <w:sz w:val="22"/>
                <w:szCs w:val="22"/>
              </w:rPr>
            </w:pPr>
            <w:r>
              <w:rPr>
                <w:rFonts w:hint="eastAsia" w:ascii="宋体" w:hAnsi="宋体" w:cs="宋体"/>
                <w:kern w:val="0"/>
                <w:sz w:val="22"/>
                <w:szCs w:val="22"/>
              </w:rPr>
              <w:t>整改考核</w:t>
            </w:r>
          </w:p>
        </w:tc>
        <w:tc>
          <w:tcPr>
            <w:tcW w:w="558" w:type="dxa"/>
            <w:tcBorders>
              <w:top w:val="nil"/>
              <w:left w:val="nil"/>
              <w:bottom w:val="single" w:color="auto" w:sz="4" w:space="0"/>
              <w:right w:val="single" w:color="auto" w:sz="4" w:space="0"/>
            </w:tcBorders>
            <w:noWrap w:val="0"/>
            <w:vAlign w:val="center"/>
          </w:tcPr>
          <w:p w14:paraId="49CAC341">
            <w:pPr>
              <w:widowControl/>
              <w:jc w:val="center"/>
              <w:rPr>
                <w:rFonts w:hint="eastAsia" w:ascii="宋体" w:hAnsi="宋体" w:cs="宋体"/>
                <w:kern w:val="0"/>
                <w:sz w:val="22"/>
                <w:szCs w:val="22"/>
              </w:rPr>
            </w:pPr>
            <w:r>
              <w:rPr>
                <w:rFonts w:hint="eastAsia" w:ascii="宋体" w:hAnsi="宋体" w:cs="宋体"/>
                <w:kern w:val="0"/>
                <w:sz w:val="22"/>
                <w:szCs w:val="22"/>
              </w:rPr>
              <w:t>E-1</w:t>
            </w:r>
          </w:p>
        </w:tc>
        <w:tc>
          <w:tcPr>
            <w:tcW w:w="5441" w:type="dxa"/>
            <w:gridSpan w:val="2"/>
            <w:tcBorders>
              <w:top w:val="nil"/>
              <w:left w:val="nil"/>
              <w:bottom w:val="single" w:color="auto" w:sz="4" w:space="0"/>
              <w:right w:val="single" w:color="auto" w:sz="4" w:space="0"/>
            </w:tcBorders>
            <w:noWrap w:val="0"/>
            <w:vAlign w:val="center"/>
          </w:tcPr>
          <w:p w14:paraId="1F49B87D">
            <w:pPr>
              <w:widowControl/>
              <w:rPr>
                <w:rFonts w:hint="eastAsia" w:ascii="宋体" w:hAnsi="宋体" w:cs="宋体"/>
                <w:kern w:val="0"/>
                <w:sz w:val="22"/>
                <w:szCs w:val="22"/>
              </w:rPr>
            </w:pPr>
            <w:r>
              <w:rPr>
                <w:rFonts w:hint="eastAsia" w:ascii="宋体" w:hAnsi="宋体" w:cs="宋体"/>
                <w:kern w:val="0"/>
                <w:sz w:val="22"/>
                <w:szCs w:val="22"/>
              </w:rPr>
              <w:t>收到工程联系函、整改通知单后，未按要求给予回应的，每次</w:t>
            </w:r>
          </w:p>
        </w:tc>
        <w:tc>
          <w:tcPr>
            <w:tcW w:w="775" w:type="dxa"/>
            <w:tcBorders>
              <w:top w:val="nil"/>
              <w:left w:val="nil"/>
              <w:bottom w:val="single" w:color="auto" w:sz="4" w:space="0"/>
              <w:right w:val="single" w:color="auto" w:sz="4" w:space="0"/>
            </w:tcBorders>
            <w:noWrap w:val="0"/>
            <w:vAlign w:val="center"/>
          </w:tcPr>
          <w:p w14:paraId="21B74314">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785" w:type="dxa"/>
            <w:tcBorders>
              <w:top w:val="nil"/>
              <w:left w:val="nil"/>
              <w:bottom w:val="single" w:color="auto" w:sz="4" w:space="0"/>
              <w:right w:val="single" w:color="auto" w:sz="4" w:space="0"/>
            </w:tcBorders>
            <w:noWrap w:val="0"/>
            <w:vAlign w:val="bottom"/>
          </w:tcPr>
          <w:p w14:paraId="0572EB2E">
            <w:pPr>
              <w:widowControl/>
              <w:jc w:val="center"/>
              <w:rPr>
                <w:rFonts w:hint="eastAsia" w:ascii="宋体" w:hAnsi="宋体" w:cs="宋体"/>
                <w:kern w:val="0"/>
                <w:sz w:val="22"/>
                <w:szCs w:val="22"/>
              </w:rPr>
            </w:pPr>
          </w:p>
        </w:tc>
      </w:tr>
      <w:tr w14:paraId="3F0555F8">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3813C0CE">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24ECED12">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621E1B0C">
            <w:pPr>
              <w:widowControl/>
              <w:jc w:val="center"/>
              <w:rPr>
                <w:rFonts w:hint="eastAsia" w:ascii="宋体" w:hAnsi="宋体" w:cs="宋体"/>
                <w:kern w:val="0"/>
                <w:sz w:val="22"/>
                <w:szCs w:val="22"/>
              </w:rPr>
            </w:pPr>
            <w:r>
              <w:rPr>
                <w:rFonts w:hint="eastAsia" w:ascii="宋体" w:hAnsi="宋体" w:cs="宋体"/>
                <w:kern w:val="0"/>
                <w:sz w:val="22"/>
                <w:szCs w:val="22"/>
              </w:rPr>
              <w:t>E-2</w:t>
            </w:r>
          </w:p>
        </w:tc>
        <w:tc>
          <w:tcPr>
            <w:tcW w:w="5441" w:type="dxa"/>
            <w:gridSpan w:val="2"/>
            <w:tcBorders>
              <w:top w:val="nil"/>
              <w:left w:val="nil"/>
              <w:bottom w:val="single" w:color="auto" w:sz="4" w:space="0"/>
              <w:right w:val="single" w:color="auto" w:sz="4" w:space="0"/>
            </w:tcBorders>
            <w:noWrap w:val="0"/>
            <w:vAlign w:val="center"/>
          </w:tcPr>
          <w:p w14:paraId="434E83E4">
            <w:pPr>
              <w:widowControl/>
              <w:rPr>
                <w:rFonts w:hint="eastAsia" w:ascii="宋体" w:hAnsi="宋体" w:cs="宋体"/>
                <w:kern w:val="0"/>
                <w:sz w:val="22"/>
                <w:szCs w:val="22"/>
              </w:rPr>
            </w:pPr>
            <w:r>
              <w:rPr>
                <w:rFonts w:hint="eastAsia" w:ascii="宋体" w:hAnsi="宋体" w:cs="宋体"/>
                <w:kern w:val="0"/>
                <w:sz w:val="22"/>
                <w:szCs w:val="22"/>
              </w:rPr>
              <w:t>采购单位现场发现施工工艺或质量问题并签发整改通知单，施工单位未能在规定的时间内整改完毕并回复的，每发生一次</w:t>
            </w:r>
          </w:p>
        </w:tc>
        <w:tc>
          <w:tcPr>
            <w:tcW w:w="775" w:type="dxa"/>
            <w:tcBorders>
              <w:top w:val="nil"/>
              <w:left w:val="nil"/>
              <w:bottom w:val="single" w:color="auto" w:sz="4" w:space="0"/>
              <w:right w:val="single" w:color="auto" w:sz="4" w:space="0"/>
            </w:tcBorders>
            <w:noWrap w:val="0"/>
            <w:vAlign w:val="center"/>
          </w:tcPr>
          <w:p w14:paraId="0BC75277">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785" w:type="dxa"/>
            <w:tcBorders>
              <w:top w:val="nil"/>
              <w:left w:val="nil"/>
              <w:bottom w:val="single" w:color="auto" w:sz="4" w:space="0"/>
              <w:right w:val="single" w:color="auto" w:sz="4" w:space="0"/>
            </w:tcBorders>
            <w:noWrap w:val="0"/>
            <w:vAlign w:val="bottom"/>
          </w:tcPr>
          <w:p w14:paraId="29D25F10">
            <w:pPr>
              <w:widowControl/>
              <w:jc w:val="center"/>
              <w:rPr>
                <w:rFonts w:hint="eastAsia" w:ascii="宋体" w:hAnsi="宋体" w:cs="宋体"/>
                <w:kern w:val="0"/>
                <w:sz w:val="22"/>
                <w:szCs w:val="22"/>
              </w:rPr>
            </w:pPr>
          </w:p>
        </w:tc>
      </w:tr>
      <w:tr w14:paraId="01EDB6E0">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7C5FF04C">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1D5E74BC">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675A1D29">
            <w:pPr>
              <w:widowControl/>
              <w:jc w:val="center"/>
              <w:rPr>
                <w:rFonts w:hint="eastAsia" w:ascii="宋体" w:hAnsi="宋体" w:cs="宋体"/>
                <w:kern w:val="0"/>
                <w:sz w:val="22"/>
                <w:szCs w:val="22"/>
              </w:rPr>
            </w:pPr>
            <w:r>
              <w:rPr>
                <w:rFonts w:hint="eastAsia" w:ascii="宋体" w:hAnsi="宋体" w:cs="宋体"/>
                <w:kern w:val="0"/>
                <w:sz w:val="22"/>
                <w:szCs w:val="22"/>
              </w:rPr>
              <w:t>E-3</w:t>
            </w:r>
          </w:p>
        </w:tc>
        <w:tc>
          <w:tcPr>
            <w:tcW w:w="5441" w:type="dxa"/>
            <w:gridSpan w:val="2"/>
            <w:tcBorders>
              <w:top w:val="nil"/>
              <w:left w:val="nil"/>
              <w:bottom w:val="single" w:color="auto" w:sz="4" w:space="0"/>
              <w:right w:val="single" w:color="auto" w:sz="4" w:space="0"/>
            </w:tcBorders>
            <w:noWrap w:val="0"/>
            <w:vAlign w:val="center"/>
          </w:tcPr>
          <w:p w14:paraId="2EED2834">
            <w:pPr>
              <w:widowControl/>
              <w:rPr>
                <w:rFonts w:hint="eastAsia" w:ascii="宋体" w:hAnsi="宋体" w:cs="宋体"/>
                <w:kern w:val="0"/>
                <w:sz w:val="22"/>
                <w:szCs w:val="22"/>
              </w:rPr>
            </w:pPr>
            <w:r>
              <w:rPr>
                <w:rFonts w:hint="eastAsia" w:ascii="宋体" w:hAnsi="宋体" w:cs="宋体"/>
                <w:kern w:val="0"/>
                <w:sz w:val="22"/>
                <w:szCs w:val="22"/>
              </w:rPr>
              <w:t>施工单位上报整改完毕后，采购单位复查时仍然发现存在质量问题，每个</w:t>
            </w:r>
          </w:p>
        </w:tc>
        <w:tc>
          <w:tcPr>
            <w:tcW w:w="775" w:type="dxa"/>
            <w:tcBorders>
              <w:top w:val="nil"/>
              <w:left w:val="nil"/>
              <w:bottom w:val="single" w:color="auto" w:sz="4" w:space="0"/>
              <w:right w:val="single" w:color="auto" w:sz="4" w:space="0"/>
            </w:tcBorders>
            <w:noWrap w:val="0"/>
            <w:vAlign w:val="center"/>
          </w:tcPr>
          <w:p w14:paraId="73F1FCBB">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785" w:type="dxa"/>
            <w:tcBorders>
              <w:top w:val="nil"/>
              <w:left w:val="nil"/>
              <w:bottom w:val="single" w:color="auto" w:sz="4" w:space="0"/>
              <w:right w:val="single" w:color="auto" w:sz="4" w:space="0"/>
            </w:tcBorders>
            <w:noWrap w:val="0"/>
            <w:vAlign w:val="bottom"/>
          </w:tcPr>
          <w:p w14:paraId="1B0E456C">
            <w:pPr>
              <w:widowControl/>
              <w:jc w:val="center"/>
              <w:rPr>
                <w:rFonts w:hint="eastAsia" w:ascii="宋体" w:hAnsi="宋体" w:cs="宋体"/>
                <w:kern w:val="0"/>
                <w:sz w:val="22"/>
                <w:szCs w:val="22"/>
              </w:rPr>
            </w:pPr>
          </w:p>
        </w:tc>
      </w:tr>
      <w:tr w14:paraId="76EF21A8">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1AE922CE">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693E5328">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54F0A7DB">
            <w:pPr>
              <w:widowControl/>
              <w:jc w:val="center"/>
              <w:rPr>
                <w:rFonts w:hint="eastAsia" w:ascii="宋体" w:hAnsi="宋体" w:cs="宋体"/>
                <w:kern w:val="0"/>
                <w:sz w:val="22"/>
                <w:szCs w:val="22"/>
              </w:rPr>
            </w:pPr>
            <w:r>
              <w:rPr>
                <w:rFonts w:hint="eastAsia" w:ascii="宋体" w:hAnsi="宋体" w:cs="宋体"/>
                <w:kern w:val="0"/>
                <w:sz w:val="22"/>
                <w:szCs w:val="22"/>
              </w:rPr>
              <w:t>E-4</w:t>
            </w:r>
          </w:p>
        </w:tc>
        <w:tc>
          <w:tcPr>
            <w:tcW w:w="5441" w:type="dxa"/>
            <w:gridSpan w:val="2"/>
            <w:tcBorders>
              <w:top w:val="nil"/>
              <w:left w:val="nil"/>
              <w:bottom w:val="single" w:color="auto" w:sz="4" w:space="0"/>
              <w:right w:val="single" w:color="auto" w:sz="4" w:space="0"/>
            </w:tcBorders>
            <w:noWrap w:val="0"/>
            <w:vAlign w:val="center"/>
          </w:tcPr>
          <w:p w14:paraId="78884122">
            <w:pPr>
              <w:widowControl/>
              <w:rPr>
                <w:rFonts w:hint="eastAsia" w:ascii="宋体" w:hAnsi="宋体" w:cs="宋体"/>
                <w:kern w:val="0"/>
                <w:sz w:val="22"/>
                <w:szCs w:val="22"/>
              </w:rPr>
            </w:pPr>
            <w:r>
              <w:rPr>
                <w:rFonts w:hint="eastAsia" w:ascii="宋体" w:hAnsi="宋体" w:cs="宋体"/>
                <w:kern w:val="0"/>
                <w:sz w:val="22"/>
                <w:szCs w:val="22"/>
              </w:rPr>
              <w:t>施工单位上报整改后，采购单位复查时发现的每个未达到整改效果的问题</w:t>
            </w:r>
          </w:p>
        </w:tc>
        <w:tc>
          <w:tcPr>
            <w:tcW w:w="775" w:type="dxa"/>
            <w:tcBorders>
              <w:top w:val="nil"/>
              <w:left w:val="nil"/>
              <w:bottom w:val="single" w:color="auto" w:sz="4" w:space="0"/>
              <w:right w:val="single" w:color="auto" w:sz="4" w:space="0"/>
            </w:tcBorders>
            <w:noWrap w:val="0"/>
            <w:vAlign w:val="center"/>
          </w:tcPr>
          <w:p w14:paraId="31CB2FAB">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785" w:type="dxa"/>
            <w:tcBorders>
              <w:top w:val="nil"/>
              <w:left w:val="nil"/>
              <w:bottom w:val="single" w:color="auto" w:sz="4" w:space="0"/>
              <w:right w:val="single" w:color="auto" w:sz="4" w:space="0"/>
            </w:tcBorders>
            <w:noWrap w:val="0"/>
            <w:vAlign w:val="bottom"/>
          </w:tcPr>
          <w:p w14:paraId="77B94532">
            <w:pPr>
              <w:widowControl/>
              <w:jc w:val="center"/>
              <w:rPr>
                <w:rFonts w:hint="eastAsia" w:ascii="宋体" w:hAnsi="宋体" w:cs="宋体"/>
                <w:kern w:val="0"/>
                <w:sz w:val="22"/>
                <w:szCs w:val="22"/>
              </w:rPr>
            </w:pPr>
          </w:p>
        </w:tc>
      </w:tr>
      <w:tr w14:paraId="617EFB8C">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27F7E260">
            <w:pPr>
              <w:widowControl/>
              <w:jc w:val="left"/>
              <w:rPr>
                <w:rFonts w:hint="eastAsia" w:ascii="宋体" w:hAnsi="宋体" w:cs="宋体"/>
                <w:kern w:val="0"/>
                <w:sz w:val="22"/>
                <w:szCs w:val="22"/>
              </w:rPr>
            </w:pPr>
          </w:p>
        </w:tc>
        <w:tc>
          <w:tcPr>
            <w:tcW w:w="945" w:type="dxa"/>
            <w:vMerge w:val="restart"/>
            <w:tcBorders>
              <w:top w:val="nil"/>
              <w:left w:val="single" w:color="auto" w:sz="4" w:space="0"/>
              <w:bottom w:val="single" w:color="auto" w:sz="4" w:space="0"/>
              <w:right w:val="single" w:color="auto" w:sz="4" w:space="0"/>
            </w:tcBorders>
            <w:noWrap w:val="0"/>
            <w:vAlign w:val="center"/>
          </w:tcPr>
          <w:p w14:paraId="107B743D">
            <w:pPr>
              <w:widowControl/>
              <w:jc w:val="center"/>
              <w:rPr>
                <w:rFonts w:hint="eastAsia" w:ascii="宋体" w:hAnsi="宋体" w:cs="宋体"/>
                <w:kern w:val="0"/>
                <w:sz w:val="22"/>
                <w:szCs w:val="22"/>
              </w:rPr>
            </w:pPr>
            <w:r>
              <w:rPr>
                <w:rFonts w:hint="eastAsia" w:ascii="宋体" w:hAnsi="宋体" w:cs="宋体"/>
                <w:kern w:val="0"/>
                <w:sz w:val="22"/>
                <w:szCs w:val="22"/>
              </w:rPr>
              <w:t>资料审核</w:t>
            </w:r>
          </w:p>
        </w:tc>
        <w:tc>
          <w:tcPr>
            <w:tcW w:w="558" w:type="dxa"/>
            <w:tcBorders>
              <w:top w:val="nil"/>
              <w:left w:val="nil"/>
              <w:bottom w:val="single" w:color="auto" w:sz="4" w:space="0"/>
              <w:right w:val="single" w:color="auto" w:sz="4" w:space="0"/>
            </w:tcBorders>
            <w:noWrap w:val="0"/>
            <w:vAlign w:val="center"/>
          </w:tcPr>
          <w:p w14:paraId="70442482">
            <w:pPr>
              <w:widowControl/>
              <w:jc w:val="center"/>
              <w:rPr>
                <w:rFonts w:hint="eastAsia" w:ascii="宋体" w:hAnsi="宋体" w:cs="宋体"/>
                <w:kern w:val="0"/>
                <w:sz w:val="22"/>
                <w:szCs w:val="22"/>
              </w:rPr>
            </w:pPr>
            <w:r>
              <w:rPr>
                <w:rFonts w:hint="eastAsia" w:ascii="宋体" w:hAnsi="宋体" w:cs="宋体"/>
                <w:kern w:val="0"/>
                <w:sz w:val="22"/>
                <w:szCs w:val="22"/>
              </w:rPr>
              <w:t>F-1</w:t>
            </w:r>
          </w:p>
        </w:tc>
        <w:tc>
          <w:tcPr>
            <w:tcW w:w="5441" w:type="dxa"/>
            <w:gridSpan w:val="2"/>
            <w:tcBorders>
              <w:top w:val="nil"/>
              <w:left w:val="nil"/>
              <w:bottom w:val="single" w:color="auto" w:sz="4" w:space="0"/>
              <w:right w:val="single" w:color="auto" w:sz="4" w:space="0"/>
            </w:tcBorders>
            <w:noWrap w:val="0"/>
            <w:vAlign w:val="center"/>
          </w:tcPr>
          <w:p w14:paraId="2CA4E2A4">
            <w:pPr>
              <w:widowControl/>
              <w:rPr>
                <w:rFonts w:hint="eastAsia" w:ascii="宋体" w:hAnsi="宋体" w:cs="宋体"/>
                <w:kern w:val="0"/>
                <w:sz w:val="22"/>
                <w:szCs w:val="22"/>
              </w:rPr>
            </w:pPr>
            <w:r>
              <w:rPr>
                <w:rFonts w:hint="eastAsia" w:ascii="宋体" w:hAnsi="宋体" w:cs="宋体"/>
                <w:kern w:val="0"/>
                <w:sz w:val="22"/>
                <w:szCs w:val="22"/>
              </w:rPr>
              <w:t>未按采购单位规定的时间报送各种档案资料，每次</w:t>
            </w:r>
          </w:p>
        </w:tc>
        <w:tc>
          <w:tcPr>
            <w:tcW w:w="775" w:type="dxa"/>
            <w:tcBorders>
              <w:top w:val="nil"/>
              <w:left w:val="nil"/>
              <w:bottom w:val="single" w:color="auto" w:sz="4" w:space="0"/>
              <w:right w:val="single" w:color="auto" w:sz="4" w:space="0"/>
            </w:tcBorders>
            <w:noWrap w:val="0"/>
            <w:vAlign w:val="center"/>
          </w:tcPr>
          <w:p w14:paraId="1514D09A">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785" w:type="dxa"/>
            <w:tcBorders>
              <w:top w:val="nil"/>
              <w:left w:val="nil"/>
              <w:bottom w:val="single" w:color="auto" w:sz="4" w:space="0"/>
              <w:right w:val="single" w:color="auto" w:sz="4" w:space="0"/>
            </w:tcBorders>
            <w:noWrap w:val="0"/>
            <w:vAlign w:val="bottom"/>
          </w:tcPr>
          <w:p w14:paraId="1CC51F66">
            <w:pPr>
              <w:widowControl/>
              <w:jc w:val="center"/>
              <w:rPr>
                <w:rFonts w:hint="eastAsia" w:ascii="宋体" w:hAnsi="宋体" w:cs="宋体"/>
                <w:kern w:val="0"/>
                <w:sz w:val="22"/>
                <w:szCs w:val="22"/>
              </w:rPr>
            </w:pPr>
          </w:p>
        </w:tc>
      </w:tr>
      <w:tr w14:paraId="3D2F8666">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253E7D9D">
            <w:pPr>
              <w:widowControl/>
              <w:jc w:val="left"/>
              <w:rPr>
                <w:rFonts w:hint="eastAsia" w:ascii="宋体" w:hAnsi="宋体" w:cs="宋体"/>
                <w:kern w:val="0"/>
                <w:sz w:val="22"/>
                <w:szCs w:val="22"/>
              </w:rPr>
            </w:pPr>
          </w:p>
        </w:tc>
        <w:tc>
          <w:tcPr>
            <w:tcW w:w="945" w:type="dxa"/>
            <w:vMerge w:val="continue"/>
            <w:tcBorders>
              <w:top w:val="nil"/>
              <w:left w:val="single" w:color="auto" w:sz="4" w:space="0"/>
              <w:bottom w:val="single" w:color="auto" w:sz="4" w:space="0"/>
              <w:right w:val="single" w:color="auto" w:sz="4" w:space="0"/>
            </w:tcBorders>
            <w:noWrap w:val="0"/>
            <w:vAlign w:val="center"/>
          </w:tcPr>
          <w:p w14:paraId="341711DE">
            <w:pPr>
              <w:widowControl/>
              <w:jc w:val="left"/>
              <w:rPr>
                <w:rFonts w:hint="eastAsia" w:ascii="宋体" w:hAnsi="宋体" w:cs="宋体"/>
                <w:kern w:val="0"/>
                <w:sz w:val="22"/>
                <w:szCs w:val="22"/>
              </w:rPr>
            </w:pPr>
          </w:p>
        </w:tc>
        <w:tc>
          <w:tcPr>
            <w:tcW w:w="558" w:type="dxa"/>
            <w:tcBorders>
              <w:top w:val="nil"/>
              <w:left w:val="nil"/>
              <w:bottom w:val="single" w:color="auto" w:sz="4" w:space="0"/>
              <w:right w:val="single" w:color="auto" w:sz="4" w:space="0"/>
            </w:tcBorders>
            <w:noWrap w:val="0"/>
            <w:vAlign w:val="center"/>
          </w:tcPr>
          <w:p w14:paraId="4C073050">
            <w:pPr>
              <w:widowControl/>
              <w:jc w:val="center"/>
              <w:rPr>
                <w:rFonts w:hint="eastAsia" w:ascii="宋体" w:hAnsi="宋体" w:cs="宋体"/>
                <w:kern w:val="0"/>
                <w:sz w:val="22"/>
                <w:szCs w:val="22"/>
              </w:rPr>
            </w:pPr>
            <w:r>
              <w:rPr>
                <w:rFonts w:hint="eastAsia" w:ascii="宋体" w:hAnsi="宋体" w:cs="宋体"/>
                <w:kern w:val="0"/>
                <w:sz w:val="22"/>
                <w:szCs w:val="22"/>
              </w:rPr>
              <w:t>F-2</w:t>
            </w:r>
          </w:p>
        </w:tc>
        <w:tc>
          <w:tcPr>
            <w:tcW w:w="5441" w:type="dxa"/>
            <w:gridSpan w:val="2"/>
            <w:tcBorders>
              <w:top w:val="nil"/>
              <w:left w:val="nil"/>
              <w:bottom w:val="single" w:color="auto" w:sz="4" w:space="0"/>
              <w:right w:val="single" w:color="auto" w:sz="4" w:space="0"/>
            </w:tcBorders>
            <w:noWrap w:val="0"/>
            <w:vAlign w:val="center"/>
          </w:tcPr>
          <w:p w14:paraId="2E4FEE8E">
            <w:pPr>
              <w:widowControl/>
              <w:rPr>
                <w:rFonts w:hint="eastAsia" w:ascii="宋体" w:hAnsi="宋体" w:cs="宋体"/>
                <w:kern w:val="0"/>
                <w:sz w:val="22"/>
                <w:szCs w:val="22"/>
              </w:rPr>
            </w:pPr>
            <w:r>
              <w:rPr>
                <w:rFonts w:hint="eastAsia" w:ascii="宋体" w:hAnsi="宋体" w:cs="宋体"/>
                <w:kern w:val="0"/>
                <w:sz w:val="22"/>
                <w:szCs w:val="22"/>
              </w:rPr>
              <w:t>竣工决算工作量和材料表，经采购单位对工作量审核，发现审减率超过8%</w:t>
            </w:r>
          </w:p>
        </w:tc>
        <w:tc>
          <w:tcPr>
            <w:tcW w:w="775" w:type="dxa"/>
            <w:tcBorders>
              <w:top w:val="nil"/>
              <w:left w:val="nil"/>
              <w:bottom w:val="single" w:color="auto" w:sz="4" w:space="0"/>
              <w:right w:val="single" w:color="auto" w:sz="4" w:space="0"/>
            </w:tcBorders>
            <w:noWrap w:val="0"/>
            <w:vAlign w:val="center"/>
          </w:tcPr>
          <w:p w14:paraId="41A9DD39">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785" w:type="dxa"/>
            <w:tcBorders>
              <w:top w:val="nil"/>
              <w:left w:val="nil"/>
              <w:bottom w:val="single" w:color="auto" w:sz="4" w:space="0"/>
              <w:right w:val="single" w:color="auto" w:sz="4" w:space="0"/>
            </w:tcBorders>
            <w:noWrap w:val="0"/>
            <w:vAlign w:val="bottom"/>
          </w:tcPr>
          <w:p w14:paraId="598BC263">
            <w:pPr>
              <w:widowControl/>
              <w:jc w:val="center"/>
              <w:rPr>
                <w:rFonts w:hint="eastAsia" w:ascii="宋体" w:hAnsi="宋体" w:cs="宋体"/>
                <w:kern w:val="0"/>
                <w:sz w:val="22"/>
                <w:szCs w:val="22"/>
              </w:rPr>
            </w:pPr>
          </w:p>
        </w:tc>
      </w:tr>
      <w:tr w14:paraId="450D78DC">
        <w:tblPrEx>
          <w:tblCellMar>
            <w:top w:w="0" w:type="dxa"/>
            <w:left w:w="108" w:type="dxa"/>
            <w:bottom w:w="0" w:type="dxa"/>
            <w:right w:w="108" w:type="dxa"/>
          </w:tblCellMar>
        </w:tblPrEx>
        <w:trPr>
          <w:trHeight w:val="90" w:hRule="atLeast"/>
          <w:jc w:val="center"/>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53B77BD4">
            <w:pPr>
              <w:widowControl/>
              <w:jc w:val="left"/>
              <w:rPr>
                <w:rFonts w:hint="eastAsia" w:ascii="宋体" w:hAnsi="宋体" w:cs="宋体"/>
                <w:kern w:val="0"/>
                <w:sz w:val="22"/>
                <w:szCs w:val="22"/>
              </w:rPr>
            </w:pPr>
          </w:p>
        </w:tc>
        <w:tc>
          <w:tcPr>
            <w:tcW w:w="945" w:type="dxa"/>
            <w:vMerge w:val="continue"/>
            <w:tcBorders>
              <w:top w:val="nil"/>
              <w:left w:val="single" w:color="auto" w:sz="4" w:space="0"/>
              <w:bottom w:val="nil"/>
              <w:right w:val="single" w:color="auto" w:sz="4" w:space="0"/>
            </w:tcBorders>
            <w:noWrap w:val="0"/>
            <w:vAlign w:val="center"/>
          </w:tcPr>
          <w:p w14:paraId="5AF58B17">
            <w:pPr>
              <w:widowControl/>
              <w:jc w:val="left"/>
              <w:rPr>
                <w:rFonts w:hint="eastAsia" w:ascii="宋体" w:hAnsi="宋体" w:cs="宋体"/>
                <w:kern w:val="0"/>
                <w:sz w:val="22"/>
                <w:szCs w:val="22"/>
              </w:rPr>
            </w:pPr>
          </w:p>
        </w:tc>
        <w:tc>
          <w:tcPr>
            <w:tcW w:w="558" w:type="dxa"/>
            <w:tcBorders>
              <w:top w:val="nil"/>
              <w:left w:val="nil"/>
              <w:bottom w:val="nil"/>
              <w:right w:val="single" w:color="auto" w:sz="4" w:space="0"/>
            </w:tcBorders>
            <w:noWrap w:val="0"/>
            <w:vAlign w:val="center"/>
          </w:tcPr>
          <w:p w14:paraId="3E163FD8">
            <w:pPr>
              <w:widowControl/>
              <w:jc w:val="center"/>
              <w:rPr>
                <w:rFonts w:hint="eastAsia" w:ascii="宋体" w:hAnsi="宋体" w:cs="宋体"/>
                <w:kern w:val="0"/>
                <w:sz w:val="22"/>
                <w:szCs w:val="22"/>
              </w:rPr>
            </w:pPr>
            <w:r>
              <w:rPr>
                <w:rFonts w:hint="eastAsia" w:ascii="宋体" w:hAnsi="宋体" w:cs="宋体"/>
                <w:kern w:val="0"/>
                <w:sz w:val="22"/>
                <w:szCs w:val="22"/>
              </w:rPr>
              <w:t>F-3</w:t>
            </w:r>
          </w:p>
        </w:tc>
        <w:tc>
          <w:tcPr>
            <w:tcW w:w="5441" w:type="dxa"/>
            <w:gridSpan w:val="2"/>
            <w:tcBorders>
              <w:top w:val="nil"/>
              <w:left w:val="nil"/>
              <w:bottom w:val="nil"/>
              <w:right w:val="single" w:color="auto" w:sz="4" w:space="0"/>
            </w:tcBorders>
            <w:noWrap w:val="0"/>
            <w:vAlign w:val="center"/>
          </w:tcPr>
          <w:p w14:paraId="25364F4E">
            <w:pPr>
              <w:widowControl/>
              <w:rPr>
                <w:rFonts w:hint="eastAsia" w:ascii="宋体" w:hAnsi="宋体" w:cs="宋体"/>
                <w:kern w:val="0"/>
                <w:sz w:val="22"/>
                <w:szCs w:val="22"/>
              </w:rPr>
            </w:pPr>
            <w:r>
              <w:rPr>
                <w:rFonts w:hint="eastAsia" w:ascii="宋体" w:hAnsi="宋体" w:cs="宋体"/>
                <w:kern w:val="0"/>
                <w:sz w:val="22"/>
                <w:szCs w:val="22"/>
              </w:rPr>
              <w:t>未及时报送竣工资料及决算或有明显的错误和缺漏的，每次</w:t>
            </w:r>
          </w:p>
        </w:tc>
        <w:tc>
          <w:tcPr>
            <w:tcW w:w="775" w:type="dxa"/>
            <w:tcBorders>
              <w:top w:val="nil"/>
              <w:left w:val="nil"/>
              <w:bottom w:val="nil"/>
              <w:right w:val="single" w:color="auto" w:sz="4" w:space="0"/>
            </w:tcBorders>
            <w:noWrap w:val="0"/>
            <w:vAlign w:val="center"/>
          </w:tcPr>
          <w:p w14:paraId="73BF442D">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785" w:type="dxa"/>
            <w:tcBorders>
              <w:top w:val="single" w:color="auto" w:sz="4" w:space="0"/>
              <w:left w:val="single" w:color="auto" w:sz="4" w:space="0"/>
              <w:bottom w:val="single" w:color="auto" w:sz="4" w:space="0"/>
              <w:right w:val="single" w:color="auto" w:sz="4" w:space="0"/>
            </w:tcBorders>
            <w:noWrap w:val="0"/>
            <w:vAlign w:val="bottom"/>
          </w:tcPr>
          <w:p w14:paraId="6E9B973D">
            <w:pPr>
              <w:widowControl/>
              <w:jc w:val="center"/>
              <w:rPr>
                <w:rFonts w:hint="eastAsia" w:ascii="宋体" w:hAnsi="宋体" w:cs="宋体"/>
                <w:kern w:val="0"/>
                <w:sz w:val="22"/>
                <w:szCs w:val="22"/>
              </w:rPr>
            </w:pPr>
          </w:p>
        </w:tc>
      </w:tr>
      <w:tr w14:paraId="1CA21D7D">
        <w:tblPrEx>
          <w:tblCellMar>
            <w:top w:w="0" w:type="dxa"/>
            <w:left w:w="108" w:type="dxa"/>
            <w:bottom w:w="0" w:type="dxa"/>
            <w:right w:w="108" w:type="dxa"/>
          </w:tblCellMar>
        </w:tblPrEx>
        <w:trPr>
          <w:trHeight w:val="90" w:hRule="atLeast"/>
          <w:jc w:val="center"/>
        </w:trPr>
        <w:tc>
          <w:tcPr>
            <w:tcW w:w="8835" w:type="dxa"/>
            <w:gridSpan w:val="6"/>
            <w:tcBorders>
              <w:top w:val="single" w:color="auto" w:sz="4" w:space="0"/>
              <w:left w:val="single" w:color="auto" w:sz="4" w:space="0"/>
              <w:bottom w:val="single" w:color="auto" w:sz="4" w:space="0"/>
              <w:right w:val="single" w:color="auto" w:sz="4" w:space="0"/>
            </w:tcBorders>
            <w:noWrap w:val="0"/>
            <w:vAlign w:val="center"/>
          </w:tcPr>
          <w:p w14:paraId="241C148D">
            <w:pPr>
              <w:adjustRightInd/>
              <w:snapToGrid w:val="0"/>
              <w:jc w:val="center"/>
              <w:rPr>
                <w:rFonts w:hint="eastAsia" w:ascii="宋体" w:hAnsi="宋体" w:cs="宋体"/>
                <w:kern w:val="0"/>
                <w:sz w:val="22"/>
                <w:szCs w:val="22"/>
              </w:rPr>
            </w:pPr>
            <w:r>
              <w:rPr>
                <w:rFonts w:hint="eastAsia" w:ascii="宋体" w:hAnsi="宋体" w:cs="宋体"/>
                <w:snapToGrid w:val="0"/>
                <w:kern w:val="0"/>
                <w:sz w:val="22"/>
                <w:szCs w:val="22"/>
              </w:rPr>
              <w:t xml:space="preserve"> 扣分合计</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5F319D60">
            <w:pPr>
              <w:adjustRightInd/>
              <w:snapToGrid w:val="0"/>
              <w:ind w:firstLine="880" w:firstLineChars="400"/>
              <w:jc w:val="left"/>
              <w:rPr>
                <w:rFonts w:hint="eastAsia" w:ascii="宋体" w:hAnsi="宋体" w:cs="宋体"/>
                <w:kern w:val="0"/>
                <w:sz w:val="22"/>
                <w:szCs w:val="22"/>
              </w:rPr>
            </w:pPr>
            <w:r>
              <w:rPr>
                <w:rFonts w:hint="eastAsia" w:ascii="宋体" w:hAnsi="宋体" w:cs="宋体"/>
                <w:snapToGrid w:val="0"/>
                <w:kern w:val="0"/>
                <w:sz w:val="22"/>
                <w:szCs w:val="22"/>
              </w:rPr>
              <w:t>分</w:t>
            </w:r>
          </w:p>
        </w:tc>
      </w:tr>
      <w:tr w14:paraId="568DF076">
        <w:tblPrEx>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14:paraId="4D7EB7C0">
            <w:pPr>
              <w:adjustRightInd/>
              <w:snapToGrid w:val="0"/>
              <w:jc w:val="center"/>
              <w:rPr>
                <w:rFonts w:hint="eastAsia" w:ascii="宋体" w:hAnsi="宋体" w:cs="宋体"/>
                <w:kern w:val="0"/>
                <w:sz w:val="22"/>
                <w:szCs w:val="22"/>
              </w:rPr>
            </w:pPr>
            <w:r>
              <w:rPr>
                <w:rFonts w:hint="eastAsia" w:ascii="宋体" w:hAnsi="宋体" w:cs="宋体"/>
                <w:snapToGrid w:val="0"/>
                <w:kern w:val="0"/>
                <w:sz w:val="22"/>
                <w:szCs w:val="22"/>
              </w:rPr>
              <w:t>年度考核分</w:t>
            </w:r>
          </w:p>
        </w:tc>
        <w:tc>
          <w:tcPr>
            <w:tcW w:w="7719" w:type="dxa"/>
            <w:gridSpan w:val="5"/>
            <w:tcBorders>
              <w:top w:val="nil"/>
              <w:left w:val="single" w:color="auto" w:sz="4" w:space="0"/>
              <w:bottom w:val="single" w:color="auto" w:sz="4" w:space="0"/>
              <w:right w:val="single" w:color="auto" w:sz="4" w:space="0"/>
            </w:tcBorders>
            <w:noWrap w:val="0"/>
            <w:vAlign w:val="center"/>
          </w:tcPr>
          <w:p w14:paraId="5670B8A7">
            <w:pPr>
              <w:adjustRightInd/>
              <w:snapToGrid w:val="0"/>
              <w:jc w:val="center"/>
              <w:rPr>
                <w:rFonts w:hint="eastAsia" w:ascii="宋体" w:hAnsi="宋体" w:cs="宋体"/>
                <w:kern w:val="0"/>
                <w:sz w:val="22"/>
                <w:szCs w:val="22"/>
              </w:rPr>
            </w:pPr>
            <w:r>
              <w:rPr>
                <w:rFonts w:hint="eastAsia" w:ascii="宋体" w:hAnsi="宋体" w:cs="宋体"/>
                <w:snapToGrid w:val="0"/>
                <w:kern w:val="0"/>
                <w:sz w:val="22"/>
                <w:szCs w:val="22"/>
              </w:rPr>
              <w:t>总计（满分100分）</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39799A00">
            <w:pPr>
              <w:adjustRightInd/>
              <w:snapToGrid w:val="0"/>
              <w:ind w:firstLine="880" w:firstLineChars="400"/>
              <w:jc w:val="left"/>
              <w:rPr>
                <w:rFonts w:hint="eastAsia" w:ascii="宋体" w:hAnsi="宋体" w:cs="宋体"/>
                <w:kern w:val="0"/>
                <w:sz w:val="22"/>
                <w:szCs w:val="22"/>
              </w:rPr>
            </w:pPr>
            <w:r>
              <w:rPr>
                <w:rFonts w:hint="eastAsia" w:ascii="宋体" w:hAnsi="宋体" w:cs="宋体"/>
                <w:snapToGrid w:val="0"/>
                <w:kern w:val="0"/>
                <w:sz w:val="22"/>
                <w:szCs w:val="22"/>
              </w:rPr>
              <w:t>分</w:t>
            </w:r>
          </w:p>
        </w:tc>
      </w:tr>
      <w:tr w14:paraId="1594E92F">
        <w:tblPrEx>
          <w:tblCellMar>
            <w:top w:w="0" w:type="dxa"/>
            <w:left w:w="108" w:type="dxa"/>
            <w:bottom w:w="0" w:type="dxa"/>
            <w:right w:w="108" w:type="dxa"/>
          </w:tblCellMar>
        </w:tblPrEx>
        <w:trPr>
          <w:trHeight w:val="372" w:hRule="atLeast"/>
          <w:jc w:val="center"/>
        </w:trPr>
        <w:tc>
          <w:tcPr>
            <w:tcW w:w="4789" w:type="dxa"/>
            <w:gridSpan w:val="4"/>
            <w:tcBorders>
              <w:top w:val="single" w:color="auto" w:sz="4" w:space="0"/>
              <w:left w:val="single" w:color="auto" w:sz="4" w:space="0"/>
              <w:bottom w:val="single" w:color="auto" w:sz="4" w:space="0"/>
              <w:right w:val="single" w:color="auto" w:sz="4" w:space="0"/>
            </w:tcBorders>
            <w:noWrap w:val="0"/>
            <w:vAlign w:val="center"/>
          </w:tcPr>
          <w:p w14:paraId="111841C2">
            <w:pPr>
              <w:adjustRightInd/>
              <w:snapToGrid w:val="0"/>
              <w:jc w:val="left"/>
              <w:rPr>
                <w:rFonts w:hint="eastAsia" w:ascii="宋体" w:hAnsi="宋体" w:cs="宋体"/>
                <w:snapToGrid w:val="0"/>
                <w:kern w:val="0"/>
                <w:sz w:val="22"/>
                <w:szCs w:val="22"/>
              </w:rPr>
            </w:pPr>
            <w:r>
              <w:rPr>
                <w:rFonts w:hint="eastAsia" w:ascii="宋体" w:hAnsi="宋体" w:cs="宋体"/>
                <w:snapToGrid w:val="0"/>
                <w:kern w:val="0"/>
                <w:sz w:val="22"/>
                <w:szCs w:val="22"/>
              </w:rPr>
              <w:t>采购人（盖章）：</w:t>
            </w:r>
          </w:p>
        </w:tc>
        <w:tc>
          <w:tcPr>
            <w:tcW w:w="4831" w:type="dxa"/>
            <w:gridSpan w:val="3"/>
            <w:tcBorders>
              <w:top w:val="single" w:color="auto" w:sz="4" w:space="0"/>
              <w:left w:val="single" w:color="auto" w:sz="4" w:space="0"/>
              <w:bottom w:val="single" w:color="auto" w:sz="4" w:space="0"/>
              <w:right w:val="single" w:color="auto" w:sz="4" w:space="0"/>
            </w:tcBorders>
            <w:noWrap w:val="0"/>
            <w:vAlign w:val="center"/>
          </w:tcPr>
          <w:p w14:paraId="0FF0611B">
            <w:pPr>
              <w:adjustRightInd/>
              <w:snapToGrid w:val="0"/>
              <w:jc w:val="left"/>
              <w:rPr>
                <w:rFonts w:hint="eastAsia" w:ascii="宋体" w:hAnsi="宋体" w:cs="宋体"/>
                <w:snapToGrid w:val="0"/>
                <w:kern w:val="0"/>
                <w:sz w:val="22"/>
                <w:szCs w:val="22"/>
              </w:rPr>
            </w:pPr>
            <w:r>
              <w:rPr>
                <w:rFonts w:hint="eastAsia" w:ascii="宋体" w:hAnsi="宋体" w:cs="宋体"/>
                <w:snapToGrid w:val="0"/>
                <w:kern w:val="0"/>
                <w:sz w:val="22"/>
                <w:szCs w:val="22"/>
              </w:rPr>
              <w:t>复核人（签字）:</w:t>
            </w:r>
          </w:p>
        </w:tc>
      </w:tr>
      <w:tr w14:paraId="3EB1388F">
        <w:tblPrEx>
          <w:tblCellMar>
            <w:top w:w="0" w:type="dxa"/>
            <w:left w:w="108" w:type="dxa"/>
            <w:bottom w:w="0" w:type="dxa"/>
            <w:right w:w="108" w:type="dxa"/>
          </w:tblCellMar>
        </w:tblPrEx>
        <w:trPr>
          <w:trHeight w:val="422" w:hRule="atLeast"/>
          <w:jc w:val="center"/>
        </w:trPr>
        <w:tc>
          <w:tcPr>
            <w:tcW w:w="4789" w:type="dxa"/>
            <w:gridSpan w:val="4"/>
            <w:tcBorders>
              <w:top w:val="single" w:color="auto" w:sz="4" w:space="0"/>
              <w:left w:val="single" w:color="auto" w:sz="4" w:space="0"/>
              <w:bottom w:val="single" w:color="auto" w:sz="4" w:space="0"/>
              <w:right w:val="single" w:color="auto" w:sz="4" w:space="0"/>
            </w:tcBorders>
            <w:noWrap w:val="0"/>
            <w:vAlign w:val="center"/>
          </w:tcPr>
          <w:p w14:paraId="2A3290DD">
            <w:pPr>
              <w:adjustRightInd/>
              <w:snapToGrid w:val="0"/>
              <w:jc w:val="left"/>
              <w:rPr>
                <w:rFonts w:hint="eastAsia" w:ascii="宋体" w:hAnsi="宋体" w:cs="宋体"/>
                <w:snapToGrid w:val="0"/>
                <w:kern w:val="0"/>
                <w:sz w:val="22"/>
                <w:szCs w:val="22"/>
              </w:rPr>
            </w:pPr>
            <w:r>
              <w:rPr>
                <w:rFonts w:hint="eastAsia" w:ascii="宋体" w:hAnsi="宋体" w:cs="宋体"/>
                <w:snapToGrid w:val="0"/>
                <w:kern w:val="0"/>
                <w:sz w:val="22"/>
                <w:szCs w:val="22"/>
              </w:rPr>
              <w:t>成交供应商（盖章）：</w:t>
            </w:r>
          </w:p>
        </w:tc>
        <w:tc>
          <w:tcPr>
            <w:tcW w:w="4831" w:type="dxa"/>
            <w:gridSpan w:val="3"/>
            <w:tcBorders>
              <w:top w:val="single" w:color="auto" w:sz="4" w:space="0"/>
              <w:left w:val="single" w:color="auto" w:sz="4" w:space="0"/>
              <w:bottom w:val="single" w:color="auto" w:sz="4" w:space="0"/>
              <w:right w:val="single" w:color="auto" w:sz="4" w:space="0"/>
            </w:tcBorders>
            <w:noWrap w:val="0"/>
            <w:vAlign w:val="center"/>
          </w:tcPr>
          <w:p w14:paraId="6E3C0FDC">
            <w:pPr>
              <w:adjustRightInd/>
              <w:snapToGrid w:val="0"/>
              <w:jc w:val="left"/>
              <w:rPr>
                <w:rFonts w:hint="eastAsia" w:ascii="宋体" w:hAnsi="宋体" w:cs="宋体"/>
                <w:snapToGrid w:val="0"/>
                <w:kern w:val="0"/>
                <w:sz w:val="22"/>
                <w:szCs w:val="22"/>
              </w:rPr>
            </w:pPr>
            <w:r>
              <w:rPr>
                <w:rFonts w:hint="eastAsia" w:ascii="宋体" w:hAnsi="宋体" w:cs="宋体"/>
                <w:snapToGrid w:val="0"/>
                <w:kern w:val="0"/>
                <w:sz w:val="22"/>
                <w:szCs w:val="22"/>
              </w:rPr>
              <w:t>成交供应商经办人（签字）:</w:t>
            </w:r>
          </w:p>
        </w:tc>
      </w:tr>
    </w:tbl>
    <w:p w14:paraId="4AC1F004">
      <w:pPr>
        <w:rPr>
          <w:rFonts w:hint="eastAsia" w:asciiTheme="minorEastAsia" w:hAnsiTheme="minorEastAsia" w:eastAsiaTheme="minorEastAsia" w:cstheme="minorEastAsia"/>
          <w:b/>
          <w:sz w:val="36"/>
          <w:szCs w:val="36"/>
          <w:highlight w:val="none"/>
        </w:rPr>
      </w:pPr>
    </w:p>
    <w:p w14:paraId="6B14844C">
      <w:pP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p>
    <w:p w14:paraId="5C50C6EF">
      <w:pPr>
        <w:spacing w:line="360" w:lineRule="auto"/>
        <w:jc w:val="center"/>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 xml:space="preserve">第四部分   </w:t>
      </w:r>
      <w:bookmarkStart w:id="49" w:name="_Toc184314478"/>
      <w:bookmarkEnd w:id="49"/>
      <w:bookmarkStart w:id="50" w:name="_Toc184310272"/>
      <w:bookmarkEnd w:id="50"/>
      <w:bookmarkStart w:id="51" w:name="_Toc184310281"/>
      <w:bookmarkEnd w:id="51"/>
      <w:bookmarkStart w:id="52" w:name="_Toc184312075"/>
      <w:bookmarkEnd w:id="52"/>
      <w:bookmarkStart w:id="53" w:name="_Toc184308058"/>
      <w:bookmarkEnd w:id="53"/>
      <w:bookmarkStart w:id="54" w:name="_Toc184314431"/>
      <w:bookmarkEnd w:id="54"/>
      <w:bookmarkStart w:id="55" w:name="_Toc184314432"/>
      <w:bookmarkEnd w:id="55"/>
      <w:bookmarkStart w:id="56" w:name="_Toc184308040"/>
      <w:bookmarkEnd w:id="56"/>
      <w:bookmarkStart w:id="57" w:name="_Toc184312070"/>
      <w:bookmarkEnd w:id="57"/>
      <w:bookmarkStart w:id="58" w:name="_Toc184310331"/>
      <w:bookmarkEnd w:id="58"/>
      <w:bookmarkStart w:id="59" w:name="_Toc184312116"/>
      <w:bookmarkEnd w:id="59"/>
      <w:bookmarkStart w:id="60" w:name="_Toc184310284"/>
      <w:bookmarkEnd w:id="60"/>
      <w:bookmarkStart w:id="61" w:name="_Toc184314462"/>
      <w:bookmarkEnd w:id="61"/>
      <w:bookmarkStart w:id="62" w:name="_Toc184314472"/>
      <w:bookmarkEnd w:id="62"/>
      <w:bookmarkStart w:id="63" w:name="_Toc184312137"/>
      <w:bookmarkEnd w:id="63"/>
      <w:bookmarkStart w:id="64" w:name="_Toc184308077"/>
      <w:bookmarkEnd w:id="64"/>
      <w:bookmarkStart w:id="65" w:name="_Toc184310336"/>
      <w:bookmarkEnd w:id="65"/>
      <w:bookmarkStart w:id="66" w:name="_Toc184314425"/>
      <w:bookmarkEnd w:id="66"/>
      <w:bookmarkStart w:id="67" w:name="_Toc184312097"/>
      <w:bookmarkEnd w:id="67"/>
      <w:bookmarkStart w:id="68" w:name="_Toc184308097"/>
      <w:bookmarkEnd w:id="68"/>
      <w:bookmarkStart w:id="69" w:name="_Toc184308063"/>
      <w:bookmarkEnd w:id="69"/>
      <w:bookmarkStart w:id="70" w:name="_Toc184313302"/>
      <w:bookmarkEnd w:id="70"/>
      <w:bookmarkStart w:id="71" w:name="_Toc184310306"/>
      <w:bookmarkEnd w:id="71"/>
      <w:bookmarkStart w:id="72" w:name="_Toc184310316"/>
      <w:bookmarkEnd w:id="72"/>
      <w:bookmarkStart w:id="73" w:name="_Toc184308108"/>
      <w:bookmarkEnd w:id="73"/>
      <w:bookmarkStart w:id="74" w:name="_Toc184310339"/>
      <w:bookmarkEnd w:id="74"/>
      <w:bookmarkStart w:id="75" w:name="_Toc184308081"/>
      <w:bookmarkEnd w:id="75"/>
      <w:bookmarkStart w:id="76" w:name="_Toc184313256"/>
      <w:bookmarkEnd w:id="76"/>
      <w:bookmarkStart w:id="77" w:name="_Toc184312117"/>
      <w:bookmarkEnd w:id="77"/>
      <w:bookmarkStart w:id="78" w:name="_Toc184310295"/>
      <w:bookmarkEnd w:id="78"/>
      <w:bookmarkStart w:id="79" w:name="_Toc184314479"/>
      <w:bookmarkEnd w:id="79"/>
      <w:bookmarkStart w:id="80" w:name="_Toc184310290"/>
      <w:bookmarkEnd w:id="80"/>
      <w:bookmarkStart w:id="81" w:name="_Toc184310338"/>
      <w:bookmarkEnd w:id="81"/>
      <w:bookmarkStart w:id="82" w:name="_Toc184308053"/>
      <w:bookmarkEnd w:id="82"/>
      <w:bookmarkStart w:id="83" w:name="_Toc184314468"/>
      <w:bookmarkEnd w:id="83"/>
      <w:bookmarkStart w:id="84" w:name="_Toc184313264"/>
      <w:bookmarkEnd w:id="84"/>
      <w:bookmarkStart w:id="85" w:name="_Toc184313285"/>
      <w:bookmarkEnd w:id="85"/>
      <w:bookmarkStart w:id="86" w:name="_Toc184312099"/>
      <w:bookmarkEnd w:id="86"/>
      <w:bookmarkStart w:id="87" w:name="_Toc184312120"/>
      <w:bookmarkEnd w:id="87"/>
      <w:bookmarkStart w:id="88" w:name="_Toc184314410"/>
      <w:bookmarkEnd w:id="88"/>
      <w:bookmarkStart w:id="89" w:name="_Toc184310323"/>
      <w:bookmarkEnd w:id="89"/>
      <w:bookmarkStart w:id="90" w:name="_Toc184313262"/>
      <w:bookmarkEnd w:id="90"/>
      <w:bookmarkStart w:id="91" w:name="_Toc184312096"/>
      <w:bookmarkEnd w:id="91"/>
      <w:bookmarkStart w:id="92" w:name="_Toc184310319"/>
      <w:bookmarkEnd w:id="92"/>
      <w:bookmarkStart w:id="93" w:name="_Toc184310288"/>
      <w:bookmarkEnd w:id="93"/>
      <w:bookmarkStart w:id="94" w:name="_Toc184314457"/>
      <w:bookmarkEnd w:id="94"/>
      <w:bookmarkStart w:id="95" w:name="_Toc184314480"/>
      <w:bookmarkEnd w:id="95"/>
      <w:bookmarkStart w:id="96" w:name="_Toc184313249"/>
      <w:bookmarkEnd w:id="96"/>
      <w:bookmarkStart w:id="97" w:name="_Toc184313270"/>
      <w:bookmarkEnd w:id="97"/>
      <w:bookmarkStart w:id="98" w:name="_Toc184314455"/>
      <w:bookmarkEnd w:id="98"/>
      <w:bookmarkStart w:id="99" w:name="_Toc184314424"/>
      <w:bookmarkEnd w:id="99"/>
      <w:bookmarkStart w:id="100" w:name="_Toc184310299"/>
      <w:bookmarkEnd w:id="100"/>
      <w:bookmarkStart w:id="101" w:name="_Toc184313309"/>
      <w:bookmarkEnd w:id="101"/>
      <w:bookmarkStart w:id="102" w:name="_Toc184313305"/>
      <w:bookmarkEnd w:id="102"/>
      <w:bookmarkStart w:id="103" w:name="_Toc184310308"/>
      <w:bookmarkEnd w:id="103"/>
      <w:bookmarkStart w:id="104" w:name="_Toc184312095"/>
      <w:bookmarkEnd w:id="104"/>
      <w:bookmarkStart w:id="105" w:name="_Toc184312090"/>
      <w:bookmarkEnd w:id="105"/>
      <w:bookmarkStart w:id="106" w:name="_Toc184308082"/>
      <w:bookmarkEnd w:id="106"/>
      <w:bookmarkStart w:id="107" w:name="_Toc184312079"/>
      <w:bookmarkEnd w:id="107"/>
      <w:bookmarkStart w:id="108" w:name="_Toc184312089"/>
      <w:bookmarkEnd w:id="108"/>
      <w:bookmarkStart w:id="109" w:name="_Toc184308047"/>
      <w:bookmarkEnd w:id="109"/>
      <w:bookmarkStart w:id="110" w:name="_Toc184313280"/>
      <w:bookmarkEnd w:id="110"/>
      <w:bookmarkStart w:id="111" w:name="_Toc184310292"/>
      <w:bookmarkEnd w:id="111"/>
      <w:bookmarkStart w:id="112" w:name="_Toc184308098"/>
      <w:bookmarkEnd w:id="112"/>
      <w:bookmarkStart w:id="113" w:name="_Toc184313272"/>
      <w:bookmarkEnd w:id="113"/>
      <w:bookmarkStart w:id="114" w:name="_Toc184314422"/>
      <w:bookmarkEnd w:id="114"/>
      <w:bookmarkStart w:id="115" w:name="_Toc184310333"/>
      <w:bookmarkEnd w:id="115"/>
      <w:bookmarkStart w:id="116" w:name="_Toc184313301"/>
      <w:bookmarkEnd w:id="116"/>
      <w:bookmarkStart w:id="117" w:name="_Toc184313247"/>
      <w:bookmarkEnd w:id="117"/>
      <w:bookmarkStart w:id="118" w:name="_Toc184308106"/>
      <w:bookmarkEnd w:id="118"/>
      <w:bookmarkStart w:id="119" w:name="_Toc184312100"/>
      <w:bookmarkEnd w:id="119"/>
      <w:bookmarkStart w:id="120" w:name="_Toc184308064"/>
      <w:bookmarkEnd w:id="120"/>
      <w:bookmarkStart w:id="121" w:name="_Toc184314415"/>
      <w:bookmarkEnd w:id="121"/>
      <w:bookmarkStart w:id="122" w:name="_Toc184314452"/>
      <w:bookmarkEnd w:id="122"/>
      <w:bookmarkStart w:id="123" w:name="_Toc184313306"/>
      <w:bookmarkEnd w:id="123"/>
      <w:bookmarkStart w:id="124" w:name="_Toc184314449"/>
      <w:bookmarkEnd w:id="124"/>
      <w:bookmarkStart w:id="125" w:name="_Toc184313288"/>
      <w:bookmarkEnd w:id="125"/>
      <w:bookmarkStart w:id="126" w:name="_Toc184314423"/>
      <w:bookmarkEnd w:id="126"/>
      <w:bookmarkStart w:id="127" w:name="_Toc184308073"/>
      <w:bookmarkEnd w:id="127"/>
      <w:bookmarkStart w:id="128" w:name="_Toc184314482"/>
      <w:bookmarkEnd w:id="128"/>
      <w:bookmarkStart w:id="129" w:name="_Toc184313271"/>
      <w:bookmarkEnd w:id="129"/>
      <w:bookmarkStart w:id="130" w:name="_Toc184310304"/>
      <w:bookmarkEnd w:id="130"/>
      <w:bookmarkStart w:id="131" w:name="_Toc184314414"/>
      <w:bookmarkEnd w:id="131"/>
      <w:bookmarkStart w:id="132" w:name="_Toc184310277"/>
      <w:bookmarkEnd w:id="132"/>
      <w:bookmarkStart w:id="133" w:name="_Toc184308042"/>
      <w:bookmarkEnd w:id="133"/>
      <w:bookmarkStart w:id="134" w:name="_Toc184312083"/>
      <w:bookmarkEnd w:id="134"/>
      <w:bookmarkStart w:id="135" w:name="_Toc184312102"/>
      <w:bookmarkEnd w:id="135"/>
      <w:bookmarkStart w:id="136" w:name="_Toc184310337"/>
      <w:bookmarkEnd w:id="136"/>
      <w:bookmarkStart w:id="137" w:name="_Toc184312119"/>
      <w:bookmarkEnd w:id="137"/>
      <w:bookmarkStart w:id="138" w:name="_Toc184313248"/>
      <w:bookmarkEnd w:id="138"/>
      <w:bookmarkStart w:id="139" w:name="_Toc184308066"/>
      <w:bookmarkEnd w:id="139"/>
      <w:bookmarkStart w:id="140" w:name="_Toc184308036"/>
      <w:bookmarkEnd w:id="140"/>
      <w:bookmarkStart w:id="141" w:name="_Toc184310310"/>
      <w:bookmarkEnd w:id="141"/>
      <w:bookmarkStart w:id="142" w:name="_Toc184308105"/>
      <w:bookmarkEnd w:id="142"/>
      <w:bookmarkStart w:id="143" w:name="_Toc184314466"/>
      <w:bookmarkEnd w:id="143"/>
      <w:bookmarkStart w:id="144" w:name="_Toc184312129"/>
      <w:bookmarkEnd w:id="144"/>
      <w:bookmarkStart w:id="145" w:name="_Toc184310307"/>
      <w:bookmarkEnd w:id="145"/>
      <w:bookmarkStart w:id="146" w:name="_Toc184310305"/>
      <w:bookmarkEnd w:id="146"/>
      <w:bookmarkStart w:id="147" w:name="_Toc184312086"/>
      <w:bookmarkEnd w:id="147"/>
      <w:bookmarkStart w:id="148" w:name="_Toc184313290"/>
      <w:bookmarkEnd w:id="148"/>
      <w:bookmarkStart w:id="149" w:name="_Toc184310328"/>
      <w:bookmarkEnd w:id="149"/>
      <w:bookmarkStart w:id="150" w:name="_Toc184310274"/>
      <w:bookmarkEnd w:id="150"/>
      <w:bookmarkStart w:id="151" w:name="_Toc184308100"/>
      <w:bookmarkEnd w:id="151"/>
      <w:bookmarkStart w:id="152" w:name="_Toc184310283"/>
      <w:bookmarkEnd w:id="152"/>
      <w:bookmarkStart w:id="153" w:name="_Toc184314438"/>
      <w:bookmarkEnd w:id="153"/>
      <w:bookmarkStart w:id="154" w:name="_Toc184308052"/>
      <w:bookmarkEnd w:id="154"/>
      <w:bookmarkStart w:id="155" w:name="_Toc184312072"/>
      <w:bookmarkEnd w:id="155"/>
      <w:bookmarkStart w:id="156" w:name="_Toc184310285"/>
      <w:bookmarkEnd w:id="156"/>
      <w:bookmarkStart w:id="157" w:name="_Toc184308078"/>
      <w:bookmarkEnd w:id="157"/>
      <w:bookmarkStart w:id="158" w:name="_Toc184314459"/>
      <w:bookmarkEnd w:id="158"/>
      <w:bookmarkStart w:id="159" w:name="_Toc184314441"/>
      <w:bookmarkEnd w:id="159"/>
      <w:bookmarkStart w:id="160" w:name="_Toc184313258"/>
      <w:bookmarkEnd w:id="160"/>
      <w:bookmarkStart w:id="161" w:name="_Toc184314418"/>
      <w:bookmarkEnd w:id="161"/>
      <w:bookmarkStart w:id="162" w:name="_Toc184312121"/>
      <w:bookmarkEnd w:id="162"/>
      <w:bookmarkStart w:id="163" w:name="_Toc184314426"/>
      <w:bookmarkEnd w:id="163"/>
      <w:bookmarkStart w:id="164" w:name="_Toc184312139"/>
      <w:bookmarkEnd w:id="164"/>
      <w:bookmarkStart w:id="165" w:name="_Toc184313300"/>
      <w:bookmarkEnd w:id="165"/>
      <w:bookmarkStart w:id="166" w:name="_Toc184312134"/>
      <w:bookmarkEnd w:id="166"/>
      <w:bookmarkStart w:id="167" w:name="_Toc184310325"/>
      <w:bookmarkEnd w:id="167"/>
      <w:bookmarkStart w:id="168" w:name="_Toc184313242"/>
      <w:bookmarkEnd w:id="168"/>
      <w:bookmarkStart w:id="169" w:name="_Toc184313273"/>
      <w:bookmarkEnd w:id="169"/>
      <w:bookmarkStart w:id="170" w:name="_Toc184308080"/>
      <w:bookmarkEnd w:id="170"/>
      <w:bookmarkStart w:id="171" w:name="_Toc184308045"/>
      <w:bookmarkEnd w:id="171"/>
      <w:bookmarkStart w:id="172" w:name="_Toc184312087"/>
      <w:bookmarkEnd w:id="172"/>
      <w:bookmarkStart w:id="173" w:name="_Toc184312126"/>
      <w:bookmarkEnd w:id="173"/>
      <w:bookmarkStart w:id="174" w:name="_Toc184314419"/>
      <w:bookmarkEnd w:id="174"/>
      <w:bookmarkStart w:id="175" w:name="_Toc184314443"/>
      <w:bookmarkEnd w:id="175"/>
      <w:bookmarkStart w:id="176" w:name="_Toc184308095"/>
      <w:bookmarkEnd w:id="176"/>
      <w:bookmarkStart w:id="177" w:name="_Toc184308085"/>
      <w:bookmarkEnd w:id="177"/>
      <w:bookmarkStart w:id="178" w:name="_Toc184314464"/>
      <w:bookmarkEnd w:id="178"/>
      <w:bookmarkStart w:id="179" w:name="_Toc184308099"/>
      <w:bookmarkEnd w:id="179"/>
      <w:bookmarkStart w:id="180" w:name="_Toc184308059"/>
      <w:bookmarkEnd w:id="180"/>
      <w:bookmarkStart w:id="181" w:name="_Toc184308057"/>
      <w:bookmarkEnd w:id="181"/>
      <w:bookmarkStart w:id="182" w:name="_Toc184313252"/>
      <w:bookmarkEnd w:id="182"/>
      <w:bookmarkStart w:id="183" w:name="_Toc184313296"/>
      <w:bookmarkEnd w:id="183"/>
      <w:bookmarkStart w:id="184" w:name="_Toc184312132"/>
      <w:bookmarkEnd w:id="184"/>
      <w:bookmarkStart w:id="185" w:name="_Toc184308091"/>
      <w:bookmarkEnd w:id="185"/>
      <w:bookmarkStart w:id="186" w:name="_Toc184308051"/>
      <w:bookmarkEnd w:id="186"/>
      <w:bookmarkStart w:id="187" w:name="_Toc184310332"/>
      <w:bookmarkEnd w:id="187"/>
      <w:bookmarkStart w:id="188" w:name="_Toc184308074"/>
      <w:bookmarkEnd w:id="188"/>
      <w:bookmarkStart w:id="189" w:name="_Toc184313275"/>
      <w:bookmarkEnd w:id="189"/>
      <w:bookmarkStart w:id="190" w:name="_Toc184310291"/>
      <w:bookmarkEnd w:id="190"/>
      <w:bookmarkStart w:id="191" w:name="_Toc184313304"/>
      <w:bookmarkEnd w:id="191"/>
      <w:bookmarkStart w:id="192" w:name="_Toc184312077"/>
      <w:bookmarkEnd w:id="192"/>
      <w:bookmarkStart w:id="193" w:name="_Toc184312136"/>
      <w:bookmarkEnd w:id="193"/>
      <w:bookmarkStart w:id="194" w:name="_Toc184314412"/>
      <w:bookmarkEnd w:id="194"/>
      <w:bookmarkStart w:id="195" w:name="_Toc184310341"/>
      <w:bookmarkEnd w:id="195"/>
      <w:bookmarkStart w:id="196" w:name="_Toc184312124"/>
      <w:bookmarkEnd w:id="196"/>
      <w:bookmarkStart w:id="197" w:name="_Toc184310335"/>
      <w:bookmarkEnd w:id="197"/>
      <w:bookmarkStart w:id="198" w:name="_Toc184310315"/>
      <w:bookmarkEnd w:id="198"/>
      <w:bookmarkStart w:id="199" w:name="_Toc184313255"/>
      <w:bookmarkEnd w:id="199"/>
      <w:bookmarkStart w:id="200" w:name="_Toc184314474"/>
      <w:bookmarkEnd w:id="200"/>
      <w:bookmarkStart w:id="201" w:name="_Toc184313284"/>
      <w:bookmarkEnd w:id="201"/>
      <w:bookmarkStart w:id="202" w:name="_Toc184313299"/>
      <w:bookmarkEnd w:id="202"/>
      <w:bookmarkStart w:id="203" w:name="_Toc184310280"/>
      <w:bookmarkEnd w:id="203"/>
      <w:bookmarkStart w:id="204" w:name="_Toc184314477"/>
      <w:bookmarkEnd w:id="204"/>
      <w:bookmarkStart w:id="205" w:name="_Toc184314428"/>
      <w:bookmarkEnd w:id="205"/>
      <w:bookmarkStart w:id="206" w:name="_Toc184313310"/>
      <w:bookmarkEnd w:id="206"/>
      <w:bookmarkStart w:id="207" w:name="_Toc184310340"/>
      <w:bookmarkEnd w:id="207"/>
      <w:bookmarkStart w:id="208" w:name="_Toc184308050"/>
      <w:bookmarkEnd w:id="208"/>
      <w:bookmarkStart w:id="209" w:name="_Toc184313267"/>
      <w:bookmarkEnd w:id="209"/>
      <w:bookmarkStart w:id="210" w:name="_Toc184312092"/>
      <w:bookmarkEnd w:id="210"/>
      <w:bookmarkStart w:id="211" w:name="_Toc184314445"/>
      <w:bookmarkEnd w:id="211"/>
      <w:bookmarkStart w:id="212" w:name="_Toc184313303"/>
      <w:bookmarkEnd w:id="212"/>
      <w:bookmarkStart w:id="213" w:name="_Toc184308070"/>
      <w:bookmarkEnd w:id="213"/>
      <w:bookmarkStart w:id="214" w:name="_Toc184314471"/>
      <w:bookmarkEnd w:id="214"/>
      <w:bookmarkStart w:id="215" w:name="_Toc184308092"/>
      <w:bookmarkEnd w:id="215"/>
      <w:bookmarkStart w:id="216" w:name="_Toc184312098"/>
      <w:bookmarkEnd w:id="216"/>
      <w:bookmarkStart w:id="217" w:name="_Toc184310326"/>
      <w:bookmarkEnd w:id="217"/>
      <w:bookmarkStart w:id="218" w:name="_Toc184308094"/>
      <w:bookmarkEnd w:id="218"/>
      <w:bookmarkStart w:id="219" w:name="_Toc184312128"/>
      <w:bookmarkEnd w:id="219"/>
      <w:bookmarkStart w:id="220" w:name="_Toc184313259"/>
      <w:bookmarkEnd w:id="220"/>
      <w:bookmarkStart w:id="221" w:name="_Toc184314473"/>
      <w:bookmarkEnd w:id="221"/>
      <w:bookmarkStart w:id="222" w:name="_Toc184310318"/>
      <w:bookmarkEnd w:id="222"/>
      <w:bookmarkStart w:id="223" w:name="_Toc184312088"/>
      <w:bookmarkEnd w:id="223"/>
      <w:bookmarkStart w:id="224" w:name="_Toc184308093"/>
      <w:bookmarkEnd w:id="224"/>
      <w:bookmarkStart w:id="225" w:name="_Toc184313241"/>
      <w:bookmarkEnd w:id="225"/>
      <w:bookmarkStart w:id="226" w:name="_Toc184310276"/>
      <w:bookmarkEnd w:id="226"/>
      <w:bookmarkStart w:id="227" w:name="_Toc184310322"/>
      <w:bookmarkEnd w:id="227"/>
      <w:bookmarkStart w:id="228" w:name="_Toc184310314"/>
      <w:bookmarkEnd w:id="228"/>
      <w:bookmarkStart w:id="229" w:name="_Toc184313278"/>
      <w:bookmarkEnd w:id="229"/>
      <w:bookmarkStart w:id="230" w:name="_Toc184310343"/>
      <w:bookmarkEnd w:id="230"/>
      <w:bookmarkStart w:id="231" w:name="_Toc184313239"/>
      <w:bookmarkEnd w:id="231"/>
      <w:bookmarkStart w:id="232" w:name="_Toc184308038"/>
      <w:bookmarkEnd w:id="232"/>
      <w:bookmarkStart w:id="233" w:name="_Toc184308090"/>
      <w:bookmarkEnd w:id="233"/>
      <w:bookmarkStart w:id="234" w:name="_Toc184313251"/>
      <w:bookmarkEnd w:id="234"/>
      <w:bookmarkStart w:id="235" w:name="_Toc184308079"/>
      <w:bookmarkEnd w:id="235"/>
      <w:bookmarkStart w:id="236" w:name="_Toc184313283"/>
      <w:bookmarkEnd w:id="236"/>
      <w:bookmarkStart w:id="237" w:name="_Toc184314460"/>
      <w:bookmarkEnd w:id="237"/>
      <w:bookmarkStart w:id="238" w:name="_Toc184313245"/>
      <w:bookmarkEnd w:id="238"/>
      <w:bookmarkStart w:id="239" w:name="_Toc184308037"/>
      <w:bookmarkEnd w:id="239"/>
      <w:bookmarkStart w:id="240" w:name="_Toc184314416"/>
      <w:bookmarkEnd w:id="240"/>
      <w:bookmarkStart w:id="241" w:name="_Toc184313240"/>
      <w:bookmarkEnd w:id="241"/>
      <w:bookmarkStart w:id="242" w:name="_Toc184310321"/>
      <w:bookmarkEnd w:id="242"/>
      <w:bookmarkStart w:id="243" w:name="_Toc184308049"/>
      <w:bookmarkEnd w:id="243"/>
      <w:bookmarkStart w:id="244" w:name="_Toc184314417"/>
      <w:bookmarkEnd w:id="244"/>
      <w:bookmarkStart w:id="245" w:name="_Toc184313261"/>
      <w:bookmarkEnd w:id="245"/>
      <w:bookmarkStart w:id="246" w:name="_Toc184308039"/>
      <w:bookmarkEnd w:id="246"/>
      <w:bookmarkStart w:id="247" w:name="_Toc184313276"/>
      <w:bookmarkEnd w:id="247"/>
      <w:bookmarkStart w:id="248" w:name="_Toc184308044"/>
      <w:bookmarkEnd w:id="248"/>
      <w:bookmarkStart w:id="249" w:name="_Toc184308055"/>
      <w:bookmarkEnd w:id="249"/>
      <w:bookmarkStart w:id="250" w:name="_Toc184310330"/>
      <w:bookmarkEnd w:id="250"/>
      <w:bookmarkStart w:id="251" w:name="_Toc184310344"/>
      <w:bookmarkEnd w:id="251"/>
      <w:bookmarkStart w:id="252" w:name="_Toc184308067"/>
      <w:bookmarkEnd w:id="252"/>
      <w:bookmarkStart w:id="253" w:name="_Toc184308089"/>
      <w:bookmarkEnd w:id="253"/>
      <w:bookmarkStart w:id="254" w:name="_Toc184312130"/>
      <w:bookmarkEnd w:id="254"/>
      <w:bookmarkStart w:id="255" w:name="_Toc184312076"/>
      <w:bookmarkEnd w:id="255"/>
      <w:bookmarkStart w:id="256" w:name="_Toc184313291"/>
      <w:bookmarkEnd w:id="256"/>
      <w:bookmarkStart w:id="257" w:name="_Toc184314470"/>
      <w:bookmarkEnd w:id="257"/>
      <w:bookmarkStart w:id="258" w:name="_Toc184310287"/>
      <w:bookmarkEnd w:id="258"/>
      <w:bookmarkStart w:id="259" w:name="_Toc184312122"/>
      <w:bookmarkEnd w:id="259"/>
      <w:bookmarkStart w:id="260" w:name="_Toc184312118"/>
      <w:bookmarkEnd w:id="260"/>
      <w:bookmarkStart w:id="261" w:name="_Toc184314465"/>
      <w:bookmarkEnd w:id="261"/>
      <w:bookmarkStart w:id="262" w:name="_Toc184310293"/>
      <w:bookmarkEnd w:id="262"/>
      <w:bookmarkStart w:id="263" w:name="_Toc184312111"/>
      <w:bookmarkEnd w:id="263"/>
      <w:bookmarkStart w:id="264" w:name="_Toc184312113"/>
      <w:bookmarkEnd w:id="264"/>
      <w:bookmarkStart w:id="265" w:name="_Toc184308076"/>
      <w:bookmarkEnd w:id="265"/>
      <w:bookmarkStart w:id="266" w:name="_Toc184313298"/>
      <w:bookmarkEnd w:id="266"/>
      <w:bookmarkStart w:id="267" w:name="_Toc184313269"/>
      <w:bookmarkEnd w:id="267"/>
      <w:bookmarkStart w:id="268" w:name="_Toc184310303"/>
      <w:bookmarkEnd w:id="268"/>
      <w:bookmarkStart w:id="269" w:name="_Toc184312073"/>
      <w:bookmarkEnd w:id="269"/>
      <w:bookmarkStart w:id="270" w:name="_Toc184308043"/>
      <w:bookmarkEnd w:id="270"/>
      <w:bookmarkStart w:id="271" w:name="_Toc184313297"/>
      <w:bookmarkEnd w:id="271"/>
      <w:bookmarkStart w:id="272" w:name="_Toc184310297"/>
      <w:bookmarkEnd w:id="272"/>
      <w:bookmarkStart w:id="273" w:name="_Toc184308054"/>
      <w:bookmarkEnd w:id="273"/>
      <w:bookmarkStart w:id="274" w:name="_Toc184308103"/>
      <w:bookmarkEnd w:id="274"/>
      <w:bookmarkStart w:id="275" w:name="_Toc184314437"/>
      <w:bookmarkEnd w:id="275"/>
      <w:bookmarkStart w:id="276" w:name="_Toc184312071"/>
      <w:bookmarkEnd w:id="276"/>
      <w:bookmarkStart w:id="277" w:name="_Toc184310324"/>
      <w:bookmarkEnd w:id="277"/>
      <w:bookmarkStart w:id="278" w:name="_Toc184310296"/>
      <w:bookmarkEnd w:id="278"/>
      <w:bookmarkStart w:id="279" w:name="_Toc184308075"/>
      <w:bookmarkEnd w:id="279"/>
      <w:bookmarkStart w:id="280" w:name="_Toc184310317"/>
      <w:bookmarkEnd w:id="280"/>
      <w:bookmarkStart w:id="281" w:name="_Toc184313254"/>
      <w:bookmarkEnd w:id="281"/>
      <w:bookmarkStart w:id="282" w:name="_Toc184312067"/>
      <w:bookmarkEnd w:id="282"/>
      <w:bookmarkStart w:id="283" w:name="_Toc184310294"/>
      <w:bookmarkEnd w:id="283"/>
      <w:bookmarkStart w:id="284" w:name="_Toc184314413"/>
      <w:bookmarkEnd w:id="284"/>
      <w:bookmarkStart w:id="285" w:name="_Toc184312080"/>
      <w:bookmarkEnd w:id="285"/>
      <w:bookmarkStart w:id="286" w:name="_Toc184312123"/>
      <w:bookmarkEnd w:id="286"/>
      <w:bookmarkStart w:id="287" w:name="_Toc184312108"/>
      <w:bookmarkEnd w:id="287"/>
      <w:bookmarkStart w:id="288" w:name="_Toc184310309"/>
      <w:bookmarkEnd w:id="288"/>
      <w:bookmarkStart w:id="289" w:name="_Toc184312125"/>
      <w:bookmarkEnd w:id="289"/>
      <w:bookmarkStart w:id="290" w:name="_Toc184313243"/>
      <w:bookmarkEnd w:id="290"/>
      <w:bookmarkStart w:id="291" w:name="_Toc184308071"/>
      <w:bookmarkEnd w:id="291"/>
      <w:bookmarkStart w:id="292" w:name="_Toc184312078"/>
      <w:bookmarkEnd w:id="292"/>
      <w:bookmarkStart w:id="293" w:name="_Toc184310311"/>
      <w:bookmarkEnd w:id="293"/>
      <w:bookmarkStart w:id="294" w:name="_Toc184313292"/>
      <w:bookmarkEnd w:id="294"/>
      <w:bookmarkStart w:id="295" w:name="_Toc184313266"/>
      <w:bookmarkEnd w:id="295"/>
      <w:bookmarkStart w:id="296" w:name="_Toc184314469"/>
      <w:bookmarkEnd w:id="296"/>
      <w:bookmarkStart w:id="297" w:name="_Toc184313244"/>
      <w:bookmarkEnd w:id="297"/>
      <w:bookmarkStart w:id="298" w:name="_Toc184313287"/>
      <w:bookmarkEnd w:id="298"/>
      <w:bookmarkStart w:id="299" w:name="_Toc184312110"/>
      <w:bookmarkEnd w:id="299"/>
      <w:bookmarkStart w:id="300" w:name="_Toc184314444"/>
      <w:bookmarkEnd w:id="300"/>
      <w:bookmarkStart w:id="301" w:name="_Toc184308065"/>
      <w:bookmarkEnd w:id="301"/>
      <w:bookmarkStart w:id="302" w:name="_Toc184314440"/>
      <w:bookmarkEnd w:id="302"/>
      <w:bookmarkStart w:id="303" w:name="_Toc184313295"/>
      <w:bookmarkEnd w:id="303"/>
      <w:bookmarkStart w:id="304" w:name="_Toc184310298"/>
      <w:bookmarkEnd w:id="304"/>
      <w:bookmarkStart w:id="305" w:name="_Toc184308086"/>
      <w:bookmarkEnd w:id="305"/>
      <w:bookmarkStart w:id="306" w:name="_Toc184313268"/>
      <w:bookmarkEnd w:id="306"/>
      <w:bookmarkStart w:id="307" w:name="_Toc184308041"/>
      <w:bookmarkEnd w:id="307"/>
      <w:bookmarkStart w:id="308" w:name="_Toc184314450"/>
      <w:bookmarkEnd w:id="308"/>
      <w:bookmarkStart w:id="309" w:name="_Toc184310329"/>
      <w:bookmarkEnd w:id="309"/>
      <w:bookmarkStart w:id="310" w:name="_Toc184308068"/>
      <w:bookmarkEnd w:id="310"/>
      <w:bookmarkStart w:id="311" w:name="_Toc184313250"/>
      <w:bookmarkEnd w:id="311"/>
      <w:bookmarkStart w:id="312" w:name="_Toc184312112"/>
      <w:bookmarkEnd w:id="312"/>
      <w:bookmarkStart w:id="313" w:name="_Toc184310301"/>
      <w:bookmarkEnd w:id="313"/>
      <w:bookmarkStart w:id="314" w:name="_Toc184310282"/>
      <w:bookmarkEnd w:id="314"/>
      <w:bookmarkStart w:id="315" w:name="_Toc184312127"/>
      <w:bookmarkEnd w:id="315"/>
      <w:bookmarkStart w:id="316" w:name="_Toc184312138"/>
      <w:bookmarkEnd w:id="316"/>
      <w:bookmarkStart w:id="317" w:name="_Toc184308084"/>
      <w:bookmarkEnd w:id="317"/>
      <w:bookmarkStart w:id="318" w:name="_Toc184314461"/>
      <w:bookmarkEnd w:id="318"/>
      <w:bookmarkStart w:id="319" w:name="_Toc184314463"/>
      <w:bookmarkEnd w:id="319"/>
      <w:bookmarkStart w:id="320" w:name="_Toc184314481"/>
      <w:bookmarkEnd w:id="320"/>
      <w:bookmarkStart w:id="321" w:name="_Toc184313238"/>
      <w:bookmarkEnd w:id="321"/>
      <w:bookmarkStart w:id="322" w:name="_Toc184313274"/>
      <w:bookmarkEnd w:id="322"/>
      <w:bookmarkStart w:id="323" w:name="_Toc184312091"/>
      <w:bookmarkEnd w:id="323"/>
      <w:bookmarkStart w:id="324" w:name="_Toc184314421"/>
      <w:bookmarkEnd w:id="324"/>
      <w:bookmarkStart w:id="325" w:name="_Toc184312106"/>
      <w:bookmarkEnd w:id="325"/>
      <w:bookmarkStart w:id="326" w:name="_Toc184313289"/>
      <w:bookmarkEnd w:id="326"/>
      <w:bookmarkStart w:id="327" w:name="_Toc184314456"/>
      <w:bookmarkEnd w:id="327"/>
      <w:bookmarkStart w:id="328" w:name="_Toc184312068"/>
      <w:bookmarkEnd w:id="328"/>
      <w:bookmarkStart w:id="329" w:name="_Toc184314451"/>
      <w:bookmarkEnd w:id="329"/>
      <w:bookmarkStart w:id="330" w:name="_Toc184313281"/>
      <w:bookmarkEnd w:id="330"/>
      <w:bookmarkStart w:id="331" w:name="_Toc184308088"/>
      <w:bookmarkEnd w:id="331"/>
      <w:bookmarkStart w:id="332" w:name="_Toc184314475"/>
      <w:bookmarkEnd w:id="332"/>
      <w:bookmarkStart w:id="333" w:name="_Toc184313265"/>
      <w:bookmarkEnd w:id="333"/>
      <w:bookmarkStart w:id="334" w:name="_Toc184314458"/>
      <w:bookmarkEnd w:id="334"/>
      <w:bookmarkStart w:id="335" w:name="_Toc184308104"/>
      <w:bookmarkEnd w:id="335"/>
      <w:bookmarkStart w:id="336" w:name="_Toc184313307"/>
      <w:bookmarkEnd w:id="336"/>
      <w:bookmarkStart w:id="337" w:name="_Toc184310313"/>
      <w:bookmarkEnd w:id="337"/>
      <w:bookmarkStart w:id="338" w:name="_Toc184310278"/>
      <w:bookmarkEnd w:id="338"/>
      <w:bookmarkStart w:id="339" w:name="_Toc184308056"/>
      <w:bookmarkEnd w:id="339"/>
      <w:bookmarkStart w:id="340" w:name="_Toc184314420"/>
      <w:bookmarkEnd w:id="340"/>
      <w:bookmarkStart w:id="341" w:name="_Toc184314454"/>
      <w:bookmarkEnd w:id="341"/>
      <w:bookmarkStart w:id="342" w:name="_Toc184308062"/>
      <w:bookmarkEnd w:id="342"/>
      <w:bookmarkStart w:id="343" w:name="_Toc184314448"/>
      <w:bookmarkEnd w:id="343"/>
      <w:bookmarkStart w:id="344" w:name="_Toc184308083"/>
      <w:bookmarkEnd w:id="344"/>
      <w:bookmarkStart w:id="345" w:name="_Toc184314447"/>
      <w:bookmarkEnd w:id="345"/>
      <w:bookmarkStart w:id="346" w:name="_Toc184310334"/>
      <w:bookmarkEnd w:id="346"/>
      <w:bookmarkStart w:id="347" w:name="_Toc184314430"/>
      <w:bookmarkEnd w:id="347"/>
      <w:bookmarkStart w:id="348" w:name="_Toc184314427"/>
      <w:bookmarkEnd w:id="348"/>
      <w:bookmarkStart w:id="349" w:name="_Toc184308046"/>
      <w:bookmarkEnd w:id="349"/>
      <w:bookmarkStart w:id="350" w:name="_Toc184314453"/>
      <w:bookmarkEnd w:id="350"/>
      <w:bookmarkStart w:id="351" w:name="_Toc184310286"/>
      <w:bookmarkEnd w:id="351"/>
      <w:bookmarkStart w:id="352" w:name="_Toc184308061"/>
      <w:bookmarkEnd w:id="352"/>
      <w:bookmarkStart w:id="353" w:name="_Toc184313294"/>
      <w:bookmarkEnd w:id="353"/>
      <w:bookmarkStart w:id="354" w:name="_Toc184314476"/>
      <w:bookmarkEnd w:id="354"/>
      <w:bookmarkStart w:id="355" w:name="_Toc184314446"/>
      <w:bookmarkEnd w:id="355"/>
      <w:bookmarkStart w:id="356" w:name="_Toc184314442"/>
      <w:bookmarkEnd w:id="356"/>
      <w:bookmarkStart w:id="357" w:name="_Toc184313282"/>
      <w:bookmarkEnd w:id="357"/>
      <w:bookmarkStart w:id="358" w:name="_Toc184312074"/>
      <w:bookmarkEnd w:id="358"/>
      <w:bookmarkStart w:id="359" w:name="_Toc184312109"/>
      <w:bookmarkEnd w:id="359"/>
      <w:bookmarkStart w:id="360" w:name="_Toc184310300"/>
      <w:bookmarkEnd w:id="360"/>
      <w:bookmarkStart w:id="361" w:name="_Toc184313260"/>
      <w:bookmarkEnd w:id="361"/>
      <w:bookmarkStart w:id="362" w:name="_Toc184312101"/>
      <w:bookmarkEnd w:id="362"/>
      <w:bookmarkStart w:id="363" w:name="_Toc184310279"/>
      <w:bookmarkEnd w:id="363"/>
      <w:bookmarkStart w:id="364" w:name="_Toc184312115"/>
      <w:bookmarkEnd w:id="364"/>
      <w:bookmarkStart w:id="365" w:name="_Toc184312085"/>
      <w:bookmarkEnd w:id="365"/>
      <w:bookmarkStart w:id="366" w:name="_Toc184312133"/>
      <w:bookmarkEnd w:id="366"/>
      <w:bookmarkStart w:id="367" w:name="_Toc184310302"/>
      <w:bookmarkEnd w:id="367"/>
      <w:bookmarkStart w:id="368" w:name="_Toc184312104"/>
      <w:bookmarkEnd w:id="368"/>
      <w:bookmarkStart w:id="369" w:name="_Toc184310273"/>
      <w:bookmarkEnd w:id="369"/>
      <w:bookmarkStart w:id="370" w:name="_Toc184312093"/>
      <w:bookmarkEnd w:id="370"/>
      <w:bookmarkStart w:id="371" w:name="_Toc184314435"/>
      <w:bookmarkEnd w:id="371"/>
      <w:bookmarkStart w:id="372" w:name="_Toc184314439"/>
      <w:bookmarkEnd w:id="372"/>
      <w:bookmarkStart w:id="373" w:name="_Toc184312103"/>
      <w:bookmarkEnd w:id="373"/>
      <w:bookmarkStart w:id="374" w:name="_Toc184310342"/>
      <w:bookmarkEnd w:id="374"/>
      <w:bookmarkStart w:id="375" w:name="_Toc184312131"/>
      <w:bookmarkEnd w:id="375"/>
      <w:bookmarkStart w:id="376" w:name="_Toc184313246"/>
      <w:bookmarkEnd w:id="376"/>
      <w:bookmarkStart w:id="377" w:name="_Toc184310320"/>
      <w:bookmarkEnd w:id="377"/>
      <w:bookmarkStart w:id="378" w:name="_Toc184314434"/>
      <w:bookmarkEnd w:id="378"/>
      <w:bookmarkStart w:id="379" w:name="_Toc184308060"/>
      <w:bookmarkEnd w:id="379"/>
      <w:bookmarkStart w:id="380" w:name="_Toc184312069"/>
      <w:bookmarkEnd w:id="380"/>
      <w:bookmarkStart w:id="381" w:name="_Toc184312081"/>
      <w:bookmarkEnd w:id="381"/>
      <w:bookmarkStart w:id="382" w:name="_Toc184313279"/>
      <w:bookmarkEnd w:id="382"/>
      <w:bookmarkStart w:id="383" w:name="_Toc184313293"/>
      <w:bookmarkEnd w:id="383"/>
      <w:bookmarkStart w:id="384" w:name="_Toc184312084"/>
      <w:bookmarkEnd w:id="384"/>
      <w:bookmarkStart w:id="385" w:name="_Toc184314429"/>
      <w:bookmarkEnd w:id="385"/>
      <w:bookmarkStart w:id="386" w:name="_Toc184314411"/>
      <w:bookmarkEnd w:id="386"/>
      <w:bookmarkStart w:id="387" w:name="_Toc184308069"/>
      <w:bookmarkEnd w:id="387"/>
      <w:bookmarkStart w:id="388" w:name="_Toc184310327"/>
      <w:bookmarkEnd w:id="388"/>
      <w:bookmarkStart w:id="389" w:name="_Toc184308048"/>
      <w:bookmarkEnd w:id="389"/>
      <w:bookmarkStart w:id="390" w:name="_Toc184313286"/>
      <w:bookmarkEnd w:id="390"/>
      <w:bookmarkStart w:id="391" w:name="_Toc184308087"/>
      <w:bookmarkEnd w:id="391"/>
      <w:bookmarkStart w:id="392" w:name="_Toc184310289"/>
      <w:bookmarkEnd w:id="392"/>
      <w:bookmarkStart w:id="393" w:name="_Toc184314436"/>
      <w:bookmarkEnd w:id="393"/>
      <w:bookmarkStart w:id="394" w:name="_Toc184314467"/>
      <w:bookmarkEnd w:id="394"/>
      <w:bookmarkStart w:id="395" w:name="_Toc184308107"/>
      <w:bookmarkEnd w:id="395"/>
      <w:bookmarkStart w:id="396" w:name="_Toc184312105"/>
      <w:bookmarkEnd w:id="396"/>
      <w:bookmarkStart w:id="397" w:name="_Toc184313308"/>
      <w:bookmarkEnd w:id="397"/>
      <w:bookmarkStart w:id="398" w:name="_Toc184308096"/>
      <w:bookmarkEnd w:id="398"/>
      <w:bookmarkStart w:id="399" w:name="_Toc184308072"/>
      <w:bookmarkEnd w:id="399"/>
      <w:bookmarkStart w:id="400" w:name="_Toc184313277"/>
      <w:bookmarkEnd w:id="400"/>
      <w:bookmarkStart w:id="401" w:name="_Toc184313253"/>
      <w:bookmarkEnd w:id="401"/>
      <w:bookmarkStart w:id="402" w:name="_Toc184308102"/>
      <w:bookmarkEnd w:id="402"/>
      <w:bookmarkStart w:id="403" w:name="_Toc184312094"/>
      <w:bookmarkEnd w:id="403"/>
      <w:bookmarkStart w:id="404" w:name="_Toc184308101"/>
      <w:bookmarkEnd w:id="404"/>
      <w:bookmarkStart w:id="405" w:name="_Toc184312107"/>
      <w:bookmarkEnd w:id="405"/>
      <w:bookmarkStart w:id="406" w:name="_Toc184310275"/>
      <w:bookmarkEnd w:id="406"/>
      <w:bookmarkStart w:id="407" w:name="_Toc184312114"/>
      <w:bookmarkEnd w:id="407"/>
      <w:bookmarkStart w:id="408" w:name="_Toc184314433"/>
      <w:bookmarkEnd w:id="408"/>
      <w:bookmarkStart w:id="409" w:name="_Toc184313257"/>
      <w:bookmarkEnd w:id="409"/>
      <w:bookmarkStart w:id="410" w:name="_Toc184313263"/>
      <w:bookmarkEnd w:id="410"/>
      <w:bookmarkStart w:id="411" w:name="_Toc184312082"/>
      <w:bookmarkEnd w:id="411"/>
      <w:bookmarkStart w:id="412" w:name="_Toc184310312"/>
      <w:bookmarkEnd w:id="412"/>
      <w:bookmarkStart w:id="413" w:name="_Toc184312135"/>
      <w:bookmarkEnd w:id="413"/>
      <w:r>
        <w:rPr>
          <w:rFonts w:hint="eastAsia" w:asciiTheme="minorEastAsia" w:hAnsiTheme="minorEastAsia" w:eastAsiaTheme="minorEastAsia" w:cstheme="minorEastAsia"/>
          <w:b/>
          <w:sz w:val="36"/>
          <w:szCs w:val="36"/>
          <w:highlight w:val="none"/>
        </w:rPr>
        <w:t>评标办法</w:t>
      </w:r>
      <w:bookmarkEnd w:id="40"/>
    </w:p>
    <w:p w14:paraId="68C02712">
      <w:pPr>
        <w:snapToGrid w:val="0"/>
        <w:spacing w:line="360" w:lineRule="auto"/>
        <w:jc w:val="center"/>
        <w:rPr>
          <w:rFonts w:hint="eastAsia" w:asciiTheme="minorEastAsia" w:hAnsiTheme="minorEastAsia" w:eastAsiaTheme="minorEastAsia" w:cstheme="minorEastAsia"/>
          <w:b/>
          <w:sz w:val="32"/>
          <w:szCs w:val="20"/>
          <w:highlight w:val="none"/>
        </w:rPr>
      </w:pPr>
      <w:r>
        <w:rPr>
          <w:rFonts w:hint="eastAsia" w:asciiTheme="minorEastAsia" w:hAnsiTheme="minorEastAsia" w:eastAsiaTheme="minorEastAsia" w:cstheme="minorEastAsia"/>
          <w:b/>
          <w:sz w:val="32"/>
          <w:szCs w:val="20"/>
          <w:highlight w:val="none"/>
        </w:rPr>
        <w:t>评标办法前附表</w:t>
      </w:r>
    </w:p>
    <w:tbl>
      <w:tblPr>
        <w:tblStyle w:val="6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151"/>
        <w:gridCol w:w="598"/>
        <w:gridCol w:w="6355"/>
        <w:gridCol w:w="1287"/>
      </w:tblGrid>
      <w:tr w14:paraId="222B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880" w:type="dxa"/>
            <w:gridSpan w:val="5"/>
            <w:vAlign w:val="center"/>
          </w:tcPr>
          <w:p w14:paraId="69F7EE84">
            <w:pPr>
              <w:snapToGrid w:val="0"/>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一、商务和技术分（</w:t>
            </w:r>
            <w:r>
              <w:rPr>
                <w:rFonts w:hint="eastAsia" w:ascii="宋体" w:hAnsi="宋体" w:cs="宋体"/>
                <w:b/>
                <w:bCs/>
                <w:sz w:val="22"/>
                <w:szCs w:val="22"/>
                <w:highlight w:val="none"/>
                <w:lang w:val="en-US" w:eastAsia="zh-CN"/>
              </w:rPr>
              <w:t>80</w:t>
            </w:r>
            <w:r>
              <w:rPr>
                <w:rFonts w:hint="eastAsia" w:ascii="宋体" w:hAnsi="宋体" w:cs="宋体"/>
                <w:b/>
                <w:bCs/>
                <w:sz w:val="22"/>
                <w:szCs w:val="22"/>
                <w:highlight w:val="none"/>
              </w:rPr>
              <w:t>分）</w:t>
            </w:r>
          </w:p>
        </w:tc>
      </w:tr>
      <w:tr w14:paraId="44F7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9880" w:type="dxa"/>
            <w:gridSpan w:val="5"/>
            <w:vAlign w:val="center"/>
          </w:tcPr>
          <w:p w14:paraId="1965C1CF">
            <w:pPr>
              <w:snapToGrid w:val="0"/>
              <w:spacing w:line="36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r>
              <w:rPr>
                <w:rFonts w:hint="eastAsia" w:ascii="宋体" w:hAnsi="宋体" w:cs="宋体"/>
                <w:sz w:val="22"/>
                <w:szCs w:val="22"/>
                <w:highlight w:val="none"/>
              </w:rPr>
              <w:tab/>
            </w:r>
          </w:p>
        </w:tc>
      </w:tr>
      <w:tr w14:paraId="1C09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9" w:hRule="atLeast"/>
          <w:jc w:val="center"/>
        </w:trPr>
        <w:tc>
          <w:tcPr>
            <w:tcW w:w="9880" w:type="dxa"/>
            <w:gridSpan w:val="5"/>
            <w:vAlign w:val="center"/>
          </w:tcPr>
          <w:tbl>
            <w:tblPr>
              <w:tblStyle w:val="64"/>
              <w:tblW w:w="95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3"/>
              <w:gridCol w:w="1680"/>
              <w:gridCol w:w="675"/>
              <w:gridCol w:w="5835"/>
              <w:gridCol w:w="867"/>
            </w:tblGrid>
            <w:tr w14:paraId="22911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8" w:hRule="atLeast"/>
                <w:jc w:val="center"/>
              </w:trPr>
              <w:tc>
                <w:tcPr>
                  <w:tcW w:w="523" w:type="dxa"/>
                  <w:noWrap w:val="0"/>
                  <w:vAlign w:val="center"/>
                </w:tcPr>
                <w:p w14:paraId="2C770EA6">
                  <w:pPr>
                    <w:adjustRightInd w:val="0"/>
                    <w:snapToGrid w:val="0"/>
                    <w:spacing w:before="100" w:after="50" w:line="400" w:lineRule="atLeast"/>
                    <w:jc w:val="center"/>
                    <w:rPr>
                      <w:rFonts w:ascii="宋体" w:hAnsi="宋体" w:eastAsia="宋体"/>
                      <w:bCs/>
                      <w:sz w:val="22"/>
                      <w:szCs w:val="22"/>
                    </w:rPr>
                  </w:pPr>
                  <w:bookmarkStart w:id="414" w:name="_Hlk71192715"/>
                  <w:r>
                    <w:rPr>
                      <w:rFonts w:hint="eastAsia" w:ascii="宋体" w:hAnsi="宋体" w:eastAsia="宋体"/>
                      <w:bCs/>
                      <w:sz w:val="22"/>
                      <w:szCs w:val="22"/>
                    </w:rPr>
                    <w:t>序号</w:t>
                  </w:r>
                </w:p>
              </w:tc>
              <w:tc>
                <w:tcPr>
                  <w:tcW w:w="1680" w:type="dxa"/>
                  <w:noWrap w:val="0"/>
                  <w:vAlign w:val="center"/>
                </w:tcPr>
                <w:p w14:paraId="72F23E57">
                  <w:pPr>
                    <w:adjustRightInd w:val="0"/>
                    <w:snapToGrid w:val="0"/>
                    <w:spacing w:before="100" w:after="50" w:line="400" w:lineRule="atLeast"/>
                    <w:rPr>
                      <w:rFonts w:ascii="宋体" w:hAnsi="宋体" w:eastAsia="宋体"/>
                      <w:bCs/>
                      <w:sz w:val="22"/>
                      <w:szCs w:val="22"/>
                    </w:rPr>
                  </w:pPr>
                  <w:r>
                    <w:rPr>
                      <w:rFonts w:hint="eastAsia" w:ascii="宋体" w:hAnsi="宋体" w:eastAsia="宋体"/>
                      <w:bCs/>
                      <w:sz w:val="22"/>
                      <w:szCs w:val="22"/>
                    </w:rPr>
                    <w:t>评分内容</w:t>
                  </w:r>
                </w:p>
              </w:tc>
              <w:tc>
                <w:tcPr>
                  <w:tcW w:w="675" w:type="dxa"/>
                  <w:noWrap w:val="0"/>
                  <w:vAlign w:val="center"/>
                </w:tcPr>
                <w:p w14:paraId="5C4F9AB3">
                  <w:pPr>
                    <w:adjustRightInd w:val="0"/>
                    <w:snapToGrid w:val="0"/>
                    <w:spacing w:before="100" w:after="50" w:line="400" w:lineRule="atLeast"/>
                    <w:jc w:val="center"/>
                    <w:rPr>
                      <w:rFonts w:ascii="宋体" w:hAnsi="宋体" w:eastAsia="宋体"/>
                      <w:bCs/>
                      <w:sz w:val="22"/>
                      <w:szCs w:val="22"/>
                    </w:rPr>
                  </w:pPr>
                  <w:r>
                    <w:rPr>
                      <w:rFonts w:hint="eastAsia" w:ascii="宋体" w:hAnsi="宋体" w:eastAsia="宋体"/>
                      <w:bCs/>
                      <w:sz w:val="22"/>
                      <w:szCs w:val="22"/>
                    </w:rPr>
                    <w:t>分值</w:t>
                  </w:r>
                </w:p>
              </w:tc>
              <w:tc>
                <w:tcPr>
                  <w:tcW w:w="5835" w:type="dxa"/>
                  <w:noWrap w:val="0"/>
                  <w:vAlign w:val="center"/>
                </w:tcPr>
                <w:p w14:paraId="730BD532">
                  <w:pPr>
                    <w:adjustRightInd w:val="0"/>
                    <w:snapToGrid w:val="0"/>
                    <w:spacing w:before="100" w:after="50" w:line="400" w:lineRule="atLeast"/>
                    <w:rPr>
                      <w:rFonts w:ascii="宋体" w:hAnsi="宋体" w:eastAsia="宋体"/>
                      <w:bCs/>
                      <w:sz w:val="22"/>
                      <w:szCs w:val="22"/>
                    </w:rPr>
                  </w:pPr>
                  <w:r>
                    <w:rPr>
                      <w:rFonts w:hint="eastAsia" w:ascii="宋体" w:hAnsi="宋体" w:eastAsia="宋体"/>
                      <w:bCs/>
                      <w:sz w:val="22"/>
                      <w:szCs w:val="22"/>
                    </w:rPr>
                    <w:t>评分标准</w:t>
                  </w:r>
                </w:p>
              </w:tc>
              <w:tc>
                <w:tcPr>
                  <w:tcW w:w="867" w:type="dxa"/>
                  <w:noWrap w:val="0"/>
                  <w:vAlign w:val="center"/>
                </w:tcPr>
                <w:p w14:paraId="7869E0E3">
                  <w:pPr>
                    <w:adjustRightInd w:val="0"/>
                    <w:snapToGrid w:val="0"/>
                    <w:spacing w:before="100" w:after="50" w:line="400" w:lineRule="atLeast"/>
                    <w:rPr>
                      <w:rFonts w:hint="eastAsia" w:ascii="宋体" w:hAnsi="宋体" w:eastAsia="宋体"/>
                      <w:bCs/>
                      <w:sz w:val="22"/>
                      <w:szCs w:val="22"/>
                      <w:lang w:val="en-US" w:eastAsia="zh-CN"/>
                    </w:rPr>
                  </w:pPr>
                  <w:r>
                    <w:rPr>
                      <w:rFonts w:hint="eastAsia" w:ascii="宋体" w:hAnsi="宋体"/>
                      <w:bCs/>
                      <w:sz w:val="22"/>
                      <w:szCs w:val="22"/>
                      <w:lang w:val="en-US" w:eastAsia="zh-CN"/>
                    </w:rPr>
                    <w:t>备注</w:t>
                  </w:r>
                </w:p>
              </w:tc>
            </w:tr>
            <w:tr w14:paraId="41E6A4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2" w:hRule="atLeast"/>
                <w:jc w:val="center"/>
              </w:trPr>
              <w:tc>
                <w:tcPr>
                  <w:tcW w:w="523" w:type="dxa"/>
                  <w:noWrap w:val="0"/>
                  <w:vAlign w:val="center"/>
                </w:tcPr>
                <w:p w14:paraId="3DEBCD8E">
                  <w:pPr>
                    <w:adjustRightInd w:val="0"/>
                    <w:snapToGrid w:val="0"/>
                    <w:spacing w:before="100" w:after="50" w:line="400" w:lineRule="atLeast"/>
                    <w:jc w:val="center"/>
                    <w:rPr>
                      <w:rFonts w:hint="eastAsia" w:ascii="宋体" w:hAnsi="宋体" w:eastAsia="宋体"/>
                      <w:bCs/>
                      <w:sz w:val="22"/>
                      <w:szCs w:val="22"/>
                      <w:lang w:val="en-US" w:eastAsia="zh-CN"/>
                    </w:rPr>
                  </w:pPr>
                  <w:r>
                    <w:rPr>
                      <w:rFonts w:hint="eastAsia" w:ascii="宋体" w:hAnsi="宋体" w:eastAsia="宋体"/>
                      <w:bCs/>
                      <w:sz w:val="22"/>
                      <w:szCs w:val="22"/>
                      <w:lang w:val="en-US" w:eastAsia="zh-CN"/>
                    </w:rPr>
                    <w:t>1</w:t>
                  </w:r>
                </w:p>
              </w:tc>
              <w:tc>
                <w:tcPr>
                  <w:tcW w:w="1680" w:type="dxa"/>
                  <w:noWrap w:val="0"/>
                  <w:vAlign w:val="center"/>
                </w:tcPr>
                <w:p w14:paraId="7AB9C735">
                  <w:pPr>
                    <w:adjustRightInd w:val="0"/>
                    <w:snapToGrid w:val="0"/>
                    <w:spacing w:before="100" w:after="50" w:line="400" w:lineRule="atLeast"/>
                    <w:jc w:val="center"/>
                    <w:rPr>
                      <w:rFonts w:hint="default" w:ascii="宋体" w:hAnsi="宋体" w:eastAsia="宋体"/>
                      <w:bCs/>
                      <w:sz w:val="22"/>
                      <w:szCs w:val="22"/>
                      <w:lang w:val="en-US" w:eastAsia="zh-CN"/>
                    </w:rPr>
                  </w:pPr>
                  <w:r>
                    <w:rPr>
                      <w:rFonts w:hint="eastAsia" w:ascii="宋体" w:hAnsi="宋体" w:eastAsia="宋体"/>
                      <w:bCs/>
                      <w:sz w:val="22"/>
                      <w:szCs w:val="22"/>
                      <w:lang w:val="en-US" w:eastAsia="zh-CN"/>
                    </w:rPr>
                    <w:t>体系认证</w:t>
                  </w:r>
                </w:p>
              </w:tc>
              <w:tc>
                <w:tcPr>
                  <w:tcW w:w="675" w:type="dxa"/>
                  <w:noWrap w:val="0"/>
                  <w:vAlign w:val="center"/>
                </w:tcPr>
                <w:p w14:paraId="073255B0">
                  <w:pPr>
                    <w:adjustRightInd w:val="0"/>
                    <w:snapToGrid w:val="0"/>
                    <w:spacing w:before="100" w:after="50" w:line="400" w:lineRule="atLeast"/>
                    <w:jc w:val="center"/>
                    <w:rPr>
                      <w:rFonts w:hint="eastAsia" w:ascii="宋体" w:hAnsi="宋体" w:eastAsia="宋体"/>
                      <w:bCs/>
                      <w:sz w:val="22"/>
                      <w:szCs w:val="22"/>
                      <w:lang w:val="en-US" w:eastAsia="zh-CN"/>
                    </w:rPr>
                  </w:pPr>
                  <w:r>
                    <w:rPr>
                      <w:rFonts w:hint="eastAsia" w:ascii="宋体" w:hAnsi="宋体" w:eastAsia="宋体"/>
                      <w:bCs/>
                      <w:sz w:val="22"/>
                      <w:szCs w:val="22"/>
                    </w:rPr>
                    <w:t>0-</w:t>
                  </w:r>
                  <w:r>
                    <w:rPr>
                      <w:rFonts w:hint="eastAsia" w:ascii="宋体" w:hAnsi="宋体"/>
                      <w:bCs/>
                      <w:sz w:val="22"/>
                      <w:szCs w:val="22"/>
                      <w:lang w:val="en-US" w:eastAsia="zh-CN"/>
                    </w:rPr>
                    <w:t>4</w:t>
                  </w:r>
                </w:p>
              </w:tc>
              <w:tc>
                <w:tcPr>
                  <w:tcW w:w="5835" w:type="dxa"/>
                  <w:noWrap w:val="0"/>
                  <w:vAlign w:val="center"/>
                </w:tcPr>
                <w:p w14:paraId="7E620DF2">
                  <w:pPr>
                    <w:pStyle w:val="34"/>
                    <w:adjustRightInd w:val="0"/>
                    <w:snapToGrid w:val="0"/>
                    <w:spacing w:line="300" w:lineRule="exact"/>
                    <w:rPr>
                      <w:rFonts w:hAnsi="宋体" w:eastAsia="宋体" w:cs="宋体"/>
                      <w:sz w:val="22"/>
                      <w:szCs w:val="22"/>
                    </w:rPr>
                  </w:pPr>
                  <w:r>
                    <w:rPr>
                      <w:rFonts w:hint="eastAsia" w:hAnsi="宋体" w:eastAsia="宋体" w:cs="宋体"/>
                      <w:sz w:val="22"/>
                      <w:szCs w:val="22"/>
                      <w:lang w:eastAsia="zh-CN"/>
                    </w:rPr>
                    <w:t>投标供应商具备</w:t>
                  </w:r>
                  <w:r>
                    <w:rPr>
                      <w:rFonts w:hint="eastAsia" w:hAnsi="宋体" w:eastAsia="宋体" w:cs="宋体"/>
                      <w:sz w:val="22"/>
                      <w:szCs w:val="22"/>
                    </w:rPr>
                    <w:t>质量管理体系、环境管理体系、职业健康安全管理体系</w:t>
                  </w:r>
                  <w:r>
                    <w:rPr>
                      <w:rFonts w:hint="eastAsia" w:hAnsi="宋体" w:eastAsia="宋体" w:cs="宋体"/>
                      <w:sz w:val="22"/>
                      <w:szCs w:val="22"/>
                      <w:lang w:eastAsia="zh-CN"/>
                    </w:rPr>
                    <w:t>、</w:t>
                  </w:r>
                  <w:r>
                    <w:rPr>
                      <w:rFonts w:hint="eastAsia" w:hAnsi="宋体" w:eastAsia="宋体"/>
                      <w:bCs/>
                      <w:sz w:val="22"/>
                      <w:szCs w:val="22"/>
                    </w:rPr>
                    <w:t>信息安全管理体系认证证书</w:t>
                  </w:r>
                  <w:r>
                    <w:rPr>
                      <w:rFonts w:hint="eastAsia" w:hAnsi="宋体" w:eastAsia="宋体" w:cs="宋体"/>
                      <w:sz w:val="22"/>
                      <w:szCs w:val="22"/>
                    </w:rPr>
                    <w:t>的每项得1分，最高</w:t>
                  </w:r>
                  <w:r>
                    <w:rPr>
                      <w:rFonts w:hint="eastAsia" w:hAnsi="宋体" w:eastAsia="宋体" w:cs="宋体"/>
                      <w:sz w:val="22"/>
                      <w:szCs w:val="22"/>
                      <w:lang w:val="en-US" w:eastAsia="zh-CN"/>
                    </w:rPr>
                    <w:t>4</w:t>
                  </w:r>
                  <w:r>
                    <w:rPr>
                      <w:rFonts w:hint="eastAsia" w:hAnsi="宋体" w:eastAsia="宋体" w:cs="宋体"/>
                      <w:sz w:val="22"/>
                      <w:szCs w:val="22"/>
                    </w:rPr>
                    <w:t>分。</w:t>
                  </w:r>
                </w:p>
                <w:p w14:paraId="0A91B466">
                  <w:pPr>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rPr>
                    <w:t>（提供证书扫描件并电子签章，且证书必须有限期内，否则不得分）</w:t>
                  </w:r>
                  <w:r>
                    <w:rPr>
                      <w:rFonts w:hint="eastAsia" w:ascii="宋体" w:hAnsi="宋体" w:eastAsia="宋体" w:cs="宋体"/>
                      <w:sz w:val="22"/>
                      <w:szCs w:val="22"/>
                      <w:highlight w:val="none"/>
                      <w:lang w:val="en-US" w:eastAsia="zh-CN"/>
                    </w:rPr>
                    <w:t>。</w:t>
                  </w:r>
                </w:p>
              </w:tc>
              <w:tc>
                <w:tcPr>
                  <w:tcW w:w="867" w:type="dxa"/>
                  <w:noWrap w:val="0"/>
                  <w:vAlign w:val="center"/>
                </w:tcPr>
                <w:p w14:paraId="3AAD5C0D">
                  <w:pPr>
                    <w:snapToGrid w:val="0"/>
                    <w:spacing w:line="36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客观分</w:t>
                  </w:r>
                </w:p>
              </w:tc>
            </w:tr>
            <w:tr w14:paraId="01CAFC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7" w:hRule="atLeast"/>
                <w:jc w:val="center"/>
              </w:trPr>
              <w:tc>
                <w:tcPr>
                  <w:tcW w:w="523" w:type="dxa"/>
                  <w:noWrap w:val="0"/>
                  <w:vAlign w:val="center"/>
                </w:tcPr>
                <w:p w14:paraId="7A9DF213">
                  <w:pPr>
                    <w:adjustRightInd w:val="0"/>
                    <w:snapToGrid w:val="0"/>
                    <w:spacing w:before="100" w:after="50" w:line="400" w:lineRule="atLeast"/>
                    <w:jc w:val="center"/>
                    <w:rPr>
                      <w:rFonts w:hint="eastAsia" w:ascii="宋体" w:hAnsi="宋体" w:eastAsia="宋体"/>
                      <w:bCs/>
                      <w:sz w:val="22"/>
                      <w:szCs w:val="22"/>
                      <w:lang w:val="en-US" w:eastAsia="zh-CN"/>
                    </w:rPr>
                  </w:pPr>
                  <w:r>
                    <w:rPr>
                      <w:rFonts w:hint="eastAsia" w:ascii="宋体" w:hAnsi="宋体" w:eastAsia="宋体"/>
                      <w:bCs/>
                      <w:sz w:val="22"/>
                      <w:szCs w:val="22"/>
                      <w:lang w:val="en-US" w:eastAsia="zh-CN"/>
                    </w:rPr>
                    <w:t>2</w:t>
                  </w:r>
                </w:p>
              </w:tc>
              <w:tc>
                <w:tcPr>
                  <w:tcW w:w="1680" w:type="dxa"/>
                  <w:noWrap w:val="0"/>
                  <w:vAlign w:val="center"/>
                </w:tcPr>
                <w:p w14:paraId="0D7BE50B">
                  <w:pPr>
                    <w:adjustRightInd w:val="0"/>
                    <w:snapToGrid w:val="0"/>
                    <w:spacing w:before="100" w:after="50" w:line="400" w:lineRule="atLeast"/>
                    <w:jc w:val="center"/>
                    <w:rPr>
                      <w:rFonts w:hint="eastAsia" w:ascii="宋体" w:hAnsi="宋体" w:eastAsia="宋体"/>
                      <w:bCs/>
                      <w:sz w:val="22"/>
                      <w:szCs w:val="22"/>
                      <w:lang w:val="en-US" w:eastAsia="zh-CN"/>
                    </w:rPr>
                  </w:pPr>
                  <w:r>
                    <w:rPr>
                      <w:rFonts w:hint="eastAsia" w:ascii="宋体" w:hAnsi="宋体" w:eastAsia="宋体"/>
                      <w:bCs/>
                      <w:sz w:val="22"/>
                      <w:szCs w:val="22"/>
                      <w:lang w:val="en-US" w:eastAsia="zh-CN"/>
                    </w:rPr>
                    <w:t>业绩</w:t>
                  </w:r>
                </w:p>
              </w:tc>
              <w:tc>
                <w:tcPr>
                  <w:tcW w:w="675" w:type="dxa"/>
                  <w:noWrap w:val="0"/>
                  <w:vAlign w:val="center"/>
                </w:tcPr>
                <w:p w14:paraId="409EF5A0">
                  <w:pPr>
                    <w:adjustRightInd w:val="0"/>
                    <w:snapToGrid w:val="0"/>
                    <w:spacing w:before="100" w:after="50" w:line="400" w:lineRule="atLeast"/>
                    <w:jc w:val="center"/>
                    <w:rPr>
                      <w:rFonts w:hint="eastAsia" w:ascii="宋体" w:hAnsi="宋体" w:eastAsia="宋体"/>
                      <w:bCs/>
                      <w:sz w:val="22"/>
                      <w:szCs w:val="22"/>
                      <w:lang w:eastAsia="zh-CN"/>
                    </w:rPr>
                  </w:pPr>
                  <w:r>
                    <w:rPr>
                      <w:rFonts w:hint="eastAsia" w:ascii="宋体" w:hAnsi="宋体" w:eastAsia="宋体"/>
                      <w:bCs/>
                      <w:sz w:val="22"/>
                      <w:szCs w:val="22"/>
                    </w:rPr>
                    <w:t>0-</w:t>
                  </w:r>
                  <w:r>
                    <w:rPr>
                      <w:rFonts w:hint="eastAsia" w:ascii="宋体" w:hAnsi="宋体" w:eastAsia="宋体"/>
                      <w:bCs/>
                      <w:sz w:val="22"/>
                      <w:szCs w:val="22"/>
                      <w:lang w:val="en-US" w:eastAsia="zh-CN"/>
                    </w:rPr>
                    <w:t>2</w:t>
                  </w:r>
                </w:p>
              </w:tc>
              <w:tc>
                <w:tcPr>
                  <w:tcW w:w="5835" w:type="dxa"/>
                  <w:noWrap w:val="0"/>
                  <w:vAlign w:val="center"/>
                </w:tcPr>
                <w:p w14:paraId="2C521940">
                  <w:pPr>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提供自20</w:t>
                  </w:r>
                  <w:r>
                    <w:rPr>
                      <w:rFonts w:hint="eastAsia" w:ascii="宋体" w:hAnsi="宋体" w:eastAsia="宋体" w:cs="宋体"/>
                      <w:sz w:val="22"/>
                      <w:szCs w:val="22"/>
                      <w:highlight w:val="none"/>
                      <w:lang w:val="en-US" w:eastAsia="zh-CN"/>
                    </w:rPr>
                    <w:t>22</w:t>
                  </w:r>
                  <w:r>
                    <w:rPr>
                      <w:rFonts w:hint="eastAsia" w:ascii="宋体" w:hAnsi="宋体" w:eastAsia="宋体" w:cs="宋体"/>
                      <w:sz w:val="22"/>
                      <w:szCs w:val="22"/>
                      <w:highlight w:val="none"/>
                    </w:rPr>
                    <w:t>年1月</w:t>
                  </w:r>
                  <w:r>
                    <w:rPr>
                      <w:rFonts w:hint="eastAsia" w:ascii="宋体" w:hAnsi="宋体" w:eastAsia="宋体" w:cs="宋体"/>
                      <w:sz w:val="22"/>
                      <w:szCs w:val="22"/>
                      <w:highlight w:val="none"/>
                      <w:lang w:val="en-US" w:eastAsia="zh-CN"/>
                    </w:rPr>
                    <w:t>1日</w:t>
                  </w:r>
                  <w:r>
                    <w:rPr>
                      <w:rFonts w:hint="eastAsia" w:ascii="宋体" w:hAnsi="宋体" w:eastAsia="宋体" w:cs="宋体"/>
                      <w:sz w:val="22"/>
                      <w:szCs w:val="22"/>
                      <w:highlight w:val="none"/>
                    </w:rPr>
                    <w:t>以来</w:t>
                  </w:r>
                  <w:r>
                    <w:rPr>
                      <w:rFonts w:hint="eastAsia" w:ascii="宋体" w:hAnsi="宋体" w:eastAsia="宋体" w:cs="宋体"/>
                      <w:sz w:val="22"/>
                      <w:szCs w:val="22"/>
                      <w:highlight w:val="none"/>
                      <w:lang w:eastAsia="zh-CN"/>
                    </w:rPr>
                    <w:t>类似</w:t>
                  </w:r>
                  <w:r>
                    <w:rPr>
                      <w:rFonts w:hint="eastAsia" w:ascii="宋体" w:hAnsi="宋体" w:eastAsia="宋体" w:cs="宋体"/>
                      <w:sz w:val="22"/>
                      <w:szCs w:val="22"/>
                      <w:highlight w:val="none"/>
                    </w:rPr>
                    <w:t>项目业绩</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类似项目指：</w:t>
                  </w:r>
                  <w:r>
                    <w:rPr>
                      <w:rFonts w:hint="eastAsia" w:ascii="宋体" w:hAnsi="宋体" w:eastAsia="宋体" w:cs="宋体"/>
                      <w:sz w:val="22"/>
                      <w:szCs w:val="22"/>
                      <w:highlight w:val="none"/>
                      <w:lang w:eastAsia="zh-CN"/>
                    </w:rPr>
                    <w:t>交通标志标线增设</w:t>
                  </w:r>
                  <w:r>
                    <w:rPr>
                      <w:rFonts w:hint="eastAsia" w:ascii="宋体" w:hAnsi="宋体" w:cs="宋体"/>
                      <w:sz w:val="22"/>
                      <w:szCs w:val="22"/>
                      <w:highlight w:val="none"/>
                      <w:lang w:val="en-US" w:eastAsia="zh-CN"/>
                    </w:rPr>
                    <w:t>和</w:t>
                  </w:r>
                  <w:r>
                    <w:rPr>
                      <w:rFonts w:hint="eastAsia" w:ascii="宋体" w:hAnsi="宋体" w:eastAsia="宋体" w:cs="宋体"/>
                      <w:sz w:val="22"/>
                      <w:szCs w:val="22"/>
                      <w:highlight w:val="none"/>
                      <w:lang w:eastAsia="zh-CN"/>
                    </w:rPr>
                    <w:t>维护</w:t>
                  </w:r>
                  <w:r>
                    <w:rPr>
                      <w:rFonts w:hint="eastAsia" w:ascii="宋体" w:hAnsi="宋体" w:cs="宋体"/>
                      <w:sz w:val="22"/>
                      <w:szCs w:val="22"/>
                      <w:highlight w:val="none"/>
                      <w:lang w:val="en-US" w:eastAsia="zh-CN"/>
                    </w:rPr>
                    <w:t>类，且有热熔雨夜标线业绩专项</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，每提供一个业绩得</w:t>
                  </w:r>
                  <w:r>
                    <w:rPr>
                      <w:rFonts w:hint="eastAsia" w:ascii="宋体" w:hAnsi="宋体" w:cs="宋体"/>
                      <w:sz w:val="22"/>
                      <w:szCs w:val="22"/>
                      <w:highlight w:val="none"/>
                      <w:lang w:val="en-US" w:eastAsia="zh-CN"/>
                    </w:rPr>
                    <w:t>0.5</w:t>
                  </w:r>
                  <w:r>
                    <w:rPr>
                      <w:rFonts w:hint="eastAsia" w:ascii="宋体" w:hAnsi="宋体" w:eastAsia="宋体" w:cs="宋体"/>
                      <w:sz w:val="22"/>
                      <w:szCs w:val="22"/>
                      <w:highlight w:val="none"/>
                    </w:rPr>
                    <w:t>分，本项最高得分</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分。</w:t>
                  </w:r>
                </w:p>
                <w:p w14:paraId="771A9EEA">
                  <w:pPr>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业绩认定时间以合同签订时间为准，提供合同扫描件并电子签章</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业绩中未体现出类似项目特征的，还须同时提供业主证明材料</w:t>
                  </w:r>
                  <w:r>
                    <w:rPr>
                      <w:rFonts w:hint="eastAsia" w:ascii="宋体" w:hAnsi="宋体" w:eastAsia="宋体" w:cs="宋体"/>
                      <w:sz w:val="22"/>
                      <w:szCs w:val="22"/>
                      <w:highlight w:val="none"/>
                    </w:rPr>
                    <w:t>。</w:t>
                  </w:r>
                </w:p>
              </w:tc>
              <w:tc>
                <w:tcPr>
                  <w:tcW w:w="867" w:type="dxa"/>
                  <w:noWrap w:val="0"/>
                  <w:vAlign w:val="center"/>
                </w:tcPr>
                <w:p w14:paraId="00B74607">
                  <w:pPr>
                    <w:snapToGrid w:val="0"/>
                    <w:spacing w:line="360" w:lineRule="exact"/>
                    <w:rPr>
                      <w:rFonts w:hint="eastAsia" w:ascii="宋体" w:hAnsi="宋体" w:eastAsia="宋体" w:cs="宋体"/>
                      <w:sz w:val="21"/>
                      <w:szCs w:val="21"/>
                      <w:highlight w:val="none"/>
                    </w:rPr>
                  </w:pPr>
                  <w:r>
                    <w:rPr>
                      <w:rFonts w:hint="eastAsia" w:ascii="宋体" w:hAnsi="宋体" w:cs="宋体"/>
                      <w:sz w:val="21"/>
                      <w:szCs w:val="21"/>
                      <w:lang w:val="en-US" w:eastAsia="zh-CN"/>
                    </w:rPr>
                    <w:t>客观分</w:t>
                  </w:r>
                </w:p>
              </w:tc>
            </w:tr>
            <w:tr w14:paraId="54D535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08" w:hRule="atLeast"/>
                <w:jc w:val="center"/>
              </w:trPr>
              <w:tc>
                <w:tcPr>
                  <w:tcW w:w="523" w:type="dxa"/>
                  <w:vMerge w:val="restart"/>
                  <w:noWrap w:val="0"/>
                  <w:vAlign w:val="center"/>
                </w:tcPr>
                <w:p w14:paraId="79570F1E">
                  <w:pPr>
                    <w:adjustRightInd w:val="0"/>
                    <w:snapToGrid w:val="0"/>
                    <w:spacing w:before="100" w:after="50" w:line="400" w:lineRule="atLeast"/>
                    <w:jc w:val="center"/>
                    <w:rPr>
                      <w:rFonts w:hint="eastAsia" w:ascii="宋体" w:hAnsi="宋体" w:eastAsia="宋体"/>
                      <w:bCs/>
                      <w:sz w:val="22"/>
                      <w:szCs w:val="22"/>
                      <w:lang w:eastAsia="zh-CN"/>
                    </w:rPr>
                  </w:pPr>
                  <w:r>
                    <w:rPr>
                      <w:rFonts w:hint="eastAsia" w:ascii="宋体" w:hAnsi="宋体" w:eastAsia="宋体"/>
                      <w:bCs/>
                      <w:sz w:val="22"/>
                      <w:szCs w:val="22"/>
                      <w:lang w:val="en-US" w:eastAsia="zh-CN"/>
                    </w:rPr>
                    <w:t>3</w:t>
                  </w:r>
                </w:p>
              </w:tc>
              <w:tc>
                <w:tcPr>
                  <w:tcW w:w="1680" w:type="dxa"/>
                  <w:vMerge w:val="restart"/>
                  <w:noWrap w:val="0"/>
                  <w:vAlign w:val="center"/>
                </w:tcPr>
                <w:p w14:paraId="70903679">
                  <w:pPr>
                    <w:pStyle w:val="34"/>
                    <w:adjustRightInd w:val="0"/>
                    <w:snapToGrid w:val="0"/>
                    <w:spacing w:line="300" w:lineRule="exact"/>
                    <w:rPr>
                      <w:rFonts w:hAnsi="宋体" w:eastAsia="宋体"/>
                      <w:bCs/>
                      <w:sz w:val="22"/>
                      <w:szCs w:val="22"/>
                    </w:rPr>
                  </w:pPr>
                  <w:r>
                    <w:rPr>
                      <w:rFonts w:hint="eastAsia" w:hAnsi="宋体" w:eastAsia="宋体" w:cs="宋体"/>
                      <w:sz w:val="22"/>
                      <w:szCs w:val="22"/>
                    </w:rPr>
                    <w:t>服务于本项目的工程技术人员情况</w:t>
                  </w:r>
                </w:p>
              </w:tc>
              <w:tc>
                <w:tcPr>
                  <w:tcW w:w="675" w:type="dxa"/>
                  <w:vMerge w:val="restart"/>
                  <w:noWrap w:val="0"/>
                  <w:vAlign w:val="center"/>
                </w:tcPr>
                <w:p w14:paraId="205C36CF">
                  <w:pPr>
                    <w:pStyle w:val="34"/>
                    <w:adjustRightInd w:val="0"/>
                    <w:snapToGrid w:val="0"/>
                    <w:spacing w:line="300" w:lineRule="exact"/>
                    <w:jc w:val="center"/>
                    <w:rPr>
                      <w:rFonts w:hAnsi="宋体" w:eastAsia="宋体"/>
                      <w:bCs/>
                      <w:sz w:val="22"/>
                      <w:szCs w:val="22"/>
                    </w:rPr>
                  </w:pPr>
                  <w:r>
                    <w:rPr>
                      <w:rFonts w:hint="eastAsia" w:hAnsi="宋体" w:eastAsia="宋体" w:cs="宋体"/>
                      <w:sz w:val="22"/>
                      <w:szCs w:val="22"/>
                    </w:rPr>
                    <w:t>0-</w:t>
                  </w:r>
                  <w:r>
                    <w:rPr>
                      <w:rFonts w:hint="eastAsia" w:hAnsi="宋体" w:eastAsia="宋体" w:cs="宋体"/>
                      <w:sz w:val="22"/>
                      <w:szCs w:val="22"/>
                      <w:lang w:val="en-US" w:eastAsia="zh-CN"/>
                    </w:rPr>
                    <w:t>1</w:t>
                  </w:r>
                  <w:r>
                    <w:rPr>
                      <w:rFonts w:hint="eastAsia" w:hAnsi="宋体" w:cs="宋体"/>
                      <w:sz w:val="22"/>
                      <w:szCs w:val="22"/>
                      <w:lang w:val="en-US" w:eastAsia="zh-CN"/>
                    </w:rPr>
                    <w:t>5</w:t>
                  </w:r>
                </w:p>
              </w:tc>
              <w:tc>
                <w:tcPr>
                  <w:tcW w:w="5835" w:type="dxa"/>
                  <w:tcBorders>
                    <w:bottom w:val="single" w:color="auto" w:sz="4" w:space="0"/>
                  </w:tcBorders>
                  <w:noWrap w:val="0"/>
                  <w:vAlign w:val="center"/>
                </w:tcPr>
                <w:p w14:paraId="35AC0ADF">
                  <w:pPr>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项目负责人</w:t>
                  </w:r>
                  <w:r>
                    <w:rPr>
                      <w:rFonts w:hint="eastAsia" w:ascii="宋体" w:hAnsi="宋体" w:eastAsia="宋体" w:cs="宋体"/>
                      <w:sz w:val="22"/>
                      <w:szCs w:val="22"/>
                      <w:highlight w:val="none"/>
                      <w:lang w:eastAsia="zh-CN"/>
                    </w:rPr>
                    <w:t>：</w:t>
                  </w:r>
                </w:p>
                <w:p w14:paraId="659CB763">
                  <w:pPr>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具有公路工程</w:t>
                  </w:r>
                  <w:r>
                    <w:rPr>
                      <w:rFonts w:hint="eastAsia" w:ascii="宋体" w:hAnsi="宋体" w:cs="宋体"/>
                      <w:sz w:val="22"/>
                      <w:szCs w:val="22"/>
                      <w:highlight w:val="none"/>
                      <w:lang w:val="en-US" w:eastAsia="zh-CN"/>
                    </w:rPr>
                    <w:t>壹</w:t>
                  </w:r>
                  <w:r>
                    <w:rPr>
                      <w:rFonts w:hint="eastAsia" w:ascii="宋体" w:hAnsi="宋体" w:eastAsia="宋体" w:cs="宋体"/>
                      <w:sz w:val="22"/>
                      <w:szCs w:val="22"/>
                      <w:highlight w:val="none"/>
                    </w:rPr>
                    <w:t>级建造师证书</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rPr>
                    <w:t>得</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分，公路工程</w:t>
                  </w:r>
                  <w:r>
                    <w:rPr>
                      <w:rFonts w:hint="eastAsia" w:ascii="宋体" w:hAnsi="宋体" w:cs="宋体"/>
                      <w:sz w:val="22"/>
                      <w:szCs w:val="22"/>
                      <w:highlight w:val="none"/>
                      <w:lang w:val="en-US" w:eastAsia="zh-CN"/>
                    </w:rPr>
                    <w:t>贰</w:t>
                  </w:r>
                  <w:r>
                    <w:rPr>
                      <w:rFonts w:hint="eastAsia" w:ascii="宋体" w:hAnsi="宋体" w:eastAsia="宋体" w:cs="宋体"/>
                      <w:sz w:val="22"/>
                      <w:szCs w:val="22"/>
                      <w:highlight w:val="none"/>
                    </w:rPr>
                    <w:t>级建造师证书</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rPr>
                    <w:t>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分</w:t>
                  </w:r>
                  <w:r>
                    <w:rPr>
                      <w:rFonts w:hint="eastAsia" w:ascii="宋体" w:hAnsi="宋体" w:cs="宋体"/>
                      <w:sz w:val="22"/>
                      <w:szCs w:val="22"/>
                      <w:highlight w:val="none"/>
                      <w:lang w:eastAsia="zh-CN"/>
                    </w:rPr>
                    <w:t>；</w:t>
                  </w:r>
                </w:p>
                <w:p w14:paraId="081FC74C">
                  <w:pPr>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具有相关公路工程专业</w:t>
                  </w:r>
                  <w:r>
                    <w:rPr>
                      <w:rFonts w:hint="eastAsia" w:ascii="宋体" w:hAnsi="宋体" w:cs="宋体"/>
                      <w:sz w:val="22"/>
                      <w:szCs w:val="22"/>
                      <w:highlight w:val="none"/>
                      <w:lang w:val="en-US" w:eastAsia="zh-CN"/>
                    </w:rPr>
                    <w:t>高</w:t>
                  </w:r>
                  <w:r>
                    <w:rPr>
                      <w:rFonts w:hint="eastAsia" w:ascii="宋体" w:hAnsi="宋体" w:eastAsia="宋体" w:cs="宋体"/>
                      <w:sz w:val="22"/>
                      <w:szCs w:val="22"/>
                      <w:highlight w:val="none"/>
                    </w:rPr>
                    <w:t>级职称证书得2分，具有相关公路工程专业中级职称证书得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分</w:t>
                  </w:r>
                  <w:r>
                    <w:rPr>
                      <w:rFonts w:hint="eastAsia" w:ascii="宋体" w:hAnsi="宋体" w:cs="宋体"/>
                      <w:sz w:val="22"/>
                      <w:szCs w:val="22"/>
                      <w:highlight w:val="none"/>
                      <w:lang w:eastAsia="zh-CN"/>
                    </w:rPr>
                    <w:t>；</w:t>
                  </w:r>
                </w:p>
                <w:p w14:paraId="5B0AEA9B">
                  <w:pPr>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提供</w:t>
                  </w:r>
                  <w:r>
                    <w:rPr>
                      <w:rFonts w:hint="eastAsia" w:ascii="宋体" w:hAnsi="宋体" w:cs="宋体"/>
                      <w:sz w:val="22"/>
                      <w:szCs w:val="22"/>
                      <w:highlight w:val="none"/>
                      <w:lang w:val="en-US" w:eastAsia="zh-CN"/>
                    </w:rPr>
                    <w:t>证书扫描件及</w:t>
                  </w:r>
                  <w:r>
                    <w:rPr>
                      <w:rFonts w:hint="eastAsia" w:ascii="宋体" w:hAnsi="宋体" w:eastAsia="宋体" w:cs="宋体"/>
                      <w:sz w:val="22"/>
                      <w:szCs w:val="22"/>
                      <w:highlight w:val="none"/>
                      <w:lang w:val="en-US" w:eastAsia="zh-CN"/>
                    </w:rPr>
                    <w:t>人员在</w:t>
                  </w:r>
                  <w:r>
                    <w:rPr>
                      <w:rFonts w:hint="eastAsia" w:ascii="宋体" w:hAnsi="宋体" w:cs="宋体"/>
                      <w:sz w:val="22"/>
                      <w:szCs w:val="22"/>
                      <w:highlight w:val="none"/>
                      <w:lang w:val="en-US" w:eastAsia="zh-CN"/>
                    </w:rPr>
                    <w:t>公告发布之起至投标截止时间前打印出具的在</w:t>
                  </w:r>
                  <w:r>
                    <w:rPr>
                      <w:rFonts w:hint="eastAsia" w:ascii="宋体" w:hAnsi="宋体" w:eastAsia="宋体" w:cs="宋体"/>
                      <w:sz w:val="22"/>
                      <w:szCs w:val="22"/>
                      <w:highlight w:val="none"/>
                      <w:lang w:val="en-US" w:eastAsia="zh-CN"/>
                    </w:rPr>
                    <w:t>本单位</w:t>
                  </w:r>
                  <w:r>
                    <w:rPr>
                      <w:rFonts w:hint="eastAsia" w:ascii="宋体" w:hAnsi="宋体" w:cs="宋体"/>
                      <w:sz w:val="22"/>
                      <w:szCs w:val="22"/>
                      <w:highlight w:val="none"/>
                      <w:lang w:val="en-US" w:eastAsia="zh-CN"/>
                    </w:rPr>
                    <w:t>缴纳的</w:t>
                  </w:r>
                  <w:r>
                    <w:rPr>
                      <w:rFonts w:hint="eastAsia" w:ascii="宋体" w:hAnsi="宋体" w:eastAsia="宋体" w:cs="宋体"/>
                      <w:sz w:val="22"/>
                      <w:szCs w:val="22"/>
                      <w:highlight w:val="none"/>
                      <w:lang w:val="en-US" w:eastAsia="zh-CN"/>
                    </w:rPr>
                    <w:t>连续三个月及以上的社保证明并电子签章，否则不得分。</w:t>
                  </w:r>
                </w:p>
              </w:tc>
              <w:tc>
                <w:tcPr>
                  <w:tcW w:w="867" w:type="dxa"/>
                  <w:tcBorders>
                    <w:bottom w:val="single" w:color="auto" w:sz="4" w:space="0"/>
                  </w:tcBorders>
                  <w:noWrap w:val="0"/>
                  <w:vAlign w:val="center"/>
                </w:tcPr>
                <w:p w14:paraId="3A541B2A">
                  <w:pPr>
                    <w:snapToGrid w:val="0"/>
                    <w:spacing w:line="360" w:lineRule="exact"/>
                    <w:rPr>
                      <w:rFonts w:hint="eastAsia" w:ascii="宋体" w:hAnsi="宋体" w:eastAsia="宋体" w:cs="宋体"/>
                      <w:sz w:val="22"/>
                      <w:szCs w:val="22"/>
                      <w:highlight w:val="none"/>
                    </w:rPr>
                  </w:pPr>
                  <w:r>
                    <w:rPr>
                      <w:rFonts w:hint="eastAsia" w:ascii="宋体" w:hAnsi="宋体" w:cs="宋体"/>
                      <w:sz w:val="21"/>
                      <w:szCs w:val="21"/>
                      <w:lang w:val="en-US" w:eastAsia="zh-CN"/>
                    </w:rPr>
                    <w:t>客观分</w:t>
                  </w:r>
                </w:p>
              </w:tc>
            </w:tr>
            <w:tr w14:paraId="1A9FE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523" w:type="dxa"/>
                  <w:vMerge w:val="continue"/>
                  <w:noWrap w:val="0"/>
                  <w:vAlign w:val="center"/>
                </w:tcPr>
                <w:p w14:paraId="5310CF64">
                  <w:pPr>
                    <w:adjustRightInd w:val="0"/>
                    <w:snapToGrid w:val="0"/>
                    <w:spacing w:before="100" w:after="50" w:line="400" w:lineRule="atLeast"/>
                    <w:jc w:val="center"/>
                    <w:rPr>
                      <w:rFonts w:hint="eastAsia" w:ascii="宋体" w:hAnsi="宋体" w:eastAsia="宋体"/>
                      <w:bCs/>
                      <w:sz w:val="22"/>
                      <w:szCs w:val="22"/>
                    </w:rPr>
                  </w:pPr>
                </w:p>
              </w:tc>
              <w:tc>
                <w:tcPr>
                  <w:tcW w:w="1680" w:type="dxa"/>
                  <w:vMerge w:val="continue"/>
                  <w:noWrap w:val="0"/>
                  <w:vAlign w:val="center"/>
                </w:tcPr>
                <w:p w14:paraId="03F4E25A">
                  <w:pPr>
                    <w:pStyle w:val="34"/>
                    <w:adjustRightInd w:val="0"/>
                    <w:snapToGrid w:val="0"/>
                    <w:spacing w:line="300" w:lineRule="exact"/>
                    <w:rPr>
                      <w:rFonts w:hint="eastAsia" w:hAnsi="宋体" w:eastAsia="宋体" w:cs="宋体"/>
                      <w:sz w:val="22"/>
                      <w:szCs w:val="22"/>
                    </w:rPr>
                  </w:pPr>
                </w:p>
              </w:tc>
              <w:tc>
                <w:tcPr>
                  <w:tcW w:w="675" w:type="dxa"/>
                  <w:vMerge w:val="continue"/>
                  <w:noWrap w:val="0"/>
                  <w:vAlign w:val="center"/>
                </w:tcPr>
                <w:p w14:paraId="2D53E48A">
                  <w:pPr>
                    <w:pStyle w:val="34"/>
                    <w:adjustRightInd w:val="0"/>
                    <w:snapToGrid w:val="0"/>
                    <w:spacing w:line="300" w:lineRule="exact"/>
                    <w:jc w:val="center"/>
                    <w:rPr>
                      <w:rFonts w:hint="eastAsia" w:hAnsi="宋体" w:eastAsia="宋体" w:cs="宋体"/>
                      <w:sz w:val="22"/>
                      <w:szCs w:val="22"/>
                    </w:rPr>
                  </w:pPr>
                </w:p>
              </w:tc>
              <w:tc>
                <w:tcPr>
                  <w:tcW w:w="5835" w:type="dxa"/>
                  <w:tcBorders>
                    <w:bottom w:val="single" w:color="auto" w:sz="4" w:space="0"/>
                  </w:tcBorders>
                  <w:noWrap w:val="0"/>
                  <w:vAlign w:val="center"/>
                </w:tcPr>
                <w:p w14:paraId="37E0DB2A">
                  <w:pPr>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项目技术负责人</w:t>
                  </w:r>
                  <w:r>
                    <w:rPr>
                      <w:rFonts w:hint="eastAsia" w:ascii="宋体" w:hAnsi="宋体" w:eastAsia="宋体" w:cs="宋体"/>
                      <w:sz w:val="22"/>
                      <w:szCs w:val="22"/>
                      <w:highlight w:val="none"/>
                      <w:lang w:eastAsia="zh-CN"/>
                    </w:rPr>
                    <w:t>：</w:t>
                  </w:r>
                </w:p>
                <w:p w14:paraId="2CFB9F32">
                  <w:pPr>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具有相关公路工程专业高级</w:t>
                  </w:r>
                  <w:r>
                    <w:rPr>
                      <w:rFonts w:hint="eastAsia" w:ascii="宋体" w:hAnsi="宋体" w:eastAsia="宋体" w:cs="宋体"/>
                      <w:sz w:val="22"/>
                      <w:szCs w:val="22"/>
                      <w:highlight w:val="none"/>
                      <w:lang w:val="en-US" w:eastAsia="zh-CN"/>
                    </w:rPr>
                    <w:t>及以上</w:t>
                  </w:r>
                  <w:r>
                    <w:rPr>
                      <w:rFonts w:hint="eastAsia" w:ascii="宋体" w:hAnsi="宋体" w:eastAsia="宋体" w:cs="宋体"/>
                      <w:sz w:val="22"/>
                      <w:szCs w:val="22"/>
                      <w:highlight w:val="none"/>
                    </w:rPr>
                    <w:t>职称证书的</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w:t>
                  </w:r>
                </w:p>
                <w:p w14:paraId="39F4B05C">
                  <w:pPr>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提供</w:t>
                  </w:r>
                  <w:r>
                    <w:rPr>
                      <w:rFonts w:hint="eastAsia" w:ascii="宋体" w:hAnsi="宋体" w:cs="宋体"/>
                      <w:sz w:val="22"/>
                      <w:szCs w:val="22"/>
                      <w:highlight w:val="none"/>
                      <w:lang w:val="en-US" w:eastAsia="zh-CN"/>
                    </w:rPr>
                    <w:t>证书扫描件及</w:t>
                  </w:r>
                  <w:r>
                    <w:rPr>
                      <w:rFonts w:hint="eastAsia" w:ascii="宋体" w:hAnsi="宋体" w:eastAsia="宋体" w:cs="宋体"/>
                      <w:sz w:val="22"/>
                      <w:szCs w:val="22"/>
                      <w:highlight w:val="none"/>
                      <w:lang w:val="en-US" w:eastAsia="zh-CN"/>
                    </w:rPr>
                    <w:t>人员在</w:t>
                  </w:r>
                  <w:r>
                    <w:rPr>
                      <w:rFonts w:hint="eastAsia" w:ascii="宋体" w:hAnsi="宋体" w:cs="宋体"/>
                      <w:sz w:val="22"/>
                      <w:szCs w:val="22"/>
                      <w:highlight w:val="none"/>
                      <w:lang w:val="en-US" w:eastAsia="zh-CN"/>
                    </w:rPr>
                    <w:t>公告发布之起至投标截止时间前打印出具的在</w:t>
                  </w:r>
                  <w:r>
                    <w:rPr>
                      <w:rFonts w:hint="eastAsia" w:ascii="宋体" w:hAnsi="宋体" w:eastAsia="宋体" w:cs="宋体"/>
                      <w:sz w:val="22"/>
                      <w:szCs w:val="22"/>
                      <w:highlight w:val="none"/>
                      <w:lang w:val="en-US" w:eastAsia="zh-CN"/>
                    </w:rPr>
                    <w:t>本单位</w:t>
                  </w:r>
                  <w:r>
                    <w:rPr>
                      <w:rFonts w:hint="eastAsia" w:ascii="宋体" w:hAnsi="宋体" w:cs="宋体"/>
                      <w:sz w:val="22"/>
                      <w:szCs w:val="22"/>
                      <w:highlight w:val="none"/>
                      <w:lang w:val="en-US" w:eastAsia="zh-CN"/>
                    </w:rPr>
                    <w:t>缴纳的</w:t>
                  </w:r>
                  <w:r>
                    <w:rPr>
                      <w:rFonts w:hint="eastAsia" w:ascii="宋体" w:hAnsi="宋体" w:eastAsia="宋体" w:cs="宋体"/>
                      <w:sz w:val="22"/>
                      <w:szCs w:val="22"/>
                      <w:highlight w:val="none"/>
                      <w:lang w:val="en-US" w:eastAsia="zh-CN"/>
                    </w:rPr>
                    <w:t>连续三个月及以上的社保证明并电子签章，否则不得分。</w:t>
                  </w:r>
                </w:p>
              </w:tc>
              <w:tc>
                <w:tcPr>
                  <w:tcW w:w="867" w:type="dxa"/>
                  <w:tcBorders>
                    <w:bottom w:val="single" w:color="auto" w:sz="4" w:space="0"/>
                  </w:tcBorders>
                  <w:noWrap w:val="0"/>
                  <w:vAlign w:val="center"/>
                </w:tcPr>
                <w:p w14:paraId="7539A849">
                  <w:pPr>
                    <w:snapToGrid w:val="0"/>
                    <w:spacing w:line="360" w:lineRule="exact"/>
                    <w:rPr>
                      <w:rFonts w:hint="eastAsia" w:ascii="宋体" w:hAnsi="宋体" w:eastAsia="宋体" w:cs="宋体"/>
                      <w:sz w:val="22"/>
                      <w:szCs w:val="22"/>
                      <w:highlight w:val="none"/>
                    </w:rPr>
                  </w:pPr>
                  <w:r>
                    <w:rPr>
                      <w:rFonts w:hint="eastAsia" w:ascii="宋体" w:hAnsi="宋体" w:cs="宋体"/>
                      <w:sz w:val="21"/>
                      <w:szCs w:val="21"/>
                      <w:lang w:val="en-US" w:eastAsia="zh-CN"/>
                    </w:rPr>
                    <w:t>客观分</w:t>
                  </w:r>
                </w:p>
              </w:tc>
            </w:tr>
            <w:tr w14:paraId="772E8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08" w:hRule="atLeast"/>
                <w:jc w:val="center"/>
              </w:trPr>
              <w:tc>
                <w:tcPr>
                  <w:tcW w:w="523" w:type="dxa"/>
                  <w:vMerge w:val="continue"/>
                  <w:noWrap w:val="0"/>
                  <w:vAlign w:val="center"/>
                </w:tcPr>
                <w:p w14:paraId="6A21D37C">
                  <w:pPr>
                    <w:adjustRightInd w:val="0"/>
                    <w:snapToGrid w:val="0"/>
                    <w:spacing w:before="100" w:after="50" w:line="400" w:lineRule="atLeast"/>
                    <w:jc w:val="center"/>
                    <w:rPr>
                      <w:rFonts w:hint="eastAsia" w:ascii="宋体" w:hAnsi="宋体" w:eastAsia="宋体"/>
                      <w:bCs/>
                      <w:sz w:val="22"/>
                      <w:szCs w:val="22"/>
                    </w:rPr>
                  </w:pPr>
                </w:p>
              </w:tc>
              <w:tc>
                <w:tcPr>
                  <w:tcW w:w="1680" w:type="dxa"/>
                  <w:vMerge w:val="continue"/>
                  <w:noWrap w:val="0"/>
                  <w:vAlign w:val="center"/>
                </w:tcPr>
                <w:p w14:paraId="4995AF2C">
                  <w:pPr>
                    <w:pStyle w:val="34"/>
                    <w:adjustRightInd w:val="0"/>
                    <w:snapToGrid w:val="0"/>
                    <w:spacing w:line="300" w:lineRule="exact"/>
                    <w:rPr>
                      <w:rFonts w:hint="eastAsia" w:hAnsi="宋体" w:eastAsia="宋体" w:cs="宋体"/>
                      <w:sz w:val="22"/>
                      <w:szCs w:val="22"/>
                    </w:rPr>
                  </w:pPr>
                </w:p>
              </w:tc>
              <w:tc>
                <w:tcPr>
                  <w:tcW w:w="675" w:type="dxa"/>
                  <w:vMerge w:val="continue"/>
                  <w:noWrap w:val="0"/>
                  <w:vAlign w:val="center"/>
                </w:tcPr>
                <w:p w14:paraId="18C9FB78">
                  <w:pPr>
                    <w:pStyle w:val="34"/>
                    <w:adjustRightInd w:val="0"/>
                    <w:snapToGrid w:val="0"/>
                    <w:spacing w:line="300" w:lineRule="exact"/>
                    <w:jc w:val="center"/>
                    <w:rPr>
                      <w:rFonts w:hint="eastAsia" w:hAnsi="宋体" w:eastAsia="宋体" w:cs="宋体"/>
                      <w:sz w:val="22"/>
                      <w:szCs w:val="22"/>
                    </w:rPr>
                  </w:pPr>
                </w:p>
              </w:tc>
              <w:tc>
                <w:tcPr>
                  <w:tcW w:w="5835" w:type="dxa"/>
                  <w:tcBorders>
                    <w:top w:val="single" w:color="auto" w:sz="4" w:space="0"/>
                  </w:tcBorders>
                  <w:noWrap w:val="0"/>
                  <w:vAlign w:val="center"/>
                </w:tcPr>
                <w:p w14:paraId="34189D2F">
                  <w:pPr>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本项目的工程技术人员</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项目负责人、技术负责人除外</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情况得分</w:t>
                  </w:r>
                  <w:r>
                    <w:rPr>
                      <w:rFonts w:hint="eastAsia" w:ascii="宋体" w:hAnsi="宋体" w:eastAsia="宋体" w:cs="宋体"/>
                      <w:sz w:val="22"/>
                      <w:szCs w:val="22"/>
                      <w:highlight w:val="none"/>
                      <w:lang w:eastAsia="zh-CN"/>
                    </w:rPr>
                    <w:t>：</w:t>
                  </w:r>
                </w:p>
                <w:p w14:paraId="54C7EA86">
                  <w:pPr>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提供中级（四级）及以上的公路养护工，每提供1个得</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分，本项最多得</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w:t>
                  </w:r>
                </w:p>
                <w:p w14:paraId="2D6C5395">
                  <w:pPr>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项目组成员具有混凝土工，高空作业工，打桩工，起重工，每具有一个得1分，最高得4分（同一人员具有多个证书，不重复得分）；</w:t>
                  </w:r>
                  <w:r>
                    <w:rPr>
                      <w:rFonts w:hint="eastAsia" w:ascii="宋体" w:hAnsi="宋体" w:eastAsia="宋体" w:cs="宋体"/>
                      <w:sz w:val="22"/>
                      <w:szCs w:val="22"/>
                      <w:highlight w:val="none"/>
                      <w:lang w:val="en-US" w:eastAsia="zh-CN"/>
                    </w:rPr>
                    <w:t>注：</w:t>
                  </w:r>
                  <w:r>
                    <w:rPr>
                      <w:rFonts w:hint="eastAsia" w:ascii="宋体" w:hAnsi="宋体" w:eastAsia="宋体" w:cs="宋体"/>
                      <w:sz w:val="22"/>
                      <w:szCs w:val="22"/>
                      <w:highlight w:val="none"/>
                      <w:lang w:eastAsia="zh-CN"/>
                    </w:rPr>
                    <w:t>提供证书扫描件并电子签章；</w:t>
                  </w:r>
                </w:p>
                <w:p w14:paraId="15F77767">
                  <w:pPr>
                    <w:snapToGrid w:val="0"/>
                    <w:spacing w:line="3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提供</w:t>
                  </w:r>
                  <w:r>
                    <w:rPr>
                      <w:rFonts w:hint="eastAsia" w:ascii="宋体" w:hAnsi="宋体" w:cs="宋体"/>
                      <w:sz w:val="22"/>
                      <w:szCs w:val="22"/>
                      <w:highlight w:val="none"/>
                      <w:lang w:val="en-US" w:eastAsia="zh-CN"/>
                    </w:rPr>
                    <w:t>证书扫描件及</w:t>
                  </w:r>
                  <w:r>
                    <w:rPr>
                      <w:rFonts w:hint="eastAsia" w:ascii="宋体" w:hAnsi="宋体" w:eastAsia="宋体" w:cs="宋体"/>
                      <w:sz w:val="22"/>
                      <w:szCs w:val="22"/>
                      <w:highlight w:val="none"/>
                      <w:lang w:val="en-US" w:eastAsia="zh-CN"/>
                    </w:rPr>
                    <w:t>拟投入人员在</w:t>
                  </w:r>
                  <w:r>
                    <w:rPr>
                      <w:rFonts w:hint="eastAsia" w:ascii="宋体" w:hAnsi="宋体" w:cs="宋体"/>
                      <w:sz w:val="22"/>
                      <w:szCs w:val="22"/>
                      <w:highlight w:val="none"/>
                      <w:lang w:val="en-US" w:eastAsia="zh-CN"/>
                    </w:rPr>
                    <w:t>公告发布之起至投标截止时间前打印出具的在</w:t>
                  </w:r>
                  <w:r>
                    <w:rPr>
                      <w:rFonts w:hint="eastAsia" w:ascii="宋体" w:hAnsi="宋体" w:eastAsia="宋体" w:cs="宋体"/>
                      <w:sz w:val="22"/>
                      <w:szCs w:val="22"/>
                      <w:highlight w:val="none"/>
                      <w:lang w:val="en-US" w:eastAsia="zh-CN"/>
                    </w:rPr>
                    <w:t>本单位</w:t>
                  </w:r>
                  <w:r>
                    <w:rPr>
                      <w:rFonts w:hint="eastAsia" w:ascii="宋体" w:hAnsi="宋体" w:cs="宋体"/>
                      <w:sz w:val="22"/>
                      <w:szCs w:val="22"/>
                      <w:highlight w:val="none"/>
                      <w:lang w:val="en-US" w:eastAsia="zh-CN"/>
                    </w:rPr>
                    <w:t>缴纳的</w:t>
                  </w:r>
                  <w:r>
                    <w:rPr>
                      <w:rFonts w:hint="eastAsia" w:ascii="宋体" w:hAnsi="宋体" w:eastAsia="宋体" w:cs="宋体"/>
                      <w:sz w:val="22"/>
                      <w:szCs w:val="22"/>
                      <w:highlight w:val="none"/>
                      <w:lang w:val="en-US" w:eastAsia="zh-CN"/>
                    </w:rPr>
                    <w:t>连续三个月及以上的社保证明并电子签章，否则不得分。</w:t>
                  </w:r>
                </w:p>
              </w:tc>
              <w:tc>
                <w:tcPr>
                  <w:tcW w:w="867" w:type="dxa"/>
                  <w:tcBorders>
                    <w:top w:val="single" w:color="auto" w:sz="4" w:space="0"/>
                  </w:tcBorders>
                  <w:noWrap w:val="0"/>
                  <w:vAlign w:val="center"/>
                </w:tcPr>
                <w:p w14:paraId="34D0EFB0">
                  <w:pPr>
                    <w:snapToGrid w:val="0"/>
                    <w:spacing w:line="360" w:lineRule="exact"/>
                    <w:rPr>
                      <w:rFonts w:hint="eastAsia" w:ascii="宋体" w:hAnsi="宋体" w:eastAsia="宋体" w:cs="宋体"/>
                      <w:sz w:val="22"/>
                      <w:szCs w:val="22"/>
                      <w:highlight w:val="none"/>
                      <w:lang w:val="en-US" w:eastAsia="zh-CN"/>
                    </w:rPr>
                  </w:pPr>
                  <w:r>
                    <w:rPr>
                      <w:rFonts w:hint="eastAsia" w:ascii="宋体" w:hAnsi="宋体" w:cs="宋体"/>
                      <w:sz w:val="21"/>
                      <w:szCs w:val="21"/>
                      <w:lang w:val="en-US" w:eastAsia="zh-CN"/>
                    </w:rPr>
                    <w:t>客观分</w:t>
                  </w:r>
                </w:p>
              </w:tc>
            </w:tr>
            <w:tr w14:paraId="7E60CF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6" w:hRule="atLeast"/>
                <w:jc w:val="center"/>
              </w:trPr>
              <w:tc>
                <w:tcPr>
                  <w:tcW w:w="523" w:type="dxa"/>
                  <w:noWrap w:val="0"/>
                  <w:vAlign w:val="center"/>
                </w:tcPr>
                <w:p w14:paraId="7AB467FA">
                  <w:pPr>
                    <w:adjustRightInd w:val="0"/>
                    <w:snapToGrid w:val="0"/>
                    <w:spacing w:before="100" w:after="50" w:line="400" w:lineRule="atLeast"/>
                    <w:jc w:val="center"/>
                    <w:rPr>
                      <w:rFonts w:hint="eastAsia" w:ascii="宋体" w:hAnsi="宋体" w:eastAsia="宋体"/>
                      <w:bCs/>
                      <w:sz w:val="22"/>
                      <w:szCs w:val="22"/>
                      <w:lang w:val="en-US" w:eastAsia="zh-CN"/>
                    </w:rPr>
                  </w:pPr>
                  <w:r>
                    <w:rPr>
                      <w:rFonts w:hint="eastAsia" w:ascii="宋体" w:hAnsi="宋体" w:eastAsia="宋体"/>
                      <w:bCs/>
                      <w:sz w:val="22"/>
                      <w:szCs w:val="22"/>
                      <w:lang w:val="en-US" w:eastAsia="zh-CN"/>
                    </w:rPr>
                    <w:t>4</w:t>
                  </w:r>
                </w:p>
              </w:tc>
              <w:tc>
                <w:tcPr>
                  <w:tcW w:w="1680" w:type="dxa"/>
                  <w:noWrap w:val="0"/>
                  <w:vAlign w:val="center"/>
                </w:tcPr>
                <w:p w14:paraId="51727F4B">
                  <w:pPr>
                    <w:pStyle w:val="34"/>
                    <w:adjustRightInd w:val="0"/>
                    <w:snapToGrid w:val="0"/>
                    <w:spacing w:line="300" w:lineRule="exact"/>
                    <w:rPr>
                      <w:rFonts w:hint="eastAsia" w:hAnsi="宋体" w:eastAsia="宋体" w:cs="宋体"/>
                      <w:sz w:val="22"/>
                      <w:szCs w:val="22"/>
                    </w:rPr>
                  </w:pPr>
                  <w:r>
                    <w:rPr>
                      <w:rFonts w:hint="eastAsia" w:hAnsi="宋体" w:eastAsia="宋体" w:cs="宋体"/>
                      <w:sz w:val="22"/>
                      <w:szCs w:val="22"/>
                      <w:lang w:val="en-US" w:eastAsia="zh-CN"/>
                    </w:rPr>
                    <w:t>供应商资质情况</w:t>
                  </w:r>
                </w:p>
              </w:tc>
              <w:tc>
                <w:tcPr>
                  <w:tcW w:w="675" w:type="dxa"/>
                  <w:noWrap w:val="0"/>
                  <w:vAlign w:val="center"/>
                </w:tcPr>
                <w:p w14:paraId="2440E815">
                  <w:pPr>
                    <w:pStyle w:val="34"/>
                    <w:adjustRightInd w:val="0"/>
                    <w:snapToGrid w:val="0"/>
                    <w:spacing w:line="300" w:lineRule="exact"/>
                    <w:jc w:val="center"/>
                    <w:rPr>
                      <w:rFonts w:hint="eastAsia" w:hAnsi="宋体" w:eastAsia="宋体" w:cs="宋体"/>
                      <w:sz w:val="22"/>
                      <w:szCs w:val="22"/>
                    </w:rPr>
                  </w:pPr>
                  <w:r>
                    <w:rPr>
                      <w:rFonts w:hint="eastAsia" w:hAnsi="宋体" w:eastAsia="宋体" w:cs="宋体"/>
                      <w:sz w:val="22"/>
                      <w:szCs w:val="22"/>
                    </w:rPr>
                    <w:t>0-</w:t>
                  </w:r>
                  <w:r>
                    <w:rPr>
                      <w:rFonts w:hint="eastAsia" w:hAnsi="宋体" w:eastAsia="宋体" w:cs="宋体"/>
                      <w:sz w:val="22"/>
                      <w:szCs w:val="22"/>
                      <w:lang w:val="en-US" w:eastAsia="zh-CN"/>
                    </w:rPr>
                    <w:t>2</w:t>
                  </w:r>
                </w:p>
              </w:tc>
              <w:tc>
                <w:tcPr>
                  <w:tcW w:w="5835" w:type="dxa"/>
                  <w:tcBorders>
                    <w:top w:val="single" w:color="auto" w:sz="4" w:space="0"/>
                  </w:tcBorders>
                  <w:noWrap w:val="0"/>
                  <w:vAlign w:val="center"/>
                </w:tcPr>
                <w:p w14:paraId="2BE9D1EE">
                  <w:pPr>
                    <w:pStyle w:val="34"/>
                    <w:adjustRightInd w:val="0"/>
                    <w:snapToGrid w:val="0"/>
                    <w:spacing w:line="300" w:lineRule="exact"/>
                    <w:rPr>
                      <w:rFonts w:hint="default" w:ascii="宋体" w:hAnsi="宋体" w:eastAsia="宋体" w:cs="宋体"/>
                      <w:sz w:val="22"/>
                      <w:szCs w:val="22"/>
                      <w:highlight w:val="none"/>
                      <w:lang w:val="en-US" w:eastAsia="zh-CN"/>
                    </w:rPr>
                  </w:pPr>
                  <w:r>
                    <w:rPr>
                      <w:rFonts w:hint="eastAsia" w:hAnsi="宋体" w:eastAsia="宋体"/>
                      <w:sz w:val="22"/>
                      <w:szCs w:val="22"/>
                    </w:rPr>
                    <w:t>供应商具备公路交通工程专业承包施工资质（公路</w:t>
                  </w:r>
                  <w:r>
                    <w:rPr>
                      <w:rFonts w:hint="eastAsia" w:hAnsi="宋体" w:eastAsia="宋体"/>
                      <w:sz w:val="22"/>
                      <w:szCs w:val="22"/>
                      <w:lang w:val="en-US" w:eastAsia="zh-CN"/>
                    </w:rPr>
                    <w:t>机电工程</w:t>
                  </w:r>
                  <w:r>
                    <w:rPr>
                      <w:rFonts w:hint="eastAsia" w:hAnsi="宋体" w:eastAsia="宋体"/>
                      <w:sz w:val="22"/>
                      <w:szCs w:val="22"/>
                    </w:rPr>
                    <w:t>）</w:t>
                  </w:r>
                  <w:r>
                    <w:rPr>
                      <w:rFonts w:hint="eastAsia" w:hAnsi="宋体" w:eastAsia="宋体"/>
                      <w:sz w:val="22"/>
                      <w:szCs w:val="22"/>
                      <w:lang w:val="en-US" w:eastAsia="zh-CN"/>
                    </w:rPr>
                    <w:t>贰</w:t>
                  </w:r>
                  <w:r>
                    <w:rPr>
                      <w:rFonts w:hint="eastAsia" w:hAnsi="宋体" w:eastAsia="宋体"/>
                      <w:sz w:val="22"/>
                      <w:szCs w:val="22"/>
                    </w:rPr>
                    <w:t>级</w:t>
                  </w:r>
                  <w:r>
                    <w:rPr>
                      <w:rFonts w:hint="eastAsia" w:hAnsi="宋体" w:eastAsia="宋体"/>
                      <w:sz w:val="22"/>
                      <w:szCs w:val="22"/>
                      <w:lang w:val="en-US" w:eastAsia="zh-CN"/>
                    </w:rPr>
                    <w:t>及以上</w:t>
                  </w:r>
                  <w:r>
                    <w:rPr>
                      <w:rFonts w:hint="eastAsia" w:hAnsi="宋体" w:eastAsia="宋体"/>
                      <w:sz w:val="22"/>
                      <w:szCs w:val="22"/>
                    </w:rPr>
                    <w:t>资质，并具有有效的安全生产许可证，得</w:t>
                  </w:r>
                  <w:r>
                    <w:rPr>
                      <w:rFonts w:hAnsi="宋体" w:eastAsia="宋体"/>
                      <w:sz w:val="22"/>
                      <w:szCs w:val="22"/>
                    </w:rPr>
                    <w:t>2</w:t>
                  </w:r>
                  <w:r>
                    <w:rPr>
                      <w:rFonts w:hint="eastAsia" w:hAnsi="宋体" w:eastAsia="宋体"/>
                      <w:sz w:val="22"/>
                      <w:szCs w:val="22"/>
                    </w:rPr>
                    <w:t>分</w:t>
                  </w:r>
                  <w:r>
                    <w:rPr>
                      <w:rFonts w:hint="eastAsia" w:hAnsi="宋体" w:eastAsia="宋体"/>
                      <w:sz w:val="22"/>
                      <w:szCs w:val="22"/>
                      <w:lang w:val="en-US" w:eastAsia="zh-CN"/>
                    </w:rPr>
                    <w:t>。</w:t>
                  </w:r>
                </w:p>
              </w:tc>
              <w:tc>
                <w:tcPr>
                  <w:tcW w:w="867" w:type="dxa"/>
                  <w:tcBorders>
                    <w:top w:val="single" w:color="auto" w:sz="4" w:space="0"/>
                  </w:tcBorders>
                  <w:noWrap w:val="0"/>
                  <w:vAlign w:val="center"/>
                </w:tcPr>
                <w:p w14:paraId="771C7C6B">
                  <w:pPr>
                    <w:pStyle w:val="34"/>
                    <w:adjustRightInd w:val="0"/>
                    <w:snapToGrid w:val="0"/>
                    <w:spacing w:line="300" w:lineRule="exact"/>
                    <w:rPr>
                      <w:rFonts w:hint="eastAsia" w:hAnsi="宋体" w:eastAsia="宋体"/>
                      <w:sz w:val="22"/>
                      <w:szCs w:val="22"/>
                    </w:rPr>
                  </w:pPr>
                  <w:r>
                    <w:rPr>
                      <w:rFonts w:hint="eastAsia" w:ascii="宋体" w:hAnsi="宋体" w:cs="宋体"/>
                      <w:sz w:val="21"/>
                      <w:szCs w:val="21"/>
                      <w:lang w:val="en-US" w:eastAsia="zh-CN"/>
                    </w:rPr>
                    <w:t>客观分</w:t>
                  </w:r>
                </w:p>
              </w:tc>
            </w:tr>
            <w:tr w14:paraId="56D2E9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5" w:hRule="atLeast"/>
                <w:jc w:val="center"/>
              </w:trPr>
              <w:tc>
                <w:tcPr>
                  <w:tcW w:w="523" w:type="dxa"/>
                  <w:noWrap w:val="0"/>
                  <w:vAlign w:val="center"/>
                </w:tcPr>
                <w:p w14:paraId="77EDF8B4">
                  <w:pPr>
                    <w:adjustRightInd w:val="0"/>
                    <w:snapToGrid w:val="0"/>
                    <w:spacing w:before="100" w:after="50" w:line="400" w:lineRule="atLeast"/>
                    <w:jc w:val="center"/>
                    <w:rPr>
                      <w:rFonts w:hint="eastAsia" w:ascii="宋体" w:hAnsi="宋体" w:eastAsia="宋体"/>
                      <w:bCs/>
                      <w:sz w:val="22"/>
                      <w:szCs w:val="22"/>
                      <w:lang w:eastAsia="zh-CN"/>
                    </w:rPr>
                  </w:pPr>
                  <w:r>
                    <w:rPr>
                      <w:rFonts w:hint="eastAsia" w:ascii="宋体" w:hAnsi="宋体" w:eastAsia="宋体"/>
                      <w:bCs/>
                      <w:sz w:val="22"/>
                      <w:szCs w:val="22"/>
                      <w:lang w:val="en-US" w:eastAsia="zh-CN"/>
                    </w:rPr>
                    <w:t>5</w:t>
                  </w:r>
                </w:p>
              </w:tc>
              <w:tc>
                <w:tcPr>
                  <w:tcW w:w="1680" w:type="dxa"/>
                  <w:noWrap w:val="0"/>
                  <w:vAlign w:val="center"/>
                </w:tcPr>
                <w:p w14:paraId="696CF0CB">
                  <w:pPr>
                    <w:pStyle w:val="34"/>
                    <w:adjustRightInd w:val="0"/>
                    <w:snapToGrid w:val="0"/>
                    <w:spacing w:line="300" w:lineRule="exact"/>
                    <w:rPr>
                      <w:rFonts w:hAnsi="宋体" w:eastAsia="宋体" w:cs="宋体"/>
                      <w:sz w:val="22"/>
                      <w:szCs w:val="22"/>
                    </w:rPr>
                  </w:pPr>
                  <w:r>
                    <w:rPr>
                      <w:rFonts w:hint="eastAsia" w:hAnsi="宋体" w:eastAsia="宋体" w:cs="宋体"/>
                      <w:sz w:val="22"/>
                      <w:szCs w:val="22"/>
                    </w:rPr>
                    <w:t>拟投入设备</w:t>
                  </w:r>
                </w:p>
              </w:tc>
              <w:tc>
                <w:tcPr>
                  <w:tcW w:w="675" w:type="dxa"/>
                  <w:noWrap w:val="0"/>
                  <w:vAlign w:val="center"/>
                </w:tcPr>
                <w:p w14:paraId="4B4EDBB4">
                  <w:pPr>
                    <w:pStyle w:val="34"/>
                    <w:adjustRightInd w:val="0"/>
                    <w:snapToGrid w:val="0"/>
                    <w:spacing w:line="300" w:lineRule="exact"/>
                    <w:jc w:val="center"/>
                    <w:rPr>
                      <w:rFonts w:hAnsi="宋体" w:eastAsia="宋体" w:cs="宋体"/>
                      <w:sz w:val="22"/>
                      <w:szCs w:val="22"/>
                    </w:rPr>
                  </w:pPr>
                  <w:r>
                    <w:rPr>
                      <w:rFonts w:hint="eastAsia" w:hAnsi="宋体" w:eastAsia="宋体" w:cs="宋体"/>
                      <w:sz w:val="22"/>
                      <w:szCs w:val="22"/>
                      <w:lang w:val="en-US" w:eastAsia="zh-CN"/>
                    </w:rPr>
                    <w:t>0</w:t>
                  </w:r>
                  <w:r>
                    <w:rPr>
                      <w:rFonts w:hint="eastAsia" w:hAnsi="宋体" w:eastAsia="宋体" w:cs="宋体"/>
                      <w:sz w:val="22"/>
                      <w:szCs w:val="22"/>
                    </w:rPr>
                    <w:t>-</w:t>
                  </w:r>
                  <w:r>
                    <w:rPr>
                      <w:rFonts w:hint="eastAsia" w:hAnsi="宋体" w:eastAsia="宋体" w:cs="宋体"/>
                      <w:sz w:val="22"/>
                      <w:szCs w:val="22"/>
                      <w:lang w:val="en-US" w:eastAsia="zh-CN"/>
                    </w:rPr>
                    <w:t>9</w:t>
                  </w:r>
                </w:p>
              </w:tc>
              <w:tc>
                <w:tcPr>
                  <w:tcW w:w="5835" w:type="dxa"/>
                  <w:noWrap w:val="0"/>
                  <w:vAlign w:val="center"/>
                </w:tcPr>
                <w:p w14:paraId="2F79FFFD">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投标供应商报投入自有</w:t>
                  </w:r>
                  <w:r>
                    <w:rPr>
                      <w:rFonts w:hint="eastAsia" w:ascii="宋体" w:hAnsi="宋体" w:eastAsia="宋体" w:cs="宋体"/>
                      <w:sz w:val="22"/>
                      <w:szCs w:val="22"/>
                      <w:highlight w:val="none"/>
                    </w:rPr>
                    <w:t>货车</w:t>
                  </w:r>
                  <w:r>
                    <w:rPr>
                      <w:rFonts w:hint="eastAsia" w:ascii="宋体" w:hAnsi="宋体" w:eastAsia="宋体" w:cs="宋体"/>
                      <w:sz w:val="22"/>
                      <w:szCs w:val="22"/>
                      <w:highlight w:val="none"/>
                      <w:lang w:val="en-US" w:eastAsia="zh-CN"/>
                    </w:rPr>
                    <w:t>每</w:t>
                  </w:r>
                  <w:r>
                    <w:rPr>
                      <w:rFonts w:hint="eastAsia" w:ascii="宋体" w:hAnsi="宋体" w:eastAsia="宋体" w:cs="宋体"/>
                      <w:sz w:val="22"/>
                      <w:szCs w:val="22"/>
                      <w:highlight w:val="none"/>
                      <w:lang w:eastAsia="zh-CN"/>
                    </w:rPr>
                    <w:t>1辆得1分，</w:t>
                  </w:r>
                  <w:r>
                    <w:rPr>
                      <w:rFonts w:hint="eastAsia" w:ascii="宋体" w:hAnsi="宋体" w:eastAsia="宋体" w:cs="宋体"/>
                      <w:sz w:val="22"/>
                      <w:szCs w:val="22"/>
                      <w:highlight w:val="none"/>
                      <w:lang w:val="en-US" w:eastAsia="zh-CN"/>
                    </w:rPr>
                    <w:t>租赁得0.5分</w:t>
                  </w:r>
                  <w:r>
                    <w:rPr>
                      <w:rFonts w:hint="eastAsia" w:ascii="宋体" w:hAnsi="宋体" w:eastAsia="宋体" w:cs="宋体"/>
                      <w:sz w:val="22"/>
                      <w:szCs w:val="22"/>
                      <w:highlight w:val="none"/>
                      <w:lang w:eastAsia="zh-CN"/>
                    </w:rPr>
                    <w:t>，否则不得分，</w:t>
                  </w:r>
                  <w:r>
                    <w:rPr>
                      <w:rFonts w:hint="eastAsia" w:ascii="宋体" w:hAnsi="宋体" w:eastAsia="宋体" w:cs="宋体"/>
                      <w:sz w:val="22"/>
                      <w:szCs w:val="22"/>
                      <w:highlight w:val="none"/>
                      <w:lang w:val="en-US" w:eastAsia="zh-CN"/>
                    </w:rPr>
                    <w:t>本项最多得5分。</w:t>
                  </w:r>
                </w:p>
                <w:p w14:paraId="2A655EC3">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投标供应商报投入自有</w:t>
                  </w:r>
                  <w:r>
                    <w:rPr>
                      <w:rFonts w:hint="eastAsia" w:ascii="宋体" w:hAnsi="宋体" w:eastAsia="宋体" w:cs="宋体"/>
                      <w:sz w:val="22"/>
                      <w:szCs w:val="22"/>
                      <w:highlight w:val="none"/>
                    </w:rPr>
                    <w:t>登高车</w:t>
                  </w:r>
                  <w:r>
                    <w:rPr>
                      <w:rFonts w:hint="eastAsia" w:ascii="宋体" w:hAnsi="宋体" w:eastAsia="宋体" w:cs="宋体"/>
                      <w:sz w:val="22"/>
                      <w:szCs w:val="22"/>
                      <w:highlight w:val="none"/>
                      <w:lang w:eastAsia="zh-CN"/>
                    </w:rPr>
                    <w:t>1辆得1分，</w:t>
                  </w:r>
                  <w:r>
                    <w:rPr>
                      <w:rFonts w:hint="eastAsia" w:ascii="宋体" w:hAnsi="宋体" w:eastAsia="宋体" w:cs="宋体"/>
                      <w:sz w:val="22"/>
                      <w:szCs w:val="22"/>
                      <w:highlight w:val="none"/>
                      <w:lang w:val="en-US" w:eastAsia="zh-CN"/>
                    </w:rPr>
                    <w:t>租赁得0.5分</w:t>
                  </w:r>
                  <w:r>
                    <w:rPr>
                      <w:rFonts w:hint="eastAsia" w:ascii="宋体" w:hAnsi="宋体" w:eastAsia="宋体" w:cs="宋体"/>
                      <w:sz w:val="22"/>
                      <w:szCs w:val="22"/>
                      <w:highlight w:val="none"/>
                      <w:lang w:eastAsia="zh-CN"/>
                    </w:rPr>
                    <w:t>，否则不得分。</w:t>
                  </w:r>
                </w:p>
                <w:p w14:paraId="2887A374">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投标供应商报投入自有</w:t>
                  </w:r>
                  <w:r>
                    <w:rPr>
                      <w:rFonts w:hint="eastAsia" w:ascii="宋体" w:hAnsi="宋体" w:eastAsia="宋体" w:cs="宋体"/>
                      <w:sz w:val="22"/>
                      <w:szCs w:val="22"/>
                      <w:highlight w:val="none"/>
                    </w:rPr>
                    <w:t>路面划线机</w:t>
                  </w:r>
                  <w:r>
                    <w:rPr>
                      <w:rFonts w:hint="eastAsia" w:ascii="宋体" w:hAnsi="宋体" w:eastAsia="宋体" w:cs="宋体"/>
                      <w:sz w:val="22"/>
                      <w:szCs w:val="22"/>
                      <w:highlight w:val="none"/>
                      <w:lang w:eastAsia="zh-CN"/>
                    </w:rPr>
                    <w:t>1</w:t>
                  </w:r>
                  <w:r>
                    <w:rPr>
                      <w:rFonts w:hint="eastAsia" w:ascii="宋体" w:hAnsi="宋体" w:eastAsia="宋体" w:cs="宋体"/>
                      <w:sz w:val="22"/>
                      <w:szCs w:val="22"/>
                      <w:highlight w:val="none"/>
                      <w:lang w:val="en-US" w:eastAsia="zh-CN"/>
                    </w:rPr>
                    <w:t>台</w:t>
                  </w:r>
                  <w:r>
                    <w:rPr>
                      <w:rFonts w:hint="eastAsia" w:ascii="宋体" w:hAnsi="宋体" w:eastAsia="宋体" w:cs="宋体"/>
                      <w:sz w:val="22"/>
                      <w:szCs w:val="22"/>
                      <w:highlight w:val="none"/>
                      <w:lang w:eastAsia="zh-CN"/>
                    </w:rPr>
                    <w:t>得1分，</w:t>
                  </w:r>
                  <w:r>
                    <w:rPr>
                      <w:rFonts w:hint="eastAsia" w:ascii="宋体" w:hAnsi="宋体" w:eastAsia="宋体" w:cs="宋体"/>
                      <w:sz w:val="22"/>
                      <w:szCs w:val="22"/>
                      <w:highlight w:val="none"/>
                      <w:lang w:val="en-US" w:eastAsia="zh-CN"/>
                    </w:rPr>
                    <w:t>租赁得0.5分</w:t>
                  </w:r>
                  <w:r>
                    <w:rPr>
                      <w:rFonts w:hint="eastAsia" w:ascii="宋体" w:hAnsi="宋体" w:eastAsia="宋体" w:cs="宋体"/>
                      <w:sz w:val="22"/>
                      <w:szCs w:val="22"/>
                      <w:highlight w:val="none"/>
                      <w:lang w:eastAsia="zh-CN"/>
                    </w:rPr>
                    <w:t>，否则不得分。</w:t>
                  </w:r>
                </w:p>
                <w:p w14:paraId="680868C4">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投标供应商报投入自有</w:t>
                  </w:r>
                  <w:r>
                    <w:rPr>
                      <w:rFonts w:hint="eastAsia" w:ascii="宋体" w:hAnsi="宋体" w:eastAsia="宋体" w:cs="宋体"/>
                      <w:sz w:val="22"/>
                      <w:szCs w:val="22"/>
                      <w:highlight w:val="none"/>
                    </w:rPr>
                    <w:t>水除线机</w:t>
                  </w:r>
                  <w:r>
                    <w:rPr>
                      <w:rFonts w:hint="eastAsia" w:ascii="宋体" w:hAnsi="宋体" w:eastAsia="宋体" w:cs="宋体"/>
                      <w:sz w:val="22"/>
                      <w:szCs w:val="22"/>
                      <w:highlight w:val="none"/>
                      <w:lang w:eastAsia="zh-CN"/>
                    </w:rPr>
                    <w:t>1</w:t>
                  </w:r>
                  <w:r>
                    <w:rPr>
                      <w:rFonts w:hint="eastAsia" w:ascii="宋体" w:hAnsi="宋体" w:eastAsia="宋体" w:cs="宋体"/>
                      <w:sz w:val="22"/>
                      <w:szCs w:val="22"/>
                      <w:highlight w:val="none"/>
                      <w:lang w:val="en-US" w:eastAsia="zh-CN"/>
                    </w:rPr>
                    <w:t>台</w:t>
                  </w:r>
                  <w:r>
                    <w:rPr>
                      <w:rFonts w:hint="eastAsia" w:ascii="宋体" w:hAnsi="宋体" w:eastAsia="宋体" w:cs="宋体"/>
                      <w:sz w:val="22"/>
                      <w:szCs w:val="22"/>
                      <w:highlight w:val="none"/>
                      <w:lang w:eastAsia="zh-CN"/>
                    </w:rPr>
                    <w:t>得1分，</w:t>
                  </w:r>
                  <w:r>
                    <w:rPr>
                      <w:rFonts w:hint="eastAsia" w:ascii="宋体" w:hAnsi="宋体" w:eastAsia="宋体" w:cs="宋体"/>
                      <w:sz w:val="22"/>
                      <w:szCs w:val="22"/>
                      <w:highlight w:val="none"/>
                      <w:lang w:val="en-US" w:eastAsia="zh-CN"/>
                    </w:rPr>
                    <w:t>租赁得0.5分</w:t>
                  </w:r>
                  <w:r>
                    <w:rPr>
                      <w:rFonts w:hint="eastAsia" w:ascii="宋体" w:hAnsi="宋体" w:eastAsia="宋体" w:cs="宋体"/>
                      <w:sz w:val="22"/>
                      <w:szCs w:val="22"/>
                      <w:highlight w:val="none"/>
                      <w:lang w:eastAsia="zh-CN"/>
                    </w:rPr>
                    <w:t>，否则不得分。</w:t>
                  </w:r>
                </w:p>
                <w:p w14:paraId="12A52FB9">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投标供应商报投入</w:t>
                  </w:r>
                  <w:r>
                    <w:rPr>
                      <w:rFonts w:hint="eastAsia" w:ascii="宋体" w:hAnsi="宋体" w:eastAsia="宋体" w:cs="宋体"/>
                      <w:sz w:val="22"/>
                      <w:szCs w:val="22"/>
                      <w:highlight w:val="none"/>
                      <w:lang w:val="en-US" w:eastAsia="zh-CN"/>
                    </w:rPr>
                    <w:t>自有</w:t>
                  </w:r>
                  <w:r>
                    <w:rPr>
                      <w:rFonts w:hint="eastAsia" w:ascii="宋体" w:hAnsi="宋体" w:eastAsia="宋体" w:cs="宋体"/>
                      <w:sz w:val="22"/>
                      <w:szCs w:val="22"/>
                      <w:highlight w:val="none"/>
                    </w:rPr>
                    <w:t>气锤打桩机</w:t>
                  </w:r>
                  <w:r>
                    <w:rPr>
                      <w:rFonts w:hint="eastAsia" w:ascii="宋体" w:hAnsi="宋体" w:eastAsia="宋体" w:cs="宋体"/>
                      <w:sz w:val="22"/>
                      <w:szCs w:val="22"/>
                      <w:highlight w:val="none"/>
                      <w:lang w:eastAsia="zh-CN"/>
                    </w:rPr>
                    <w:t>1辆得1</w:t>
                  </w:r>
                  <w:r>
                    <w:rPr>
                      <w:rFonts w:hint="eastAsia" w:ascii="宋体" w:hAnsi="宋体" w:eastAsia="宋体" w:cs="宋体"/>
                      <w:sz w:val="22"/>
                      <w:szCs w:val="22"/>
                      <w:highlight w:val="none"/>
                      <w:lang w:val="en-US" w:eastAsia="zh-CN"/>
                    </w:rPr>
                    <w:t>台</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租赁得0.5分</w:t>
                  </w:r>
                  <w:r>
                    <w:rPr>
                      <w:rFonts w:hint="eastAsia" w:ascii="宋体" w:hAnsi="宋体" w:eastAsia="宋体" w:cs="宋体"/>
                      <w:sz w:val="22"/>
                      <w:szCs w:val="22"/>
                      <w:highlight w:val="none"/>
                      <w:lang w:eastAsia="zh-CN"/>
                    </w:rPr>
                    <w:t>，否则不得分。</w:t>
                  </w:r>
                </w:p>
                <w:p w14:paraId="1520AADD">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注：</w:t>
                  </w:r>
                  <w:r>
                    <w:rPr>
                      <w:rFonts w:hint="eastAsia" w:ascii="宋体" w:hAnsi="宋体" w:eastAsia="宋体" w:cs="宋体"/>
                      <w:sz w:val="22"/>
                      <w:szCs w:val="22"/>
                      <w:highlight w:val="none"/>
                    </w:rPr>
                    <w:t>提供证明材料：自有的提供发票，租赁的提供租赁协议</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车辆提供行驶证</w:t>
                  </w:r>
                  <w:r>
                    <w:rPr>
                      <w:rFonts w:hint="eastAsia" w:ascii="宋体" w:hAnsi="宋体" w:eastAsia="宋体" w:cs="宋体"/>
                      <w:sz w:val="22"/>
                      <w:szCs w:val="22"/>
                      <w:highlight w:val="none"/>
                    </w:rPr>
                    <w:t>。（提供</w:t>
                  </w:r>
                  <w:r>
                    <w:rPr>
                      <w:rFonts w:hint="eastAsia" w:ascii="宋体" w:hAnsi="宋体" w:eastAsia="宋体" w:cs="宋体"/>
                      <w:sz w:val="22"/>
                      <w:szCs w:val="22"/>
                      <w:highlight w:val="none"/>
                      <w:lang w:eastAsia="zh-CN"/>
                    </w:rPr>
                    <w:t>扫描件并电子签章</w:t>
                  </w:r>
                  <w:r>
                    <w:rPr>
                      <w:rFonts w:hint="eastAsia" w:ascii="宋体" w:hAnsi="宋体" w:eastAsia="宋体" w:cs="宋体"/>
                      <w:sz w:val="22"/>
                      <w:szCs w:val="22"/>
                      <w:highlight w:val="none"/>
                    </w:rPr>
                    <w:t xml:space="preserve">） </w:t>
                  </w:r>
                </w:p>
              </w:tc>
              <w:tc>
                <w:tcPr>
                  <w:tcW w:w="867" w:type="dxa"/>
                  <w:noWrap w:val="0"/>
                  <w:vAlign w:val="center"/>
                </w:tcPr>
                <w:p w14:paraId="119293CB">
                  <w:pPr>
                    <w:snapToGrid w:val="0"/>
                    <w:spacing w:line="360" w:lineRule="exact"/>
                    <w:rPr>
                      <w:rFonts w:hint="eastAsia" w:ascii="宋体" w:hAnsi="宋体" w:eastAsia="宋体" w:cs="宋体"/>
                      <w:sz w:val="22"/>
                      <w:szCs w:val="22"/>
                      <w:highlight w:val="none"/>
                      <w:lang w:val="en-US" w:eastAsia="zh-CN"/>
                    </w:rPr>
                  </w:pPr>
                  <w:r>
                    <w:rPr>
                      <w:rFonts w:hint="eastAsia" w:ascii="宋体" w:hAnsi="宋体" w:cs="宋体"/>
                      <w:sz w:val="21"/>
                      <w:szCs w:val="21"/>
                      <w:lang w:val="en-US" w:eastAsia="zh-CN"/>
                    </w:rPr>
                    <w:t>客观分</w:t>
                  </w:r>
                </w:p>
              </w:tc>
            </w:tr>
            <w:tr w14:paraId="1CFE3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7" w:hRule="atLeast"/>
                <w:jc w:val="center"/>
              </w:trPr>
              <w:tc>
                <w:tcPr>
                  <w:tcW w:w="523" w:type="dxa"/>
                  <w:vMerge w:val="restart"/>
                  <w:noWrap w:val="0"/>
                  <w:vAlign w:val="center"/>
                </w:tcPr>
                <w:p w14:paraId="6C5D4EBB">
                  <w:pPr>
                    <w:adjustRightInd w:val="0"/>
                    <w:snapToGrid w:val="0"/>
                    <w:spacing w:before="100" w:after="50" w:line="400" w:lineRule="atLeast"/>
                    <w:jc w:val="center"/>
                    <w:rPr>
                      <w:rFonts w:hint="default"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6</w:t>
                  </w:r>
                </w:p>
              </w:tc>
              <w:tc>
                <w:tcPr>
                  <w:tcW w:w="1680" w:type="dxa"/>
                  <w:vMerge w:val="restart"/>
                  <w:noWrap w:val="0"/>
                  <w:vAlign w:val="center"/>
                </w:tcPr>
                <w:p w14:paraId="5BF2FCC0">
                  <w:pPr>
                    <w:adjustRightInd w:val="0"/>
                    <w:snapToGrid w:val="0"/>
                    <w:spacing w:before="100" w:after="50" w:line="400" w:lineRule="atLeast"/>
                    <w:rPr>
                      <w:rFonts w:hint="eastAsia" w:ascii="宋体" w:hAnsi="宋体" w:eastAsia="宋体"/>
                      <w:bCs/>
                      <w:color w:val="C00000"/>
                      <w:sz w:val="22"/>
                      <w:szCs w:val="22"/>
                      <w:highlight w:val="none"/>
                      <w:lang w:val="en-US" w:eastAsia="zh-CN"/>
                    </w:rPr>
                  </w:pPr>
                  <w:r>
                    <w:rPr>
                      <w:rFonts w:hint="eastAsia" w:ascii="宋体" w:hAnsi="宋体" w:eastAsia="宋体" w:cs="宋体"/>
                      <w:color w:val="C00000"/>
                      <w:szCs w:val="21"/>
                      <w:highlight w:val="none"/>
                      <w:lang w:val="en-US" w:eastAsia="zh-CN"/>
                    </w:rPr>
                    <w:t>样品</w:t>
                  </w:r>
                  <w:r>
                    <w:rPr>
                      <w:rFonts w:hint="eastAsia" w:ascii="宋体" w:hAnsi="宋体" w:cs="宋体"/>
                      <w:color w:val="C00000"/>
                      <w:szCs w:val="21"/>
                      <w:highlight w:val="none"/>
                      <w:lang w:val="en-US" w:eastAsia="zh-CN"/>
                    </w:rPr>
                    <w:t>一：序号</w:t>
                  </w:r>
                  <w:bookmarkStart w:id="415" w:name="_Toc98605713"/>
                  <w:r>
                    <w:rPr>
                      <w:rFonts w:hint="eastAsia" w:ascii="宋体" w:hAnsi="宋体" w:cs="宋体"/>
                      <w:color w:val="C00000"/>
                      <w:szCs w:val="21"/>
                      <w:highlight w:val="none"/>
                      <w:lang w:val="en-US" w:eastAsia="zh-CN"/>
                    </w:rPr>
                    <w:t>79</w:t>
                  </w:r>
                  <w:bookmarkEnd w:id="415"/>
                  <w:r>
                    <w:rPr>
                      <w:rFonts w:hint="eastAsia"/>
                      <w:color w:val="C00000"/>
                      <w:highlight w:val="none"/>
                      <w:lang w:val="en-US" w:eastAsia="zh-CN"/>
                    </w:rPr>
                    <w:t>警示标识</w:t>
                  </w:r>
                  <w:r>
                    <w:rPr>
                      <w:rFonts w:hint="eastAsia" w:ascii="宋体" w:hAnsi="宋体" w:cs="宋体"/>
                      <w:color w:val="C00000"/>
                      <w:szCs w:val="21"/>
                      <w:highlight w:val="none"/>
                      <w:lang w:val="en-US" w:eastAsia="zh-CN"/>
                    </w:rPr>
                    <w:t>（</w:t>
                  </w:r>
                  <w:r>
                    <w:rPr>
                      <w:rFonts w:hint="eastAsia" w:ascii="宋体" w:hAnsi="宋体" w:eastAsia="宋体" w:cs="宋体"/>
                      <w:color w:val="C00000"/>
                      <w:szCs w:val="21"/>
                      <w:highlight w:val="none"/>
                      <w:lang w:val="en-US" w:eastAsia="zh-CN"/>
                    </w:rPr>
                    <w:t>样品</w:t>
                  </w:r>
                  <w:r>
                    <w:rPr>
                      <w:rFonts w:hint="eastAsia"/>
                      <w:color w:val="C00000"/>
                      <w:highlight w:val="none"/>
                    </w:rPr>
                    <w:t>产品尺寸：</w:t>
                  </w:r>
                  <w:r>
                    <w:rPr>
                      <w:rFonts w:hint="eastAsia"/>
                      <w:color w:val="C00000"/>
                      <w:highlight w:val="none"/>
                      <w:lang w:val="en-US" w:eastAsia="zh-CN"/>
                    </w:rPr>
                    <w:t>2095*200*200mm</w:t>
                  </w:r>
                  <w:r>
                    <w:rPr>
                      <w:rFonts w:hint="eastAsia" w:ascii="宋体" w:hAnsi="宋体" w:cs="宋体"/>
                      <w:color w:val="C00000"/>
                      <w:szCs w:val="21"/>
                      <w:highlight w:val="none"/>
                      <w:lang w:val="en-US" w:eastAsia="zh-CN"/>
                    </w:rPr>
                    <w:t>）</w:t>
                  </w:r>
                </w:p>
              </w:tc>
              <w:tc>
                <w:tcPr>
                  <w:tcW w:w="675" w:type="dxa"/>
                  <w:noWrap w:val="0"/>
                  <w:vAlign w:val="center"/>
                </w:tcPr>
                <w:p w14:paraId="61528899">
                  <w:pPr>
                    <w:jc w:val="center"/>
                    <w:rPr>
                      <w:rFonts w:hint="default" w:ascii="宋体" w:hAnsi="宋体" w:cs="宋体"/>
                      <w:bCs/>
                      <w:color w:val="C00000"/>
                      <w:sz w:val="22"/>
                      <w:szCs w:val="22"/>
                      <w:highlight w:val="none"/>
                      <w:lang w:val="en-US" w:eastAsia="zh-CN"/>
                    </w:rPr>
                  </w:pPr>
                  <w:r>
                    <w:rPr>
                      <w:rFonts w:hint="eastAsia" w:ascii="宋体" w:hAnsi="宋体" w:cs="宋体"/>
                      <w:bCs/>
                      <w:color w:val="C00000"/>
                      <w:sz w:val="22"/>
                      <w:szCs w:val="22"/>
                      <w:highlight w:val="none"/>
                      <w:lang w:val="en-US" w:eastAsia="zh-CN"/>
                    </w:rPr>
                    <w:t>0-2</w:t>
                  </w:r>
                </w:p>
              </w:tc>
              <w:tc>
                <w:tcPr>
                  <w:tcW w:w="5835" w:type="dxa"/>
                  <w:noWrap w:val="0"/>
                  <w:vAlign w:val="center"/>
                </w:tcPr>
                <w:p w14:paraId="6B3F04D2">
                  <w:pPr>
                    <w:numPr>
                      <w:ilvl w:val="0"/>
                      <w:numId w:val="0"/>
                    </w:numPr>
                    <w:spacing w:beforeLines="0" w:afterLines="0" w:line="276" w:lineRule="auto"/>
                    <w:ind w:left="0" w:leftChars="0" w:firstLine="0" w:firstLineChars="0"/>
                    <w:rPr>
                      <w:rFonts w:hint="eastAsia" w:ascii="宋体" w:hAnsi="宋体" w:cs="宋体"/>
                      <w:color w:val="C00000"/>
                      <w:sz w:val="22"/>
                      <w:szCs w:val="22"/>
                      <w:highlight w:val="none"/>
                      <w:lang w:val="en-US" w:eastAsia="zh-CN"/>
                    </w:rPr>
                  </w:pPr>
                  <w:r>
                    <w:rPr>
                      <w:rFonts w:hint="eastAsia" w:ascii="宋体" w:hAnsi="宋体" w:cs="宋体"/>
                      <w:color w:val="C00000"/>
                      <w:sz w:val="21"/>
                      <w:szCs w:val="21"/>
                      <w:highlight w:val="none"/>
                      <w:lang w:val="en-GB"/>
                    </w:rPr>
                    <w:t>⑴样品外观：①</w:t>
                  </w:r>
                  <w:r>
                    <w:rPr>
                      <w:rFonts w:hint="eastAsia" w:ascii="宋体" w:hAnsi="宋体" w:cs="宋体"/>
                      <w:color w:val="C00000"/>
                      <w:sz w:val="21"/>
                      <w:szCs w:val="21"/>
                      <w:highlight w:val="none"/>
                      <w:lang w:val="en-US" w:eastAsia="zh-CN"/>
                    </w:rPr>
                    <w:t>产品是否属于一个整体且尺寸是否满足参数要求</w:t>
                  </w:r>
                  <w:r>
                    <w:rPr>
                      <w:rFonts w:hint="eastAsia" w:ascii="宋体" w:hAnsi="宋体" w:cs="宋体"/>
                      <w:color w:val="C00000"/>
                      <w:sz w:val="21"/>
                      <w:szCs w:val="21"/>
                      <w:highlight w:val="none"/>
                      <w:lang w:val="en-GB"/>
                    </w:rPr>
                    <w:t>；②喷涂目视无色差，光泽度均匀，表面不允许出现露底、气泡、针孔、橘皮等情况综合打分；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评分分值范围：2,</w:t>
                  </w:r>
                  <w:r>
                    <w:rPr>
                      <w:rFonts w:hint="eastAsia" w:ascii="宋体" w:hAnsi="宋体" w:cs="宋体"/>
                      <w:sz w:val="22"/>
                      <w:szCs w:val="22"/>
                      <w:highlight w:val="none"/>
                      <w:lang w:val="en-US" w:eastAsia="zh-CN"/>
                    </w:rPr>
                    <w:t>1.5，</w:t>
                  </w: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7DD73FC7">
                  <w:pPr>
                    <w:numPr>
                      <w:ilvl w:val="0"/>
                      <w:numId w:val="0"/>
                    </w:numPr>
                    <w:spacing w:beforeLines="0" w:afterLines="0" w:line="276" w:lineRule="auto"/>
                    <w:ind w:left="0" w:leftChars="0" w:firstLine="0" w:firstLineChars="0"/>
                    <w:rPr>
                      <w:rFonts w:hint="eastAsia" w:ascii="宋体" w:hAnsi="宋体" w:eastAsia="宋体" w:cs="宋体"/>
                      <w:color w:val="C00000"/>
                      <w:sz w:val="21"/>
                      <w:szCs w:val="21"/>
                      <w:highlight w:val="none"/>
                      <w:lang w:val="en-US" w:eastAsia="zh-CN"/>
                    </w:rPr>
                  </w:pPr>
                  <w:r>
                    <w:rPr>
                      <w:rFonts w:hint="eastAsia" w:ascii="宋体" w:hAnsi="宋体" w:cs="宋体"/>
                      <w:color w:val="C00000"/>
                      <w:sz w:val="21"/>
                      <w:szCs w:val="21"/>
                      <w:highlight w:val="none"/>
                      <w:lang w:val="en-US" w:eastAsia="zh-CN"/>
                    </w:rPr>
                    <w:t>主观分</w:t>
                  </w:r>
                </w:p>
              </w:tc>
            </w:tr>
            <w:tr w14:paraId="7B53B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8" w:hRule="atLeast"/>
                <w:jc w:val="center"/>
              </w:trPr>
              <w:tc>
                <w:tcPr>
                  <w:tcW w:w="523" w:type="dxa"/>
                  <w:vMerge w:val="continue"/>
                  <w:noWrap w:val="0"/>
                  <w:vAlign w:val="center"/>
                </w:tcPr>
                <w:p w14:paraId="3887F801">
                  <w:pPr>
                    <w:adjustRightInd w:val="0"/>
                    <w:snapToGrid w:val="0"/>
                    <w:spacing w:before="100" w:after="50" w:line="400" w:lineRule="atLeast"/>
                    <w:jc w:val="center"/>
                    <w:rPr>
                      <w:rFonts w:hint="eastAsia" w:ascii="宋体" w:hAnsi="宋体"/>
                      <w:bCs/>
                      <w:color w:val="auto"/>
                      <w:sz w:val="22"/>
                      <w:szCs w:val="22"/>
                      <w:highlight w:val="none"/>
                      <w:lang w:val="en-US" w:eastAsia="zh-CN"/>
                    </w:rPr>
                  </w:pPr>
                </w:p>
              </w:tc>
              <w:tc>
                <w:tcPr>
                  <w:tcW w:w="1680" w:type="dxa"/>
                  <w:vMerge w:val="continue"/>
                  <w:noWrap w:val="0"/>
                  <w:vAlign w:val="center"/>
                </w:tcPr>
                <w:p w14:paraId="3C3CE91D">
                  <w:pPr>
                    <w:adjustRightInd w:val="0"/>
                    <w:snapToGrid w:val="0"/>
                    <w:spacing w:before="100" w:after="50" w:line="400" w:lineRule="atLeast"/>
                    <w:rPr>
                      <w:rFonts w:hint="eastAsia" w:ascii="宋体" w:hAnsi="宋体"/>
                      <w:bCs/>
                      <w:color w:val="C00000"/>
                      <w:sz w:val="22"/>
                      <w:szCs w:val="22"/>
                      <w:highlight w:val="none"/>
                      <w:lang w:val="en-US" w:eastAsia="zh-CN"/>
                    </w:rPr>
                  </w:pPr>
                </w:p>
              </w:tc>
              <w:tc>
                <w:tcPr>
                  <w:tcW w:w="675" w:type="dxa"/>
                  <w:noWrap w:val="0"/>
                  <w:vAlign w:val="center"/>
                </w:tcPr>
                <w:p w14:paraId="0F0CF196">
                  <w:pPr>
                    <w:jc w:val="center"/>
                    <w:rPr>
                      <w:rFonts w:hint="default" w:ascii="宋体" w:hAnsi="宋体" w:cs="宋体"/>
                      <w:bCs/>
                      <w:color w:val="C00000"/>
                      <w:sz w:val="22"/>
                      <w:szCs w:val="22"/>
                      <w:highlight w:val="none"/>
                      <w:lang w:val="en-US" w:eastAsia="zh-CN"/>
                    </w:rPr>
                  </w:pPr>
                  <w:r>
                    <w:rPr>
                      <w:rFonts w:hint="eastAsia" w:ascii="宋体" w:hAnsi="宋体" w:cs="宋体"/>
                      <w:bCs/>
                      <w:color w:val="C00000"/>
                      <w:sz w:val="22"/>
                      <w:szCs w:val="22"/>
                      <w:highlight w:val="none"/>
                      <w:lang w:val="en-US" w:eastAsia="zh-CN"/>
                    </w:rPr>
                    <w:t>0-2</w:t>
                  </w:r>
                </w:p>
              </w:tc>
              <w:tc>
                <w:tcPr>
                  <w:tcW w:w="5835" w:type="dxa"/>
                  <w:noWrap w:val="0"/>
                  <w:vAlign w:val="center"/>
                </w:tcPr>
                <w:p w14:paraId="7304EBB2">
                  <w:pPr>
                    <w:numPr>
                      <w:ilvl w:val="0"/>
                      <w:numId w:val="0"/>
                    </w:numPr>
                    <w:spacing w:beforeLines="0" w:afterLines="0" w:line="276" w:lineRule="auto"/>
                    <w:ind w:left="0" w:leftChars="0" w:firstLine="0" w:firstLineChars="0"/>
                    <w:rPr>
                      <w:rFonts w:hint="eastAsia" w:ascii="宋体" w:hAnsi="宋体" w:cs="宋体"/>
                      <w:color w:val="C00000"/>
                      <w:sz w:val="22"/>
                      <w:szCs w:val="22"/>
                      <w:highlight w:val="none"/>
                      <w:lang w:val="en-US" w:eastAsia="zh-CN"/>
                    </w:rPr>
                  </w:pPr>
                  <w:r>
                    <w:rPr>
                      <w:rFonts w:hint="eastAsia" w:ascii="宋体" w:hAnsi="宋体" w:cs="宋体"/>
                      <w:color w:val="C00000"/>
                      <w:sz w:val="21"/>
                      <w:szCs w:val="21"/>
                      <w:highlight w:val="none"/>
                      <w:lang w:val="en-GB"/>
                    </w:rPr>
                    <w:t>⑵样品</w:t>
                  </w:r>
                  <w:r>
                    <w:rPr>
                      <w:rFonts w:hint="eastAsia" w:ascii="宋体" w:hAnsi="宋体" w:cs="宋体"/>
                      <w:color w:val="C00000"/>
                      <w:sz w:val="21"/>
                      <w:szCs w:val="21"/>
                      <w:highlight w:val="none"/>
                      <w:lang w:val="en-US" w:eastAsia="zh-CN"/>
                    </w:rPr>
                    <w:t>功能</w:t>
                  </w:r>
                  <w:r>
                    <w:rPr>
                      <w:rFonts w:hint="eastAsia" w:ascii="宋体" w:hAnsi="宋体" w:cs="宋体"/>
                      <w:color w:val="C00000"/>
                      <w:sz w:val="21"/>
                      <w:szCs w:val="21"/>
                      <w:highlight w:val="none"/>
                      <w:lang w:val="en-GB"/>
                    </w:rPr>
                    <w:t>：①</w:t>
                  </w:r>
                  <w:r>
                    <w:rPr>
                      <w:rFonts w:hint="eastAsia" w:ascii="宋体" w:hAnsi="宋体" w:cs="宋体"/>
                      <w:color w:val="C00000"/>
                      <w:sz w:val="21"/>
                      <w:szCs w:val="21"/>
                      <w:highlight w:val="none"/>
                      <w:lang w:val="en-US" w:eastAsia="zh-CN"/>
                    </w:rPr>
                    <w:t>样品光伏柱帽是否采用磨具制作</w:t>
                  </w:r>
                  <w:r>
                    <w:rPr>
                      <w:rFonts w:hint="eastAsia" w:ascii="宋体" w:hAnsi="宋体" w:cs="宋体"/>
                      <w:color w:val="C00000"/>
                      <w:sz w:val="21"/>
                      <w:szCs w:val="21"/>
                      <w:highlight w:val="none"/>
                      <w:lang w:val="en-GB"/>
                    </w:rPr>
                    <w:t>；②</w:t>
                  </w:r>
                  <w:r>
                    <w:rPr>
                      <w:rFonts w:hint="eastAsia" w:ascii="宋体" w:hAnsi="宋体" w:cs="宋体"/>
                      <w:color w:val="C00000"/>
                      <w:sz w:val="21"/>
                      <w:szCs w:val="21"/>
                      <w:highlight w:val="none"/>
                      <w:lang w:val="en-US" w:eastAsia="zh-CN"/>
                    </w:rPr>
                    <w:t>遮住柱帽目视柱身点阵灯珠是否闪烁发光</w:t>
                  </w:r>
                  <w:r>
                    <w:rPr>
                      <w:rFonts w:hint="eastAsia" w:ascii="宋体" w:hAnsi="宋体" w:cs="宋体"/>
                      <w:color w:val="C00000"/>
                      <w:sz w:val="21"/>
                      <w:szCs w:val="21"/>
                      <w:highlight w:val="none"/>
                      <w:lang w:val="en-GB"/>
                    </w:rPr>
                    <w:t>；</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评分分值范围：2,</w:t>
                  </w:r>
                  <w:r>
                    <w:rPr>
                      <w:rFonts w:hint="eastAsia" w:ascii="宋体" w:hAnsi="宋体" w:cs="宋体"/>
                      <w:sz w:val="22"/>
                      <w:szCs w:val="22"/>
                      <w:highlight w:val="none"/>
                      <w:lang w:val="en-US" w:eastAsia="zh-CN"/>
                    </w:rPr>
                    <w:t>1.5，</w:t>
                  </w: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234AC4FF">
                  <w:pPr>
                    <w:numPr>
                      <w:ilvl w:val="0"/>
                      <w:numId w:val="0"/>
                    </w:numPr>
                    <w:spacing w:beforeLines="0" w:afterLines="0" w:line="276" w:lineRule="auto"/>
                    <w:ind w:left="0" w:leftChars="0" w:firstLine="0" w:firstLineChars="0"/>
                    <w:rPr>
                      <w:rFonts w:hint="eastAsia" w:ascii="宋体" w:hAnsi="宋体" w:cs="宋体"/>
                      <w:color w:val="C00000"/>
                      <w:sz w:val="21"/>
                      <w:szCs w:val="21"/>
                      <w:highlight w:val="none"/>
                      <w:lang w:val="en-GB"/>
                    </w:rPr>
                  </w:pPr>
                  <w:r>
                    <w:rPr>
                      <w:rFonts w:hint="eastAsia" w:ascii="宋体" w:hAnsi="宋体" w:cs="宋体"/>
                      <w:color w:val="C00000"/>
                      <w:sz w:val="21"/>
                      <w:szCs w:val="21"/>
                      <w:highlight w:val="none"/>
                      <w:lang w:val="en-US" w:eastAsia="zh-CN"/>
                    </w:rPr>
                    <w:t>主观分</w:t>
                  </w:r>
                </w:p>
              </w:tc>
            </w:tr>
            <w:tr w14:paraId="3F0E0E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23" w:type="dxa"/>
                  <w:vMerge w:val="continue"/>
                  <w:noWrap w:val="0"/>
                  <w:vAlign w:val="center"/>
                </w:tcPr>
                <w:p w14:paraId="16363D2D">
                  <w:pPr>
                    <w:adjustRightInd w:val="0"/>
                    <w:snapToGrid w:val="0"/>
                    <w:spacing w:before="100" w:after="50" w:line="400" w:lineRule="atLeast"/>
                    <w:jc w:val="center"/>
                    <w:rPr>
                      <w:rFonts w:hint="eastAsia" w:ascii="宋体" w:hAnsi="宋体"/>
                      <w:bCs/>
                      <w:color w:val="auto"/>
                      <w:sz w:val="22"/>
                      <w:szCs w:val="22"/>
                      <w:highlight w:val="none"/>
                      <w:lang w:val="en-US" w:eastAsia="zh-CN"/>
                    </w:rPr>
                  </w:pPr>
                </w:p>
              </w:tc>
              <w:tc>
                <w:tcPr>
                  <w:tcW w:w="1680" w:type="dxa"/>
                  <w:vMerge w:val="continue"/>
                  <w:noWrap w:val="0"/>
                  <w:vAlign w:val="center"/>
                </w:tcPr>
                <w:p w14:paraId="10C653C8">
                  <w:pPr>
                    <w:adjustRightInd w:val="0"/>
                    <w:snapToGrid w:val="0"/>
                    <w:spacing w:before="100" w:after="50" w:line="400" w:lineRule="atLeast"/>
                    <w:rPr>
                      <w:rFonts w:hint="eastAsia" w:ascii="宋体" w:hAnsi="宋体"/>
                      <w:bCs/>
                      <w:color w:val="C00000"/>
                      <w:sz w:val="22"/>
                      <w:szCs w:val="22"/>
                      <w:highlight w:val="none"/>
                      <w:lang w:val="en-US" w:eastAsia="zh-CN"/>
                    </w:rPr>
                  </w:pPr>
                </w:p>
              </w:tc>
              <w:tc>
                <w:tcPr>
                  <w:tcW w:w="675" w:type="dxa"/>
                  <w:noWrap w:val="0"/>
                  <w:vAlign w:val="center"/>
                </w:tcPr>
                <w:p w14:paraId="0603573C">
                  <w:pPr>
                    <w:jc w:val="center"/>
                    <w:rPr>
                      <w:rFonts w:hint="default" w:ascii="宋体" w:hAnsi="宋体" w:cs="宋体"/>
                      <w:bCs/>
                      <w:color w:val="C00000"/>
                      <w:sz w:val="22"/>
                      <w:szCs w:val="22"/>
                      <w:highlight w:val="none"/>
                      <w:lang w:val="en-US" w:eastAsia="zh-CN"/>
                    </w:rPr>
                  </w:pPr>
                  <w:r>
                    <w:rPr>
                      <w:rFonts w:hint="eastAsia" w:ascii="宋体" w:hAnsi="宋体" w:cs="宋体"/>
                      <w:bCs/>
                      <w:color w:val="C00000"/>
                      <w:sz w:val="22"/>
                      <w:szCs w:val="22"/>
                      <w:highlight w:val="none"/>
                      <w:lang w:val="en-US" w:eastAsia="zh-CN"/>
                    </w:rPr>
                    <w:t>0-2</w:t>
                  </w:r>
                </w:p>
              </w:tc>
              <w:tc>
                <w:tcPr>
                  <w:tcW w:w="5835" w:type="dxa"/>
                  <w:noWrap w:val="0"/>
                  <w:vAlign w:val="center"/>
                </w:tcPr>
                <w:p w14:paraId="52D23F85">
                  <w:pPr>
                    <w:numPr>
                      <w:ilvl w:val="0"/>
                      <w:numId w:val="0"/>
                    </w:numPr>
                    <w:spacing w:beforeLines="0" w:afterLines="0" w:line="276" w:lineRule="auto"/>
                    <w:ind w:left="0" w:leftChars="0" w:firstLine="0" w:firstLineChars="0"/>
                    <w:rPr>
                      <w:rFonts w:hint="eastAsia" w:ascii="宋体" w:hAnsi="宋体" w:cs="宋体"/>
                      <w:color w:val="C00000"/>
                      <w:sz w:val="22"/>
                      <w:szCs w:val="22"/>
                      <w:highlight w:val="none"/>
                      <w:lang w:val="en-US" w:eastAsia="zh-CN"/>
                    </w:rPr>
                  </w:pPr>
                  <w:r>
                    <w:rPr>
                      <w:rFonts w:hint="eastAsia" w:ascii="宋体" w:hAnsi="宋体" w:cs="宋体"/>
                      <w:color w:val="C00000"/>
                      <w:sz w:val="21"/>
                      <w:szCs w:val="21"/>
                      <w:highlight w:val="none"/>
                      <w:lang w:val="en-GB"/>
                    </w:rPr>
                    <w:t>⑶样品材质：①</w:t>
                  </w:r>
                  <w:r>
                    <w:rPr>
                      <w:rFonts w:hint="eastAsia" w:ascii="宋体" w:hAnsi="宋体" w:cs="宋体"/>
                      <w:color w:val="C00000"/>
                      <w:sz w:val="21"/>
                      <w:szCs w:val="21"/>
                      <w:highlight w:val="none"/>
                      <w:lang w:val="en-US" w:eastAsia="zh-CN"/>
                    </w:rPr>
                    <w:t>柱帽是否采用塑料外壳</w:t>
                  </w:r>
                  <w:r>
                    <w:rPr>
                      <w:rFonts w:hint="eastAsia" w:ascii="宋体" w:hAnsi="宋体" w:cs="宋体"/>
                      <w:color w:val="C00000"/>
                      <w:sz w:val="21"/>
                      <w:szCs w:val="21"/>
                      <w:highlight w:val="none"/>
                      <w:lang w:val="en-GB"/>
                    </w:rPr>
                    <w:t>；②</w:t>
                  </w:r>
                  <w:r>
                    <w:rPr>
                      <w:rFonts w:hint="eastAsia" w:ascii="宋体" w:hAnsi="宋体" w:cs="宋体"/>
                      <w:color w:val="C00000"/>
                      <w:sz w:val="21"/>
                      <w:szCs w:val="21"/>
                      <w:highlight w:val="none"/>
                      <w:lang w:val="en-US" w:eastAsia="zh-CN"/>
                    </w:rPr>
                    <w:t>点阵灯珠是否采用光学透镜面罩</w:t>
                  </w:r>
                  <w:r>
                    <w:rPr>
                      <w:rFonts w:hint="eastAsia" w:ascii="宋体" w:hAnsi="宋体" w:cs="宋体"/>
                      <w:color w:val="C00000"/>
                      <w:sz w:val="21"/>
                      <w:szCs w:val="21"/>
                      <w:highlight w:val="none"/>
                      <w:lang w:val="en-GB"/>
                    </w:rPr>
                    <w:t>；</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评分分值范围：2,</w:t>
                  </w:r>
                  <w:r>
                    <w:rPr>
                      <w:rFonts w:hint="eastAsia" w:ascii="宋体" w:hAnsi="宋体" w:cs="宋体"/>
                      <w:sz w:val="22"/>
                      <w:szCs w:val="22"/>
                      <w:highlight w:val="none"/>
                      <w:lang w:val="en-US" w:eastAsia="zh-CN"/>
                    </w:rPr>
                    <w:t>1.5，</w:t>
                  </w: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6AE03A63">
                  <w:pPr>
                    <w:numPr>
                      <w:ilvl w:val="0"/>
                      <w:numId w:val="0"/>
                    </w:numPr>
                    <w:spacing w:beforeLines="0" w:afterLines="0" w:line="276" w:lineRule="auto"/>
                    <w:ind w:left="0" w:leftChars="0" w:firstLine="0" w:firstLineChars="0"/>
                    <w:rPr>
                      <w:rFonts w:hint="eastAsia" w:ascii="宋体" w:hAnsi="宋体" w:cs="宋体"/>
                      <w:color w:val="C00000"/>
                      <w:sz w:val="21"/>
                      <w:szCs w:val="21"/>
                      <w:highlight w:val="none"/>
                      <w:lang w:val="en-GB"/>
                    </w:rPr>
                  </w:pPr>
                  <w:r>
                    <w:rPr>
                      <w:rFonts w:hint="eastAsia" w:ascii="宋体" w:hAnsi="宋体" w:cs="宋体"/>
                      <w:color w:val="C00000"/>
                      <w:sz w:val="21"/>
                      <w:szCs w:val="21"/>
                      <w:highlight w:val="none"/>
                      <w:lang w:val="en-US" w:eastAsia="zh-CN"/>
                    </w:rPr>
                    <w:t>主观分</w:t>
                  </w:r>
                </w:p>
              </w:tc>
            </w:tr>
            <w:tr w14:paraId="687589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7" w:hRule="atLeast"/>
                <w:jc w:val="center"/>
              </w:trPr>
              <w:tc>
                <w:tcPr>
                  <w:tcW w:w="523" w:type="dxa"/>
                  <w:vMerge w:val="continue"/>
                  <w:noWrap w:val="0"/>
                  <w:vAlign w:val="center"/>
                </w:tcPr>
                <w:p w14:paraId="5148D01C">
                  <w:pPr>
                    <w:adjustRightInd w:val="0"/>
                    <w:snapToGrid w:val="0"/>
                    <w:spacing w:before="100" w:after="50" w:line="400" w:lineRule="atLeast"/>
                    <w:jc w:val="center"/>
                    <w:rPr>
                      <w:rFonts w:hint="default" w:ascii="宋体" w:hAnsi="宋体" w:eastAsia="宋体"/>
                      <w:bCs/>
                      <w:color w:val="auto"/>
                      <w:sz w:val="22"/>
                      <w:szCs w:val="22"/>
                      <w:highlight w:val="none"/>
                      <w:lang w:val="en-US" w:eastAsia="zh-CN"/>
                    </w:rPr>
                  </w:pPr>
                </w:p>
              </w:tc>
              <w:tc>
                <w:tcPr>
                  <w:tcW w:w="1680" w:type="dxa"/>
                  <w:vMerge w:val="continue"/>
                  <w:noWrap w:val="0"/>
                  <w:vAlign w:val="center"/>
                </w:tcPr>
                <w:p w14:paraId="3DBCDCCF">
                  <w:pPr>
                    <w:adjustRightInd w:val="0"/>
                    <w:snapToGrid w:val="0"/>
                    <w:spacing w:before="100" w:after="50" w:line="400" w:lineRule="atLeast"/>
                    <w:rPr>
                      <w:rFonts w:hint="eastAsia" w:ascii="宋体" w:hAnsi="宋体" w:eastAsia="宋体"/>
                      <w:bCs/>
                      <w:color w:val="C00000"/>
                      <w:sz w:val="22"/>
                      <w:szCs w:val="22"/>
                      <w:highlight w:val="none"/>
                      <w:lang w:val="en-US" w:eastAsia="zh-CN"/>
                    </w:rPr>
                  </w:pPr>
                </w:p>
              </w:tc>
              <w:tc>
                <w:tcPr>
                  <w:tcW w:w="675" w:type="dxa"/>
                  <w:noWrap w:val="0"/>
                  <w:vAlign w:val="center"/>
                </w:tcPr>
                <w:p w14:paraId="4469449F">
                  <w:pPr>
                    <w:jc w:val="center"/>
                    <w:rPr>
                      <w:rFonts w:hint="default" w:ascii="宋体" w:hAnsi="宋体" w:eastAsia="宋体" w:cs="宋体"/>
                      <w:bCs/>
                      <w:color w:val="C00000"/>
                      <w:sz w:val="22"/>
                      <w:szCs w:val="22"/>
                      <w:highlight w:val="none"/>
                      <w:lang w:val="en-US" w:eastAsia="zh-CN"/>
                    </w:rPr>
                  </w:pPr>
                  <w:r>
                    <w:rPr>
                      <w:rFonts w:hint="eastAsia" w:ascii="宋体" w:hAnsi="宋体" w:cs="宋体"/>
                      <w:bCs/>
                      <w:color w:val="C00000"/>
                      <w:sz w:val="22"/>
                      <w:szCs w:val="22"/>
                      <w:highlight w:val="none"/>
                      <w:lang w:val="en-US" w:eastAsia="zh-CN"/>
                    </w:rPr>
                    <w:t>0-2</w:t>
                  </w:r>
                </w:p>
              </w:tc>
              <w:tc>
                <w:tcPr>
                  <w:tcW w:w="5835" w:type="dxa"/>
                  <w:noWrap w:val="0"/>
                  <w:vAlign w:val="center"/>
                </w:tcPr>
                <w:p w14:paraId="1FFB5896">
                  <w:pPr>
                    <w:numPr>
                      <w:ilvl w:val="0"/>
                      <w:numId w:val="0"/>
                    </w:numPr>
                    <w:spacing w:beforeLines="0" w:afterLines="0" w:line="276" w:lineRule="auto"/>
                    <w:ind w:left="0" w:leftChars="0" w:firstLine="0" w:firstLineChars="0"/>
                    <w:rPr>
                      <w:rFonts w:hint="default" w:ascii="宋体" w:hAnsi="宋体" w:eastAsia="宋体" w:cs="宋体"/>
                      <w:color w:val="C00000"/>
                      <w:sz w:val="22"/>
                      <w:szCs w:val="22"/>
                      <w:highlight w:val="none"/>
                      <w:lang w:val="en-US" w:eastAsia="zh-CN"/>
                    </w:rPr>
                  </w:pPr>
                  <w:r>
                    <w:rPr>
                      <w:rFonts w:hint="eastAsia" w:ascii="宋体" w:hAnsi="宋体" w:cs="宋体"/>
                      <w:color w:val="C00000"/>
                      <w:sz w:val="21"/>
                      <w:szCs w:val="21"/>
                      <w:highlight w:val="none"/>
                      <w:lang w:val="en-GB"/>
                    </w:rPr>
                    <w:t>⑷根据样品的安装：①产品装配设计是否合理安全；②安装时是否方便，可以快速安装，能否适应不同路况；③连接件安装是否便利，牢固；④后期拆装维修是否方便等情况综合打分；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评分分值范围：2,</w:t>
                  </w:r>
                  <w:r>
                    <w:rPr>
                      <w:rFonts w:hint="eastAsia" w:ascii="宋体" w:hAnsi="宋体" w:cs="宋体"/>
                      <w:sz w:val="22"/>
                      <w:szCs w:val="22"/>
                      <w:highlight w:val="none"/>
                      <w:lang w:val="en-US" w:eastAsia="zh-CN"/>
                    </w:rPr>
                    <w:t>1.5，</w:t>
                  </w: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52F0E54D">
                  <w:pPr>
                    <w:numPr>
                      <w:ilvl w:val="0"/>
                      <w:numId w:val="0"/>
                    </w:numPr>
                    <w:spacing w:beforeLines="0" w:afterLines="0" w:line="276" w:lineRule="auto"/>
                    <w:ind w:left="0" w:leftChars="0" w:firstLine="0" w:firstLineChars="0"/>
                    <w:rPr>
                      <w:rFonts w:hint="eastAsia" w:ascii="宋体" w:hAnsi="宋体" w:cs="宋体"/>
                      <w:color w:val="C00000"/>
                      <w:sz w:val="21"/>
                      <w:szCs w:val="21"/>
                      <w:highlight w:val="none"/>
                      <w:lang w:val="en-GB"/>
                    </w:rPr>
                  </w:pPr>
                  <w:r>
                    <w:rPr>
                      <w:rFonts w:hint="eastAsia" w:ascii="宋体" w:hAnsi="宋体" w:cs="宋体"/>
                      <w:color w:val="C00000"/>
                      <w:sz w:val="21"/>
                      <w:szCs w:val="21"/>
                      <w:highlight w:val="none"/>
                      <w:lang w:val="en-US" w:eastAsia="zh-CN"/>
                    </w:rPr>
                    <w:t>主观分</w:t>
                  </w:r>
                </w:p>
              </w:tc>
            </w:tr>
            <w:tr w14:paraId="47C12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3" w:hRule="atLeast"/>
                <w:jc w:val="center"/>
              </w:trPr>
              <w:tc>
                <w:tcPr>
                  <w:tcW w:w="523" w:type="dxa"/>
                  <w:noWrap w:val="0"/>
                  <w:vAlign w:val="center"/>
                </w:tcPr>
                <w:p w14:paraId="23F0FACF">
                  <w:pPr>
                    <w:adjustRightInd w:val="0"/>
                    <w:snapToGrid w:val="0"/>
                    <w:spacing w:before="100" w:after="50" w:line="400" w:lineRule="atLeast"/>
                    <w:jc w:val="center"/>
                    <w:rPr>
                      <w:rFonts w:hint="default" w:ascii="宋体" w:hAnsi="宋体"/>
                      <w:bCs/>
                      <w:sz w:val="22"/>
                      <w:szCs w:val="22"/>
                      <w:highlight w:val="none"/>
                      <w:lang w:val="en-US" w:eastAsia="zh-CN"/>
                    </w:rPr>
                  </w:pPr>
                  <w:r>
                    <w:rPr>
                      <w:rFonts w:hint="eastAsia" w:ascii="宋体" w:hAnsi="宋体"/>
                      <w:bCs/>
                      <w:sz w:val="22"/>
                      <w:szCs w:val="22"/>
                      <w:highlight w:val="none"/>
                      <w:lang w:val="en-US" w:eastAsia="zh-CN"/>
                    </w:rPr>
                    <w:t>7</w:t>
                  </w:r>
                </w:p>
              </w:tc>
              <w:tc>
                <w:tcPr>
                  <w:tcW w:w="1680" w:type="dxa"/>
                  <w:noWrap w:val="0"/>
                  <w:vAlign w:val="center"/>
                </w:tcPr>
                <w:p w14:paraId="41D15716">
                  <w:pPr>
                    <w:adjustRightInd w:val="0"/>
                    <w:snapToGrid w:val="0"/>
                    <w:spacing w:before="100" w:after="50" w:line="400" w:lineRule="atLeast"/>
                    <w:rPr>
                      <w:rFonts w:hint="default" w:ascii="宋体" w:hAnsi="宋体" w:eastAsia="宋体"/>
                      <w:bCs/>
                      <w:sz w:val="22"/>
                      <w:szCs w:val="22"/>
                      <w:highlight w:val="none"/>
                      <w:lang w:val="en-US" w:eastAsia="zh-CN"/>
                    </w:rPr>
                  </w:pPr>
                  <w:r>
                    <w:rPr>
                      <w:rFonts w:hint="eastAsia" w:ascii="宋体" w:hAnsi="宋体"/>
                      <w:bCs/>
                      <w:sz w:val="22"/>
                      <w:szCs w:val="22"/>
                      <w:highlight w:val="none"/>
                      <w:lang w:val="en-US" w:eastAsia="zh-CN"/>
                    </w:rPr>
                    <w:t>样品二：</w:t>
                  </w:r>
                  <w:r>
                    <w:rPr>
                      <w:rFonts w:hint="eastAsia" w:ascii="宋体" w:hAnsi="宋体" w:cs="宋体"/>
                      <w:color w:val="auto"/>
                      <w:szCs w:val="21"/>
                      <w:highlight w:val="none"/>
                      <w:lang w:val="en-US" w:eastAsia="zh-CN"/>
                    </w:rPr>
                    <w:t>序号7</w:t>
                  </w:r>
                  <w:r>
                    <w:rPr>
                      <w:rFonts w:hint="eastAsia" w:ascii="宋体" w:hAnsi="宋体"/>
                      <w:bCs/>
                      <w:sz w:val="22"/>
                      <w:szCs w:val="22"/>
                      <w:highlight w:val="none"/>
                      <w:lang w:val="en-US" w:eastAsia="zh-CN"/>
                    </w:rPr>
                    <w:t>热熔雨夜标线（样品规格约20</w:t>
                  </w:r>
                  <w:r>
                    <w:rPr>
                      <w:rFonts w:ascii="Arial" w:hAnsi="Arial" w:eastAsia="宋体" w:cs="Arial"/>
                      <w:b/>
                      <w:bCs/>
                      <w:i w:val="0"/>
                      <w:iCs w:val="0"/>
                      <w:caps w:val="0"/>
                      <w:color w:val="000000"/>
                      <w:spacing w:val="0"/>
                      <w:sz w:val="20"/>
                      <w:szCs w:val="20"/>
                      <w:highlight w:val="none"/>
                      <w:shd w:val="clear" w:color="auto" w:fill="FFFFFF"/>
                    </w:rPr>
                    <w:t>cm</w:t>
                  </w:r>
                  <w:r>
                    <w:rPr>
                      <w:rFonts w:hint="eastAsia" w:ascii="Arial" w:hAnsi="Arial" w:eastAsia="宋体" w:cs="Arial"/>
                      <w:b/>
                      <w:bCs/>
                      <w:i w:val="0"/>
                      <w:iCs w:val="0"/>
                      <w:caps w:val="0"/>
                      <w:color w:val="000000"/>
                      <w:spacing w:val="0"/>
                      <w:sz w:val="20"/>
                      <w:szCs w:val="20"/>
                      <w:highlight w:val="none"/>
                      <w:shd w:val="clear" w:color="auto" w:fill="FFFFFF"/>
                      <w:lang w:eastAsia="zh-CN"/>
                    </w:rPr>
                    <w:t>*50</w:t>
                  </w:r>
                  <w:r>
                    <w:rPr>
                      <w:rFonts w:ascii="Arial" w:hAnsi="Arial" w:eastAsia="宋体" w:cs="Arial"/>
                      <w:b/>
                      <w:bCs/>
                      <w:i w:val="0"/>
                      <w:iCs w:val="0"/>
                      <w:caps w:val="0"/>
                      <w:color w:val="000000"/>
                      <w:spacing w:val="0"/>
                      <w:sz w:val="20"/>
                      <w:szCs w:val="20"/>
                      <w:highlight w:val="none"/>
                      <w:shd w:val="clear" w:color="auto" w:fill="FFFFFF"/>
                    </w:rPr>
                    <w:t>cm</w:t>
                  </w:r>
                  <w:r>
                    <w:rPr>
                      <w:rFonts w:hint="eastAsia" w:ascii="宋体" w:hAnsi="宋体"/>
                      <w:bCs/>
                      <w:sz w:val="22"/>
                      <w:szCs w:val="22"/>
                      <w:highlight w:val="none"/>
                      <w:lang w:val="en-US" w:eastAsia="zh-CN"/>
                    </w:rPr>
                    <w:t>）</w:t>
                  </w:r>
                </w:p>
              </w:tc>
              <w:tc>
                <w:tcPr>
                  <w:tcW w:w="675" w:type="dxa"/>
                  <w:noWrap w:val="0"/>
                  <w:vAlign w:val="center"/>
                </w:tcPr>
                <w:p w14:paraId="706FC315">
                  <w:pPr>
                    <w:jc w:val="center"/>
                    <w:rPr>
                      <w:rFonts w:hint="default" w:ascii="宋体" w:hAnsi="宋体" w:eastAsia="宋体" w:cs="宋体"/>
                      <w:bCs/>
                      <w:sz w:val="22"/>
                      <w:szCs w:val="22"/>
                      <w:highlight w:val="yellow"/>
                      <w:lang w:val="en-US" w:eastAsia="zh-CN"/>
                    </w:rPr>
                  </w:pPr>
                  <w:r>
                    <w:rPr>
                      <w:rFonts w:hint="eastAsia" w:ascii="宋体" w:hAnsi="宋体" w:cs="宋体"/>
                      <w:bCs/>
                      <w:sz w:val="22"/>
                      <w:szCs w:val="22"/>
                      <w:highlight w:val="none"/>
                      <w:lang w:val="en-US" w:eastAsia="zh-CN"/>
                    </w:rPr>
                    <w:t>0-4</w:t>
                  </w:r>
                </w:p>
              </w:tc>
              <w:tc>
                <w:tcPr>
                  <w:tcW w:w="5835" w:type="dxa"/>
                  <w:noWrap w:val="0"/>
                  <w:vAlign w:val="center"/>
                </w:tcPr>
                <w:p w14:paraId="13F95BDB">
                  <w:pPr>
                    <w:snapToGrid w:val="0"/>
                    <w:spacing w:line="360" w:lineRule="exact"/>
                    <w:rPr>
                      <w:rFonts w:hint="eastAsia" w:ascii="宋体" w:hAnsi="宋体" w:eastAsia="宋体" w:cs="宋体"/>
                      <w:sz w:val="22"/>
                      <w:szCs w:val="22"/>
                      <w:highlight w:val="yellow"/>
                      <w:lang w:eastAsia="zh-CN"/>
                    </w:rPr>
                  </w:pPr>
                  <w:r>
                    <w:rPr>
                      <w:rFonts w:hint="eastAsia" w:ascii="宋体" w:hAnsi="宋体" w:cs="宋体"/>
                      <w:bCs/>
                      <w:sz w:val="22"/>
                      <w:szCs w:val="22"/>
                      <w:lang w:eastAsia="zh-CN"/>
                    </w:rPr>
                    <w:t>厚度</w:t>
                  </w:r>
                  <w:r>
                    <w:rPr>
                      <w:rFonts w:hint="eastAsia" w:ascii="宋体" w:hAnsi="宋体" w:cs="宋体"/>
                      <w:bCs/>
                      <w:sz w:val="22"/>
                      <w:szCs w:val="22"/>
                    </w:rPr>
                    <w:t>≥</w:t>
                  </w:r>
                  <w:r>
                    <w:rPr>
                      <w:rFonts w:hint="eastAsia" w:ascii="宋体" w:hAnsi="宋体" w:cs="宋体"/>
                      <w:bCs/>
                      <w:sz w:val="22"/>
                      <w:szCs w:val="22"/>
                      <w:lang w:eastAsia="zh-CN"/>
                    </w:rPr>
                    <w:t>2.0</w:t>
                  </w:r>
                  <w:r>
                    <w:rPr>
                      <w:rFonts w:hint="eastAsia" w:ascii="宋体" w:hAnsi="宋体" w:cs="宋体"/>
                      <w:bCs/>
                      <w:sz w:val="22"/>
                      <w:szCs w:val="22"/>
                    </w:rPr>
                    <w:t>mm初始逆反射系数应≥5</w:t>
                  </w:r>
                  <w:r>
                    <w:rPr>
                      <w:rFonts w:hint="eastAsia" w:ascii="宋体" w:hAnsi="宋体" w:cs="宋体"/>
                      <w:bCs/>
                      <w:sz w:val="22"/>
                      <w:szCs w:val="22"/>
                      <w:lang w:val="en-US" w:eastAsia="zh-CN"/>
                    </w:rPr>
                    <w:t>0</w:t>
                  </w:r>
                  <w:r>
                    <w:rPr>
                      <w:rFonts w:hint="eastAsia" w:ascii="宋体" w:hAnsi="宋体" w:cs="宋体"/>
                      <w:bCs/>
                      <w:sz w:val="22"/>
                      <w:szCs w:val="22"/>
                    </w:rPr>
                    <w:t>0mcd/1x·㎡</w:t>
                  </w:r>
                  <w:r>
                    <w:rPr>
                      <w:rFonts w:hint="eastAsia" w:ascii="宋体" w:hAnsi="宋体" w:cs="宋体"/>
                      <w:bCs/>
                      <w:sz w:val="22"/>
                      <w:szCs w:val="22"/>
                      <w:lang w:eastAsia="zh-CN"/>
                    </w:rPr>
                    <w:t>，</w:t>
                  </w:r>
                  <w:r>
                    <w:rPr>
                      <w:rFonts w:hint="eastAsia" w:ascii="宋体" w:hAnsi="宋体" w:eastAsia="宋体" w:cs="宋体"/>
                      <w:sz w:val="22"/>
                      <w:szCs w:val="22"/>
                      <w:highlight w:val="none"/>
                    </w:rPr>
                    <w:t>根据供应商</w:t>
                  </w:r>
                  <w:r>
                    <w:rPr>
                      <w:rFonts w:hint="eastAsia" w:ascii="宋体" w:hAnsi="宋体" w:cs="宋体"/>
                      <w:sz w:val="22"/>
                      <w:szCs w:val="22"/>
                      <w:highlight w:val="none"/>
                      <w:lang w:val="en-US" w:eastAsia="zh-CN"/>
                    </w:rPr>
                    <w:t>提供的样品</w:t>
                  </w:r>
                  <w:r>
                    <w:rPr>
                      <w:rFonts w:hint="eastAsia" w:ascii="宋体" w:hAnsi="宋体" w:eastAsia="宋体" w:cs="宋体"/>
                      <w:sz w:val="22"/>
                      <w:szCs w:val="22"/>
                      <w:highlight w:val="none"/>
                    </w:rPr>
                    <w:t>等情况由专家进行评审</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评分分值范围：4,3,2,1,0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0E17B7BA">
                  <w:pPr>
                    <w:snapToGrid w:val="0"/>
                    <w:spacing w:line="360" w:lineRule="exact"/>
                    <w:rPr>
                      <w:rFonts w:hint="eastAsia" w:ascii="宋体" w:hAnsi="宋体" w:cs="宋体"/>
                      <w:bCs/>
                      <w:sz w:val="22"/>
                      <w:szCs w:val="22"/>
                      <w:lang w:eastAsia="zh-CN"/>
                    </w:rPr>
                  </w:pPr>
                  <w:r>
                    <w:rPr>
                      <w:rFonts w:hint="eastAsia" w:ascii="宋体" w:hAnsi="宋体" w:cs="宋体"/>
                      <w:color w:val="C00000"/>
                      <w:sz w:val="21"/>
                      <w:szCs w:val="21"/>
                      <w:highlight w:val="none"/>
                      <w:lang w:val="en-US" w:eastAsia="zh-CN"/>
                    </w:rPr>
                    <w:t>主观分</w:t>
                  </w:r>
                </w:p>
              </w:tc>
            </w:tr>
            <w:tr w14:paraId="5DBBF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8" w:hRule="atLeast"/>
                <w:jc w:val="center"/>
              </w:trPr>
              <w:tc>
                <w:tcPr>
                  <w:tcW w:w="523" w:type="dxa"/>
                  <w:vMerge w:val="restart"/>
                  <w:noWrap w:val="0"/>
                  <w:vAlign w:val="center"/>
                </w:tcPr>
                <w:p w14:paraId="67FC2976">
                  <w:pPr>
                    <w:adjustRightInd w:val="0"/>
                    <w:snapToGrid w:val="0"/>
                    <w:spacing w:before="100" w:after="50" w:line="400" w:lineRule="atLeast"/>
                    <w:jc w:val="center"/>
                    <w:rPr>
                      <w:rFonts w:hint="default" w:ascii="宋体" w:hAnsi="宋体" w:eastAsia="宋体"/>
                      <w:bCs/>
                      <w:sz w:val="22"/>
                      <w:szCs w:val="22"/>
                      <w:lang w:val="en-US" w:eastAsia="zh-CN"/>
                    </w:rPr>
                  </w:pPr>
                  <w:r>
                    <w:rPr>
                      <w:rFonts w:hint="eastAsia" w:ascii="宋体" w:hAnsi="宋体"/>
                      <w:bCs/>
                      <w:sz w:val="22"/>
                      <w:szCs w:val="22"/>
                      <w:lang w:val="en-US" w:eastAsia="zh-CN"/>
                    </w:rPr>
                    <w:t>8</w:t>
                  </w:r>
                </w:p>
              </w:tc>
              <w:tc>
                <w:tcPr>
                  <w:tcW w:w="1680" w:type="dxa"/>
                  <w:vMerge w:val="restart"/>
                  <w:noWrap w:val="0"/>
                  <w:vAlign w:val="center"/>
                </w:tcPr>
                <w:p w14:paraId="3B84F08C">
                  <w:pPr>
                    <w:jc w:val="center"/>
                    <w:rPr>
                      <w:rFonts w:ascii="宋体" w:hAnsi="宋体" w:eastAsia="宋体" w:cs="宋体"/>
                      <w:bCs/>
                      <w:sz w:val="22"/>
                      <w:szCs w:val="22"/>
                    </w:rPr>
                  </w:pPr>
                  <w:r>
                    <w:rPr>
                      <w:rFonts w:hint="eastAsia" w:ascii="宋体" w:hAnsi="宋体" w:eastAsia="宋体" w:cs="宋体"/>
                      <w:bCs/>
                      <w:sz w:val="22"/>
                      <w:szCs w:val="22"/>
                    </w:rPr>
                    <w:t>项目实施方案</w:t>
                  </w:r>
                </w:p>
                <w:p w14:paraId="3EA4B9CA">
                  <w:pPr>
                    <w:adjustRightInd w:val="0"/>
                    <w:snapToGrid w:val="0"/>
                    <w:spacing w:before="100" w:after="50" w:line="400" w:lineRule="atLeast"/>
                    <w:rPr>
                      <w:rFonts w:ascii="宋体" w:hAnsi="宋体" w:eastAsia="宋体"/>
                      <w:bCs/>
                      <w:sz w:val="22"/>
                      <w:szCs w:val="22"/>
                    </w:rPr>
                  </w:pPr>
                </w:p>
              </w:tc>
              <w:tc>
                <w:tcPr>
                  <w:tcW w:w="675" w:type="dxa"/>
                  <w:noWrap w:val="0"/>
                  <w:vAlign w:val="center"/>
                </w:tcPr>
                <w:p w14:paraId="7E021396">
                  <w:pPr>
                    <w:jc w:val="center"/>
                    <w:rPr>
                      <w:rFonts w:hint="eastAsia" w:ascii="宋体" w:hAnsi="宋体" w:eastAsia="宋体"/>
                      <w:bCs/>
                      <w:sz w:val="22"/>
                      <w:szCs w:val="22"/>
                      <w:lang w:val="en-US" w:eastAsia="zh-CN"/>
                    </w:rPr>
                  </w:pPr>
                  <w:r>
                    <w:rPr>
                      <w:rFonts w:hint="eastAsia" w:ascii="宋体" w:hAnsi="宋体" w:eastAsia="宋体" w:cs="宋体"/>
                      <w:bCs/>
                      <w:sz w:val="22"/>
                      <w:szCs w:val="22"/>
                    </w:rPr>
                    <w:t>0-</w:t>
                  </w:r>
                  <w:r>
                    <w:rPr>
                      <w:rFonts w:hint="eastAsia" w:ascii="宋体" w:hAnsi="宋体" w:cs="宋体"/>
                      <w:bCs/>
                      <w:sz w:val="22"/>
                      <w:szCs w:val="22"/>
                      <w:lang w:val="en-US" w:eastAsia="zh-CN"/>
                    </w:rPr>
                    <w:t>5</w:t>
                  </w:r>
                </w:p>
              </w:tc>
              <w:tc>
                <w:tcPr>
                  <w:tcW w:w="5835" w:type="dxa"/>
                  <w:noWrap w:val="0"/>
                  <w:vAlign w:val="center"/>
                </w:tcPr>
                <w:p w14:paraId="3A3B2E67">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根据供应商针对本项目现状及特点进行难点分析及解决方法等情况由专家进行评审</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评分分值范围：5,4,3,2,1,0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7F413634">
                  <w:pPr>
                    <w:snapToGrid w:val="0"/>
                    <w:spacing w:line="360" w:lineRule="exact"/>
                    <w:rPr>
                      <w:rFonts w:hint="eastAsia" w:ascii="宋体" w:hAnsi="宋体" w:eastAsia="宋体" w:cs="宋体"/>
                      <w:sz w:val="22"/>
                      <w:szCs w:val="22"/>
                      <w:highlight w:val="none"/>
                    </w:rPr>
                  </w:pPr>
                  <w:r>
                    <w:rPr>
                      <w:rFonts w:hint="eastAsia" w:ascii="宋体" w:hAnsi="宋体" w:cs="宋体"/>
                      <w:color w:val="C00000"/>
                      <w:sz w:val="21"/>
                      <w:szCs w:val="21"/>
                      <w:highlight w:val="none"/>
                      <w:lang w:val="en-US" w:eastAsia="zh-CN"/>
                    </w:rPr>
                    <w:t>主观分</w:t>
                  </w:r>
                </w:p>
              </w:tc>
            </w:tr>
            <w:tr w14:paraId="3309D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6" w:hRule="atLeast"/>
                <w:jc w:val="center"/>
              </w:trPr>
              <w:tc>
                <w:tcPr>
                  <w:tcW w:w="523" w:type="dxa"/>
                  <w:vMerge w:val="continue"/>
                  <w:noWrap w:val="0"/>
                  <w:vAlign w:val="center"/>
                </w:tcPr>
                <w:p w14:paraId="0544AC8A">
                  <w:pPr>
                    <w:adjustRightInd w:val="0"/>
                    <w:snapToGrid w:val="0"/>
                    <w:spacing w:before="100" w:after="50" w:line="400" w:lineRule="atLeast"/>
                    <w:jc w:val="center"/>
                    <w:rPr>
                      <w:rFonts w:ascii="宋体" w:hAnsi="宋体" w:eastAsia="宋体"/>
                      <w:bCs/>
                      <w:sz w:val="22"/>
                      <w:szCs w:val="22"/>
                    </w:rPr>
                  </w:pPr>
                </w:p>
              </w:tc>
              <w:tc>
                <w:tcPr>
                  <w:tcW w:w="1680" w:type="dxa"/>
                  <w:vMerge w:val="continue"/>
                  <w:noWrap w:val="0"/>
                  <w:vAlign w:val="center"/>
                </w:tcPr>
                <w:p w14:paraId="1106AA2E">
                  <w:pPr>
                    <w:adjustRightInd w:val="0"/>
                    <w:snapToGrid w:val="0"/>
                    <w:spacing w:before="100" w:after="50" w:line="400" w:lineRule="atLeast"/>
                    <w:rPr>
                      <w:rFonts w:ascii="宋体" w:hAnsi="宋体" w:eastAsia="宋体"/>
                      <w:bCs/>
                      <w:sz w:val="22"/>
                      <w:szCs w:val="22"/>
                    </w:rPr>
                  </w:pPr>
                </w:p>
              </w:tc>
              <w:tc>
                <w:tcPr>
                  <w:tcW w:w="675" w:type="dxa"/>
                  <w:noWrap w:val="0"/>
                  <w:vAlign w:val="center"/>
                </w:tcPr>
                <w:p w14:paraId="09FCC708">
                  <w:pPr>
                    <w:jc w:val="center"/>
                    <w:rPr>
                      <w:rFonts w:hint="eastAsia" w:ascii="宋体" w:hAnsi="宋体" w:eastAsia="宋体"/>
                      <w:bCs/>
                      <w:sz w:val="22"/>
                      <w:szCs w:val="22"/>
                      <w:lang w:val="en-US" w:eastAsia="zh-CN"/>
                    </w:rPr>
                  </w:pPr>
                  <w:r>
                    <w:rPr>
                      <w:rFonts w:hint="eastAsia" w:ascii="宋体" w:hAnsi="宋体" w:eastAsia="宋体" w:cs="宋体"/>
                      <w:bCs/>
                      <w:sz w:val="22"/>
                      <w:szCs w:val="22"/>
                    </w:rPr>
                    <w:t>0-</w:t>
                  </w:r>
                  <w:r>
                    <w:rPr>
                      <w:rFonts w:hint="eastAsia" w:ascii="宋体" w:hAnsi="宋体" w:cs="宋体"/>
                      <w:bCs/>
                      <w:sz w:val="22"/>
                      <w:szCs w:val="22"/>
                      <w:lang w:val="en-US" w:eastAsia="zh-CN"/>
                    </w:rPr>
                    <w:t>5</w:t>
                  </w:r>
                </w:p>
              </w:tc>
              <w:tc>
                <w:tcPr>
                  <w:tcW w:w="5835" w:type="dxa"/>
                  <w:noWrap w:val="0"/>
                  <w:vAlign w:val="center"/>
                </w:tcPr>
                <w:p w14:paraId="4C950BEA">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根据供应商针对本项目主要施工方法、工艺及技术措施是否条理清晰、科学合理等情况由专家进行评审</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评分分值范围：5,4,3,2,1,0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2BEB8BC1">
                  <w:pPr>
                    <w:snapToGrid w:val="0"/>
                    <w:spacing w:line="360" w:lineRule="exact"/>
                    <w:rPr>
                      <w:rFonts w:hint="eastAsia" w:ascii="宋体" w:hAnsi="宋体" w:eastAsia="宋体" w:cs="宋体"/>
                      <w:sz w:val="22"/>
                      <w:szCs w:val="22"/>
                      <w:highlight w:val="none"/>
                    </w:rPr>
                  </w:pPr>
                  <w:r>
                    <w:rPr>
                      <w:rFonts w:hint="eastAsia" w:ascii="宋体" w:hAnsi="宋体" w:cs="宋体"/>
                      <w:color w:val="C00000"/>
                      <w:sz w:val="21"/>
                      <w:szCs w:val="21"/>
                      <w:highlight w:val="none"/>
                      <w:lang w:val="en-US" w:eastAsia="zh-CN"/>
                    </w:rPr>
                    <w:t>主观分</w:t>
                  </w:r>
                </w:p>
              </w:tc>
            </w:tr>
            <w:tr w14:paraId="35ABB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523" w:type="dxa"/>
                  <w:vMerge w:val="continue"/>
                  <w:noWrap w:val="0"/>
                  <w:vAlign w:val="center"/>
                </w:tcPr>
                <w:p w14:paraId="3EC4BA32">
                  <w:pPr>
                    <w:adjustRightInd w:val="0"/>
                    <w:snapToGrid w:val="0"/>
                    <w:spacing w:before="100" w:after="50" w:line="400" w:lineRule="atLeast"/>
                    <w:jc w:val="center"/>
                    <w:rPr>
                      <w:rFonts w:ascii="宋体" w:hAnsi="宋体" w:eastAsia="宋体"/>
                      <w:bCs/>
                      <w:sz w:val="22"/>
                      <w:szCs w:val="22"/>
                    </w:rPr>
                  </w:pPr>
                </w:p>
              </w:tc>
              <w:tc>
                <w:tcPr>
                  <w:tcW w:w="1680" w:type="dxa"/>
                  <w:vMerge w:val="continue"/>
                  <w:noWrap w:val="0"/>
                  <w:vAlign w:val="center"/>
                </w:tcPr>
                <w:p w14:paraId="672FCB63">
                  <w:pPr>
                    <w:adjustRightInd w:val="0"/>
                    <w:snapToGrid w:val="0"/>
                    <w:spacing w:before="100" w:after="50" w:line="400" w:lineRule="atLeast"/>
                    <w:rPr>
                      <w:rFonts w:ascii="宋体" w:hAnsi="宋体" w:eastAsia="宋体"/>
                      <w:bCs/>
                      <w:sz w:val="22"/>
                      <w:szCs w:val="22"/>
                    </w:rPr>
                  </w:pPr>
                </w:p>
              </w:tc>
              <w:tc>
                <w:tcPr>
                  <w:tcW w:w="675" w:type="dxa"/>
                  <w:noWrap w:val="0"/>
                  <w:vAlign w:val="center"/>
                </w:tcPr>
                <w:p w14:paraId="3FD9E8B0">
                  <w:pPr>
                    <w:jc w:val="center"/>
                    <w:rPr>
                      <w:rFonts w:hint="default" w:ascii="宋体" w:hAnsi="宋体" w:eastAsia="宋体"/>
                      <w:bCs/>
                      <w:sz w:val="22"/>
                      <w:szCs w:val="22"/>
                      <w:lang w:val="en-US" w:eastAsia="zh-CN"/>
                    </w:rPr>
                  </w:pPr>
                  <w:r>
                    <w:rPr>
                      <w:rFonts w:hint="eastAsia" w:ascii="宋体" w:hAnsi="宋体" w:eastAsia="宋体" w:cs="宋体"/>
                      <w:bCs/>
                      <w:sz w:val="22"/>
                      <w:szCs w:val="22"/>
                    </w:rPr>
                    <w:t>0-</w:t>
                  </w:r>
                  <w:r>
                    <w:rPr>
                      <w:rFonts w:hint="eastAsia" w:ascii="宋体" w:hAnsi="宋体" w:cs="宋体"/>
                      <w:bCs/>
                      <w:sz w:val="22"/>
                      <w:szCs w:val="22"/>
                      <w:lang w:val="en-US" w:eastAsia="zh-CN"/>
                    </w:rPr>
                    <w:t>5</w:t>
                  </w:r>
                </w:p>
              </w:tc>
              <w:tc>
                <w:tcPr>
                  <w:tcW w:w="5835" w:type="dxa"/>
                  <w:noWrap w:val="0"/>
                  <w:vAlign w:val="center"/>
                </w:tcPr>
                <w:p w14:paraId="28CCAB52">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根据供应商针对本项目的安全生产管理目标是否明确、管理制度是否健全、安全保证措施是否到位、安全管理体系建立是否合理、安全生产及应对突发事件的响应及应急处理预案是否完善等情况由专家进行评审</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评分分值范围：5,4,3,2,1,0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1863DC11">
                  <w:pPr>
                    <w:snapToGrid w:val="0"/>
                    <w:spacing w:line="360" w:lineRule="exact"/>
                    <w:rPr>
                      <w:rFonts w:hint="eastAsia" w:ascii="宋体" w:hAnsi="宋体" w:eastAsia="宋体" w:cs="宋体"/>
                      <w:sz w:val="22"/>
                      <w:szCs w:val="22"/>
                      <w:highlight w:val="none"/>
                    </w:rPr>
                  </w:pPr>
                  <w:r>
                    <w:rPr>
                      <w:rFonts w:hint="eastAsia" w:ascii="宋体" w:hAnsi="宋体" w:cs="宋体"/>
                      <w:color w:val="C00000"/>
                      <w:sz w:val="21"/>
                      <w:szCs w:val="21"/>
                      <w:highlight w:val="none"/>
                      <w:lang w:val="en-US" w:eastAsia="zh-CN"/>
                    </w:rPr>
                    <w:t>主观分</w:t>
                  </w:r>
                </w:p>
              </w:tc>
            </w:tr>
            <w:tr w14:paraId="39229C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9" w:hRule="atLeast"/>
                <w:jc w:val="center"/>
              </w:trPr>
              <w:tc>
                <w:tcPr>
                  <w:tcW w:w="523" w:type="dxa"/>
                  <w:vMerge w:val="continue"/>
                  <w:noWrap w:val="0"/>
                  <w:vAlign w:val="center"/>
                </w:tcPr>
                <w:p w14:paraId="4F0CA219">
                  <w:pPr>
                    <w:adjustRightInd w:val="0"/>
                    <w:snapToGrid w:val="0"/>
                    <w:spacing w:before="100" w:after="50" w:line="400" w:lineRule="atLeast"/>
                    <w:jc w:val="center"/>
                    <w:rPr>
                      <w:rFonts w:ascii="宋体" w:hAnsi="宋体" w:eastAsia="宋体"/>
                      <w:bCs/>
                      <w:sz w:val="22"/>
                      <w:szCs w:val="22"/>
                    </w:rPr>
                  </w:pPr>
                </w:p>
              </w:tc>
              <w:tc>
                <w:tcPr>
                  <w:tcW w:w="1680" w:type="dxa"/>
                  <w:vMerge w:val="continue"/>
                  <w:noWrap w:val="0"/>
                  <w:vAlign w:val="center"/>
                </w:tcPr>
                <w:p w14:paraId="610A19D3">
                  <w:pPr>
                    <w:adjustRightInd w:val="0"/>
                    <w:snapToGrid w:val="0"/>
                    <w:spacing w:before="100" w:after="50" w:line="400" w:lineRule="atLeast"/>
                    <w:rPr>
                      <w:rFonts w:ascii="宋体" w:hAnsi="宋体" w:eastAsia="宋体"/>
                      <w:bCs/>
                      <w:sz w:val="22"/>
                      <w:szCs w:val="22"/>
                    </w:rPr>
                  </w:pPr>
                </w:p>
              </w:tc>
              <w:tc>
                <w:tcPr>
                  <w:tcW w:w="675" w:type="dxa"/>
                  <w:noWrap w:val="0"/>
                  <w:vAlign w:val="center"/>
                </w:tcPr>
                <w:p w14:paraId="415B4402">
                  <w:pPr>
                    <w:jc w:val="center"/>
                    <w:rPr>
                      <w:rFonts w:hint="eastAsia" w:ascii="宋体" w:hAnsi="宋体" w:eastAsia="宋体"/>
                      <w:bCs/>
                      <w:sz w:val="22"/>
                      <w:szCs w:val="22"/>
                      <w:lang w:val="en-US" w:eastAsia="zh-CN"/>
                    </w:rPr>
                  </w:pPr>
                  <w:r>
                    <w:rPr>
                      <w:rFonts w:hint="eastAsia" w:ascii="宋体" w:hAnsi="宋体" w:eastAsia="宋体" w:cs="宋体"/>
                      <w:bCs/>
                      <w:sz w:val="22"/>
                      <w:szCs w:val="22"/>
                    </w:rPr>
                    <w:t>0-</w:t>
                  </w:r>
                  <w:r>
                    <w:rPr>
                      <w:rFonts w:hint="eastAsia" w:ascii="宋体" w:hAnsi="宋体" w:cs="宋体"/>
                      <w:bCs/>
                      <w:sz w:val="22"/>
                      <w:szCs w:val="22"/>
                      <w:lang w:val="en-US" w:eastAsia="zh-CN"/>
                    </w:rPr>
                    <w:t>5</w:t>
                  </w:r>
                </w:p>
              </w:tc>
              <w:tc>
                <w:tcPr>
                  <w:tcW w:w="5835" w:type="dxa"/>
                  <w:noWrap w:val="0"/>
                  <w:vAlign w:val="center"/>
                </w:tcPr>
                <w:p w14:paraId="61C7C341">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根据供应商针对本项目的施工质量管理目标是否明确、质量管理制度是否健全、施工质量保证措施是否到位、质量管理体系建立是否合理等情况由专家进行评审</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评分分值范围：5,4,3,2,1,0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48ABB0E0">
                  <w:pPr>
                    <w:snapToGrid w:val="0"/>
                    <w:spacing w:line="360" w:lineRule="exact"/>
                    <w:rPr>
                      <w:rFonts w:hint="eastAsia" w:ascii="宋体" w:hAnsi="宋体" w:eastAsia="宋体" w:cs="宋体"/>
                      <w:sz w:val="22"/>
                      <w:szCs w:val="22"/>
                      <w:highlight w:val="none"/>
                    </w:rPr>
                  </w:pPr>
                  <w:r>
                    <w:rPr>
                      <w:rFonts w:hint="eastAsia" w:ascii="宋体" w:hAnsi="宋体" w:cs="宋体"/>
                      <w:color w:val="C00000"/>
                      <w:sz w:val="21"/>
                      <w:szCs w:val="21"/>
                      <w:highlight w:val="none"/>
                      <w:lang w:val="en-US" w:eastAsia="zh-CN"/>
                    </w:rPr>
                    <w:t>主观分</w:t>
                  </w:r>
                </w:p>
              </w:tc>
            </w:tr>
            <w:tr w14:paraId="174F5A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6" w:hRule="atLeast"/>
                <w:jc w:val="center"/>
              </w:trPr>
              <w:tc>
                <w:tcPr>
                  <w:tcW w:w="523" w:type="dxa"/>
                  <w:vMerge w:val="continue"/>
                  <w:noWrap w:val="0"/>
                  <w:vAlign w:val="center"/>
                </w:tcPr>
                <w:p w14:paraId="43C0E862">
                  <w:pPr>
                    <w:adjustRightInd w:val="0"/>
                    <w:snapToGrid w:val="0"/>
                    <w:spacing w:before="100" w:after="50" w:line="400" w:lineRule="atLeast"/>
                    <w:jc w:val="center"/>
                    <w:rPr>
                      <w:rFonts w:ascii="宋体" w:hAnsi="宋体" w:eastAsia="宋体"/>
                      <w:bCs/>
                      <w:sz w:val="22"/>
                      <w:szCs w:val="22"/>
                    </w:rPr>
                  </w:pPr>
                </w:p>
              </w:tc>
              <w:tc>
                <w:tcPr>
                  <w:tcW w:w="1680" w:type="dxa"/>
                  <w:vMerge w:val="continue"/>
                  <w:noWrap w:val="0"/>
                  <w:vAlign w:val="center"/>
                </w:tcPr>
                <w:p w14:paraId="26639324">
                  <w:pPr>
                    <w:adjustRightInd w:val="0"/>
                    <w:snapToGrid w:val="0"/>
                    <w:spacing w:before="100" w:after="50" w:line="400" w:lineRule="atLeast"/>
                    <w:rPr>
                      <w:rFonts w:ascii="宋体" w:hAnsi="宋体" w:eastAsia="宋体"/>
                      <w:bCs/>
                      <w:sz w:val="22"/>
                      <w:szCs w:val="22"/>
                    </w:rPr>
                  </w:pPr>
                </w:p>
              </w:tc>
              <w:tc>
                <w:tcPr>
                  <w:tcW w:w="675" w:type="dxa"/>
                  <w:noWrap w:val="0"/>
                  <w:vAlign w:val="center"/>
                </w:tcPr>
                <w:p w14:paraId="6EBF1426">
                  <w:pPr>
                    <w:jc w:val="center"/>
                    <w:rPr>
                      <w:rFonts w:hint="eastAsia" w:ascii="宋体" w:hAnsi="宋体" w:eastAsia="宋体"/>
                      <w:bCs/>
                      <w:sz w:val="22"/>
                      <w:szCs w:val="22"/>
                      <w:lang w:val="en-US" w:eastAsia="zh-CN"/>
                    </w:rPr>
                  </w:pPr>
                  <w:r>
                    <w:rPr>
                      <w:rFonts w:hint="eastAsia" w:ascii="宋体" w:hAnsi="宋体" w:eastAsia="宋体" w:cs="宋体"/>
                      <w:bCs/>
                      <w:sz w:val="22"/>
                      <w:szCs w:val="22"/>
                    </w:rPr>
                    <w:t>0-</w:t>
                  </w:r>
                  <w:r>
                    <w:rPr>
                      <w:rFonts w:hint="eastAsia" w:ascii="宋体" w:hAnsi="宋体" w:cs="宋体"/>
                      <w:bCs/>
                      <w:sz w:val="22"/>
                      <w:szCs w:val="22"/>
                      <w:lang w:val="en-US" w:eastAsia="zh-CN"/>
                    </w:rPr>
                    <w:t>5</w:t>
                  </w:r>
                </w:p>
              </w:tc>
              <w:tc>
                <w:tcPr>
                  <w:tcW w:w="5835" w:type="dxa"/>
                  <w:noWrap w:val="0"/>
                  <w:vAlign w:val="center"/>
                </w:tcPr>
                <w:p w14:paraId="45FD034D">
                  <w:pPr>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根据供应商针对本项目的施工进度管理保障措施、项目人员进场计划、机械进场计划、设备材料投入计划等情况由专家进行评审</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评分分值范围：5,4,3,2,1,0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24F363E4">
                  <w:pPr>
                    <w:snapToGrid w:val="0"/>
                    <w:spacing w:line="360" w:lineRule="exact"/>
                    <w:rPr>
                      <w:rFonts w:hint="eastAsia" w:ascii="宋体" w:hAnsi="宋体" w:eastAsia="宋体" w:cs="宋体"/>
                      <w:sz w:val="22"/>
                      <w:szCs w:val="22"/>
                      <w:highlight w:val="none"/>
                    </w:rPr>
                  </w:pPr>
                  <w:r>
                    <w:rPr>
                      <w:rFonts w:hint="eastAsia" w:ascii="宋体" w:hAnsi="宋体" w:cs="宋体"/>
                      <w:color w:val="C00000"/>
                      <w:sz w:val="21"/>
                      <w:szCs w:val="21"/>
                      <w:highlight w:val="none"/>
                      <w:lang w:val="en-US" w:eastAsia="zh-CN"/>
                    </w:rPr>
                    <w:t>主观分</w:t>
                  </w:r>
                </w:p>
              </w:tc>
            </w:tr>
            <w:tr w14:paraId="32E50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6" w:hRule="atLeast"/>
                <w:jc w:val="center"/>
              </w:trPr>
              <w:tc>
                <w:tcPr>
                  <w:tcW w:w="523" w:type="dxa"/>
                  <w:noWrap w:val="0"/>
                  <w:vAlign w:val="center"/>
                </w:tcPr>
                <w:p w14:paraId="4219EB22">
                  <w:pPr>
                    <w:adjustRightInd w:val="0"/>
                    <w:snapToGrid w:val="0"/>
                    <w:spacing w:before="100" w:after="50" w:line="400" w:lineRule="atLeast"/>
                    <w:jc w:val="center"/>
                    <w:rPr>
                      <w:rFonts w:hint="default" w:ascii="宋体" w:hAnsi="宋体" w:eastAsia="宋体"/>
                      <w:bCs/>
                      <w:sz w:val="22"/>
                      <w:szCs w:val="22"/>
                      <w:lang w:val="en-US" w:eastAsia="zh-CN"/>
                    </w:rPr>
                  </w:pPr>
                  <w:r>
                    <w:rPr>
                      <w:rFonts w:hint="eastAsia" w:ascii="宋体" w:hAnsi="宋体"/>
                      <w:bCs/>
                      <w:sz w:val="22"/>
                      <w:szCs w:val="22"/>
                      <w:lang w:val="en-US" w:eastAsia="zh-CN"/>
                    </w:rPr>
                    <w:t>9</w:t>
                  </w:r>
                </w:p>
              </w:tc>
              <w:tc>
                <w:tcPr>
                  <w:tcW w:w="1680" w:type="dxa"/>
                  <w:noWrap w:val="0"/>
                  <w:vAlign w:val="center"/>
                </w:tcPr>
                <w:p w14:paraId="625C1026">
                  <w:pPr>
                    <w:adjustRightInd w:val="0"/>
                    <w:snapToGrid w:val="0"/>
                    <w:spacing w:before="100" w:after="50" w:line="400" w:lineRule="atLeas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应急预案</w:t>
                  </w:r>
                </w:p>
              </w:tc>
              <w:tc>
                <w:tcPr>
                  <w:tcW w:w="675" w:type="dxa"/>
                  <w:noWrap w:val="0"/>
                  <w:vAlign w:val="center"/>
                </w:tcPr>
                <w:p w14:paraId="751E4FDA">
                  <w:pPr>
                    <w:jc w:val="center"/>
                    <w:rPr>
                      <w:rFonts w:hint="eastAsia" w:ascii="宋体" w:hAnsi="宋体" w:eastAsia="宋体"/>
                      <w:bCs/>
                      <w:sz w:val="22"/>
                      <w:szCs w:val="22"/>
                      <w:lang w:eastAsia="zh-CN"/>
                    </w:rPr>
                  </w:pPr>
                  <w:r>
                    <w:rPr>
                      <w:rFonts w:hint="eastAsia" w:ascii="宋体" w:hAnsi="宋体" w:eastAsia="宋体"/>
                      <w:bCs/>
                      <w:sz w:val="22"/>
                      <w:szCs w:val="22"/>
                    </w:rPr>
                    <w:t>0-</w:t>
                  </w:r>
                  <w:r>
                    <w:rPr>
                      <w:rFonts w:hint="eastAsia" w:ascii="宋体" w:hAnsi="宋体" w:eastAsia="宋体"/>
                      <w:bCs/>
                      <w:sz w:val="22"/>
                      <w:szCs w:val="22"/>
                      <w:lang w:val="en-US" w:eastAsia="zh-CN"/>
                    </w:rPr>
                    <w:t>5</w:t>
                  </w:r>
                </w:p>
              </w:tc>
              <w:tc>
                <w:tcPr>
                  <w:tcW w:w="5835" w:type="dxa"/>
                  <w:noWrap w:val="0"/>
                  <w:vAlign w:val="center"/>
                </w:tcPr>
                <w:p w14:paraId="3CE1BABE">
                  <w:pPr>
                    <w:snapToGrid w:val="0"/>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根据制定的应急预案、突发紧急任务的应急措施及解决方案</w:t>
                  </w:r>
                  <w:r>
                    <w:rPr>
                      <w:rFonts w:hint="eastAsia" w:ascii="宋体" w:hAnsi="宋体" w:eastAsia="宋体" w:cs="宋体"/>
                      <w:color w:val="auto"/>
                      <w:sz w:val="24"/>
                      <w:szCs w:val="24"/>
                      <w:highlight w:val="none"/>
                    </w:rPr>
                    <w:t>的科学性、先进性、合理性</w:t>
                  </w:r>
                  <w:r>
                    <w:rPr>
                      <w:rFonts w:hint="eastAsia" w:ascii="宋体" w:hAnsi="宋体" w:eastAsia="宋体" w:cs="宋体"/>
                      <w:sz w:val="22"/>
                      <w:szCs w:val="22"/>
                      <w:highlight w:val="none"/>
                    </w:rPr>
                    <w:t>由专家进行评审</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评分分值范围：5,4,3,2,1,0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26D3E5AA">
                  <w:pPr>
                    <w:snapToGrid w:val="0"/>
                    <w:spacing w:line="360" w:lineRule="exact"/>
                    <w:rPr>
                      <w:rFonts w:hint="eastAsia" w:ascii="宋体" w:hAnsi="宋体" w:eastAsia="宋体" w:cs="宋体"/>
                      <w:color w:val="auto"/>
                      <w:sz w:val="24"/>
                      <w:szCs w:val="24"/>
                      <w:highlight w:val="none"/>
                      <w:lang w:val="en-US" w:eastAsia="zh-CN"/>
                    </w:rPr>
                  </w:pPr>
                  <w:r>
                    <w:rPr>
                      <w:rFonts w:hint="eastAsia" w:ascii="宋体" w:hAnsi="宋体" w:cs="宋体"/>
                      <w:color w:val="C00000"/>
                      <w:sz w:val="21"/>
                      <w:szCs w:val="21"/>
                      <w:highlight w:val="none"/>
                      <w:lang w:val="en-US" w:eastAsia="zh-CN"/>
                    </w:rPr>
                    <w:t>主观分</w:t>
                  </w:r>
                </w:p>
              </w:tc>
            </w:tr>
            <w:tr w14:paraId="1AE02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atLeast"/>
                <w:jc w:val="center"/>
              </w:trPr>
              <w:tc>
                <w:tcPr>
                  <w:tcW w:w="523" w:type="dxa"/>
                  <w:noWrap w:val="0"/>
                  <w:vAlign w:val="center"/>
                </w:tcPr>
                <w:p w14:paraId="0E3F52BA">
                  <w:pPr>
                    <w:adjustRightInd w:val="0"/>
                    <w:snapToGrid w:val="0"/>
                    <w:spacing w:before="100" w:after="50" w:line="400" w:lineRule="atLeast"/>
                    <w:jc w:val="center"/>
                    <w:rPr>
                      <w:rFonts w:hint="default" w:ascii="宋体" w:hAnsi="宋体" w:eastAsia="宋体"/>
                      <w:bCs/>
                      <w:sz w:val="22"/>
                      <w:szCs w:val="22"/>
                      <w:lang w:val="en-US" w:eastAsia="zh-CN"/>
                    </w:rPr>
                  </w:pPr>
                  <w:r>
                    <w:rPr>
                      <w:rFonts w:hint="eastAsia" w:ascii="宋体" w:hAnsi="宋体"/>
                      <w:bCs/>
                      <w:sz w:val="22"/>
                      <w:szCs w:val="22"/>
                      <w:lang w:val="en-US" w:eastAsia="zh-CN"/>
                    </w:rPr>
                    <w:t>10</w:t>
                  </w:r>
                </w:p>
              </w:tc>
              <w:tc>
                <w:tcPr>
                  <w:tcW w:w="1680" w:type="dxa"/>
                  <w:noWrap w:val="0"/>
                  <w:vAlign w:val="center"/>
                </w:tcPr>
                <w:p w14:paraId="5416905D">
                  <w:pPr>
                    <w:adjustRightInd w:val="0"/>
                    <w:snapToGrid w:val="0"/>
                    <w:spacing w:before="100" w:after="50" w:line="400" w:lineRule="atLeast"/>
                    <w:rPr>
                      <w:rFonts w:ascii="宋体" w:hAnsi="宋体" w:eastAsia="宋体"/>
                      <w:bCs/>
                      <w:sz w:val="22"/>
                      <w:szCs w:val="22"/>
                    </w:rPr>
                  </w:pPr>
                  <w:r>
                    <w:rPr>
                      <w:rFonts w:hint="eastAsia" w:ascii="宋体" w:hAnsi="宋体" w:eastAsia="宋体"/>
                      <w:bCs/>
                      <w:sz w:val="22"/>
                      <w:szCs w:val="22"/>
                    </w:rPr>
                    <w:t>服务响应情况</w:t>
                  </w:r>
                </w:p>
              </w:tc>
              <w:tc>
                <w:tcPr>
                  <w:tcW w:w="675" w:type="dxa"/>
                  <w:noWrap w:val="0"/>
                  <w:vAlign w:val="center"/>
                </w:tcPr>
                <w:p w14:paraId="2086AF93">
                  <w:pPr>
                    <w:adjustRightInd w:val="0"/>
                    <w:snapToGrid w:val="0"/>
                    <w:spacing w:before="100" w:after="50" w:line="400" w:lineRule="atLeast"/>
                    <w:jc w:val="center"/>
                    <w:rPr>
                      <w:rFonts w:ascii="宋体" w:hAnsi="宋体" w:eastAsia="宋体"/>
                      <w:bCs/>
                      <w:sz w:val="22"/>
                      <w:szCs w:val="22"/>
                    </w:rPr>
                  </w:pPr>
                  <w:r>
                    <w:rPr>
                      <w:rFonts w:hint="eastAsia" w:ascii="宋体" w:hAnsi="宋体" w:eastAsia="宋体"/>
                      <w:bCs/>
                      <w:sz w:val="22"/>
                      <w:szCs w:val="22"/>
                    </w:rPr>
                    <w:t>0-</w:t>
                  </w:r>
                  <w:r>
                    <w:rPr>
                      <w:rFonts w:ascii="宋体" w:hAnsi="宋体" w:eastAsia="宋体"/>
                      <w:bCs/>
                      <w:sz w:val="22"/>
                      <w:szCs w:val="22"/>
                    </w:rPr>
                    <w:t>6</w:t>
                  </w:r>
                </w:p>
              </w:tc>
              <w:tc>
                <w:tcPr>
                  <w:tcW w:w="5835" w:type="dxa"/>
                  <w:noWrap w:val="0"/>
                  <w:vAlign w:val="center"/>
                </w:tcPr>
                <w:p w14:paraId="04B16887">
                  <w:pPr>
                    <w:snapToGrid w:val="0"/>
                    <w:spacing w:line="360" w:lineRule="exact"/>
                    <w:ind w:firstLine="440" w:firstLineChars="200"/>
                    <w:rPr>
                      <w:rFonts w:hint="eastAsia" w:ascii="宋体" w:hAnsi="宋体" w:eastAsia="宋体" w:cs="宋体"/>
                      <w:sz w:val="22"/>
                      <w:szCs w:val="22"/>
                      <w:highlight w:val="none"/>
                    </w:rPr>
                  </w:pPr>
                  <w:bookmarkStart w:id="416" w:name="OLE_LINK3"/>
                  <w:r>
                    <w:rPr>
                      <w:rFonts w:hint="eastAsia" w:ascii="宋体" w:hAnsi="宋体" w:eastAsia="宋体" w:cs="宋体"/>
                      <w:sz w:val="22"/>
                      <w:szCs w:val="22"/>
                      <w:highlight w:val="none"/>
                      <w:lang w:eastAsia="zh-CN"/>
                    </w:rPr>
                    <w:t>根据接到采购</w:t>
                  </w:r>
                  <w:r>
                    <w:rPr>
                      <w:rFonts w:hint="eastAsia" w:ascii="宋体" w:hAnsi="宋体" w:eastAsia="宋体" w:cs="宋体"/>
                      <w:sz w:val="22"/>
                      <w:szCs w:val="22"/>
                      <w:highlight w:val="none"/>
                      <w:lang w:val="en-US" w:eastAsia="zh-CN"/>
                    </w:rPr>
                    <w:t>人</w:t>
                  </w:r>
                  <w:r>
                    <w:rPr>
                      <w:rFonts w:hint="eastAsia" w:ascii="宋体" w:hAnsi="宋体" w:eastAsia="宋体" w:cs="宋体"/>
                      <w:sz w:val="22"/>
                      <w:szCs w:val="22"/>
                      <w:highlight w:val="none"/>
                      <w:lang w:eastAsia="zh-CN"/>
                    </w:rPr>
                    <w:t>通知（包括维护通知书、工程联系函、整改通知单等）后的响应速度</w:t>
                  </w:r>
                  <w:r>
                    <w:rPr>
                      <w:rFonts w:hint="eastAsia" w:ascii="宋体" w:hAnsi="宋体" w:eastAsia="宋体" w:cs="宋体"/>
                      <w:sz w:val="22"/>
                      <w:szCs w:val="22"/>
                      <w:highlight w:val="none"/>
                      <w:lang w:val="en-US" w:eastAsia="zh-CN"/>
                    </w:rPr>
                    <w:t>及</w:t>
                  </w:r>
                  <w:r>
                    <w:rPr>
                      <w:rFonts w:hint="eastAsia" w:ascii="宋体" w:hAnsi="宋体" w:eastAsia="宋体" w:cs="宋体"/>
                      <w:sz w:val="22"/>
                      <w:szCs w:val="22"/>
                      <w:highlight w:val="none"/>
                      <w:lang w:eastAsia="zh-CN"/>
                    </w:rPr>
                    <w:t>响应</w:t>
                  </w:r>
                  <w:r>
                    <w:rPr>
                      <w:rFonts w:hint="eastAsia" w:ascii="宋体" w:hAnsi="宋体" w:eastAsia="宋体" w:cs="宋体"/>
                      <w:sz w:val="22"/>
                      <w:szCs w:val="22"/>
                      <w:highlight w:val="none"/>
                      <w:lang w:val="en-US" w:eastAsia="zh-CN"/>
                    </w:rPr>
                    <w:t>方案</w:t>
                  </w:r>
                  <w:r>
                    <w:rPr>
                      <w:rFonts w:hint="eastAsia" w:ascii="宋体" w:hAnsi="宋体" w:eastAsia="宋体" w:cs="宋体"/>
                      <w:sz w:val="22"/>
                      <w:szCs w:val="22"/>
                      <w:highlight w:val="none"/>
                      <w:lang w:eastAsia="zh-CN"/>
                    </w:rPr>
                    <w:t>进行打分</w:t>
                  </w:r>
                  <w:bookmarkEnd w:id="416"/>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评分分值范围：6,5,4,3,2,1,0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tc>
              <w:tc>
                <w:tcPr>
                  <w:tcW w:w="867" w:type="dxa"/>
                  <w:noWrap w:val="0"/>
                  <w:vAlign w:val="center"/>
                </w:tcPr>
                <w:p w14:paraId="60594E4A">
                  <w:pPr>
                    <w:snapToGrid w:val="0"/>
                    <w:spacing w:line="360" w:lineRule="exact"/>
                    <w:rPr>
                      <w:rFonts w:hint="eastAsia" w:ascii="宋体" w:hAnsi="宋体" w:eastAsia="宋体" w:cs="宋体"/>
                      <w:sz w:val="22"/>
                      <w:szCs w:val="22"/>
                      <w:highlight w:val="none"/>
                      <w:lang w:eastAsia="zh-CN"/>
                    </w:rPr>
                  </w:pPr>
                  <w:r>
                    <w:rPr>
                      <w:rFonts w:hint="eastAsia" w:ascii="宋体" w:hAnsi="宋体" w:cs="宋体"/>
                      <w:color w:val="C00000"/>
                      <w:sz w:val="21"/>
                      <w:szCs w:val="21"/>
                      <w:highlight w:val="none"/>
                      <w:lang w:val="en-US" w:eastAsia="zh-CN"/>
                    </w:rPr>
                    <w:t>主观分</w:t>
                  </w:r>
                </w:p>
              </w:tc>
            </w:tr>
            <w:bookmarkEnd w:id="414"/>
          </w:tbl>
          <w:p w14:paraId="1FC1F15A">
            <w:pPr>
              <w:snapToGrid w:val="0"/>
              <w:spacing w:line="360" w:lineRule="exact"/>
              <w:rPr>
                <w:rFonts w:hint="eastAsia" w:ascii="宋体" w:hAnsi="宋体" w:cs="宋体"/>
                <w:sz w:val="22"/>
                <w:szCs w:val="22"/>
                <w:highlight w:val="none"/>
              </w:rPr>
            </w:pPr>
          </w:p>
        </w:tc>
      </w:tr>
      <w:tr w14:paraId="594E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880" w:type="dxa"/>
            <w:gridSpan w:val="5"/>
            <w:vAlign w:val="center"/>
          </w:tcPr>
          <w:p w14:paraId="175E16EE">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二、报价评分（</w:t>
            </w:r>
            <w:r>
              <w:rPr>
                <w:rFonts w:hint="eastAsia" w:ascii="宋体" w:hAnsi="宋体" w:cs="宋体"/>
                <w:sz w:val="22"/>
                <w:szCs w:val="22"/>
                <w:highlight w:val="none"/>
                <w:lang w:val="en-US" w:eastAsia="zh-CN"/>
              </w:rPr>
              <w:t>20</w:t>
            </w:r>
            <w:r>
              <w:rPr>
                <w:rFonts w:hint="eastAsia" w:ascii="宋体" w:hAnsi="宋体" w:cs="宋体"/>
                <w:sz w:val="22"/>
                <w:szCs w:val="22"/>
                <w:highlight w:val="none"/>
              </w:rPr>
              <w:t>分）</w:t>
            </w:r>
          </w:p>
        </w:tc>
      </w:tr>
      <w:tr w14:paraId="1074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jc w:val="center"/>
        </w:trPr>
        <w:tc>
          <w:tcPr>
            <w:tcW w:w="489" w:type="dxa"/>
            <w:vAlign w:val="center"/>
          </w:tcPr>
          <w:p w14:paraId="06FC3062">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1151" w:type="dxa"/>
            <w:vAlign w:val="center"/>
          </w:tcPr>
          <w:p w14:paraId="101F62C7">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报价</w:t>
            </w:r>
          </w:p>
        </w:tc>
        <w:tc>
          <w:tcPr>
            <w:tcW w:w="598" w:type="dxa"/>
            <w:vAlign w:val="center"/>
          </w:tcPr>
          <w:p w14:paraId="79E79119">
            <w:pPr>
              <w:spacing w:line="360" w:lineRule="exact"/>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20</w:t>
            </w:r>
          </w:p>
        </w:tc>
        <w:tc>
          <w:tcPr>
            <w:tcW w:w="6355" w:type="dxa"/>
            <w:vAlign w:val="center"/>
          </w:tcPr>
          <w:p w14:paraId="33AA7A4D">
            <w:pPr>
              <w:spacing w:line="360" w:lineRule="exact"/>
              <w:rPr>
                <w:rFonts w:hint="eastAsia" w:ascii="宋体" w:hAnsi="宋体" w:cs="宋体"/>
                <w:sz w:val="22"/>
                <w:szCs w:val="22"/>
                <w:highlight w:val="none"/>
              </w:rPr>
            </w:pPr>
            <w:r>
              <w:rPr>
                <w:rFonts w:hint="eastAsia" w:ascii="宋体" w:hAnsi="宋体" w:cs="宋体"/>
                <w:sz w:val="22"/>
                <w:szCs w:val="22"/>
                <w:highlight w:val="none"/>
              </w:rPr>
              <w:t>资格及符合性审查通过的有效投标人进入报价评分。</w:t>
            </w:r>
          </w:p>
          <w:p w14:paraId="5D6430BA">
            <w:pPr>
              <w:snapToGrid w:val="0"/>
              <w:spacing w:line="360" w:lineRule="exact"/>
              <w:rPr>
                <w:rFonts w:hint="eastAsia" w:ascii="宋体" w:hAnsi="宋体" w:cs="宋体"/>
                <w:sz w:val="22"/>
                <w:szCs w:val="22"/>
                <w:highlight w:val="none"/>
              </w:rPr>
            </w:pPr>
            <w:r>
              <w:rPr>
                <w:rFonts w:hint="eastAsia" w:ascii="宋体" w:hAnsi="宋体" w:cs="宋体"/>
                <w:sz w:val="22"/>
                <w:szCs w:val="22"/>
                <w:highlight w:val="none"/>
              </w:rPr>
              <w:t>进入商务报价评分的投标人中满足招标文件要求且评审价格最低的报价作为评标基准价，其余投标人评审价格与该基准价对比，计算出商务报价评分值(保留小数2位)：</w:t>
            </w:r>
          </w:p>
          <w:p w14:paraId="01BCB9A7">
            <w:pPr>
              <w:tabs>
                <w:tab w:val="left" w:pos="1080"/>
              </w:tabs>
              <w:spacing w:line="360" w:lineRule="exact"/>
              <w:rPr>
                <w:rFonts w:hint="eastAsia" w:ascii="宋体" w:hAnsi="宋体" w:cs="宋体"/>
                <w:sz w:val="22"/>
                <w:szCs w:val="22"/>
                <w:highlight w:val="none"/>
              </w:rPr>
            </w:pPr>
            <w:r>
              <w:rPr>
                <w:rFonts w:hint="eastAsia" w:ascii="宋体" w:hAnsi="宋体" w:cs="宋体"/>
                <w:sz w:val="22"/>
                <w:szCs w:val="22"/>
                <w:highlight w:val="none"/>
              </w:rPr>
              <w:t>①有效投标人的评审价格等于评标基准价时，其报价分为满分</w:t>
            </w:r>
            <w:r>
              <w:rPr>
                <w:rFonts w:hint="eastAsia" w:ascii="宋体" w:hAnsi="宋体" w:cs="宋体"/>
                <w:sz w:val="22"/>
                <w:szCs w:val="22"/>
                <w:highlight w:val="none"/>
                <w:lang w:val="en-US" w:eastAsia="zh-CN"/>
              </w:rPr>
              <w:t>20</w:t>
            </w:r>
            <w:r>
              <w:rPr>
                <w:rFonts w:hint="eastAsia" w:ascii="宋体" w:hAnsi="宋体" w:cs="宋体"/>
                <w:sz w:val="22"/>
                <w:szCs w:val="22"/>
                <w:highlight w:val="none"/>
              </w:rPr>
              <w:t>分；</w:t>
            </w:r>
          </w:p>
          <w:p w14:paraId="2A69A4F2">
            <w:pPr>
              <w:tabs>
                <w:tab w:val="left" w:pos="1080"/>
              </w:tabs>
              <w:spacing w:line="360" w:lineRule="exact"/>
              <w:rPr>
                <w:rFonts w:hint="eastAsia" w:ascii="宋体" w:hAnsi="宋体" w:cs="宋体"/>
                <w:sz w:val="22"/>
                <w:szCs w:val="22"/>
                <w:highlight w:val="none"/>
              </w:rPr>
            </w:pPr>
            <w:r>
              <w:rPr>
                <w:rFonts w:hint="eastAsia" w:ascii="宋体" w:hAnsi="宋体" w:cs="宋体"/>
                <w:sz w:val="22"/>
                <w:szCs w:val="22"/>
                <w:highlight w:val="none"/>
              </w:rPr>
              <w:t>②其他投标人的价格分按以下公式计算：报价得分=（评标基准价/投标人评审价格）</w:t>
            </w:r>
            <w:r>
              <w:rPr>
                <w:rFonts w:hint="eastAsia" w:ascii="宋体" w:hAnsi="宋体" w:cs="宋体"/>
                <w:snapToGrid w:val="0"/>
                <w:kern w:val="0"/>
                <w:sz w:val="22"/>
                <w:szCs w:val="22"/>
                <w:highlight w:val="none"/>
              </w:rPr>
              <w:t>×价格权值×100</w:t>
            </w:r>
            <w:r>
              <w:rPr>
                <w:rFonts w:hint="eastAsia" w:ascii="宋体" w:hAnsi="宋体" w:cs="宋体"/>
                <w:sz w:val="22"/>
                <w:szCs w:val="22"/>
                <w:highlight w:val="none"/>
              </w:rPr>
              <w:t>；</w:t>
            </w:r>
          </w:p>
          <w:p w14:paraId="4A67D23D">
            <w:pPr>
              <w:spacing w:line="360" w:lineRule="exact"/>
              <w:rPr>
                <w:rFonts w:hint="eastAsia" w:ascii="宋体" w:hAnsi="宋体" w:cs="宋体"/>
                <w:sz w:val="22"/>
                <w:szCs w:val="22"/>
                <w:highlight w:val="none"/>
              </w:rPr>
            </w:pPr>
            <w:r>
              <w:rPr>
                <w:rFonts w:hint="eastAsia" w:ascii="宋体" w:hAnsi="宋体" w:cs="宋体"/>
                <w:sz w:val="22"/>
                <w:szCs w:val="22"/>
                <w:highlight w:val="none"/>
              </w:rPr>
              <w:t>注：以上四舍五入后保留小数2位</w:t>
            </w:r>
          </w:p>
          <w:p w14:paraId="5D3AD2CD">
            <w:pPr>
              <w:spacing w:line="360" w:lineRule="exact"/>
              <w:rPr>
                <w:rFonts w:hint="default" w:ascii="宋体" w:hAnsi="宋体" w:eastAsia="宋体" w:cs="宋体"/>
                <w:sz w:val="22"/>
                <w:szCs w:val="22"/>
                <w:highlight w:val="none"/>
                <w:lang w:val="en-US" w:eastAsia="zh-CN"/>
              </w:rPr>
            </w:pPr>
            <w:r>
              <w:rPr>
                <w:rFonts w:hint="eastAsia" w:ascii="宋体" w:hAnsi="宋体" w:eastAsia="宋体" w:cs="宋体"/>
                <w:b/>
                <w:bCs/>
                <w:color w:val="auto"/>
                <w:spacing w:val="-6"/>
                <w:sz w:val="22"/>
                <w:szCs w:val="22"/>
                <w:highlight w:val="none"/>
                <w:u w:val="single"/>
              </w:rPr>
              <w:t>落实政府采购政策需进行的价格扣除：本项目为专门面向中小企业采购项目，不再执行价格折扣。</w:t>
            </w:r>
          </w:p>
        </w:tc>
        <w:tc>
          <w:tcPr>
            <w:tcW w:w="1287" w:type="dxa"/>
            <w:vAlign w:val="center"/>
          </w:tcPr>
          <w:p w14:paraId="76E6C23C">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w:t>
            </w:r>
          </w:p>
        </w:tc>
      </w:tr>
    </w:tbl>
    <w:p w14:paraId="4F7D0988">
      <w:pPr>
        <w:snapToGrid w:val="0"/>
        <w:spacing w:line="400" w:lineRule="exact"/>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备注：</w:t>
      </w:r>
      <w:r>
        <w:rPr>
          <w:rFonts w:hint="eastAsia" w:asciiTheme="minorEastAsia" w:hAnsiTheme="minorEastAsia" w:eastAsiaTheme="minorEastAsia" w:cstheme="minorEastAsia"/>
          <w:sz w:val="22"/>
          <w:szCs w:val="22"/>
          <w:highlight w:val="none"/>
        </w:rPr>
        <w:t>投标人编制投标文件（商务技术文件部分）时，建议按此目录（序号和内容）提供评标标准相应的商务技术资料。</w:t>
      </w:r>
    </w:p>
    <w:p w14:paraId="6A99EE83">
      <w:pPr>
        <w:snapToGrid w:val="0"/>
        <w:spacing w:line="400" w:lineRule="exact"/>
        <w:outlineLvl w:val="1"/>
        <w:rPr>
          <w:rFonts w:hint="eastAsia" w:ascii="宋体" w:hAnsi="宋体" w:cs="宋体"/>
          <w:b/>
          <w:sz w:val="22"/>
          <w:szCs w:val="22"/>
          <w:highlight w:val="none"/>
        </w:rPr>
      </w:pPr>
      <w:bookmarkStart w:id="417" w:name="_Toc10307"/>
      <w:r>
        <w:rPr>
          <w:rFonts w:hint="eastAsia" w:ascii="宋体" w:hAnsi="宋体" w:cs="宋体"/>
          <w:b/>
          <w:sz w:val="22"/>
          <w:szCs w:val="22"/>
          <w:highlight w:val="none"/>
        </w:rPr>
        <w:t>一、评标方法</w:t>
      </w:r>
      <w:bookmarkEnd w:id="417"/>
    </w:p>
    <w:p w14:paraId="5C74722F">
      <w:pPr>
        <w:adjustRightInd/>
        <w:spacing w:line="400" w:lineRule="exact"/>
        <w:ind w:firstLine="433" w:firstLineChars="196"/>
        <w:rPr>
          <w:rFonts w:hint="eastAsia" w:ascii="宋体" w:hAnsi="宋体" w:cs="宋体"/>
          <w:kern w:val="0"/>
          <w:sz w:val="22"/>
          <w:szCs w:val="22"/>
          <w:highlight w:val="none"/>
        </w:rPr>
      </w:pPr>
      <w:r>
        <w:rPr>
          <w:rFonts w:hint="eastAsia" w:ascii="宋体" w:hAnsi="宋体" w:cs="宋体"/>
          <w:b/>
          <w:kern w:val="0"/>
          <w:sz w:val="22"/>
          <w:szCs w:val="22"/>
          <w:highlight w:val="none"/>
        </w:rPr>
        <w:t>1.本项目采用综合评分法。</w:t>
      </w:r>
      <w:r>
        <w:rPr>
          <w:rFonts w:hint="eastAsia" w:ascii="宋体" w:hAnsi="宋体" w:cs="宋体"/>
          <w:kern w:val="0"/>
          <w:sz w:val="22"/>
          <w:szCs w:val="22"/>
          <w:highlight w:val="none"/>
        </w:rPr>
        <w:t>综合评分法，是指投标文件满足招标文件全部实质性要求，且按照评审因素的量化指标评审得分最高的投标人为中标候选人的评标方法。</w:t>
      </w:r>
    </w:p>
    <w:p w14:paraId="3680DCD5">
      <w:pPr>
        <w:snapToGrid w:val="0"/>
        <w:spacing w:line="400" w:lineRule="exact"/>
        <w:outlineLvl w:val="1"/>
        <w:rPr>
          <w:rFonts w:hint="eastAsia" w:ascii="宋体" w:hAnsi="宋体" w:cs="宋体"/>
          <w:b/>
          <w:sz w:val="22"/>
          <w:szCs w:val="22"/>
          <w:highlight w:val="none"/>
        </w:rPr>
      </w:pPr>
      <w:bookmarkStart w:id="418" w:name="_Toc13618"/>
      <w:r>
        <w:rPr>
          <w:rFonts w:hint="eastAsia" w:ascii="宋体" w:hAnsi="宋体" w:cs="宋体"/>
          <w:b/>
          <w:sz w:val="22"/>
          <w:szCs w:val="22"/>
          <w:highlight w:val="none"/>
        </w:rPr>
        <w:t>二、评标标准</w:t>
      </w:r>
      <w:bookmarkEnd w:id="418"/>
    </w:p>
    <w:p w14:paraId="0803C09A">
      <w:pPr>
        <w:spacing w:line="400" w:lineRule="exact"/>
        <w:ind w:firstLine="433" w:firstLineChars="196"/>
        <w:rPr>
          <w:rFonts w:hint="eastAsia" w:ascii="宋体" w:hAnsi="宋体" w:cs="宋体"/>
          <w:b/>
          <w:sz w:val="22"/>
          <w:szCs w:val="22"/>
          <w:highlight w:val="none"/>
        </w:rPr>
      </w:pPr>
      <w:r>
        <w:rPr>
          <w:rFonts w:hint="eastAsia" w:ascii="宋体" w:hAnsi="宋体" w:cs="宋体"/>
          <w:b/>
          <w:sz w:val="22"/>
          <w:szCs w:val="22"/>
          <w:highlight w:val="none"/>
        </w:rPr>
        <w:t>2.评标标准：</w:t>
      </w:r>
      <w:r>
        <w:rPr>
          <w:rFonts w:hint="eastAsia" w:ascii="宋体" w:hAnsi="宋体" w:cs="宋体"/>
          <w:kern w:val="0"/>
          <w:sz w:val="22"/>
          <w:szCs w:val="22"/>
          <w:highlight w:val="none"/>
        </w:rPr>
        <w:t>见评标办法前附表。</w:t>
      </w:r>
    </w:p>
    <w:p w14:paraId="6C19B4BE">
      <w:pPr>
        <w:snapToGrid w:val="0"/>
        <w:spacing w:line="400" w:lineRule="exact"/>
        <w:outlineLvl w:val="1"/>
        <w:rPr>
          <w:rFonts w:hint="eastAsia" w:ascii="宋体" w:hAnsi="宋体" w:cs="宋体"/>
          <w:b/>
          <w:sz w:val="22"/>
          <w:szCs w:val="22"/>
          <w:highlight w:val="none"/>
        </w:rPr>
      </w:pPr>
      <w:bookmarkStart w:id="419" w:name="_Toc32546"/>
      <w:r>
        <w:rPr>
          <w:rFonts w:hint="eastAsia" w:ascii="宋体" w:hAnsi="宋体" w:cs="宋体"/>
          <w:b/>
          <w:sz w:val="22"/>
          <w:szCs w:val="22"/>
          <w:highlight w:val="none"/>
        </w:rPr>
        <w:t>三、评标程序</w:t>
      </w:r>
      <w:bookmarkEnd w:id="419"/>
    </w:p>
    <w:p w14:paraId="53AF14C2">
      <w:pPr>
        <w:spacing w:line="400" w:lineRule="exact"/>
        <w:ind w:firstLine="433" w:firstLineChars="196"/>
        <w:rPr>
          <w:rFonts w:hint="eastAsia" w:ascii="宋体" w:hAnsi="宋体" w:cs="宋体"/>
          <w:kern w:val="0"/>
          <w:sz w:val="22"/>
          <w:szCs w:val="22"/>
          <w:highlight w:val="none"/>
        </w:rPr>
      </w:pPr>
      <w:r>
        <w:rPr>
          <w:rFonts w:hint="eastAsia" w:ascii="宋体" w:hAnsi="宋体" w:cs="宋体"/>
          <w:b/>
          <w:kern w:val="0"/>
          <w:sz w:val="22"/>
          <w:szCs w:val="22"/>
          <w:highlight w:val="none"/>
        </w:rPr>
        <w:t>3.1符合性审查。</w:t>
      </w:r>
      <w:r>
        <w:rPr>
          <w:rFonts w:hint="eastAsia" w:ascii="宋体" w:hAnsi="宋体" w:cs="宋体"/>
          <w:kern w:val="0"/>
          <w:sz w:val="22"/>
          <w:szCs w:val="22"/>
          <w:highlight w:val="none"/>
        </w:rPr>
        <w:t>评标委员会应当对符合资格的投标人的投标文件进行符合性审查，以确定其是否满足招标文件的实质性要求。不满足招标文件的实质性要求的，投标无效。</w:t>
      </w:r>
    </w:p>
    <w:p w14:paraId="34F186A6">
      <w:pPr>
        <w:spacing w:line="400" w:lineRule="exact"/>
        <w:ind w:firstLine="433" w:firstLineChars="196"/>
        <w:rPr>
          <w:rFonts w:hint="eastAsia" w:ascii="宋体" w:hAnsi="宋体" w:cs="宋体"/>
          <w:kern w:val="0"/>
          <w:sz w:val="22"/>
          <w:szCs w:val="22"/>
          <w:highlight w:val="none"/>
        </w:rPr>
      </w:pPr>
      <w:r>
        <w:rPr>
          <w:rFonts w:hint="eastAsia" w:ascii="宋体" w:hAnsi="宋体" w:cs="宋体"/>
          <w:b/>
          <w:kern w:val="0"/>
          <w:sz w:val="22"/>
          <w:szCs w:val="22"/>
          <w:highlight w:val="none"/>
        </w:rPr>
        <w:t>3.2 比较与评价。</w:t>
      </w:r>
      <w:r>
        <w:rPr>
          <w:rFonts w:hint="eastAsia" w:ascii="宋体" w:hAnsi="宋体" w:cs="宋体"/>
          <w:kern w:val="0"/>
          <w:sz w:val="22"/>
          <w:szCs w:val="22"/>
          <w:highlight w:val="none"/>
        </w:rPr>
        <w:t>评标委员会应当按照招标文件中规定的评标方法和标准，对符合性审查合格的投标文件进行商务和技术评估，综合比较与评价。</w:t>
      </w:r>
    </w:p>
    <w:p w14:paraId="0E50B9B1">
      <w:pPr>
        <w:spacing w:line="400" w:lineRule="exact"/>
        <w:ind w:firstLine="433" w:firstLineChars="196"/>
        <w:rPr>
          <w:rFonts w:hint="eastAsia" w:ascii="宋体" w:hAnsi="宋体" w:cs="宋体"/>
          <w:kern w:val="0"/>
          <w:sz w:val="22"/>
          <w:szCs w:val="22"/>
          <w:highlight w:val="none"/>
        </w:rPr>
      </w:pPr>
      <w:r>
        <w:rPr>
          <w:rFonts w:hint="eastAsia" w:ascii="宋体" w:hAnsi="宋体" w:cs="宋体"/>
          <w:b/>
          <w:kern w:val="0"/>
          <w:sz w:val="22"/>
          <w:szCs w:val="22"/>
          <w:highlight w:val="none"/>
        </w:rPr>
        <w:t>3.3汇总商务技术得分。</w:t>
      </w:r>
      <w:r>
        <w:rPr>
          <w:rFonts w:hint="eastAsia" w:ascii="宋体" w:hAnsi="宋体" w:cs="宋体"/>
          <w:kern w:val="0"/>
          <w:sz w:val="22"/>
          <w:szCs w:val="22"/>
          <w:highlight w:val="none"/>
        </w:rPr>
        <w:t>评标委员会各成员应当独立对每个投标人的商务和技术文件进行评价，并汇总商务技术得分情况（各评标委员会成员对各投标人的各项评分内容评分的合计算术平均值为各投标人商务和技术分得分（小数点后按四舍五入保留2位））。</w:t>
      </w:r>
    </w:p>
    <w:p w14:paraId="7D38C6B5">
      <w:pPr>
        <w:spacing w:line="400" w:lineRule="exact"/>
        <w:ind w:firstLine="433" w:firstLineChars="196"/>
        <w:rPr>
          <w:rFonts w:hint="eastAsia" w:ascii="宋体" w:hAnsi="宋体" w:cs="宋体"/>
          <w:b/>
          <w:kern w:val="0"/>
          <w:sz w:val="22"/>
          <w:szCs w:val="22"/>
          <w:highlight w:val="none"/>
        </w:rPr>
      </w:pPr>
      <w:r>
        <w:rPr>
          <w:rFonts w:hint="eastAsia" w:ascii="宋体" w:hAnsi="宋体" w:cs="宋体"/>
          <w:b/>
          <w:kern w:val="0"/>
          <w:sz w:val="22"/>
          <w:szCs w:val="22"/>
          <w:highlight w:val="none"/>
        </w:rPr>
        <w:t>3.4报价评审。</w:t>
      </w:r>
    </w:p>
    <w:p w14:paraId="5364C0C5">
      <w:pPr>
        <w:pStyle w:val="144"/>
        <w:spacing w:before="0" w:line="400" w:lineRule="exact"/>
        <w:ind w:firstLine="466" w:firstLineChars="212"/>
        <w:rPr>
          <w:rFonts w:hint="eastAsia" w:ascii="宋体" w:hAnsi="宋体" w:cs="宋体"/>
          <w:kern w:val="0"/>
          <w:sz w:val="22"/>
          <w:szCs w:val="22"/>
          <w:highlight w:val="none"/>
        </w:rPr>
      </w:pPr>
      <w:r>
        <w:rPr>
          <w:rFonts w:hint="eastAsia" w:ascii="宋体" w:hAnsi="宋体" w:cs="宋体"/>
          <w:kern w:val="0"/>
          <w:sz w:val="22"/>
          <w:szCs w:val="22"/>
          <w:highlight w:val="none"/>
        </w:rPr>
        <w:t>3.4.1投标文件报价出现前后不一致的，按照下列规定修正：</w:t>
      </w:r>
    </w:p>
    <w:p w14:paraId="02242449">
      <w:pPr>
        <w:pStyle w:val="144"/>
        <w:spacing w:before="0" w:line="400" w:lineRule="exact"/>
        <w:ind w:firstLine="440"/>
        <w:rPr>
          <w:rFonts w:hint="eastAsia" w:ascii="宋体" w:hAnsi="宋体" w:cs="宋体"/>
          <w:kern w:val="0"/>
          <w:sz w:val="22"/>
          <w:szCs w:val="22"/>
          <w:highlight w:val="none"/>
        </w:rPr>
      </w:pPr>
      <w:r>
        <w:rPr>
          <w:rFonts w:hint="eastAsia" w:ascii="宋体" w:hAnsi="宋体" w:cs="宋体"/>
          <w:kern w:val="0"/>
          <w:sz w:val="22"/>
          <w:szCs w:val="22"/>
          <w:highlight w:val="none"/>
        </w:rPr>
        <w:t>3.4.1.1投标文件中开标一览表(报价表)内容与投标文件中相应内容不一致的，以开标一览表(报价表)为准;</w:t>
      </w:r>
    </w:p>
    <w:p w14:paraId="518C746B">
      <w:pPr>
        <w:pStyle w:val="144"/>
        <w:spacing w:before="0" w:line="400" w:lineRule="exact"/>
        <w:ind w:firstLine="440"/>
        <w:rPr>
          <w:rFonts w:hint="eastAsia" w:ascii="宋体" w:hAnsi="宋体" w:cs="宋体"/>
          <w:kern w:val="0"/>
          <w:sz w:val="22"/>
          <w:szCs w:val="22"/>
          <w:highlight w:val="none"/>
        </w:rPr>
      </w:pPr>
      <w:r>
        <w:rPr>
          <w:rFonts w:hint="eastAsia" w:ascii="宋体" w:hAnsi="宋体" w:cs="宋体"/>
          <w:kern w:val="0"/>
          <w:sz w:val="22"/>
          <w:szCs w:val="22"/>
          <w:highlight w:val="none"/>
        </w:rPr>
        <w:t>3.4.1.2大写金额和小写金额不一致的，以大写金额为准;</w:t>
      </w:r>
    </w:p>
    <w:p w14:paraId="06B200B5">
      <w:pPr>
        <w:pStyle w:val="144"/>
        <w:spacing w:before="0" w:line="400" w:lineRule="exact"/>
        <w:ind w:firstLine="440"/>
        <w:rPr>
          <w:rFonts w:hint="eastAsia" w:ascii="宋体" w:hAnsi="宋体" w:cs="宋体"/>
          <w:kern w:val="0"/>
          <w:sz w:val="22"/>
          <w:szCs w:val="22"/>
          <w:highlight w:val="none"/>
        </w:rPr>
      </w:pPr>
      <w:r>
        <w:rPr>
          <w:rFonts w:hint="eastAsia" w:ascii="宋体" w:hAnsi="宋体" w:cs="宋体"/>
          <w:kern w:val="0"/>
          <w:sz w:val="22"/>
          <w:szCs w:val="22"/>
          <w:highlight w:val="none"/>
        </w:rPr>
        <w:t>3.4.1.3单价金额小数点或者百分比有明显错位的，以开标一览表的总价为准，并修改单价;</w:t>
      </w:r>
    </w:p>
    <w:p w14:paraId="365B3114">
      <w:pPr>
        <w:pStyle w:val="144"/>
        <w:spacing w:before="0" w:line="400" w:lineRule="exact"/>
        <w:ind w:firstLine="440"/>
        <w:rPr>
          <w:rFonts w:hint="eastAsia" w:ascii="宋体" w:hAnsi="宋体" w:cs="宋体"/>
          <w:kern w:val="0"/>
          <w:sz w:val="22"/>
          <w:szCs w:val="22"/>
          <w:highlight w:val="none"/>
        </w:rPr>
      </w:pPr>
      <w:r>
        <w:rPr>
          <w:rFonts w:hint="eastAsia" w:ascii="宋体" w:hAnsi="宋体" w:cs="宋体"/>
          <w:kern w:val="0"/>
          <w:sz w:val="22"/>
          <w:szCs w:val="22"/>
          <w:highlight w:val="none"/>
        </w:rPr>
        <w:t>3.4.1.4总价金额与按单价汇总金额不一致的，以单价金额计算结果为准。</w:t>
      </w:r>
    </w:p>
    <w:p w14:paraId="5D0B9A67">
      <w:pPr>
        <w:pStyle w:val="144"/>
        <w:spacing w:before="0" w:line="400" w:lineRule="exact"/>
        <w:ind w:firstLine="440"/>
        <w:rPr>
          <w:rFonts w:hint="eastAsia" w:ascii="宋体" w:hAnsi="宋体" w:cs="宋体"/>
          <w:kern w:val="0"/>
          <w:sz w:val="22"/>
          <w:szCs w:val="22"/>
          <w:highlight w:val="none"/>
        </w:rPr>
      </w:pPr>
      <w:r>
        <w:rPr>
          <w:rFonts w:hint="eastAsia" w:ascii="宋体" w:hAnsi="宋体" w:cs="宋体"/>
          <w:kern w:val="0"/>
          <w:sz w:val="22"/>
          <w:szCs w:val="22"/>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50B1E2C">
      <w:pPr>
        <w:snapToGrid w:val="0"/>
        <w:spacing w:line="400" w:lineRule="exact"/>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3.4.2投标文件出现不是唯一的、有选择性投标报价的，投标无效。</w:t>
      </w:r>
    </w:p>
    <w:p w14:paraId="52405CBD">
      <w:pPr>
        <w:snapToGrid w:val="0"/>
        <w:spacing w:line="400" w:lineRule="exact"/>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3.4.3投标报价超过招标文件中规定的预算金额或者最高限价的，投标无效。</w:t>
      </w:r>
    </w:p>
    <w:p w14:paraId="3F6C5089">
      <w:pPr>
        <w:pStyle w:val="144"/>
        <w:spacing w:before="0" w:line="400" w:lineRule="exact"/>
        <w:ind w:firstLine="440"/>
        <w:rPr>
          <w:rFonts w:hint="eastAsia" w:ascii="宋体" w:hAnsi="宋体" w:cs="宋体"/>
          <w:kern w:val="0"/>
          <w:sz w:val="22"/>
          <w:szCs w:val="22"/>
          <w:highlight w:val="none"/>
        </w:rPr>
      </w:pPr>
      <w:r>
        <w:rPr>
          <w:rFonts w:hint="eastAsia" w:ascii="宋体" w:hAnsi="宋体" w:cs="宋体"/>
          <w:kern w:val="0"/>
          <w:sz w:val="22"/>
          <w:szCs w:val="22"/>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516DAFC4">
      <w:pPr>
        <w:pStyle w:val="144"/>
        <w:spacing w:before="0" w:line="400" w:lineRule="exact"/>
        <w:ind w:firstLine="440"/>
        <w:rPr>
          <w:rFonts w:hint="eastAsia" w:ascii="宋体" w:hAnsi="宋体" w:cs="宋体"/>
          <w:kern w:val="0"/>
          <w:sz w:val="22"/>
          <w:szCs w:val="22"/>
          <w:highlight w:val="none"/>
        </w:rPr>
      </w:pPr>
      <w:r>
        <w:rPr>
          <w:rFonts w:hint="eastAsia" w:ascii="宋体" w:hAnsi="宋体" w:cs="宋体"/>
          <w:kern w:val="0"/>
          <w:sz w:val="22"/>
          <w:szCs w:val="22"/>
          <w:highlight w:val="none"/>
        </w:rPr>
        <w:t>3.4.5对于未预留份额专门面向中小企业的政府采购货物项目，以及预留份额政府采购货物项目中的非预留部分标项，对小型和微型企业的投标报价给予</w:t>
      </w:r>
      <w:r>
        <w:rPr>
          <w:rFonts w:hint="eastAsia" w:ascii="宋体" w:hAnsi="宋体" w:cs="宋体"/>
          <w:b/>
          <w:bCs/>
          <w:kern w:val="0"/>
          <w:sz w:val="22"/>
          <w:szCs w:val="22"/>
          <w:highlight w:val="none"/>
          <w:u w:val="single"/>
        </w:rPr>
        <w:t>10%</w:t>
      </w:r>
      <w:r>
        <w:rPr>
          <w:rFonts w:hint="eastAsia" w:ascii="宋体" w:hAnsi="宋体" w:cs="宋体"/>
          <w:kern w:val="0"/>
          <w:sz w:val="22"/>
          <w:szCs w:val="22"/>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cs="宋体"/>
          <w:b/>
          <w:bCs/>
          <w:kern w:val="0"/>
          <w:sz w:val="22"/>
          <w:szCs w:val="22"/>
          <w:highlight w:val="none"/>
          <w:u w:val="single"/>
        </w:rPr>
        <w:t>4%</w:t>
      </w:r>
      <w:r>
        <w:rPr>
          <w:rFonts w:hint="eastAsia" w:ascii="宋体" w:hAnsi="宋体" w:cs="宋体"/>
          <w:kern w:val="0"/>
          <w:sz w:val="22"/>
          <w:szCs w:val="22"/>
          <w:highlight w:val="none"/>
        </w:rPr>
        <w:t>的扣除，用扣除后的价格参加评审。组成联合体或者接受分包的小微企业与联合体内其他企业、分包企业之间存在直接控股、管理关系的，不享受价格扣除优惠政策。</w:t>
      </w:r>
    </w:p>
    <w:p w14:paraId="762C21E5">
      <w:pPr>
        <w:spacing w:line="400" w:lineRule="exact"/>
        <w:ind w:firstLine="442" w:firstLineChars="200"/>
        <w:rPr>
          <w:rFonts w:hint="eastAsia" w:ascii="宋体" w:hAnsi="宋体" w:cs="宋体"/>
          <w:kern w:val="0"/>
          <w:sz w:val="22"/>
          <w:szCs w:val="22"/>
          <w:highlight w:val="none"/>
        </w:rPr>
      </w:pPr>
      <w:r>
        <w:rPr>
          <w:rFonts w:hint="eastAsia" w:ascii="宋体" w:hAnsi="宋体" w:cs="宋体"/>
          <w:b/>
          <w:kern w:val="0"/>
          <w:sz w:val="22"/>
          <w:szCs w:val="22"/>
          <w:highlight w:val="none"/>
        </w:rPr>
        <w:t>3.5排序与推荐。</w:t>
      </w:r>
      <w:r>
        <w:rPr>
          <w:rFonts w:hint="eastAsia" w:ascii="宋体" w:hAnsi="宋体" w:cs="宋体"/>
          <w:kern w:val="0"/>
          <w:sz w:val="22"/>
          <w:szCs w:val="22"/>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A512A51">
      <w:pPr>
        <w:spacing w:line="400" w:lineRule="exact"/>
        <w:ind w:firstLine="440" w:firstLineChars="200"/>
        <w:rPr>
          <w:rFonts w:hint="eastAsia" w:ascii="宋体" w:hAnsi="宋体" w:cs="宋体"/>
          <w:b/>
          <w:kern w:val="0"/>
          <w:sz w:val="22"/>
          <w:szCs w:val="22"/>
          <w:highlight w:val="none"/>
        </w:rPr>
      </w:pPr>
      <w:r>
        <w:rPr>
          <w:rFonts w:hint="eastAsia" w:ascii="宋体" w:hAnsi="宋体" w:cs="宋体"/>
          <w:kern w:val="0"/>
          <w:sz w:val="22"/>
          <w:szCs w:val="22"/>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8244DA8">
      <w:pPr>
        <w:spacing w:line="400" w:lineRule="exact"/>
        <w:ind w:firstLine="433" w:firstLineChars="196"/>
        <w:rPr>
          <w:rFonts w:hint="eastAsia" w:ascii="宋体" w:hAnsi="宋体" w:cs="宋体"/>
          <w:kern w:val="0"/>
          <w:sz w:val="22"/>
          <w:szCs w:val="22"/>
          <w:highlight w:val="none"/>
        </w:rPr>
      </w:pPr>
      <w:r>
        <w:rPr>
          <w:rFonts w:hint="eastAsia" w:ascii="宋体" w:hAnsi="宋体" w:cs="宋体"/>
          <w:b/>
          <w:kern w:val="0"/>
          <w:sz w:val="22"/>
          <w:szCs w:val="22"/>
          <w:highlight w:val="none"/>
        </w:rPr>
        <w:t>3.6编写评标报告。</w:t>
      </w:r>
      <w:r>
        <w:rPr>
          <w:rFonts w:hint="eastAsia" w:ascii="宋体" w:hAnsi="宋体" w:cs="宋体"/>
          <w:kern w:val="0"/>
          <w:sz w:val="22"/>
          <w:szCs w:val="22"/>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EECCB84">
      <w:pPr>
        <w:snapToGrid w:val="0"/>
        <w:spacing w:line="400" w:lineRule="exact"/>
        <w:outlineLvl w:val="1"/>
        <w:rPr>
          <w:rFonts w:hint="eastAsia" w:ascii="宋体" w:hAnsi="宋体" w:cs="宋体"/>
          <w:b/>
          <w:sz w:val="22"/>
          <w:szCs w:val="22"/>
          <w:highlight w:val="none"/>
        </w:rPr>
      </w:pPr>
      <w:bookmarkStart w:id="420" w:name="_Toc4809"/>
      <w:r>
        <w:rPr>
          <w:rFonts w:hint="eastAsia" w:ascii="宋体" w:hAnsi="宋体" w:cs="宋体"/>
          <w:b/>
          <w:sz w:val="22"/>
          <w:szCs w:val="22"/>
          <w:highlight w:val="none"/>
        </w:rPr>
        <w:t>四、评标中的其他事项</w:t>
      </w:r>
      <w:bookmarkEnd w:id="420"/>
    </w:p>
    <w:p w14:paraId="1537306A">
      <w:pPr>
        <w:pStyle w:val="144"/>
        <w:spacing w:before="0" w:line="400" w:lineRule="exact"/>
        <w:ind w:firstLine="433" w:firstLineChars="196"/>
        <w:rPr>
          <w:rFonts w:hint="eastAsia" w:ascii="宋体" w:hAnsi="宋体" w:cs="宋体"/>
          <w:kern w:val="0"/>
          <w:sz w:val="22"/>
          <w:szCs w:val="22"/>
          <w:highlight w:val="none"/>
        </w:rPr>
      </w:pPr>
      <w:r>
        <w:rPr>
          <w:rFonts w:hint="eastAsia" w:ascii="宋体" w:hAnsi="宋体" w:cs="宋体"/>
          <w:b/>
          <w:kern w:val="0"/>
          <w:sz w:val="22"/>
          <w:szCs w:val="22"/>
          <w:highlight w:val="none"/>
        </w:rPr>
        <w:t>4.1投标人澄清、说明或者补正。</w:t>
      </w:r>
      <w:r>
        <w:rPr>
          <w:rFonts w:hint="eastAsia" w:ascii="宋体" w:hAnsi="宋体" w:cs="宋体"/>
          <w:kern w:val="0"/>
          <w:sz w:val="22"/>
          <w:szCs w:val="22"/>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8D5A636">
      <w:pPr>
        <w:pStyle w:val="25"/>
        <w:spacing w:line="400" w:lineRule="exact"/>
        <w:ind w:left="954" w:leftChars="226" w:hanging="479" w:firstLineChars="0"/>
        <w:rPr>
          <w:rFonts w:hint="eastAsia" w:cs="宋体"/>
          <w:b/>
          <w:bCs/>
          <w:sz w:val="22"/>
          <w:szCs w:val="22"/>
          <w:highlight w:val="none"/>
          <w:u w:val="single"/>
        </w:rPr>
      </w:pPr>
      <w:r>
        <w:rPr>
          <w:rFonts w:hint="eastAsia" w:cs="宋体"/>
          <w:sz w:val="22"/>
          <w:szCs w:val="22"/>
          <w:highlight w:val="none"/>
        </w:rPr>
        <w:t>▲</w:t>
      </w:r>
      <w:r>
        <w:rPr>
          <w:rFonts w:hint="eastAsia" w:cs="宋体"/>
          <w:b/>
          <w:kern w:val="0"/>
          <w:sz w:val="22"/>
          <w:szCs w:val="22"/>
          <w:highlight w:val="none"/>
          <w:u w:val="single"/>
        </w:rPr>
        <w:t>4.2投标无效。</w:t>
      </w:r>
      <w:r>
        <w:rPr>
          <w:rFonts w:hint="eastAsia" w:cs="宋体"/>
          <w:b/>
          <w:bCs/>
          <w:sz w:val="22"/>
          <w:szCs w:val="22"/>
          <w:highlight w:val="none"/>
          <w:u w:val="single"/>
        </w:rPr>
        <w:t>有下列情形之一的，投标无效：</w:t>
      </w:r>
    </w:p>
    <w:p w14:paraId="4A434B1A">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4.2.1投标人不具备招标文件中规定的资格要求的（投标人未提供有效的资格文件的，视为投标人不具备招标文件中规定的资格要求）；</w:t>
      </w:r>
    </w:p>
    <w:p w14:paraId="26FDEB01">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4.2.2投标文件未按照招标文件要求签署、盖章的；</w:t>
      </w:r>
    </w:p>
    <w:p w14:paraId="180D8671">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4.2.3采购人拟采购的产品属于政府强制采购的节能产品品目清单范围的，投标人相应的投标产品未获得国家确定的认证机构出具的、处于有效期之内的节能产品认证证书的；</w:t>
      </w:r>
    </w:p>
    <w:p w14:paraId="36B16C6F">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4.2.4投标文件含有采购人不能接受的附加条件的；</w:t>
      </w:r>
    </w:p>
    <w:p w14:paraId="29E2AE4F">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4.2.5投标文件中承诺的投标有效期少于招标文件中载明的投标有效期的；</w:t>
      </w:r>
    </w:p>
    <w:p w14:paraId="6995C8FE">
      <w:pPr>
        <w:snapToGrid w:val="0"/>
        <w:spacing w:line="400" w:lineRule="exact"/>
        <w:ind w:firstLine="110" w:firstLineChars="50"/>
        <w:jc w:val="left"/>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 xml:space="preserve">   4.2.6投标文件出现不是唯一的、有选择性投标报价的；</w:t>
      </w:r>
    </w:p>
    <w:p w14:paraId="7E2EED1D">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4.2.7投标报价超过招标文件中规定的预算金额或者最高限价的；</w:t>
      </w:r>
    </w:p>
    <w:p w14:paraId="2D65245F">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4.2.8投标人对根据修正原则修正后的报价不确认的；</w:t>
      </w:r>
    </w:p>
    <w:p w14:paraId="1D8A1176">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4.2.9投标人提供虚假材料投标的；</w:t>
      </w:r>
    </w:p>
    <w:p w14:paraId="0E9F7166">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4.2.10投标人有恶意串通、妨碍其他投标人的竞争行为、损害采购人或者其他投标人的合法权益情形的；</w:t>
      </w:r>
    </w:p>
    <w:p w14:paraId="2212BD93">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4.2.11 参与同一个采购包（标段）的投标人存在下列情形之一且无法合理解释的，其投标（响应）文件无效：1.不同投标人的电子投标（响应）文件上传计算机的IP地址、网卡MAC地址、CPU序列号和硬盘序列号等硬件信息相同的；2.上传的电子投标（响应）文件若出现使用本项目其他投标（响应）投标人的数字证书加密的，或者加盖本项目其他投标（响应）投标人的电子印章的；3.不同投标人的投标（响应）文件的内容存在3处（含）以上错误一致的；4.不同投标人联系人为同一人或不同联系人的联系电话一致的；</w:t>
      </w:r>
    </w:p>
    <w:p w14:paraId="6BB75B73">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4.2.12投标人仅提交备份投标文件，未在电子交易平台传输递交投标文件的，投标无效；</w:t>
      </w:r>
    </w:p>
    <w:p w14:paraId="01643C33">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4.2.13 投标文件不满足招标文件的其它实质性要求的；</w:t>
      </w:r>
    </w:p>
    <w:p w14:paraId="3EC98DF9">
      <w:pPr>
        <w:spacing w:line="400" w:lineRule="exact"/>
        <w:ind w:firstLine="440" w:firstLineChars="200"/>
        <w:rPr>
          <w:rFonts w:hint="eastAsia" w:ascii="宋体" w:hAnsi="宋体" w:cs="宋体"/>
          <w:kern w:val="0"/>
          <w:sz w:val="22"/>
          <w:szCs w:val="22"/>
          <w:highlight w:val="none"/>
          <w:u w:val="single"/>
        </w:rPr>
      </w:pPr>
      <w:r>
        <w:rPr>
          <w:rFonts w:hint="eastAsia" w:ascii="宋体" w:hAnsi="宋体" w:cs="宋体"/>
          <w:kern w:val="0"/>
          <w:sz w:val="22"/>
          <w:szCs w:val="22"/>
          <w:highlight w:val="none"/>
          <w:u w:val="single"/>
        </w:rPr>
        <w:t>4.2.14法律、法规、规章（适用本市的）及省级以上规范性文件（适用本市的）规定的其他无效情形。</w:t>
      </w:r>
    </w:p>
    <w:p w14:paraId="3CCB5C8C">
      <w:pPr>
        <w:pStyle w:val="25"/>
        <w:snapToGrid w:val="0"/>
        <w:spacing w:line="400" w:lineRule="exact"/>
        <w:ind w:firstLine="433" w:firstLineChars="196"/>
        <w:rPr>
          <w:rFonts w:hint="eastAsia" w:cs="宋体"/>
          <w:sz w:val="22"/>
          <w:szCs w:val="22"/>
          <w:highlight w:val="none"/>
        </w:rPr>
      </w:pPr>
      <w:r>
        <w:rPr>
          <w:rFonts w:hint="eastAsia" w:cs="宋体"/>
          <w:b/>
          <w:sz w:val="22"/>
          <w:szCs w:val="22"/>
          <w:highlight w:val="none"/>
        </w:rPr>
        <w:t>5.废标。</w:t>
      </w:r>
      <w:r>
        <w:rPr>
          <w:rFonts w:hint="eastAsia" w:cs="宋体"/>
          <w:sz w:val="22"/>
          <w:szCs w:val="22"/>
          <w:highlight w:val="none"/>
        </w:rPr>
        <w:t>根据《中华人民共和国政府采购法》第三十六条之规定，在采购中，出现下列情形之一的，应予废标：</w:t>
      </w:r>
    </w:p>
    <w:p w14:paraId="2682D585">
      <w:pPr>
        <w:pStyle w:val="25"/>
        <w:snapToGrid w:val="0"/>
        <w:spacing w:line="400" w:lineRule="exact"/>
        <w:ind w:firstLine="440"/>
        <w:rPr>
          <w:rFonts w:hint="eastAsia" w:cs="宋体"/>
          <w:sz w:val="22"/>
          <w:szCs w:val="22"/>
          <w:highlight w:val="none"/>
        </w:rPr>
      </w:pPr>
      <w:r>
        <w:rPr>
          <w:rFonts w:hint="eastAsia" w:cs="宋体"/>
          <w:sz w:val="22"/>
          <w:szCs w:val="22"/>
          <w:highlight w:val="none"/>
        </w:rPr>
        <w:t>5.1符合专业条件的投标人或者对招标文件作实质响应的投标人不足3家的；</w:t>
      </w:r>
    </w:p>
    <w:p w14:paraId="0C43C45B">
      <w:pPr>
        <w:pStyle w:val="25"/>
        <w:snapToGrid w:val="0"/>
        <w:spacing w:line="400" w:lineRule="exact"/>
        <w:ind w:firstLine="440"/>
        <w:rPr>
          <w:rFonts w:hint="eastAsia" w:cs="宋体"/>
          <w:sz w:val="22"/>
          <w:szCs w:val="22"/>
          <w:highlight w:val="none"/>
        </w:rPr>
      </w:pPr>
      <w:r>
        <w:rPr>
          <w:rFonts w:hint="eastAsia" w:cs="宋体"/>
          <w:sz w:val="22"/>
          <w:szCs w:val="22"/>
          <w:highlight w:val="none"/>
        </w:rPr>
        <w:t>5.2出现影响采购公正的违法、违规行为的；</w:t>
      </w:r>
    </w:p>
    <w:p w14:paraId="5C4A2973">
      <w:pPr>
        <w:pStyle w:val="25"/>
        <w:snapToGrid w:val="0"/>
        <w:spacing w:line="400" w:lineRule="exact"/>
        <w:ind w:firstLine="440"/>
        <w:rPr>
          <w:rFonts w:hint="eastAsia" w:cs="宋体"/>
          <w:sz w:val="22"/>
          <w:szCs w:val="22"/>
          <w:highlight w:val="none"/>
        </w:rPr>
      </w:pPr>
      <w:r>
        <w:rPr>
          <w:rFonts w:hint="eastAsia" w:cs="宋体"/>
          <w:sz w:val="22"/>
          <w:szCs w:val="22"/>
          <w:highlight w:val="none"/>
        </w:rPr>
        <w:t>5.3投标人的报价均超过了采购预算，采购人不能支付的；</w:t>
      </w:r>
    </w:p>
    <w:p w14:paraId="172266C5">
      <w:pPr>
        <w:pStyle w:val="25"/>
        <w:snapToGrid w:val="0"/>
        <w:spacing w:line="400" w:lineRule="exact"/>
        <w:ind w:firstLine="440"/>
        <w:rPr>
          <w:rFonts w:hint="eastAsia" w:cs="宋体"/>
          <w:sz w:val="22"/>
          <w:szCs w:val="22"/>
          <w:highlight w:val="none"/>
        </w:rPr>
      </w:pPr>
      <w:r>
        <w:rPr>
          <w:rFonts w:hint="eastAsia" w:cs="宋体"/>
          <w:sz w:val="22"/>
          <w:szCs w:val="22"/>
          <w:highlight w:val="none"/>
        </w:rPr>
        <w:t>5.4因重大变故，采购任务取消的。</w:t>
      </w:r>
    </w:p>
    <w:p w14:paraId="0F9ED0C5">
      <w:pPr>
        <w:pStyle w:val="25"/>
        <w:snapToGrid w:val="0"/>
        <w:spacing w:line="400" w:lineRule="exact"/>
        <w:ind w:firstLine="440"/>
        <w:rPr>
          <w:rFonts w:hint="eastAsia" w:cs="宋体"/>
          <w:sz w:val="22"/>
          <w:szCs w:val="22"/>
          <w:highlight w:val="none"/>
        </w:rPr>
      </w:pPr>
      <w:r>
        <w:rPr>
          <w:rFonts w:hint="eastAsia" w:cs="宋体"/>
          <w:sz w:val="22"/>
          <w:szCs w:val="22"/>
          <w:highlight w:val="none"/>
        </w:rPr>
        <w:t>废标后，采购代理机构应当将废标理由通知所有投标人。</w:t>
      </w:r>
    </w:p>
    <w:p w14:paraId="68A9E40A">
      <w:pPr>
        <w:pStyle w:val="25"/>
        <w:snapToGrid w:val="0"/>
        <w:spacing w:line="400" w:lineRule="exact"/>
        <w:ind w:firstLine="541" w:firstLineChars="245"/>
        <w:rPr>
          <w:rFonts w:hint="eastAsia" w:cs="宋体"/>
          <w:sz w:val="22"/>
          <w:szCs w:val="22"/>
          <w:highlight w:val="none"/>
        </w:rPr>
      </w:pPr>
      <w:r>
        <w:rPr>
          <w:rFonts w:hint="eastAsia" w:cs="宋体"/>
          <w:b/>
          <w:sz w:val="22"/>
          <w:szCs w:val="22"/>
          <w:highlight w:val="none"/>
        </w:rPr>
        <w:t>6.修改招标文件，重新组织采购活动。</w:t>
      </w:r>
      <w:r>
        <w:rPr>
          <w:rFonts w:hint="eastAsia" w:cs="宋体"/>
          <w:sz w:val="22"/>
          <w:szCs w:val="22"/>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33E96AF">
      <w:pPr>
        <w:pStyle w:val="25"/>
        <w:snapToGrid w:val="0"/>
        <w:spacing w:line="400" w:lineRule="exact"/>
        <w:ind w:firstLine="442"/>
        <w:rPr>
          <w:rFonts w:hint="eastAsia" w:cs="宋体"/>
          <w:sz w:val="22"/>
          <w:szCs w:val="22"/>
          <w:highlight w:val="none"/>
        </w:rPr>
      </w:pPr>
      <w:r>
        <w:rPr>
          <w:rFonts w:hint="eastAsia" w:cs="宋体"/>
          <w:b/>
          <w:kern w:val="0"/>
          <w:sz w:val="22"/>
          <w:szCs w:val="22"/>
          <w:highlight w:val="none"/>
        </w:rPr>
        <w:t>7.重新开展采购。</w:t>
      </w:r>
      <w:r>
        <w:rPr>
          <w:rFonts w:hint="eastAsia" w:cs="宋体"/>
          <w:sz w:val="22"/>
          <w:szCs w:val="22"/>
          <w:highlight w:val="none"/>
        </w:rPr>
        <w:t>有政府采购法第七十一条、第七十二条规定的违法行为之一，影响或者可能影响中标结果的，依照下列规定处理：</w:t>
      </w:r>
    </w:p>
    <w:p w14:paraId="221945F0">
      <w:pPr>
        <w:pStyle w:val="25"/>
        <w:snapToGrid w:val="0"/>
        <w:spacing w:line="400" w:lineRule="exact"/>
        <w:ind w:firstLine="440"/>
        <w:rPr>
          <w:rFonts w:hint="eastAsia" w:cs="宋体"/>
          <w:sz w:val="22"/>
          <w:szCs w:val="22"/>
          <w:highlight w:val="none"/>
        </w:rPr>
      </w:pPr>
      <w:r>
        <w:rPr>
          <w:rFonts w:hint="eastAsia" w:cs="宋体"/>
          <w:sz w:val="22"/>
          <w:szCs w:val="22"/>
          <w:highlight w:val="none"/>
        </w:rPr>
        <w:t>7.1未确定中标人的，终止本次政府采购活动，重新开展政府采购活动。</w:t>
      </w:r>
    </w:p>
    <w:p w14:paraId="23365A65">
      <w:pPr>
        <w:pStyle w:val="25"/>
        <w:snapToGrid w:val="0"/>
        <w:spacing w:line="400" w:lineRule="exact"/>
        <w:ind w:firstLine="440"/>
        <w:rPr>
          <w:rFonts w:hint="eastAsia" w:cs="宋体"/>
          <w:sz w:val="22"/>
          <w:szCs w:val="22"/>
          <w:highlight w:val="none"/>
        </w:rPr>
      </w:pPr>
      <w:r>
        <w:rPr>
          <w:rFonts w:hint="eastAsia" w:cs="宋体"/>
          <w:sz w:val="22"/>
          <w:szCs w:val="22"/>
          <w:highlight w:val="none"/>
        </w:rPr>
        <w:t>7.2已确定中标人但尚未签订政府采购合同的，中标结果无效，从合格的中标候选人中另行确定中标人；没有合格的中标候选人的，重新开展政府采购活动。</w:t>
      </w:r>
    </w:p>
    <w:p w14:paraId="3D89F2C0">
      <w:pPr>
        <w:pStyle w:val="25"/>
        <w:snapToGrid w:val="0"/>
        <w:spacing w:line="400" w:lineRule="exact"/>
        <w:ind w:firstLine="440"/>
        <w:rPr>
          <w:rFonts w:hint="eastAsia" w:cs="宋体"/>
          <w:sz w:val="22"/>
          <w:szCs w:val="22"/>
          <w:highlight w:val="none"/>
        </w:rPr>
      </w:pPr>
      <w:r>
        <w:rPr>
          <w:rFonts w:hint="eastAsia" w:cs="宋体"/>
          <w:sz w:val="22"/>
          <w:szCs w:val="22"/>
          <w:highlight w:val="none"/>
        </w:rPr>
        <w:t>7.3政府采购合同已签订但尚未履行的，撤销合同，从合格的中标候选人中另行确定中标人；没有合格的中标候选人的，重新开展政府采购活动。</w:t>
      </w:r>
    </w:p>
    <w:p w14:paraId="5CBFB7A5">
      <w:pPr>
        <w:pStyle w:val="25"/>
        <w:snapToGrid w:val="0"/>
        <w:spacing w:line="400" w:lineRule="exact"/>
        <w:ind w:firstLine="440"/>
        <w:rPr>
          <w:rFonts w:hint="eastAsia" w:cs="宋体"/>
          <w:sz w:val="22"/>
          <w:szCs w:val="22"/>
          <w:highlight w:val="none"/>
        </w:rPr>
      </w:pPr>
      <w:r>
        <w:rPr>
          <w:rFonts w:hint="eastAsia" w:cs="宋体"/>
          <w:sz w:val="22"/>
          <w:szCs w:val="22"/>
          <w:highlight w:val="none"/>
        </w:rPr>
        <w:t>7.4政府采购合同已经履行，给采购人、投标人造成损失的，由责任人承担赔偿责任。</w:t>
      </w:r>
    </w:p>
    <w:p w14:paraId="31B54E22">
      <w:pPr>
        <w:pStyle w:val="25"/>
        <w:snapToGrid w:val="0"/>
        <w:spacing w:line="400" w:lineRule="exact"/>
        <w:ind w:firstLine="440"/>
        <w:rPr>
          <w:rFonts w:hint="eastAsia" w:cs="宋体"/>
          <w:b/>
          <w:sz w:val="22"/>
          <w:szCs w:val="22"/>
          <w:highlight w:val="none"/>
        </w:rPr>
      </w:pPr>
      <w:r>
        <w:rPr>
          <w:rFonts w:hint="eastAsia" w:cs="宋体"/>
          <w:sz w:val="22"/>
          <w:szCs w:val="22"/>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8"/>
      <w:bookmarkStart w:id="421" w:name="第五部分"/>
      <w:bookmarkStart w:id="422" w:name="_Toc86217003"/>
    </w:p>
    <w:p w14:paraId="1DF74320">
      <w:pP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p>
    <w:p w14:paraId="03FF9FD0">
      <w:pPr>
        <w:spacing w:line="360" w:lineRule="auto"/>
        <w:jc w:val="center"/>
        <w:outlineLvl w:val="0"/>
        <w:rPr>
          <w:rFonts w:hint="eastAsia" w:asciiTheme="minorEastAsia" w:hAnsiTheme="minorEastAsia" w:eastAsiaTheme="minorEastAsia" w:cstheme="minorEastAsia"/>
          <w:b/>
          <w:sz w:val="36"/>
          <w:szCs w:val="36"/>
          <w:highlight w:val="none"/>
        </w:rPr>
      </w:pPr>
      <w:bookmarkStart w:id="423" w:name="_Toc30812"/>
      <w:r>
        <w:rPr>
          <w:rFonts w:hint="eastAsia" w:asciiTheme="minorEastAsia" w:hAnsiTheme="minorEastAsia" w:eastAsiaTheme="minorEastAsia" w:cstheme="minorEastAsia"/>
          <w:b/>
          <w:sz w:val="36"/>
          <w:szCs w:val="36"/>
          <w:highlight w:val="none"/>
        </w:rPr>
        <w:t>第五部分 拟签订的合同文本</w:t>
      </w:r>
      <w:bookmarkEnd w:id="423"/>
    </w:p>
    <w:p w14:paraId="5E18F88A">
      <w:pPr>
        <w:snapToGrid w:val="0"/>
        <w:spacing w:line="360" w:lineRule="auto"/>
        <w:jc w:val="center"/>
        <w:rPr>
          <w:rFonts w:hint="eastAsia" w:ascii="宋体" w:hAnsi="宋体" w:cs="宋体"/>
          <w:highlight w:val="none"/>
        </w:rPr>
      </w:pPr>
      <w:r>
        <w:rPr>
          <w:rFonts w:hint="eastAsia" w:ascii="宋体" w:hAnsi="宋体" w:cs="宋体"/>
          <w:highlight w:val="none"/>
        </w:rPr>
        <w:t>合同将由</w:t>
      </w:r>
      <w:r>
        <w:rPr>
          <w:rFonts w:hint="eastAsia" w:ascii="宋体" w:hAnsi="宋体" w:cs="宋体"/>
          <w:highlight w:val="none"/>
          <w:lang w:eastAsia="zh-CN"/>
        </w:rPr>
        <w:t>龙港市公安局交通管理大队</w:t>
      </w:r>
      <w:r>
        <w:rPr>
          <w:rFonts w:hint="eastAsia" w:ascii="宋体" w:hAnsi="宋体" w:cs="宋体"/>
          <w:highlight w:val="none"/>
        </w:rPr>
        <w:t>（以下简称甲方）与经评审最终确定的中标人（以下简称乙方）结合本项目具体情况协商后签订。以下为采购人提出涉及中标人的主要条款，投标人在投标文件中应对其进行确认或拒绝。如投标人在其投标文件中未做拒绝或提出修改要求的，采购人将视作认同。</w:t>
      </w:r>
    </w:p>
    <w:p w14:paraId="49A81050">
      <w:pPr>
        <w:rPr>
          <w:rFonts w:hint="eastAsia"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w:t>
      </w:r>
    </w:p>
    <w:p w14:paraId="36EEA267">
      <w:pPr>
        <w:spacing w:line="480" w:lineRule="auto"/>
        <w:jc w:val="center"/>
        <w:rPr>
          <w:rFonts w:hint="eastAsia" w:ascii="宋体" w:hAnsi="宋体" w:cs="宋体"/>
          <w:b/>
          <w:sz w:val="28"/>
          <w:szCs w:val="28"/>
          <w:highlight w:val="none"/>
        </w:rPr>
      </w:pPr>
    </w:p>
    <w:p w14:paraId="7519215A">
      <w:pPr>
        <w:spacing w:line="480" w:lineRule="auto"/>
        <w:jc w:val="center"/>
        <w:rPr>
          <w:rFonts w:hint="eastAsia" w:ascii="宋体" w:hAnsi="宋体" w:cs="宋体"/>
          <w:b/>
          <w:sz w:val="24"/>
          <w:highlight w:val="none"/>
        </w:rPr>
      </w:pPr>
    </w:p>
    <w:p w14:paraId="3EE05954">
      <w:pPr>
        <w:spacing w:line="480" w:lineRule="auto"/>
        <w:jc w:val="center"/>
        <w:rPr>
          <w:rFonts w:hint="eastAsia" w:ascii="宋体" w:hAnsi="宋体" w:cs="宋体"/>
          <w:b/>
          <w:sz w:val="24"/>
          <w:highlight w:val="none"/>
        </w:rPr>
      </w:pPr>
    </w:p>
    <w:p w14:paraId="7F21CC48">
      <w:pPr>
        <w:spacing w:line="480" w:lineRule="auto"/>
        <w:jc w:val="center"/>
        <w:rPr>
          <w:rFonts w:hint="eastAsia" w:ascii="宋体" w:hAnsi="宋体" w:cs="宋体"/>
          <w:b/>
          <w:sz w:val="36"/>
          <w:szCs w:val="36"/>
          <w:highlight w:val="none"/>
        </w:rPr>
      </w:pPr>
      <w:r>
        <w:rPr>
          <w:rFonts w:hint="eastAsia" w:ascii="宋体" w:hAnsi="宋体" w:cs="宋体"/>
          <w:b/>
          <w:sz w:val="36"/>
          <w:szCs w:val="36"/>
          <w:highlight w:val="none"/>
        </w:rPr>
        <w:t>政府采购合同参考范本</w:t>
      </w:r>
    </w:p>
    <w:p w14:paraId="1092F027">
      <w:pPr>
        <w:spacing w:line="480" w:lineRule="auto"/>
        <w:jc w:val="center"/>
        <w:rPr>
          <w:rFonts w:hint="eastAsia" w:ascii="宋体" w:hAnsi="宋体" w:cs="宋体"/>
          <w:b/>
          <w:sz w:val="36"/>
          <w:szCs w:val="36"/>
          <w:highlight w:val="none"/>
        </w:rPr>
      </w:pPr>
      <w:r>
        <w:rPr>
          <w:rFonts w:hint="eastAsia" w:ascii="宋体" w:hAnsi="宋体" w:cs="宋体"/>
          <w:b/>
          <w:sz w:val="36"/>
          <w:szCs w:val="36"/>
          <w:highlight w:val="none"/>
        </w:rPr>
        <w:t>（服务类）</w:t>
      </w:r>
    </w:p>
    <w:p w14:paraId="0762A737">
      <w:pPr>
        <w:pStyle w:val="707"/>
        <w:spacing w:after="0"/>
        <w:ind w:left="0" w:leftChars="0" w:firstLine="0" w:firstLineChars="0"/>
        <w:jc w:val="center"/>
        <w:rPr>
          <w:rFonts w:hint="eastAsia" w:ascii="宋体" w:hAnsi="宋体" w:cs="宋体"/>
          <w:b/>
          <w:szCs w:val="24"/>
          <w:highlight w:val="none"/>
        </w:rPr>
      </w:pPr>
      <w:r>
        <w:rPr>
          <w:rFonts w:hint="eastAsia" w:ascii="宋体" w:hAnsi="宋体" w:cs="宋体"/>
          <w:b/>
          <w:szCs w:val="24"/>
          <w:highlight w:val="none"/>
        </w:rPr>
        <w:t>第一章 合同书</w:t>
      </w:r>
    </w:p>
    <w:p w14:paraId="79C7310D">
      <w:pPr>
        <w:spacing w:before="120" w:line="22" w:lineRule="atLeast"/>
        <w:rPr>
          <w:rFonts w:hint="eastAsia" w:ascii="宋体" w:hAnsi="宋体" w:cs="宋体"/>
          <w:sz w:val="24"/>
          <w:highlight w:val="none"/>
        </w:rPr>
      </w:pPr>
    </w:p>
    <w:p w14:paraId="3397FD1C">
      <w:pPr>
        <w:spacing w:before="120" w:line="22" w:lineRule="atLeast"/>
        <w:ind w:left="96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154476BB">
      <w:pPr>
        <w:pStyle w:val="604"/>
        <w:spacing w:before="120" w:line="22" w:lineRule="atLeast"/>
        <w:rPr>
          <w:rFonts w:hint="eastAsia" w:ascii="宋体" w:hAnsi="宋体" w:eastAsia="宋体" w:cs="宋体"/>
          <w:szCs w:val="24"/>
          <w:highlight w:val="none"/>
        </w:rPr>
      </w:pPr>
    </w:p>
    <w:p w14:paraId="7C557CB5">
      <w:pPr>
        <w:pStyle w:val="604"/>
        <w:spacing w:before="120" w:line="22" w:lineRule="atLeast"/>
        <w:rPr>
          <w:rFonts w:hint="eastAsia" w:ascii="宋体" w:hAnsi="宋体" w:eastAsia="宋体" w:cs="宋体"/>
          <w:szCs w:val="24"/>
          <w:highlight w:val="none"/>
        </w:rPr>
      </w:pPr>
    </w:p>
    <w:p w14:paraId="7E0799A2">
      <w:pPr>
        <w:rPr>
          <w:rFonts w:hint="eastAsia" w:ascii="宋体" w:hAnsi="宋体" w:cs="宋体"/>
          <w:sz w:val="24"/>
          <w:highlight w:val="none"/>
        </w:rPr>
      </w:pPr>
    </w:p>
    <w:p w14:paraId="668B8F0E">
      <w:pPr>
        <w:spacing w:before="120" w:line="22" w:lineRule="atLeast"/>
        <w:ind w:left="960"/>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lang w:eastAsia="zh-CN"/>
        </w:rPr>
        <w:t>龙港市公安局交通管理大队</w:t>
      </w:r>
      <w:r>
        <w:rPr>
          <w:rFonts w:hint="eastAsia" w:ascii="宋体" w:hAnsi="宋体" w:cs="宋体"/>
          <w:sz w:val="24"/>
          <w:highlight w:val="none"/>
          <w:u w:val="single"/>
        </w:rPr>
        <w:t xml:space="preserve">               </w:t>
      </w:r>
    </w:p>
    <w:p w14:paraId="34273AE4">
      <w:pPr>
        <w:spacing w:before="120" w:line="22" w:lineRule="atLeast"/>
        <w:rPr>
          <w:rFonts w:hint="eastAsia" w:ascii="宋体" w:hAnsi="宋体" w:cs="宋体"/>
          <w:sz w:val="24"/>
          <w:highlight w:val="none"/>
        </w:rPr>
      </w:pPr>
    </w:p>
    <w:p w14:paraId="128C1F5D">
      <w:pPr>
        <w:spacing w:before="120" w:line="22" w:lineRule="atLeast"/>
        <w:ind w:left="960"/>
        <w:rPr>
          <w:rFonts w:hint="eastAsia"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14:paraId="2EBDF06B">
      <w:pPr>
        <w:spacing w:before="120" w:line="22" w:lineRule="atLeast"/>
        <w:ind w:firstLine="960" w:firstLineChars="400"/>
        <w:rPr>
          <w:rFonts w:hint="eastAsia" w:ascii="宋体" w:hAnsi="宋体" w:cs="宋体"/>
          <w:sz w:val="24"/>
          <w:highlight w:val="none"/>
        </w:rPr>
      </w:pPr>
    </w:p>
    <w:p w14:paraId="5EC27080">
      <w:pPr>
        <w:spacing w:before="120" w:line="22" w:lineRule="atLeast"/>
        <w:ind w:firstLine="960" w:firstLineChars="400"/>
        <w:rPr>
          <w:rFonts w:hint="eastAsia"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14:paraId="04BB94DD">
      <w:pPr>
        <w:spacing w:before="120" w:line="22" w:lineRule="atLeast"/>
        <w:rPr>
          <w:rFonts w:hint="eastAsia" w:ascii="宋体" w:hAnsi="宋体" w:cs="宋体"/>
          <w:sz w:val="24"/>
          <w:highlight w:val="none"/>
        </w:rPr>
      </w:pPr>
    </w:p>
    <w:p w14:paraId="1DC338B4">
      <w:pPr>
        <w:spacing w:before="120" w:line="22" w:lineRule="atLeast"/>
        <w:ind w:firstLine="960" w:firstLineChars="400"/>
        <w:rPr>
          <w:rFonts w:hint="eastAsia"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8CBB6DD">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cs="宋体"/>
          <w:b/>
          <w:sz w:val="24"/>
          <w:highlight w:val="none"/>
        </w:rPr>
        <w:br w:type="page"/>
      </w:r>
      <w:bookmarkStart w:id="424" w:name="_Hlk142248853"/>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龙港市公安局交通管理大队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2026年-2028年龙港市交通标志标线增设和维护项目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（中标或者成交供应商名称） </w:t>
      </w:r>
      <w:r>
        <w:rPr>
          <w:rFonts w:hint="eastAsia" w:ascii="宋体" w:hAnsi="宋体" w:eastAsia="宋体" w:cs="宋体"/>
          <w:color w:val="auto"/>
          <w:sz w:val="24"/>
          <w:highlight w:val="none"/>
        </w:rPr>
        <w:t>为该项目中标或者成交供应商。现于中标或者成交通知书发出之日起</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日内，按照采购文件确定的事项签订本合同。</w:t>
      </w:r>
    </w:p>
    <w:p w14:paraId="542A69EC">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龙港市公安局交通管理大队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（中或者成交标供应商名称）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5C19966">
      <w:pPr>
        <w:keepNext w:val="0"/>
        <w:keepLines w:val="0"/>
        <w:pageBreakBefore w:val="0"/>
        <w:kinsoku/>
        <w:wordWrap/>
        <w:overflowPunct/>
        <w:topLinePunct w:val="0"/>
        <w:autoSpaceDE/>
        <w:autoSpaceDN/>
        <w:bidi w:val="0"/>
        <w:snapToGrid/>
        <w:spacing w:line="360" w:lineRule="auto"/>
        <w:ind w:firstLine="482" w:firstLineChars="200"/>
        <w:textAlignment w:val="auto"/>
        <w:outlineLvl w:val="0"/>
        <w:rPr>
          <w:rFonts w:hint="eastAsia" w:ascii="宋体" w:hAnsi="宋体" w:eastAsia="宋体" w:cs="宋体"/>
          <w:color w:val="auto"/>
          <w:sz w:val="24"/>
          <w:highlight w:val="none"/>
        </w:rPr>
      </w:pPr>
      <w:bookmarkStart w:id="425" w:name="_Toc15367"/>
      <w:bookmarkStart w:id="426" w:name="_Toc20421"/>
      <w:bookmarkStart w:id="427" w:name="_Toc28855"/>
      <w:bookmarkStart w:id="428" w:name="_Toc19273"/>
      <w:bookmarkStart w:id="429" w:name="_Toc22967"/>
      <w:r>
        <w:rPr>
          <w:rFonts w:hint="eastAsia" w:ascii="宋体" w:hAnsi="宋体" w:eastAsia="宋体" w:cs="宋体"/>
          <w:b/>
          <w:color w:val="auto"/>
          <w:sz w:val="24"/>
          <w:highlight w:val="none"/>
        </w:rPr>
        <w:t>1.1 合同组成部分</w:t>
      </w:r>
      <w:bookmarkEnd w:id="425"/>
      <w:bookmarkEnd w:id="426"/>
      <w:bookmarkEnd w:id="427"/>
      <w:bookmarkEnd w:id="428"/>
      <w:bookmarkEnd w:id="429"/>
    </w:p>
    <w:p w14:paraId="1E145B8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F7EB8A6">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06C3655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中标或者成交通知书；</w:t>
      </w:r>
    </w:p>
    <w:p w14:paraId="1D2E48A7">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投标或者响应文件（含澄清或者说明文件）；</w:t>
      </w:r>
    </w:p>
    <w:p w14:paraId="5DAC1E06">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222DC78E">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399A5D5E">
      <w:pPr>
        <w:keepNext w:val="0"/>
        <w:keepLines w:val="0"/>
        <w:pageBreakBefore w:val="0"/>
        <w:kinsoku/>
        <w:wordWrap/>
        <w:overflowPunct/>
        <w:topLinePunct w:val="0"/>
        <w:autoSpaceDE/>
        <w:autoSpaceDN/>
        <w:bidi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30" w:name="_Toc2918"/>
      <w:bookmarkStart w:id="431" w:name="_Toc6311"/>
      <w:bookmarkStart w:id="432" w:name="_Toc18585"/>
      <w:bookmarkStart w:id="433" w:name="_Toc22185"/>
      <w:bookmarkStart w:id="434" w:name="_Toc6773"/>
      <w:r>
        <w:rPr>
          <w:rFonts w:hint="eastAsia" w:ascii="宋体" w:hAnsi="宋体" w:eastAsia="宋体" w:cs="宋体"/>
          <w:b/>
          <w:color w:val="auto"/>
          <w:sz w:val="24"/>
          <w:highlight w:val="none"/>
        </w:rPr>
        <w:t>1.2 标的</w:t>
      </w:r>
      <w:bookmarkEnd w:id="430"/>
      <w:bookmarkEnd w:id="431"/>
      <w:bookmarkEnd w:id="432"/>
      <w:bookmarkEnd w:id="433"/>
      <w:bookmarkEnd w:id="434"/>
    </w:p>
    <w:p w14:paraId="007DDDE6">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0619C9C">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服务标准：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1D26A6F">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1.2.3 技术保障：</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43CEE17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 服务人员组成：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4A296AF">
      <w:pPr>
        <w:pStyle w:val="965"/>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1.2.5合同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（是/否）涉及货物。若涉及货物的的，则：</w:t>
      </w:r>
    </w:p>
    <w:p w14:paraId="03A17E8F">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u w:val="single"/>
        </w:rPr>
      </w:pPr>
      <w:bookmarkStart w:id="435" w:name="_Toc13918"/>
      <w:bookmarkStart w:id="436" w:name="_Toc21124"/>
      <w:bookmarkStart w:id="437" w:name="_Toc5635"/>
      <w:bookmarkStart w:id="438" w:name="_Toc1386"/>
      <w:bookmarkStart w:id="439" w:name="_Toc4929"/>
      <w:r>
        <w:rPr>
          <w:rFonts w:hint="eastAsia" w:ascii="宋体" w:hAnsi="宋体" w:eastAsia="宋体" w:cs="宋体"/>
          <w:color w:val="auto"/>
          <w:sz w:val="24"/>
          <w:highlight w:val="none"/>
        </w:rPr>
        <w:t>1.2.5.1 货物名称、品牌、规格型号、花色：</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AEA11AF">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37D9F25">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5D42B31">
      <w:pPr>
        <w:keepNext w:val="0"/>
        <w:keepLines w:val="0"/>
        <w:pageBreakBefore w:val="0"/>
        <w:kinsoku/>
        <w:wordWrap/>
        <w:overflowPunct/>
        <w:topLinePunct w:val="0"/>
        <w:autoSpaceDE/>
        <w:autoSpaceDN/>
        <w:bidi w:val="0"/>
        <w:snapToGrid/>
        <w:spacing w:line="360" w:lineRule="auto"/>
        <w:ind w:firstLine="482" w:firstLineChars="200"/>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价款</w:t>
      </w:r>
      <w:bookmarkEnd w:id="435"/>
      <w:bookmarkEnd w:id="436"/>
      <w:bookmarkEnd w:id="437"/>
      <w:bookmarkEnd w:id="438"/>
      <w:bookmarkEnd w:id="439"/>
    </w:p>
    <w:p w14:paraId="7705B8AA">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本项目采用以下第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条款规定的计价方式计价。</w:t>
      </w:r>
    </w:p>
    <w:p w14:paraId="2DC209D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1.3.1总价合同，本合同总价（含税）为：￥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034886BA">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6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F60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D8A9EA3">
            <w:pPr>
              <w:pStyle w:val="330"/>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vAlign w:val="center"/>
          </w:tcPr>
          <w:p w14:paraId="3284D713">
            <w:pPr>
              <w:pStyle w:val="330"/>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vAlign w:val="center"/>
          </w:tcPr>
          <w:p w14:paraId="30B3F12D">
            <w:pPr>
              <w:pStyle w:val="330"/>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3C18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18AB02A">
            <w:pPr>
              <w:pStyle w:val="330"/>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5450412D">
            <w:pPr>
              <w:pStyle w:val="330"/>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644B010F">
            <w:pPr>
              <w:pStyle w:val="330"/>
              <w:spacing w:line="560" w:lineRule="exact"/>
              <w:ind w:firstLine="200"/>
              <w:jc w:val="center"/>
              <w:rPr>
                <w:rFonts w:hint="eastAsia" w:ascii="宋体" w:hAnsi="宋体" w:eastAsia="宋体" w:cs="宋体"/>
                <w:color w:val="auto"/>
                <w:sz w:val="24"/>
                <w:szCs w:val="24"/>
                <w:highlight w:val="none"/>
              </w:rPr>
            </w:pPr>
          </w:p>
        </w:tc>
      </w:tr>
      <w:tr w14:paraId="2CDE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97919FE">
            <w:pPr>
              <w:pStyle w:val="330"/>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4577005A">
            <w:pPr>
              <w:pStyle w:val="330"/>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52596556">
            <w:pPr>
              <w:pStyle w:val="330"/>
              <w:spacing w:line="560" w:lineRule="exact"/>
              <w:ind w:firstLine="200"/>
              <w:jc w:val="center"/>
              <w:rPr>
                <w:rFonts w:hint="eastAsia" w:ascii="宋体" w:hAnsi="宋体" w:eastAsia="宋体" w:cs="宋体"/>
                <w:color w:val="auto"/>
                <w:sz w:val="24"/>
                <w:szCs w:val="24"/>
                <w:highlight w:val="none"/>
              </w:rPr>
            </w:pPr>
          </w:p>
        </w:tc>
      </w:tr>
      <w:tr w14:paraId="7933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4231EF1">
            <w:pPr>
              <w:pStyle w:val="330"/>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2AB34CC9">
            <w:pPr>
              <w:pStyle w:val="330"/>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16F7D5A0">
            <w:pPr>
              <w:pStyle w:val="330"/>
              <w:spacing w:line="560" w:lineRule="exact"/>
              <w:ind w:firstLine="200"/>
              <w:jc w:val="center"/>
              <w:rPr>
                <w:rFonts w:hint="eastAsia" w:ascii="宋体" w:hAnsi="宋体" w:eastAsia="宋体" w:cs="宋体"/>
                <w:color w:val="auto"/>
                <w:sz w:val="24"/>
                <w:szCs w:val="24"/>
                <w:highlight w:val="none"/>
              </w:rPr>
            </w:pPr>
          </w:p>
        </w:tc>
      </w:tr>
      <w:tr w14:paraId="34D3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51BECF5">
            <w:pPr>
              <w:pStyle w:val="330"/>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4AE8FF54">
            <w:pPr>
              <w:pStyle w:val="330"/>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3C8E000F">
            <w:pPr>
              <w:pStyle w:val="330"/>
              <w:spacing w:line="560" w:lineRule="exact"/>
              <w:ind w:firstLine="200"/>
              <w:jc w:val="center"/>
              <w:rPr>
                <w:rFonts w:hint="eastAsia" w:ascii="宋体" w:hAnsi="宋体" w:eastAsia="宋体" w:cs="宋体"/>
                <w:color w:val="auto"/>
                <w:sz w:val="24"/>
                <w:szCs w:val="24"/>
                <w:highlight w:val="none"/>
              </w:rPr>
            </w:pPr>
          </w:p>
        </w:tc>
      </w:tr>
      <w:tr w14:paraId="2D16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7D7C113">
            <w:pPr>
              <w:pStyle w:val="330"/>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51A3B99A">
            <w:pPr>
              <w:pStyle w:val="330"/>
              <w:spacing w:line="560" w:lineRule="exact"/>
              <w:ind w:firstLine="200"/>
              <w:jc w:val="center"/>
              <w:rPr>
                <w:rFonts w:hint="eastAsia" w:ascii="宋体" w:hAnsi="宋体" w:eastAsia="宋体" w:cs="宋体"/>
                <w:color w:val="auto"/>
                <w:sz w:val="24"/>
                <w:szCs w:val="24"/>
                <w:highlight w:val="none"/>
              </w:rPr>
            </w:pPr>
          </w:p>
        </w:tc>
      </w:tr>
    </w:tbl>
    <w:p w14:paraId="0F84A9A1">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bookmarkStart w:id="440" w:name="_Toc14993"/>
      <w:bookmarkStart w:id="441" w:name="_Toc26916"/>
      <w:bookmarkStart w:id="442" w:name="_Toc30158"/>
      <w:bookmarkStart w:id="443" w:name="_Toc3654"/>
      <w:bookmarkStart w:id="444" w:name="_Toc30506"/>
      <w:r>
        <w:rPr>
          <w:rFonts w:hint="eastAsia" w:ascii="宋体" w:hAnsi="宋体" w:eastAsia="宋体" w:cs="宋体"/>
          <w:bCs/>
          <w:color w:val="auto"/>
          <w:sz w:val="24"/>
          <w:highlight w:val="none"/>
        </w:rPr>
        <w:t>1.3.2单价合同，本合同单价（含税）标准为：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。服务工作量的计量方式为：</w:t>
      </w:r>
      <w:r>
        <w:rPr>
          <w:rFonts w:hint="eastAsia" w:ascii="宋体" w:hAnsi="宋体" w:eastAsia="宋体" w:cs="宋体"/>
          <w:bCs/>
          <w:color w:val="auto"/>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62C25C3E">
      <w:pPr>
        <w:pStyle w:val="3"/>
        <w:pageBreakBefore w:val="0"/>
        <w:numPr>
          <w:ilvl w:val="0"/>
          <w:numId w:val="0"/>
        </w:numPr>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highlight w:val="none"/>
          <w:lang w:val="en-US"/>
        </w:rPr>
      </w:pP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40"/>
    <w:bookmarkEnd w:id="441"/>
    <w:bookmarkEnd w:id="442"/>
    <w:bookmarkEnd w:id="443"/>
    <w:bookmarkEnd w:id="444"/>
    <w:p w14:paraId="552BF20E">
      <w:pPr>
        <w:pStyle w:val="965"/>
        <w:pageBreakBefore w:val="0"/>
        <w:kinsoku/>
        <w:wordWrap/>
        <w:overflowPunct/>
        <w:topLinePunct w:val="0"/>
        <w:autoSpaceDE/>
        <w:autoSpaceDN/>
        <w:bidi w:val="0"/>
        <w:snapToGrid/>
        <w:spacing w:before="0" w:beforeAutospacing="0" w:after="0" w:afterAutospacing="0" w:line="360" w:lineRule="auto"/>
        <w:ind w:left="0" w:leftChars="0" w:right="0" w:rightChars="0" w:firstLine="482" w:firstLineChars="200"/>
        <w:textAlignment w:val="auto"/>
        <w:rPr>
          <w:rFonts w:hint="eastAsia" w:ascii="宋体" w:hAnsi="宋体" w:eastAsia="宋体" w:cs="宋体"/>
          <w:b/>
          <w:color w:val="auto"/>
          <w:highlight w:val="none"/>
        </w:rPr>
      </w:pPr>
      <w:bookmarkStart w:id="445" w:name="_Toc1814"/>
      <w:bookmarkStart w:id="446" w:name="_Toc10340"/>
      <w:bookmarkStart w:id="447" w:name="_Toc22618"/>
      <w:bookmarkStart w:id="448" w:name="_Toc4760"/>
      <w:bookmarkStart w:id="449" w:name="_Toc31421"/>
      <w:bookmarkStart w:id="450" w:name="_Toc8772"/>
      <w:bookmarkStart w:id="451" w:name="_Toc3625"/>
      <w:bookmarkStart w:id="452" w:name="_Toc11108"/>
      <w:r>
        <w:rPr>
          <w:rFonts w:hint="eastAsia" w:ascii="宋体" w:hAnsi="宋体" w:eastAsia="宋体" w:cs="宋体"/>
          <w:b/>
          <w:color w:val="auto"/>
          <w:highlight w:val="none"/>
        </w:rPr>
        <w:t>1.4履约保证金</w:t>
      </w:r>
    </w:p>
    <w:p w14:paraId="7DF3427A">
      <w:pPr>
        <w:pStyle w:val="965"/>
        <w:pageBreakBefore w:val="0"/>
        <w:kinsoku/>
        <w:wordWrap/>
        <w:overflowPunct/>
        <w:topLinePunct w:val="0"/>
        <w:autoSpaceDE/>
        <w:autoSpaceDN/>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否</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（是/否）需要支付履约保证金。若需要支付履约保证金的，则：</w:t>
      </w:r>
    </w:p>
    <w:p w14:paraId="70AEA66A">
      <w:pPr>
        <w:pageBreakBefore w:val="0"/>
        <w:kinsoku/>
        <w:wordWrap/>
        <w:overflowPunct/>
        <w:topLinePunct w:val="0"/>
        <w:autoSpaceDE/>
        <w:autoSpaceDN/>
        <w:bidi w:val="0"/>
        <w:snapToGrid/>
        <w:spacing w:line="360" w:lineRule="auto"/>
        <w:ind w:left="0" w:leftChars="0" w:right="0" w:rightChars="0" w:firstLine="480" w:firstLineChars="200"/>
        <w:textAlignment w:val="auto"/>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1.4.1履约保证金的比例为合同金额的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0BCCE506">
      <w:pPr>
        <w:pageBreakBefore w:val="0"/>
        <w:kinsoku/>
        <w:wordWrap/>
        <w:overflowPunct/>
        <w:topLinePunct w:val="0"/>
        <w:autoSpaceDE/>
        <w:autoSpaceDN/>
        <w:bidi w:val="0"/>
        <w:snapToGrid/>
        <w:spacing w:line="360" w:lineRule="auto"/>
        <w:ind w:left="0" w:leftChars="0" w:right="0" w:rightChars="0" w:firstLine="480" w:firstLineChars="200"/>
        <w:textAlignment w:val="auto"/>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1.4.2履约保证金支付方式详见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51B8A181">
      <w:pPr>
        <w:pStyle w:val="3"/>
        <w:pageBreakBefore w:val="0"/>
        <w:numPr>
          <w:ilvl w:val="0"/>
          <w:numId w:val="0"/>
        </w:numPr>
        <w:tabs>
          <w:tab w:val="left" w:pos="0"/>
          <w:tab w:val="clear" w:pos="432"/>
        </w:tabs>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A653CF7">
      <w:pPr>
        <w:pageBreakBefore w:val="0"/>
        <w:kinsoku/>
        <w:wordWrap/>
        <w:overflowPunct/>
        <w:topLinePunct w:val="0"/>
        <w:autoSpaceDE/>
        <w:autoSpaceDN/>
        <w:bidi w:val="0"/>
        <w:snapToGrid/>
        <w:spacing w:line="360" w:lineRule="auto"/>
        <w:ind w:left="0" w:leftChars="0" w:right="0" w:rightChars="0" w:firstLine="480" w:firstLineChars="200"/>
        <w:textAlignment w:val="auto"/>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1.4.4甲方在项目验收结束后及时退还履约保证金。甲方在项目通过验收之日起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highlight w:val="none"/>
          <w:u w:val="single"/>
        </w:rPr>
        <w:t xml:space="preserve">  0.05（可根据情况修改）  </w:t>
      </w:r>
      <w:r>
        <w:rPr>
          <w:rFonts w:hint="eastAsia" w:ascii="宋体" w:hAnsi="宋体" w:eastAsia="宋体" w:cs="宋体"/>
          <w:color w:val="auto"/>
          <w:kern w:val="0"/>
          <w:sz w:val="24"/>
          <w:highlight w:val="none"/>
        </w:rPr>
        <w:t>%计算，最高限额为本合同履约保证金的</w:t>
      </w:r>
      <w:r>
        <w:rPr>
          <w:rFonts w:hint="eastAsia" w:ascii="宋体" w:hAnsi="宋体" w:eastAsia="宋体" w:cs="宋体"/>
          <w:color w:val="auto"/>
          <w:kern w:val="0"/>
          <w:sz w:val="24"/>
          <w:highlight w:val="none"/>
          <w:u w:val="single"/>
        </w:rPr>
        <w:t xml:space="preserve">  20  </w:t>
      </w:r>
      <w:r>
        <w:rPr>
          <w:rFonts w:hint="eastAsia" w:ascii="宋体" w:hAnsi="宋体" w:eastAsia="宋体" w:cs="宋体"/>
          <w:color w:val="auto"/>
          <w:kern w:val="0"/>
          <w:sz w:val="24"/>
          <w:highlight w:val="none"/>
        </w:rPr>
        <w:t xml:space="preserve"> %。</w:t>
      </w:r>
    </w:p>
    <w:p w14:paraId="11651CEC">
      <w:pPr>
        <w:pageBreakBefore w:val="0"/>
        <w:kinsoku/>
        <w:wordWrap/>
        <w:overflowPunct/>
        <w:topLinePunct w:val="0"/>
        <w:autoSpaceDE/>
        <w:autoSpaceDN/>
        <w:bidi w:val="0"/>
        <w:snapToGrid/>
        <w:spacing w:line="360" w:lineRule="auto"/>
        <w:ind w:left="0" w:leftChars="0" w:right="0" w:rightChars="0" w:firstLine="482" w:firstLineChars="200"/>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w:t>
      </w:r>
      <w:bookmarkEnd w:id="445"/>
      <w:bookmarkEnd w:id="446"/>
      <w:bookmarkEnd w:id="447"/>
      <w:r>
        <w:rPr>
          <w:rFonts w:hint="eastAsia" w:ascii="宋体" w:hAnsi="宋体" w:eastAsia="宋体" w:cs="宋体"/>
          <w:b/>
          <w:color w:val="auto"/>
          <w:sz w:val="24"/>
          <w:highlight w:val="none"/>
        </w:rPr>
        <w:t>预付款</w:t>
      </w:r>
    </w:p>
    <w:p w14:paraId="1C8A987C">
      <w:pPr>
        <w:pStyle w:val="965"/>
        <w:pageBreakBefore w:val="0"/>
        <w:kinsoku/>
        <w:wordWrap/>
        <w:overflowPunct/>
        <w:topLinePunct w:val="0"/>
        <w:autoSpaceDE/>
        <w:autoSpaceDN/>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（是/否）需要支付预付款。若需要支付预付款的，则：</w:t>
      </w:r>
    </w:p>
    <w:p w14:paraId="66AF0F95">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1.5.1预付款比例、支付方式、时间详见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EA0BCAC">
      <w:pPr>
        <w:pStyle w:val="965"/>
        <w:pageBreakBefore w:val="0"/>
        <w:kinsoku/>
        <w:wordWrap/>
        <w:overflowPunct/>
        <w:topLinePunct w:val="0"/>
        <w:autoSpaceDE/>
        <w:autoSpaceDN/>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1.5.2预付款的扣回方式详见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AC3BE68">
      <w:pPr>
        <w:pStyle w:val="965"/>
        <w:pageBreakBefore w:val="0"/>
        <w:kinsoku/>
        <w:wordWrap/>
        <w:overflowPunct/>
        <w:topLinePunct w:val="0"/>
        <w:autoSpaceDE/>
        <w:autoSpaceDN/>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1.5.3预付款的担保措施详见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C322CBD">
      <w:pPr>
        <w:pStyle w:val="965"/>
        <w:pageBreakBefore w:val="0"/>
        <w:kinsoku/>
        <w:wordWrap/>
        <w:overflowPunct/>
        <w:topLinePunct w:val="0"/>
        <w:autoSpaceDE/>
        <w:autoSpaceDN/>
        <w:bidi w:val="0"/>
        <w:snapToGrid/>
        <w:spacing w:before="0" w:beforeAutospacing="0" w:after="0" w:afterAutospacing="0" w:line="360" w:lineRule="auto"/>
        <w:ind w:left="0" w:leftChars="0" w:right="0" w:rightChars="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1.6资金支付</w:t>
      </w:r>
    </w:p>
    <w:p w14:paraId="62261303">
      <w:pPr>
        <w:pStyle w:val="965"/>
        <w:pageBreakBefore w:val="0"/>
        <w:kinsoku/>
        <w:wordWrap/>
        <w:overflowPunct/>
        <w:topLinePunct w:val="0"/>
        <w:autoSpaceDE/>
        <w:autoSpaceDN/>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D3026EB">
      <w:pPr>
        <w:pageBreakBefore w:val="0"/>
        <w:kinsoku/>
        <w:wordWrap/>
        <w:overflowPunct/>
        <w:topLinePunct w:val="0"/>
        <w:autoSpaceDE/>
        <w:autoSpaceDN/>
        <w:bidi w:val="0"/>
        <w:snapToGrid/>
        <w:spacing w:line="360" w:lineRule="auto"/>
        <w:ind w:left="0" w:leftChars="0" w:right="0" w:rightChars="0" w:firstLine="480" w:firstLineChars="200"/>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1.6.2资金支付的方式、时间和条件详见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916C7B7">
      <w:pPr>
        <w:pageBreakBefore w:val="0"/>
        <w:kinsoku/>
        <w:wordWrap/>
        <w:overflowPunct/>
        <w:topLinePunct w:val="0"/>
        <w:autoSpaceDE/>
        <w:autoSpaceDN/>
        <w:bidi w:val="0"/>
        <w:snapToGrid/>
        <w:spacing w:line="360" w:lineRule="auto"/>
        <w:ind w:left="0" w:leftChars="0" w:right="0" w:rightChars="0" w:firstLine="482" w:firstLineChars="200"/>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 履行期限、地点和方式</w:t>
      </w:r>
      <w:bookmarkEnd w:id="448"/>
      <w:bookmarkEnd w:id="449"/>
      <w:bookmarkEnd w:id="450"/>
      <w:bookmarkEnd w:id="451"/>
      <w:bookmarkEnd w:id="452"/>
    </w:p>
    <w:p w14:paraId="0E81BA7C">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1.7.1 服务交付（实施）的时间（期限）：</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F011297">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服务交付（实施）的地点（地域范围）：</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3105BFE">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服务交付（实施）的方式：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F5F11AD">
      <w:pPr>
        <w:pageBreakBefore w:val="0"/>
        <w:kinsoku/>
        <w:wordWrap/>
        <w:overflowPunct/>
        <w:topLinePunct w:val="0"/>
        <w:autoSpaceDE/>
        <w:autoSpaceDN/>
        <w:bidi w:val="0"/>
        <w:snapToGrid/>
        <w:spacing w:line="360" w:lineRule="auto"/>
        <w:ind w:left="0" w:leftChars="0" w:right="0" w:rightChars="0" w:firstLine="480" w:firstLineChars="200"/>
        <w:textAlignment w:val="auto"/>
        <w:outlineLvl w:val="0"/>
        <w:rPr>
          <w:rFonts w:hint="eastAsia" w:ascii="宋体" w:hAnsi="宋体" w:eastAsia="宋体" w:cs="宋体"/>
          <w:bCs/>
          <w:color w:val="auto"/>
          <w:sz w:val="24"/>
          <w:highlight w:val="none"/>
        </w:rPr>
      </w:pPr>
      <w:bookmarkStart w:id="453" w:name="_Toc3079"/>
      <w:bookmarkStart w:id="454" w:name="_Toc2375"/>
      <w:bookmarkStart w:id="455" w:name="_Toc8586"/>
      <w:bookmarkStart w:id="456" w:name="_Toc24662"/>
      <w:bookmarkStart w:id="457" w:name="_Toc5698"/>
      <w:r>
        <w:rPr>
          <w:rFonts w:hint="eastAsia" w:ascii="宋体" w:hAnsi="宋体" w:eastAsia="宋体" w:cs="宋体"/>
          <w:bCs/>
          <w:color w:val="auto"/>
          <w:sz w:val="24"/>
          <w:highlight w:val="none"/>
        </w:rPr>
        <w:t>1.7.4若服务涉及货物的，则货物的：</w:t>
      </w:r>
    </w:p>
    <w:p w14:paraId="7D736F78">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1.7.4.1 交付期限：</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B4C675D">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1.7.4.2 交付地点：</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2A9BF4C">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1.7.4.3 交付方式：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2D162FE">
      <w:pPr>
        <w:pageBreakBefore w:val="0"/>
        <w:kinsoku/>
        <w:wordWrap/>
        <w:overflowPunct/>
        <w:topLinePunct w:val="0"/>
        <w:autoSpaceDE/>
        <w:autoSpaceDN/>
        <w:bidi w:val="0"/>
        <w:snapToGrid/>
        <w:spacing w:line="360" w:lineRule="auto"/>
        <w:ind w:left="0" w:leftChars="0" w:right="0" w:rightChars="0" w:firstLine="482" w:firstLineChars="200"/>
        <w:textAlignment w:val="auto"/>
        <w:outlineLvl w:val="0"/>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1.8违约责任</w:t>
      </w:r>
      <w:bookmarkEnd w:id="453"/>
      <w:bookmarkEnd w:id="454"/>
      <w:bookmarkEnd w:id="455"/>
      <w:bookmarkEnd w:id="456"/>
      <w:bookmarkEnd w:id="457"/>
    </w:p>
    <w:p w14:paraId="7FE1A334">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highlight w:val="none"/>
          <w:u w:val="single"/>
        </w:rPr>
        <w:t xml:space="preserve">0.05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696625CF">
      <w:pPr>
        <w:pStyle w:val="3"/>
        <w:pageBreakBefore w:val="0"/>
        <w:numPr>
          <w:ilvl w:val="0"/>
          <w:numId w:val="0"/>
        </w:numPr>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55A062A5">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0.05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w:t>
      </w:r>
      <w:r>
        <w:rPr>
          <w:rFonts w:hint="eastAsia" w:ascii="宋体" w:hAnsi="宋体" w:eastAsia="宋体" w:cs="宋体"/>
          <w:color w:val="auto"/>
          <w:kern w:val="0"/>
          <w:sz w:val="24"/>
          <w:highlight w:val="none"/>
          <w:u w:val="single"/>
        </w:rPr>
        <w:t>（可根据情况修改）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1EE15284">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bookmarkStart w:id="458" w:name="_Toc30329"/>
      <w:bookmarkStart w:id="459" w:name="_Toc32454"/>
      <w:bookmarkStart w:id="460" w:name="_Toc26807"/>
      <w:bookmarkStart w:id="461" w:name="_Toc18683"/>
      <w:bookmarkStart w:id="462" w:name="_Toc9497"/>
      <w:r>
        <w:rPr>
          <w:rFonts w:hint="eastAsia" w:ascii="宋体" w:hAnsi="宋体" w:eastAsia="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9E35637">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FADC188">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31C75454">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1.8.7违约责任</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另有约定的，从其约定。</w:t>
      </w:r>
    </w:p>
    <w:bookmarkEnd w:id="458"/>
    <w:bookmarkEnd w:id="459"/>
    <w:bookmarkEnd w:id="460"/>
    <w:bookmarkEnd w:id="461"/>
    <w:bookmarkEnd w:id="462"/>
    <w:p w14:paraId="5ECFA8C0">
      <w:pPr>
        <w:pageBreakBefore w:val="0"/>
        <w:kinsoku/>
        <w:wordWrap/>
        <w:overflowPunct/>
        <w:topLinePunct w:val="0"/>
        <w:autoSpaceDE/>
        <w:autoSpaceDN/>
        <w:bidi w:val="0"/>
        <w:snapToGrid/>
        <w:spacing w:line="360" w:lineRule="auto"/>
        <w:ind w:left="0" w:leftChars="0" w:right="0" w:rightChars="0" w:firstLine="482" w:firstLineChars="200"/>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1.9合同争议的解决</w:t>
      </w:r>
    </w:p>
    <w:p w14:paraId="376824C2">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4"/>
          <w:highlight w:val="none"/>
          <w:u w:val="single"/>
        </w:rPr>
        <w:t xml:space="preserve">  1.9.2  </w:t>
      </w:r>
      <w:r>
        <w:rPr>
          <w:rFonts w:hint="eastAsia" w:ascii="宋体" w:hAnsi="宋体" w:eastAsia="宋体" w:cs="宋体"/>
          <w:color w:val="auto"/>
          <w:sz w:val="24"/>
          <w:highlight w:val="none"/>
        </w:rPr>
        <w:t>条款规定的方式解决：</w:t>
      </w:r>
    </w:p>
    <w:p w14:paraId="3C397AE3">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将争议提交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仲裁委员会依申请仲裁时其现行有效的仲裁规则裁决；</w:t>
      </w:r>
    </w:p>
    <w:p w14:paraId="68BA465D">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向</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人民法院起诉。</w:t>
      </w:r>
    </w:p>
    <w:p w14:paraId="173D88B0">
      <w:pPr>
        <w:pageBreakBefore w:val="0"/>
        <w:kinsoku/>
        <w:wordWrap/>
        <w:overflowPunct/>
        <w:topLinePunct w:val="0"/>
        <w:autoSpaceDE/>
        <w:autoSpaceDN/>
        <w:bidi w:val="0"/>
        <w:snapToGrid/>
        <w:spacing w:line="360" w:lineRule="auto"/>
        <w:ind w:left="0" w:leftChars="0" w:right="0" w:rightChars="0" w:firstLine="482" w:firstLineChars="200"/>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 合同生效</w:t>
      </w:r>
    </w:p>
    <w:p w14:paraId="210F8043">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本合同自双方当事人盖章签字时生效。</w:t>
      </w:r>
    </w:p>
    <w:p w14:paraId="26144643">
      <w:pPr>
        <w:autoSpaceDE w:val="0"/>
        <w:autoSpaceDN w:val="0"/>
        <w:spacing w:line="560" w:lineRule="exact"/>
        <w:rPr>
          <w:rFonts w:hint="eastAsia" w:ascii="宋体" w:hAnsi="宋体" w:eastAsia="宋体" w:cs="宋体"/>
          <w:color w:val="auto"/>
          <w:sz w:val="24"/>
          <w:highlight w:val="none"/>
          <w:lang w:val="zh-CN"/>
        </w:rPr>
      </w:pPr>
    </w:p>
    <w:p w14:paraId="714482E6">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15AB0499">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747632ED">
      <w:pPr>
        <w:autoSpaceDE w:val="0"/>
        <w:autoSpaceDN w:val="0"/>
        <w:spacing w:line="560" w:lineRule="exact"/>
        <w:rPr>
          <w:rFonts w:hint="eastAsia" w:ascii="宋体" w:hAnsi="宋体" w:eastAsia="宋体" w:cs="宋体"/>
          <w:color w:val="auto"/>
          <w:sz w:val="24"/>
          <w:highlight w:val="none"/>
          <w:lang w:val="zh-CN"/>
        </w:rPr>
      </w:pPr>
    </w:p>
    <w:p w14:paraId="1A3A5F08">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5F89EABB">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法定代表人或</w:t>
      </w:r>
    </w:p>
    <w:p w14:paraId="39AD0A69">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授权代表（签字）: </w:t>
      </w:r>
    </w:p>
    <w:p w14:paraId="77E3E165">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76BA4EF2">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34D07D45">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719D842">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07860E76">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2C624A8F">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116954E5">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4AD1047C">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5086C859">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6B950995">
      <w:pPr>
        <w:widowControl/>
        <w:spacing w:line="560" w:lineRule="exact"/>
        <w:jc w:val="left"/>
        <w:rPr>
          <w:rFonts w:hint="eastAsia" w:ascii="宋体" w:hAnsi="宋体" w:eastAsia="宋体" w:cs="宋体"/>
          <w:b/>
          <w:color w:val="auto"/>
          <w:sz w:val="24"/>
          <w:highlight w:val="none"/>
        </w:rPr>
      </w:pPr>
    </w:p>
    <w:p w14:paraId="50699CFE">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highlight w:val="none"/>
        </w:rPr>
        <w:br w:type="page"/>
      </w:r>
    </w:p>
    <w:p w14:paraId="323038BD">
      <w:pPr>
        <w:pStyle w:val="707"/>
        <w:spacing w:line="560" w:lineRule="exact"/>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p>
    <w:p w14:paraId="3B1C0B6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63" w:name="_Toc5228"/>
      <w:bookmarkStart w:id="464" w:name="_Toc31297"/>
      <w:bookmarkStart w:id="465" w:name="_Toc14021"/>
      <w:bookmarkStart w:id="466" w:name="_Toc25079"/>
      <w:bookmarkStart w:id="467" w:name="_Toc19680"/>
      <w:r>
        <w:rPr>
          <w:rFonts w:hint="eastAsia" w:ascii="宋体" w:hAnsi="宋体" w:eastAsia="宋体" w:cs="宋体"/>
          <w:b/>
          <w:color w:val="auto"/>
          <w:sz w:val="24"/>
          <w:highlight w:val="none"/>
        </w:rPr>
        <w:t>2.1 定义</w:t>
      </w:r>
      <w:bookmarkEnd w:id="463"/>
      <w:bookmarkEnd w:id="464"/>
      <w:bookmarkEnd w:id="465"/>
      <w:bookmarkEnd w:id="466"/>
      <w:bookmarkEnd w:id="467"/>
    </w:p>
    <w:p w14:paraId="5CCED54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70437BF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“合同”系指采购人和中标或成交供应商签订的载明双方当事人所达成的协议，并包括所有的附件、附录和构成合同的其他文件。</w:t>
      </w:r>
    </w:p>
    <w:p w14:paraId="4F498B4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“合同价”系指根据合同约定，中标或成交供应商在完全履行合同义务后，采购人应支付给中标或成交供应商的价格。</w:t>
      </w:r>
    </w:p>
    <w:p w14:paraId="022E3A5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40143D1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“甲方”系指与中标或成交供应商签署合同的采购人；采购人委托采购代理机构代表其与乙方签订合同的，采购人的授权委托书作为合同附件。</w:t>
      </w:r>
    </w:p>
    <w:p w14:paraId="0CFF12E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0BFAF9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“现场”系指合同约定提供服务的地点。</w:t>
      </w:r>
    </w:p>
    <w:p w14:paraId="2977435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68" w:name="_Toc19539"/>
      <w:bookmarkStart w:id="469" w:name="_Toc16752"/>
      <w:bookmarkStart w:id="470" w:name="_Toc31402"/>
      <w:bookmarkStart w:id="471" w:name="_Toc3769"/>
      <w:bookmarkStart w:id="472" w:name="_Toc23289"/>
      <w:r>
        <w:rPr>
          <w:rFonts w:hint="eastAsia" w:ascii="宋体" w:hAnsi="宋体" w:eastAsia="宋体" w:cs="宋体"/>
          <w:b/>
          <w:color w:val="auto"/>
          <w:sz w:val="24"/>
          <w:highlight w:val="none"/>
        </w:rPr>
        <w:t>2.2 技术规范</w:t>
      </w:r>
      <w:bookmarkEnd w:id="468"/>
      <w:bookmarkEnd w:id="469"/>
      <w:bookmarkEnd w:id="470"/>
      <w:bookmarkEnd w:id="471"/>
      <w:bookmarkEnd w:id="472"/>
    </w:p>
    <w:p w14:paraId="3B836A2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C8A8141">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73" w:name="_Toc27945"/>
      <w:bookmarkStart w:id="474" w:name="_Toc9161"/>
      <w:bookmarkStart w:id="475" w:name="_Toc4133"/>
      <w:bookmarkStart w:id="476" w:name="_Toc13673"/>
      <w:bookmarkStart w:id="477" w:name="_Toc12412"/>
      <w:r>
        <w:rPr>
          <w:rFonts w:hint="eastAsia" w:ascii="宋体" w:hAnsi="宋体" w:eastAsia="宋体" w:cs="宋体"/>
          <w:b/>
          <w:color w:val="auto"/>
          <w:sz w:val="24"/>
          <w:highlight w:val="none"/>
        </w:rPr>
        <w:t>2.3 知识产权</w:t>
      </w:r>
      <w:bookmarkEnd w:id="473"/>
      <w:bookmarkEnd w:id="474"/>
      <w:bookmarkEnd w:id="475"/>
      <w:bookmarkEnd w:id="476"/>
      <w:bookmarkEnd w:id="477"/>
    </w:p>
    <w:p w14:paraId="308AE3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0942662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91D559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14:paraId="3B48DB4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34807EC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p>
    <w:p w14:paraId="18DB64B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78" w:name="_Toc22011"/>
      <w:bookmarkStart w:id="479" w:name="_Toc15447"/>
      <w:bookmarkStart w:id="480" w:name="_Toc26555"/>
      <w:bookmarkStart w:id="481" w:name="_Toc32670"/>
      <w:bookmarkStart w:id="482" w:name="_Toc31233"/>
      <w:r>
        <w:rPr>
          <w:rFonts w:hint="eastAsia" w:ascii="宋体" w:hAnsi="宋体" w:eastAsia="宋体" w:cs="宋体"/>
          <w:b/>
          <w:color w:val="auto"/>
          <w:sz w:val="24"/>
          <w:highlight w:val="none"/>
        </w:rPr>
        <w:t>2.5 结算方式和付款条件</w:t>
      </w:r>
      <w:bookmarkEnd w:id="478"/>
      <w:bookmarkEnd w:id="479"/>
      <w:bookmarkEnd w:id="480"/>
      <w:bookmarkEnd w:id="481"/>
      <w:bookmarkEnd w:id="482"/>
    </w:p>
    <w:p w14:paraId="426CC58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0040F1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83" w:name="_Toc16163"/>
      <w:bookmarkStart w:id="484" w:name="_Toc13154"/>
      <w:bookmarkStart w:id="485" w:name="_Toc30507"/>
      <w:bookmarkStart w:id="486" w:name="_Toc18990"/>
      <w:bookmarkStart w:id="487" w:name="_Toc13467"/>
      <w:r>
        <w:rPr>
          <w:rFonts w:hint="eastAsia" w:ascii="宋体" w:hAnsi="宋体" w:eastAsia="宋体" w:cs="宋体"/>
          <w:b/>
          <w:color w:val="auto"/>
          <w:sz w:val="24"/>
          <w:highlight w:val="none"/>
        </w:rPr>
        <w:t>2.6 技术资料和保密义务</w:t>
      </w:r>
      <w:bookmarkEnd w:id="483"/>
      <w:bookmarkEnd w:id="484"/>
      <w:bookmarkEnd w:id="485"/>
      <w:bookmarkEnd w:id="486"/>
      <w:bookmarkEnd w:id="487"/>
    </w:p>
    <w:p w14:paraId="29EFB92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14:paraId="23F3A56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14:paraId="4282BB1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7553BF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88" w:name="_Toc19069"/>
      <w:r>
        <w:rPr>
          <w:rFonts w:hint="eastAsia" w:ascii="宋体" w:hAnsi="宋体" w:eastAsia="宋体" w:cs="宋体"/>
          <w:b/>
          <w:color w:val="auto"/>
          <w:sz w:val="24"/>
          <w:highlight w:val="none"/>
        </w:rPr>
        <w:t>2.7 质量保证</w:t>
      </w:r>
      <w:bookmarkEnd w:id="488"/>
    </w:p>
    <w:p w14:paraId="423BC1F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14:paraId="1C175C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14:paraId="324D928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89" w:name="_Toc22267"/>
      <w:r>
        <w:rPr>
          <w:rFonts w:hint="eastAsia" w:ascii="宋体" w:hAnsi="宋体" w:eastAsia="宋体" w:cs="宋体"/>
          <w:b/>
          <w:color w:val="auto"/>
          <w:sz w:val="24"/>
          <w:highlight w:val="none"/>
        </w:rPr>
        <w:t>2.8 延迟履行</w:t>
      </w:r>
      <w:bookmarkEnd w:id="489"/>
    </w:p>
    <w:p w14:paraId="551F8F5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6730E1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90" w:name="_Toc10611"/>
      <w:r>
        <w:rPr>
          <w:rFonts w:hint="eastAsia" w:ascii="宋体" w:hAnsi="宋体" w:eastAsia="宋体" w:cs="宋体"/>
          <w:b/>
          <w:color w:val="auto"/>
          <w:sz w:val="24"/>
          <w:highlight w:val="none"/>
        </w:rPr>
        <w:t>2.9 合同变更</w:t>
      </w:r>
      <w:bookmarkEnd w:id="490"/>
    </w:p>
    <w:p w14:paraId="583C3D3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42F96D9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91" w:name="_Toc10663"/>
      <w:bookmarkStart w:id="492" w:name="_Toc42"/>
      <w:bookmarkStart w:id="493" w:name="_Toc26689"/>
      <w:bookmarkStart w:id="494" w:name="_Toc21830"/>
      <w:bookmarkStart w:id="495" w:name="_Toc23368"/>
      <w:r>
        <w:rPr>
          <w:rFonts w:hint="eastAsia" w:ascii="宋体" w:hAnsi="宋体" w:eastAsia="宋体" w:cs="宋体"/>
          <w:b/>
          <w:color w:val="auto"/>
          <w:sz w:val="24"/>
          <w:highlight w:val="none"/>
        </w:rPr>
        <w:t>2.10 合同转让和分包</w:t>
      </w:r>
      <w:bookmarkEnd w:id="491"/>
      <w:bookmarkEnd w:id="492"/>
      <w:bookmarkEnd w:id="493"/>
      <w:bookmarkEnd w:id="494"/>
      <w:bookmarkEnd w:id="495"/>
    </w:p>
    <w:p w14:paraId="252D251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E7F82A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496" w:name="_Toc14371"/>
      <w:bookmarkStart w:id="497" w:name="_Toc26633"/>
      <w:bookmarkStart w:id="498" w:name="_Toc25571"/>
      <w:bookmarkStart w:id="499" w:name="_Toc4720"/>
      <w:bookmarkStart w:id="500" w:name="_Toc32494"/>
      <w:r>
        <w:rPr>
          <w:rFonts w:hint="eastAsia" w:ascii="宋体" w:hAnsi="宋体" w:eastAsia="宋体" w:cs="宋体"/>
          <w:b/>
          <w:color w:val="auto"/>
          <w:sz w:val="24"/>
          <w:highlight w:val="none"/>
        </w:rPr>
        <w:t>2.11 不可抗力</w:t>
      </w:r>
      <w:bookmarkEnd w:id="496"/>
      <w:bookmarkEnd w:id="497"/>
      <w:bookmarkEnd w:id="498"/>
      <w:bookmarkEnd w:id="499"/>
      <w:bookmarkEnd w:id="500"/>
    </w:p>
    <w:p w14:paraId="206DAA6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18C1ED1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14:paraId="637A0D9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53C881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4F33967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501" w:name="_Toc14115"/>
      <w:bookmarkStart w:id="502" w:name="_Toc25783"/>
      <w:bookmarkStart w:id="503" w:name="_Toc3638"/>
      <w:bookmarkStart w:id="504" w:name="_Toc24465"/>
      <w:bookmarkStart w:id="505" w:name="_Toc23854"/>
      <w:r>
        <w:rPr>
          <w:rFonts w:hint="eastAsia" w:ascii="宋体" w:hAnsi="宋体" w:eastAsia="宋体" w:cs="宋体"/>
          <w:b/>
          <w:color w:val="auto"/>
          <w:sz w:val="24"/>
          <w:highlight w:val="none"/>
        </w:rPr>
        <w:t>2.12 税费</w:t>
      </w:r>
      <w:bookmarkEnd w:id="501"/>
      <w:bookmarkEnd w:id="502"/>
      <w:bookmarkEnd w:id="503"/>
      <w:bookmarkEnd w:id="504"/>
      <w:bookmarkEnd w:id="505"/>
    </w:p>
    <w:p w14:paraId="729A3A0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7172DB1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506" w:name="_Toc26883"/>
      <w:bookmarkStart w:id="507" w:name="_Toc7315"/>
      <w:bookmarkStart w:id="508" w:name="_Toc14814"/>
      <w:bookmarkStart w:id="509" w:name="_Toc30105"/>
      <w:bookmarkStart w:id="510" w:name="_Toc25525"/>
      <w:r>
        <w:rPr>
          <w:rFonts w:hint="eastAsia" w:ascii="宋体" w:hAnsi="宋体" w:eastAsia="宋体" w:cs="宋体"/>
          <w:b/>
          <w:color w:val="auto"/>
          <w:sz w:val="24"/>
          <w:highlight w:val="none"/>
        </w:rPr>
        <w:t>2.13 乙方破产</w:t>
      </w:r>
      <w:bookmarkEnd w:id="506"/>
      <w:bookmarkEnd w:id="507"/>
      <w:bookmarkEnd w:id="508"/>
      <w:bookmarkEnd w:id="509"/>
      <w:bookmarkEnd w:id="510"/>
    </w:p>
    <w:p w14:paraId="3CF405B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6F130F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511" w:name="_Toc1123"/>
      <w:bookmarkStart w:id="512" w:name="_Toc2016"/>
      <w:bookmarkStart w:id="513" w:name="_Toc23323"/>
      <w:r>
        <w:rPr>
          <w:rFonts w:hint="eastAsia" w:ascii="宋体" w:hAnsi="宋体" w:eastAsia="宋体" w:cs="宋体"/>
          <w:b/>
          <w:color w:val="auto"/>
          <w:sz w:val="24"/>
          <w:highlight w:val="none"/>
        </w:rPr>
        <w:t>2.14 合同中止、终止</w:t>
      </w:r>
      <w:bookmarkEnd w:id="511"/>
      <w:bookmarkEnd w:id="512"/>
      <w:bookmarkEnd w:id="513"/>
    </w:p>
    <w:p w14:paraId="0BA8F1F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14:paraId="54F05E0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AD2AD1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514" w:name="_Toc1969"/>
      <w:bookmarkStart w:id="515" w:name="_Toc14525"/>
      <w:bookmarkStart w:id="516" w:name="_Toc17363"/>
      <w:r>
        <w:rPr>
          <w:rFonts w:hint="eastAsia" w:ascii="宋体" w:hAnsi="宋体" w:eastAsia="宋体" w:cs="宋体"/>
          <w:b/>
          <w:color w:val="auto"/>
          <w:sz w:val="24"/>
          <w:highlight w:val="none"/>
        </w:rPr>
        <w:t>2.15 检验和验收</w:t>
      </w:r>
      <w:bookmarkEnd w:id="514"/>
      <w:bookmarkEnd w:id="515"/>
      <w:bookmarkEnd w:id="516"/>
    </w:p>
    <w:p w14:paraId="205D5E4B">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45CB1590">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B0098FC">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26CFFAF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517" w:name="_Toc31892"/>
      <w:bookmarkStart w:id="518" w:name="_Toc9808"/>
      <w:bookmarkStart w:id="519" w:name="_Toc12666"/>
      <w:bookmarkStart w:id="520" w:name="_Toc2308"/>
      <w:bookmarkStart w:id="521" w:name="_Toc25198"/>
      <w:r>
        <w:rPr>
          <w:rFonts w:hint="eastAsia" w:ascii="宋体" w:hAnsi="宋体" w:eastAsia="宋体" w:cs="宋体"/>
          <w:b/>
          <w:color w:val="auto"/>
          <w:sz w:val="24"/>
          <w:highlight w:val="none"/>
        </w:rPr>
        <w:t>2.16 通知和送达</w:t>
      </w:r>
      <w:bookmarkEnd w:id="517"/>
      <w:bookmarkEnd w:id="518"/>
      <w:bookmarkEnd w:id="519"/>
      <w:bookmarkEnd w:id="520"/>
      <w:bookmarkEnd w:id="521"/>
    </w:p>
    <w:p w14:paraId="5D9810D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bookmarkStart w:id="522" w:name="_Toc18401"/>
      <w:bookmarkStart w:id="523" w:name="_Toc27674"/>
      <w:r>
        <w:rPr>
          <w:rFonts w:hint="eastAsia" w:ascii="宋体" w:hAnsi="宋体" w:eastAsia="宋体" w:cs="宋体"/>
          <w:color w:val="auto"/>
          <w:sz w:val="24"/>
          <w:highlight w:val="none"/>
        </w:rPr>
        <w:t xml:space="preserve">2.17.1任何一方因履行合同而以合同第一部分尾部所列明的传真或电子邮件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p>
    <w:p w14:paraId="4321443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22"/>
      <w:bookmarkEnd w:id="523"/>
    </w:p>
    <w:p w14:paraId="34605B5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bookmarkStart w:id="524" w:name="_Toc5063"/>
      <w:bookmarkStart w:id="525" w:name="_Toc28906"/>
      <w:bookmarkStart w:id="526" w:name="_Toc27644"/>
      <w:bookmarkStart w:id="527" w:name="_Toc12254"/>
      <w:bookmarkStart w:id="528" w:name="_Toc20808"/>
      <w:r>
        <w:rPr>
          <w:rFonts w:hint="eastAsia" w:ascii="宋体" w:hAnsi="宋体" w:eastAsia="宋体" w:cs="宋体"/>
          <w:b/>
          <w:color w:val="auto"/>
          <w:sz w:val="24"/>
          <w:highlight w:val="none"/>
        </w:rPr>
        <w:t>2.17 合同使用的文字和适用的法律</w:t>
      </w:r>
      <w:bookmarkEnd w:id="524"/>
      <w:bookmarkEnd w:id="525"/>
      <w:bookmarkEnd w:id="526"/>
      <w:bookmarkEnd w:id="527"/>
      <w:bookmarkEnd w:id="528"/>
    </w:p>
    <w:p w14:paraId="0DEEBAE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14:paraId="6621396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14:paraId="33A7D2D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2.18 计量单位</w:t>
      </w:r>
    </w:p>
    <w:p w14:paraId="4CE9FE6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4FC3D40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2.19合同份数</w:t>
      </w:r>
    </w:p>
    <w:p w14:paraId="6B4610F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2236771">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color w:val="auto"/>
          <w:kern w:val="0"/>
          <w:highlight w:val="none"/>
        </w:rPr>
        <w:br w:type="page"/>
      </w:r>
      <w:r>
        <w:rPr>
          <w:rFonts w:hint="eastAsia" w:ascii="宋体" w:hAnsi="宋体" w:eastAsia="宋体" w:cs="宋体"/>
          <w:b/>
          <w:color w:val="auto"/>
          <w:sz w:val="24"/>
          <w:highlight w:val="none"/>
        </w:rPr>
        <w:t xml:space="preserve"> 第三部分  合同专用条款</w:t>
      </w:r>
    </w:p>
    <w:p w14:paraId="0740FAB0">
      <w:pPr>
        <w:spacing w:line="560" w:lineRule="exact"/>
        <w:ind w:left="-420" w:leftChars="-200"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1008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6"/>
        <w:gridCol w:w="9186"/>
      </w:tblGrid>
      <w:tr w14:paraId="549E8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96" w:type="dxa"/>
            <w:tcBorders>
              <w:left w:val="single" w:color="auto" w:sz="4" w:space="0"/>
            </w:tcBorders>
            <w:vAlign w:val="center"/>
          </w:tcPr>
          <w:p w14:paraId="69B6AA27">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9186" w:type="dxa"/>
            <w:vAlign w:val="center"/>
          </w:tcPr>
          <w:p w14:paraId="77987052">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29462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7A0A6DD">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p>
        </w:tc>
        <w:tc>
          <w:tcPr>
            <w:tcW w:w="9186" w:type="dxa"/>
            <w:vAlign w:val="center"/>
          </w:tcPr>
          <w:p w14:paraId="286C8000">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00373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1" w:hRule="atLeast"/>
        </w:trPr>
        <w:tc>
          <w:tcPr>
            <w:tcW w:w="896" w:type="dxa"/>
            <w:tcBorders>
              <w:left w:val="single" w:color="auto" w:sz="4" w:space="0"/>
            </w:tcBorders>
            <w:vAlign w:val="center"/>
          </w:tcPr>
          <w:p w14:paraId="43F4F515">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p>
        </w:tc>
        <w:tc>
          <w:tcPr>
            <w:tcW w:w="9186" w:type="dxa"/>
            <w:vAlign w:val="center"/>
          </w:tcPr>
          <w:p w14:paraId="635A070F">
            <w:pPr>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w:t>
            </w:r>
            <w:r>
              <w:rPr>
                <w:rFonts w:hint="eastAsia" w:ascii="宋体" w:hAnsi="宋体" w:cs="宋体"/>
                <w:color w:val="auto"/>
                <w:sz w:val="24"/>
                <w:highlight w:val="none"/>
                <w:lang w:val="en-US" w:eastAsia="zh-CN"/>
              </w:rPr>
              <w:t>不收取。</w:t>
            </w:r>
          </w:p>
        </w:tc>
      </w:tr>
      <w:tr w14:paraId="165F5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F8F6A59">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1.5.1 </w:t>
            </w:r>
          </w:p>
        </w:tc>
        <w:tc>
          <w:tcPr>
            <w:tcW w:w="9186" w:type="dxa"/>
            <w:vAlign w:val="center"/>
          </w:tcPr>
          <w:p w14:paraId="28256941">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合同签订并提交发票后7个工作日内，采购人向中标供应商支付合同总价40%的预付款（</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需提供相应金额的预付款保函至</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w:t>
            </w:r>
          </w:p>
        </w:tc>
      </w:tr>
      <w:tr w14:paraId="7B82A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F9F3E7B">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9186" w:type="dxa"/>
            <w:vAlign w:val="center"/>
          </w:tcPr>
          <w:p w14:paraId="671B8E1C">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59055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896" w:type="dxa"/>
            <w:tcBorders>
              <w:left w:val="single" w:color="auto" w:sz="4" w:space="0"/>
            </w:tcBorders>
            <w:vAlign w:val="center"/>
          </w:tcPr>
          <w:p w14:paraId="2F4ACF28">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1.5.3 </w:t>
            </w:r>
          </w:p>
        </w:tc>
        <w:tc>
          <w:tcPr>
            <w:tcW w:w="9186" w:type="dxa"/>
            <w:vAlign w:val="center"/>
          </w:tcPr>
          <w:p w14:paraId="1A78042A">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（乙方需提供相应金额的预付款保函至甲方）</w:t>
            </w:r>
          </w:p>
        </w:tc>
      </w:tr>
      <w:tr w14:paraId="473BF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345CDA8">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9186" w:type="dxa"/>
            <w:vAlign w:val="center"/>
          </w:tcPr>
          <w:p w14:paraId="40877350">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资金支付：</w:t>
            </w:r>
          </w:p>
          <w:p w14:paraId="52CC5762">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根据合同、投标文件等资料进行验收。</w:t>
            </w:r>
          </w:p>
          <w:p w14:paraId="011E7C9C">
            <w:pPr>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签订并提交发票后7个工作日内，采购人向中标供应商支付每年度合同总价40%的预付款，剩余的合同款按年度完成的工程量及中标单价进行结算，付款时应提交考核材料、验收材料及结算材料和发票材料齐全，根据完成的实际工程数量扣除考核结果扣罚金额（如有）后7个工作日内支付。</w:t>
            </w:r>
          </w:p>
          <w:p w14:paraId="4F8FAE7F">
            <w:pPr>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结算费用=实际实施量*预算单价*成交折扣率。由甲方支付当期项目款（优先扣除预付款，扣完为止），合同周期内实际支付费用总额不超过投标总价。</w:t>
            </w:r>
          </w:p>
          <w:p w14:paraId="47135B9D">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结算时</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将结款申请1份、发票原件（按实际支付的当期金额）及复印件1份、合同复印件1份和经</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验收确认的《建德市政府采购验收反馈表》提交</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支付当期项目款。</w:t>
            </w:r>
          </w:p>
        </w:tc>
      </w:tr>
      <w:tr w14:paraId="0D6EA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B94F571">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9186" w:type="dxa"/>
            <w:vAlign w:val="center"/>
          </w:tcPr>
          <w:p w14:paraId="3D6EAA70">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服务交付（实施）的时间（期限）：</w:t>
            </w:r>
          </w:p>
          <w:p w14:paraId="67F91F88">
            <w:pPr>
              <w:spacing w:line="24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自政府采购合同签订生效之日起一年</w:t>
            </w:r>
            <w:r>
              <w:rPr>
                <w:rFonts w:hint="eastAsia" w:ascii="宋体" w:hAnsi="宋体" w:eastAsia="宋体" w:cs="宋体"/>
                <w:color w:val="auto"/>
                <w:sz w:val="24"/>
                <w:highlight w:val="none"/>
                <w:lang w:val="zh-CN"/>
              </w:rPr>
              <w:t>。</w:t>
            </w:r>
          </w:p>
          <w:p w14:paraId="500BB1BD">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一年</w:t>
            </w:r>
            <w:r>
              <w:rPr>
                <w:rFonts w:hint="eastAsia" w:ascii="宋体" w:hAnsi="宋体" w:eastAsia="宋体" w:cs="宋体"/>
                <w:color w:val="auto"/>
                <w:sz w:val="24"/>
                <w:highlight w:val="none"/>
              </w:rPr>
              <w:t>服务期满后，若</w:t>
            </w:r>
            <w:r>
              <w:rPr>
                <w:rFonts w:hint="eastAsia" w:ascii="宋体" w:hAnsi="宋体" w:cs="宋体"/>
                <w:color w:val="auto"/>
                <w:sz w:val="24"/>
                <w:highlight w:val="none"/>
                <w:lang w:val="en-US" w:eastAsia="zh-CN"/>
              </w:rPr>
              <w:t>年度</w:t>
            </w:r>
            <w:r>
              <w:rPr>
                <w:rFonts w:hint="eastAsia" w:ascii="宋体" w:hAnsi="宋体" w:eastAsia="宋体" w:cs="宋体"/>
                <w:color w:val="auto"/>
                <w:sz w:val="24"/>
                <w:highlight w:val="none"/>
              </w:rPr>
              <w:t>考核分≥</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5分</w:t>
            </w:r>
            <w:r>
              <w:rPr>
                <w:rFonts w:hint="eastAsia" w:ascii="宋体" w:hAnsi="宋体" w:eastAsia="宋体" w:cs="宋体"/>
                <w:color w:val="auto"/>
                <w:sz w:val="24"/>
                <w:highlight w:val="none"/>
                <w:lang w:eastAsia="zh-CN"/>
              </w:rPr>
              <w:t>的</w:t>
            </w:r>
            <w:r>
              <w:rPr>
                <w:rFonts w:hint="eastAsia" w:ascii="宋体" w:hAnsi="宋体" w:cs="宋体"/>
                <w:color w:val="auto"/>
                <w:sz w:val="24"/>
                <w:highlight w:val="none"/>
                <w:lang w:val="en-US" w:eastAsia="zh-CN"/>
              </w:rPr>
              <w:t>可以续签合同</w:t>
            </w:r>
            <w:r>
              <w:rPr>
                <w:rFonts w:hint="eastAsia" w:ascii="宋体" w:hAnsi="宋体" w:eastAsia="宋体" w:cs="宋体"/>
                <w:color w:val="auto"/>
                <w:sz w:val="24"/>
                <w:highlight w:val="none"/>
              </w:rPr>
              <w:t>，根据本次中标价格可以续签</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p>
        </w:tc>
      </w:tr>
      <w:tr w14:paraId="589C6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AE393DB">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p>
        </w:tc>
        <w:tc>
          <w:tcPr>
            <w:tcW w:w="9186" w:type="dxa"/>
            <w:vAlign w:val="center"/>
          </w:tcPr>
          <w:p w14:paraId="747E00C1">
            <w:pPr>
              <w:spacing w:line="24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服务交付（实施）的地点（地域范围）：</w:t>
            </w:r>
            <w:r>
              <w:rPr>
                <w:rFonts w:hint="eastAsia" w:ascii="宋体" w:hAnsi="宋体" w:eastAsia="宋体" w:cs="宋体"/>
                <w:color w:val="auto"/>
                <w:sz w:val="24"/>
                <w:highlight w:val="none"/>
                <w:lang w:val="en-US" w:eastAsia="zh-CN"/>
              </w:rPr>
              <w:t>龙港市</w:t>
            </w:r>
          </w:p>
        </w:tc>
      </w:tr>
      <w:tr w14:paraId="2BE19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1AF3355">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p>
        </w:tc>
        <w:tc>
          <w:tcPr>
            <w:tcW w:w="9186" w:type="dxa"/>
            <w:vAlign w:val="center"/>
          </w:tcPr>
          <w:p w14:paraId="15CA1A9A">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服务交付（实施）的方式：</w:t>
            </w:r>
            <w:r>
              <w:rPr>
                <w:rFonts w:hint="eastAsia" w:ascii="宋体" w:hAnsi="宋体" w:eastAsia="宋体" w:cs="宋体"/>
                <w:color w:val="auto"/>
                <w:sz w:val="24"/>
                <w:highlight w:val="none"/>
                <w:lang w:val="en-US" w:eastAsia="zh-CN"/>
              </w:rPr>
              <w:t>根据甲方实际要求交付。</w:t>
            </w:r>
          </w:p>
        </w:tc>
      </w:tr>
      <w:tr w14:paraId="47CE8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C585A2A">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1.7.4.1</w:t>
            </w:r>
          </w:p>
        </w:tc>
        <w:tc>
          <w:tcPr>
            <w:tcW w:w="9186" w:type="dxa"/>
            <w:vAlign w:val="center"/>
          </w:tcPr>
          <w:p w14:paraId="261D6A91">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5F6B4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796E9CB">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1.7.4.2</w:t>
            </w:r>
          </w:p>
        </w:tc>
        <w:tc>
          <w:tcPr>
            <w:tcW w:w="9186" w:type="dxa"/>
            <w:vAlign w:val="center"/>
          </w:tcPr>
          <w:p w14:paraId="2E152DB1">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646B4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1E0C58BD">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1.7.4.3</w:t>
            </w:r>
          </w:p>
        </w:tc>
        <w:tc>
          <w:tcPr>
            <w:tcW w:w="9186" w:type="dxa"/>
            <w:vAlign w:val="center"/>
          </w:tcPr>
          <w:p w14:paraId="455EA80B">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2FE95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1" w:hRule="atLeast"/>
        </w:trPr>
        <w:tc>
          <w:tcPr>
            <w:tcW w:w="896" w:type="dxa"/>
            <w:tcBorders>
              <w:left w:val="single" w:color="auto" w:sz="4" w:space="0"/>
            </w:tcBorders>
            <w:vAlign w:val="center"/>
          </w:tcPr>
          <w:p w14:paraId="6E11C24C">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1.8.7</w:t>
            </w:r>
          </w:p>
        </w:tc>
        <w:tc>
          <w:tcPr>
            <w:tcW w:w="9186" w:type="dxa"/>
            <w:vAlign w:val="center"/>
          </w:tcPr>
          <w:p w14:paraId="050086CB">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违约责任：除不可抗力外，如果乙方没有按照本合同约定的期限、地点和内容完成服务，那么甲方可要求乙方支付违约金，违约金按每迟延完成服务一日的应交付而未完成服务价格的 </w:t>
            </w:r>
            <w:r>
              <w:rPr>
                <w:rFonts w:hint="eastAsia" w:ascii="宋体" w:hAnsi="宋体" w:eastAsia="宋体" w:cs="宋体"/>
                <w:color w:val="auto"/>
                <w:sz w:val="24"/>
                <w:highlight w:val="none"/>
                <w:u w:val="single"/>
              </w:rPr>
              <w:t xml:space="preserve"> 0.05 </w:t>
            </w:r>
            <w:r>
              <w:rPr>
                <w:rFonts w:hint="eastAsia" w:ascii="宋体" w:hAnsi="宋体" w:eastAsia="宋体" w:cs="宋体"/>
                <w:color w:val="auto"/>
                <w:sz w:val="24"/>
                <w:highlight w:val="none"/>
              </w:rPr>
              <w:t xml:space="preserve"> %计算，最高限额为本合同总价的</w:t>
            </w:r>
            <w:r>
              <w:rPr>
                <w:rFonts w:hint="eastAsia" w:ascii="宋体" w:hAnsi="宋体" w:eastAsia="宋体" w:cs="宋体"/>
                <w:color w:val="auto"/>
                <w:sz w:val="24"/>
                <w:highlight w:val="none"/>
                <w:u w:val="single"/>
              </w:rPr>
              <w:t xml:space="preserve"> 20</w:t>
            </w:r>
            <w:r>
              <w:rPr>
                <w:rFonts w:hint="eastAsia" w:ascii="宋体" w:hAnsi="宋体" w:eastAsia="宋体" w:cs="宋体"/>
                <w:color w:val="auto"/>
                <w:sz w:val="24"/>
                <w:highlight w:val="none"/>
              </w:rPr>
              <w:t xml:space="preserve"> %；迟延完成服务的违约金计算数额达到前述最高限额之日起，甲方有权在要求乙方支付违约金的同时，书面通知乙方解除本合同</w:t>
            </w:r>
            <w:r>
              <w:rPr>
                <w:rFonts w:hint="eastAsia" w:ascii="宋体" w:hAnsi="宋体" w:eastAsia="宋体" w:cs="宋体"/>
                <w:color w:val="auto"/>
                <w:sz w:val="24"/>
                <w:highlight w:val="none"/>
                <w:lang w:eastAsia="zh-CN"/>
              </w:rPr>
              <w:t>，返还已付的预付款</w:t>
            </w:r>
            <w:r>
              <w:rPr>
                <w:rFonts w:hint="eastAsia" w:ascii="宋体" w:hAnsi="宋体" w:eastAsia="宋体" w:cs="宋体"/>
                <w:color w:val="auto"/>
                <w:sz w:val="24"/>
                <w:highlight w:val="none"/>
              </w:rPr>
              <w:t>；</w:t>
            </w:r>
          </w:p>
          <w:p w14:paraId="3BDA6466">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0.05</w:t>
            </w:r>
            <w:r>
              <w:rPr>
                <w:rFonts w:hint="eastAsia" w:ascii="宋体" w:hAnsi="宋体" w:eastAsia="宋体" w:cs="宋体"/>
                <w:color w:val="auto"/>
                <w:sz w:val="24"/>
                <w:highlight w:val="none"/>
              </w:rPr>
              <w:t xml:space="preserve"> %计算，最高限额为本合同总价的</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tc>
      </w:tr>
      <w:tr w14:paraId="7A6A3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1F830D7">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p>
        </w:tc>
        <w:tc>
          <w:tcPr>
            <w:tcW w:w="9186" w:type="dxa"/>
            <w:vAlign w:val="center"/>
          </w:tcPr>
          <w:p w14:paraId="6D97B10E">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5F55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2652A07">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p>
        </w:tc>
        <w:tc>
          <w:tcPr>
            <w:tcW w:w="9186" w:type="dxa"/>
            <w:vAlign w:val="center"/>
          </w:tcPr>
          <w:p w14:paraId="13E23EC7">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合同履行过程中发生争议的，双方应协商解决，协商不成的双方均有权向建德市人民法院提出诉讼。</w:t>
            </w:r>
          </w:p>
        </w:tc>
      </w:tr>
      <w:tr w14:paraId="20949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B930E61">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9186" w:type="dxa"/>
            <w:vAlign w:val="center"/>
          </w:tcPr>
          <w:p w14:paraId="2326106C">
            <w:pPr>
              <w:spacing w:line="24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知识产权归属：</w:t>
            </w:r>
            <w:r>
              <w:rPr>
                <w:rFonts w:hint="eastAsia" w:ascii="宋体" w:hAnsi="宋体" w:eastAsia="宋体" w:cs="宋体"/>
                <w:color w:val="auto"/>
                <w:sz w:val="24"/>
                <w:highlight w:val="none"/>
              </w:rPr>
              <w:t>1.乙方在提供服务过程中获得的一切成果，均归甲方所有，乙方不得侵犯任何甲方的知识产权，否则乙方应承担由此产生的一切责任。</w:t>
            </w:r>
          </w:p>
          <w:p w14:paraId="477EA5C4">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负有保密义务。本项目资料所有权属甲方所有，各种统计资料、纸质资料及数据等项目加工资料在项目结束时都必须完整完全移交，乙方不得下载、留存、持有和使用任何档案信息，更不得提供给任何第三方，每发现一次按合同总价的20%向甲方支付违约金，如给甲方造成损失的应全额赔偿。对甲方其他的商务、财务、技术、服务的信息、用户资料或其他标明保密的文件或信息，乙方亦负有保密义务，未经甲方事先书面同意不得向任何第三方披露，否则应承担由此产生的法律责任。乙方应及时与甲方签署《保密协议》。</w:t>
            </w:r>
          </w:p>
          <w:p w14:paraId="3E7F1F04">
            <w:pPr>
              <w:spacing w:line="240" w:lineRule="auto"/>
              <w:ind w:left="-420" w:leftChars="-200"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3.乙方的保密义务长期有效，不因本合同的终止而终止。</w:t>
            </w:r>
          </w:p>
        </w:tc>
      </w:tr>
      <w:tr w14:paraId="1B2A9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4D6171C">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9186" w:type="dxa"/>
            <w:vAlign w:val="center"/>
          </w:tcPr>
          <w:p w14:paraId="35DC34EB">
            <w:pPr>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7954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21453DF4">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w:t>
            </w:r>
          </w:p>
        </w:tc>
        <w:tc>
          <w:tcPr>
            <w:tcW w:w="9186" w:type="dxa"/>
            <w:vAlign w:val="center"/>
          </w:tcPr>
          <w:p w14:paraId="431938DF">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因不可抗力致使合同有变更必要的，双方当事人应在</w:t>
            </w:r>
            <w:r>
              <w:rPr>
                <w:rFonts w:hint="eastAsia" w:ascii="宋体" w:hAnsi="宋体" w:eastAsia="宋体" w:cs="宋体"/>
                <w:b/>
                <w:i/>
                <w:color w:val="auto"/>
                <w:sz w:val="24"/>
                <w:highlight w:val="none"/>
                <w:u w:val="single"/>
              </w:rPr>
              <w:t>30日内</w:t>
            </w:r>
            <w:r>
              <w:rPr>
                <w:rFonts w:hint="eastAsia" w:ascii="宋体" w:hAnsi="宋体" w:eastAsia="宋体" w:cs="宋体"/>
                <w:color w:val="auto"/>
                <w:sz w:val="24"/>
                <w:highlight w:val="none"/>
              </w:rPr>
              <w:t>以书面形式变更合同；</w:t>
            </w:r>
          </w:p>
        </w:tc>
      </w:tr>
      <w:tr w14:paraId="3A611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tcPr>
          <w:p w14:paraId="169A16E4">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2.11.4 </w:t>
            </w:r>
          </w:p>
        </w:tc>
        <w:tc>
          <w:tcPr>
            <w:tcW w:w="9186" w:type="dxa"/>
          </w:tcPr>
          <w:p w14:paraId="7BB8AE6B">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受不可抗力影响的一方在不可抗力发生后，应在</w:t>
            </w:r>
            <w:r>
              <w:rPr>
                <w:rFonts w:hint="eastAsia" w:ascii="宋体" w:hAnsi="宋体" w:eastAsia="宋体" w:cs="宋体"/>
                <w:b/>
                <w:i/>
                <w:color w:val="auto"/>
                <w:sz w:val="24"/>
                <w:highlight w:val="none"/>
                <w:u w:val="single"/>
              </w:rPr>
              <w:t>7日内</w:t>
            </w:r>
            <w:r>
              <w:rPr>
                <w:rFonts w:hint="eastAsia" w:ascii="宋体" w:hAnsi="宋体" w:eastAsia="宋体" w:cs="宋体"/>
                <w:color w:val="auto"/>
                <w:sz w:val="24"/>
                <w:highlight w:val="none"/>
              </w:rPr>
              <w:t>以书面形式通知对方当事人，并在</w:t>
            </w:r>
            <w:r>
              <w:rPr>
                <w:rFonts w:hint="eastAsia" w:ascii="宋体" w:hAnsi="宋体" w:eastAsia="宋体" w:cs="宋体"/>
                <w:b/>
                <w:i/>
                <w:color w:val="auto"/>
                <w:sz w:val="24"/>
                <w:highlight w:val="none"/>
                <w:u w:val="single"/>
              </w:rPr>
              <w:t>14日内</w:t>
            </w:r>
            <w:r>
              <w:rPr>
                <w:rFonts w:hint="eastAsia" w:ascii="宋体" w:hAnsi="宋体" w:eastAsia="宋体" w:cs="宋体"/>
                <w:color w:val="auto"/>
                <w:sz w:val="24"/>
                <w:highlight w:val="none"/>
              </w:rPr>
              <w:t>，将有关部门出具的证明文件送达对方当事人。</w:t>
            </w:r>
          </w:p>
        </w:tc>
      </w:tr>
      <w:tr w14:paraId="79BF2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F1B30B0">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w:t>
            </w:r>
          </w:p>
        </w:tc>
        <w:tc>
          <w:tcPr>
            <w:tcW w:w="9186" w:type="dxa"/>
            <w:vAlign w:val="center"/>
          </w:tcPr>
          <w:p w14:paraId="5E62DEE9">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乙方按照</w:t>
            </w:r>
            <w:r>
              <w:rPr>
                <w:rFonts w:hint="eastAsia" w:ascii="宋体" w:hAnsi="宋体" w:eastAsia="宋体" w:cs="宋体"/>
                <w:b/>
                <w:bCs/>
                <w:i/>
                <w:iCs/>
                <w:color w:val="auto"/>
                <w:sz w:val="24"/>
                <w:highlight w:val="none"/>
                <w:u w:val="single"/>
                <w:lang w:eastAsia="zh-CN"/>
              </w:rPr>
              <w:t>招标文件</w:t>
            </w:r>
            <w:r>
              <w:rPr>
                <w:rFonts w:hint="eastAsia" w:ascii="宋体" w:hAnsi="宋体" w:eastAsia="宋体" w:cs="宋体"/>
                <w:color w:val="auto"/>
                <w:sz w:val="24"/>
                <w:highlight w:val="none"/>
              </w:rPr>
              <w:t>的约定，定期提交服务报告，甲方按照</w:t>
            </w:r>
            <w:r>
              <w:rPr>
                <w:rFonts w:hint="eastAsia" w:ascii="宋体" w:hAnsi="宋体" w:eastAsia="宋体" w:cs="宋体"/>
                <w:b/>
                <w:bCs/>
                <w:i/>
                <w:iCs/>
                <w:color w:val="auto"/>
                <w:sz w:val="24"/>
                <w:highlight w:val="none"/>
                <w:u w:val="single"/>
              </w:rPr>
              <w:t>符合招标需求、合同方案标准</w:t>
            </w:r>
            <w:r>
              <w:rPr>
                <w:rFonts w:hint="eastAsia" w:ascii="宋体" w:hAnsi="宋体" w:eastAsia="宋体" w:cs="宋体"/>
                <w:color w:val="auto"/>
                <w:sz w:val="24"/>
                <w:highlight w:val="none"/>
              </w:rPr>
              <w:t>的约定进行定期验收；</w:t>
            </w:r>
          </w:p>
        </w:tc>
      </w:tr>
      <w:tr w14:paraId="64BB8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A9FFBE4">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w:t>
            </w:r>
          </w:p>
        </w:tc>
        <w:tc>
          <w:tcPr>
            <w:tcW w:w="9186" w:type="dxa"/>
            <w:vAlign w:val="center"/>
          </w:tcPr>
          <w:p w14:paraId="2F1FAFA7">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检验和验收标准、程序等具体内容：符合招标需求、合同方案标准。</w:t>
            </w:r>
          </w:p>
        </w:tc>
      </w:tr>
      <w:tr w14:paraId="6272B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96" w:type="dxa"/>
            <w:tcBorders>
              <w:left w:val="single" w:color="auto" w:sz="4" w:space="0"/>
            </w:tcBorders>
          </w:tcPr>
          <w:p w14:paraId="4E291694">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2.19</w:t>
            </w:r>
          </w:p>
        </w:tc>
        <w:tc>
          <w:tcPr>
            <w:tcW w:w="9186" w:type="dxa"/>
          </w:tcPr>
          <w:p w14:paraId="0F5F4EA0">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合同份数：本合同壹式</w:t>
            </w:r>
            <w:r>
              <w:rPr>
                <w:rFonts w:hint="eastAsia" w:ascii="宋体" w:hAnsi="宋体" w:eastAsia="宋体" w:cs="宋体"/>
                <w:color w:val="auto"/>
                <w:sz w:val="24"/>
                <w:highlight w:val="none"/>
                <w:lang w:val="en-US" w:eastAsia="zh-CN"/>
              </w:rPr>
              <w:t>陆</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lang w:val="en-US" w:eastAsia="zh-CN"/>
              </w:rPr>
              <w:t>叁</w:t>
            </w:r>
            <w:r>
              <w:rPr>
                <w:rFonts w:hint="eastAsia" w:ascii="宋体" w:hAnsi="宋体" w:eastAsia="宋体" w:cs="宋体"/>
                <w:color w:val="auto"/>
                <w:sz w:val="24"/>
                <w:highlight w:val="none"/>
              </w:rPr>
              <w:t>份。</w:t>
            </w:r>
          </w:p>
        </w:tc>
      </w:tr>
    </w:tbl>
    <w:p w14:paraId="65ABAD03">
      <w:pPr>
        <w:rPr>
          <w:rFonts w:hint="eastAsia" w:ascii="宋体" w:hAnsi="宋体" w:cs="宋体"/>
          <w:b/>
          <w:sz w:val="24"/>
          <w:highlight w:val="none"/>
        </w:rPr>
      </w:pPr>
    </w:p>
    <w:p w14:paraId="549547CA">
      <w:pPr>
        <w:spacing w:line="360" w:lineRule="auto"/>
        <w:rPr>
          <w:rFonts w:hint="eastAsia" w:ascii="宋体" w:hAnsi="宋体" w:cs="宋体"/>
          <w:b/>
          <w:sz w:val="24"/>
          <w:highlight w:val="none"/>
        </w:rPr>
        <w:sectPr>
          <w:footerReference r:id="rId11" w:type="default"/>
          <w:pgSz w:w="11920" w:h="16840"/>
          <w:pgMar w:top="1134" w:right="1134" w:bottom="1134" w:left="1134" w:header="850" w:footer="850" w:gutter="0"/>
          <w:cols w:space="720" w:num="1"/>
        </w:sectPr>
      </w:pPr>
    </w:p>
    <w:bookmarkEnd w:id="424"/>
    <w:p w14:paraId="575AFE35">
      <w:pPr>
        <w:spacing w:line="360" w:lineRule="auto"/>
        <w:jc w:val="center"/>
        <w:outlineLvl w:val="0"/>
        <w:rPr>
          <w:rFonts w:hint="eastAsia" w:asciiTheme="minorEastAsia" w:hAnsiTheme="minorEastAsia" w:eastAsiaTheme="minorEastAsia" w:cstheme="minorEastAsia"/>
          <w:b/>
          <w:sz w:val="36"/>
          <w:szCs w:val="20"/>
          <w:highlight w:val="none"/>
        </w:rPr>
      </w:pPr>
      <w:bookmarkStart w:id="529" w:name="_Toc18239"/>
      <w:r>
        <w:rPr>
          <w:rFonts w:hint="eastAsia" w:asciiTheme="minorEastAsia" w:hAnsiTheme="minorEastAsia" w:eastAsiaTheme="minorEastAsia" w:cstheme="minorEastAsia"/>
          <w:b/>
          <w:sz w:val="36"/>
          <w:szCs w:val="20"/>
          <w:highlight w:val="none"/>
        </w:rPr>
        <w:t>第六部分</w:t>
      </w:r>
      <w:bookmarkEnd w:id="421"/>
      <w:bookmarkEnd w:id="422"/>
      <w:r>
        <w:rPr>
          <w:rFonts w:hint="eastAsia" w:asciiTheme="minorEastAsia" w:hAnsiTheme="minorEastAsia" w:eastAsiaTheme="minorEastAsia" w:cstheme="minorEastAsia"/>
          <w:b/>
          <w:sz w:val="36"/>
          <w:szCs w:val="20"/>
          <w:highlight w:val="none"/>
        </w:rPr>
        <w:t xml:space="preserve">  应提交的有关格式范例</w:t>
      </w:r>
      <w:bookmarkEnd w:id="529"/>
    </w:p>
    <w:p w14:paraId="2024C0E8">
      <w:pPr>
        <w:rPr>
          <w:rFonts w:hint="eastAsia" w:asciiTheme="minorEastAsia" w:hAnsiTheme="minorEastAsia" w:eastAsiaTheme="minorEastAsia" w:cstheme="minorEastAsia"/>
          <w:highlight w:val="none"/>
        </w:rPr>
      </w:pPr>
    </w:p>
    <w:p w14:paraId="700DABCE">
      <w:pPr>
        <w:spacing w:line="360" w:lineRule="auto"/>
        <w:jc w:val="center"/>
        <w:outlineLvl w:val="0"/>
        <w:rPr>
          <w:rFonts w:hint="eastAsia" w:asciiTheme="minorEastAsia" w:hAnsiTheme="minorEastAsia" w:eastAsiaTheme="minorEastAsia" w:cstheme="minorEastAsia"/>
          <w:b/>
          <w:kern w:val="0"/>
          <w:sz w:val="36"/>
          <w:szCs w:val="36"/>
          <w:highlight w:val="none"/>
        </w:rPr>
      </w:pPr>
      <w:bookmarkStart w:id="530" w:name="_Toc30769"/>
      <w:r>
        <w:rPr>
          <w:rFonts w:hint="eastAsia" w:asciiTheme="minorEastAsia" w:hAnsiTheme="minorEastAsia" w:eastAsiaTheme="minorEastAsia" w:cstheme="minorEastAsia"/>
          <w:b/>
          <w:kern w:val="0"/>
          <w:sz w:val="36"/>
          <w:szCs w:val="36"/>
          <w:highlight w:val="none"/>
        </w:rPr>
        <w:t>资格文件部分</w:t>
      </w:r>
      <w:bookmarkEnd w:id="530"/>
    </w:p>
    <w:p w14:paraId="11E005B3">
      <w:pPr>
        <w:spacing w:line="360" w:lineRule="auto"/>
        <w:jc w:val="center"/>
        <w:outlineLvl w:val="0"/>
        <w:rPr>
          <w:rFonts w:hint="eastAsia" w:asciiTheme="minorEastAsia" w:hAnsiTheme="minorEastAsia" w:eastAsiaTheme="minorEastAsia" w:cstheme="minorEastAsia"/>
          <w:b/>
          <w:kern w:val="0"/>
          <w:sz w:val="36"/>
          <w:szCs w:val="36"/>
          <w:highlight w:val="none"/>
        </w:rPr>
      </w:pPr>
      <w:bookmarkStart w:id="531" w:name="_Toc30522"/>
      <w:r>
        <w:rPr>
          <w:rFonts w:hint="eastAsia" w:asciiTheme="minorEastAsia" w:hAnsiTheme="minorEastAsia" w:eastAsiaTheme="minorEastAsia" w:cstheme="minorEastAsia"/>
          <w:b/>
          <w:kern w:val="0"/>
          <w:sz w:val="36"/>
          <w:szCs w:val="36"/>
          <w:highlight w:val="none"/>
        </w:rPr>
        <w:t>目录</w:t>
      </w:r>
      <w:bookmarkEnd w:id="531"/>
    </w:p>
    <w:p w14:paraId="04D7288B">
      <w:pPr>
        <w:rPr>
          <w:rFonts w:hint="eastAsia" w:asciiTheme="minorEastAsia" w:hAnsiTheme="minorEastAsia" w:eastAsiaTheme="minorEastAsia" w:cstheme="minorEastAsia"/>
          <w:highlight w:val="none"/>
        </w:rPr>
      </w:pPr>
    </w:p>
    <w:p w14:paraId="4FDA462A">
      <w:p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（1）有效的法人或者其他组织的营业执照等证明文件，自然人的身份证明（五选一）（页码）</w:t>
      </w:r>
    </w:p>
    <w:p w14:paraId="4A1D50C1">
      <w:p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（2）符合参加政府采购活动应当具备的一般条件的承诺函………………………………（页码）</w:t>
      </w:r>
    </w:p>
    <w:p w14:paraId="7B9D94D5">
      <w:p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val="0"/>
          <w:kern w:val="28"/>
          <w:sz w:val="24"/>
          <w:szCs w:val="20"/>
          <w:highlight w:val="none"/>
        </w:rPr>
        <w:t>（3）联合协议</w:t>
      </w:r>
      <w:r>
        <w:rPr>
          <w:rFonts w:hint="eastAsia" w:asciiTheme="minorEastAsia" w:hAnsiTheme="minorEastAsia" w:eastAsiaTheme="minorEastAsia" w:cstheme="minorEastAsia"/>
          <w:sz w:val="24"/>
          <w:highlight w:val="none"/>
        </w:rPr>
        <w:t>…………………………………………………………………………………（页码）</w:t>
      </w:r>
    </w:p>
    <w:p w14:paraId="65DA2440">
      <w:p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（4）落实政府采购政策需满足的资格要求…………………………………………………（页码）</w:t>
      </w:r>
    </w:p>
    <w:p w14:paraId="371553AA">
      <w:p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（5）本项目的特定资格要求…………………………………………………………………（页码）</w:t>
      </w:r>
    </w:p>
    <w:p w14:paraId="399B97F3">
      <w:pPr>
        <w:snapToGrid w:val="0"/>
        <w:spacing w:line="360" w:lineRule="auto"/>
        <w:ind w:firstLine="480" w:firstLineChars="200"/>
        <w:rPr>
          <w:rFonts w:hint="eastAsia" w:asciiTheme="minorEastAsia" w:hAnsiTheme="minorEastAsia" w:eastAsiaTheme="minorEastAsia" w:cstheme="minorEastAsia"/>
          <w:sz w:val="24"/>
          <w:highlight w:val="none"/>
        </w:rPr>
      </w:pPr>
    </w:p>
    <w:p w14:paraId="014A2A82">
      <w:pPr>
        <w:spacing w:line="360" w:lineRule="auto"/>
        <w:ind w:firstLine="480" w:firstLineChars="200"/>
        <w:rPr>
          <w:rFonts w:hint="eastAsia" w:asciiTheme="minorEastAsia" w:hAnsiTheme="minorEastAsia" w:eastAsiaTheme="minorEastAsia" w:cstheme="minorEastAsia"/>
          <w:sz w:val="24"/>
          <w:highlight w:val="none"/>
        </w:rPr>
      </w:pPr>
    </w:p>
    <w:p w14:paraId="1E802D71">
      <w:pPr>
        <w:spacing w:line="360" w:lineRule="auto"/>
        <w:jc w:val="center"/>
        <w:outlineLvl w:val="0"/>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kern w:val="0"/>
          <w:sz w:val="24"/>
          <w:highlight w:val="none"/>
        </w:rPr>
        <w:br w:type="page"/>
      </w:r>
      <w:bookmarkStart w:id="532" w:name="_Toc17521"/>
      <w:r>
        <w:rPr>
          <w:rFonts w:hint="eastAsia" w:asciiTheme="minorEastAsia" w:hAnsiTheme="minorEastAsia" w:eastAsiaTheme="minorEastAsia" w:cstheme="minorEastAsia"/>
          <w:b/>
          <w:kern w:val="0"/>
          <w:sz w:val="28"/>
          <w:szCs w:val="28"/>
          <w:highlight w:val="none"/>
        </w:rPr>
        <w:t>一、有效的法人或者其他组织的营业执照等证明文件，自然人的身份证明（五选一）</w:t>
      </w:r>
      <w:bookmarkEnd w:id="532"/>
    </w:p>
    <w:p w14:paraId="70B880EE">
      <w:pPr>
        <w:rPr>
          <w:highlight w:val="none"/>
        </w:rPr>
      </w:pPr>
    </w:p>
    <w:p w14:paraId="65842BA1">
      <w:pPr>
        <w:rPr>
          <w:highlight w:val="none"/>
        </w:rPr>
      </w:pPr>
    </w:p>
    <w:p w14:paraId="589E702E">
      <w:pPr>
        <w:rPr>
          <w:highlight w:val="none"/>
        </w:rPr>
      </w:pPr>
    </w:p>
    <w:p w14:paraId="34CEA671">
      <w:pPr>
        <w:spacing w:line="360" w:lineRule="auto"/>
        <w:rPr>
          <w:rFonts w:hint="eastAsia" w:ascii="宋体" w:hAnsi="宋体" w:cs="宋体"/>
          <w:bCs/>
          <w:spacing w:val="-6"/>
          <w:sz w:val="22"/>
          <w:highlight w:val="none"/>
        </w:rPr>
      </w:pPr>
      <w:r>
        <w:rPr>
          <w:rFonts w:hint="eastAsia" w:ascii="宋体" w:hAnsi="宋体" w:cs="宋体"/>
          <w:bCs/>
          <w:spacing w:val="-6"/>
          <w:sz w:val="22"/>
          <w:highlight w:val="none"/>
        </w:rPr>
        <w:t>说明：</w:t>
      </w:r>
    </w:p>
    <w:p w14:paraId="76CF8AD4">
      <w:pPr>
        <w:pStyle w:val="50"/>
        <w:spacing w:line="360" w:lineRule="auto"/>
        <w:ind w:left="416" w:hanging="416"/>
        <w:rPr>
          <w:rFonts w:hint="eastAsia" w:ascii="宋体" w:hAnsi="宋体" w:cs="宋体"/>
          <w:bCs/>
          <w:spacing w:val="-6"/>
          <w:sz w:val="22"/>
          <w:highlight w:val="none"/>
        </w:rPr>
      </w:pPr>
      <w:r>
        <w:rPr>
          <w:rFonts w:hint="eastAsia" w:ascii="宋体" w:hAnsi="宋体" w:cs="宋体"/>
          <w:bCs/>
          <w:spacing w:val="-6"/>
          <w:sz w:val="22"/>
          <w:highlight w:val="none"/>
        </w:rPr>
        <w:t>1.如投标人是企业（包括合伙企业），提供有效“企业法人营业执照”或“营业执照”；</w:t>
      </w:r>
    </w:p>
    <w:p w14:paraId="5CC0BF45">
      <w:pPr>
        <w:pStyle w:val="50"/>
        <w:spacing w:line="360" w:lineRule="auto"/>
        <w:ind w:left="416" w:hanging="416"/>
        <w:rPr>
          <w:rFonts w:hint="eastAsia" w:ascii="宋体" w:hAnsi="宋体" w:cs="宋体"/>
          <w:bCs/>
          <w:spacing w:val="-6"/>
          <w:sz w:val="22"/>
          <w:highlight w:val="none"/>
        </w:rPr>
      </w:pPr>
      <w:r>
        <w:rPr>
          <w:rFonts w:hint="eastAsia" w:ascii="宋体" w:hAnsi="宋体" w:cs="宋体"/>
          <w:bCs/>
          <w:spacing w:val="-6"/>
          <w:sz w:val="22"/>
          <w:highlight w:val="none"/>
        </w:rPr>
        <w:t>2.如投标人是事业单位，提供有效的“事业单位法人证书”；</w:t>
      </w:r>
    </w:p>
    <w:p w14:paraId="14C7E240">
      <w:pPr>
        <w:pStyle w:val="50"/>
        <w:spacing w:line="360" w:lineRule="auto"/>
        <w:ind w:left="416" w:hanging="416"/>
        <w:rPr>
          <w:rFonts w:hint="eastAsia" w:ascii="宋体" w:hAnsi="宋体" w:cs="宋体"/>
          <w:bCs/>
          <w:spacing w:val="-6"/>
          <w:sz w:val="22"/>
          <w:highlight w:val="none"/>
        </w:rPr>
      </w:pPr>
      <w:r>
        <w:rPr>
          <w:rFonts w:hint="eastAsia" w:ascii="宋体" w:hAnsi="宋体" w:cs="宋体"/>
          <w:bCs/>
          <w:spacing w:val="-6"/>
          <w:sz w:val="22"/>
          <w:highlight w:val="none"/>
        </w:rPr>
        <w:t>3.如投标人是非企业专业服务机构的，提供执业许可证等证明文件；</w:t>
      </w:r>
    </w:p>
    <w:p w14:paraId="41BD90FC">
      <w:pPr>
        <w:pStyle w:val="50"/>
        <w:spacing w:line="360" w:lineRule="auto"/>
        <w:ind w:left="416" w:hanging="416"/>
        <w:rPr>
          <w:rFonts w:hint="eastAsia" w:ascii="宋体" w:hAnsi="宋体" w:cs="宋体"/>
          <w:bCs/>
          <w:spacing w:val="-6"/>
          <w:sz w:val="22"/>
          <w:highlight w:val="none"/>
        </w:rPr>
      </w:pPr>
      <w:r>
        <w:rPr>
          <w:rFonts w:hint="eastAsia" w:ascii="宋体" w:hAnsi="宋体" w:cs="宋体"/>
          <w:bCs/>
          <w:spacing w:val="-6"/>
          <w:sz w:val="22"/>
          <w:highlight w:val="none"/>
        </w:rPr>
        <w:t>4.如投标人是个体工商户，提供有效的“个体工商户营业执照”；</w:t>
      </w:r>
    </w:p>
    <w:p w14:paraId="48C0FE6E">
      <w:pPr>
        <w:pStyle w:val="50"/>
        <w:spacing w:line="360" w:lineRule="auto"/>
        <w:ind w:left="416" w:hanging="416"/>
        <w:rPr>
          <w:rFonts w:hint="eastAsia" w:ascii="宋体" w:hAnsi="宋体" w:cs="宋体"/>
          <w:bCs/>
          <w:spacing w:val="-6"/>
          <w:sz w:val="22"/>
          <w:highlight w:val="none"/>
        </w:rPr>
      </w:pPr>
      <w:r>
        <w:rPr>
          <w:rFonts w:hint="eastAsia" w:ascii="宋体" w:hAnsi="宋体" w:cs="宋体"/>
          <w:bCs/>
          <w:spacing w:val="-6"/>
          <w:sz w:val="22"/>
          <w:highlight w:val="none"/>
        </w:rPr>
        <w:t>5.如投标人是自然人，提供有效的自然人身份证明（居民身份证正反面或公安机关出具的临时居民身份证正反面或港澳台胞证或证照）。</w:t>
      </w:r>
    </w:p>
    <w:p w14:paraId="6F094459">
      <w:pPr>
        <w:spacing w:line="360" w:lineRule="auto"/>
        <w:jc w:val="center"/>
        <w:outlineLvl w:val="0"/>
        <w:rPr>
          <w:rFonts w:hint="eastAsia" w:asciiTheme="minorEastAsia" w:hAnsiTheme="minorEastAsia" w:eastAsiaTheme="minorEastAsia" w:cstheme="minorEastAsia"/>
          <w:sz w:val="24"/>
          <w:highlight w:val="none"/>
        </w:rPr>
        <w:sectPr>
          <w:pgSz w:w="11906" w:h="16838"/>
          <w:pgMar w:top="1440" w:right="1080" w:bottom="1440" w:left="1080" w:header="851" w:footer="992" w:gutter="0"/>
          <w:cols w:space="720" w:num="1"/>
          <w:titlePg/>
          <w:docGrid w:linePitch="312" w:charSpace="0"/>
        </w:sectPr>
      </w:pPr>
    </w:p>
    <w:p w14:paraId="111370F8">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33" w:name="_Toc15876"/>
      <w:r>
        <w:rPr>
          <w:rFonts w:hint="eastAsia" w:asciiTheme="minorEastAsia" w:hAnsiTheme="minorEastAsia" w:eastAsiaTheme="minorEastAsia" w:cstheme="minorEastAsia"/>
          <w:b/>
          <w:kern w:val="0"/>
          <w:sz w:val="28"/>
          <w:szCs w:val="28"/>
          <w:highlight w:val="none"/>
        </w:rPr>
        <w:t>二、符合参加政府采购活动应当具备的一般条件的承诺函</w:t>
      </w:r>
      <w:bookmarkEnd w:id="533"/>
    </w:p>
    <w:p w14:paraId="48CB63EA">
      <w:p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（采购人）、（采购代理机构）：</w:t>
      </w:r>
    </w:p>
    <w:p w14:paraId="71B323D1">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我方参与</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（项目名称）【招标编号：（</w:t>
      </w:r>
      <w:r>
        <w:rPr>
          <w:rFonts w:hint="eastAsia" w:asciiTheme="minorEastAsia" w:hAnsiTheme="minorEastAsia" w:eastAsiaTheme="minorEastAsia" w:cstheme="minorEastAsia"/>
          <w:sz w:val="24"/>
          <w:highlight w:val="none"/>
          <w:lang w:eastAsia="zh-CN"/>
        </w:rPr>
        <w:t>LGSYCG2025029</w:t>
      </w:r>
      <w:r>
        <w:rPr>
          <w:rFonts w:hint="eastAsia" w:asciiTheme="minorEastAsia" w:hAnsiTheme="minorEastAsia" w:eastAsiaTheme="minorEastAsia" w:cstheme="minorEastAsia"/>
          <w:sz w:val="24"/>
          <w:highlight w:val="none"/>
        </w:rPr>
        <w:t>）】政府采购活动，郑重承诺：</w:t>
      </w:r>
    </w:p>
    <w:p w14:paraId="23725DE9">
      <w:pPr>
        <w:snapToGrid w:val="0"/>
        <w:spacing w:line="360" w:lineRule="auto"/>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（一）具备《中华人民共和国政府采购法》第二十二条第一款规定的条件：</w:t>
      </w:r>
    </w:p>
    <w:p w14:paraId="0341C294">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1、具有独立承担民事责任的能力；</w:t>
      </w:r>
    </w:p>
    <w:p w14:paraId="1853353F">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2、具有良好的商业信誉和健全的财务会计制度； </w:t>
      </w:r>
    </w:p>
    <w:p w14:paraId="03EAD8B5">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3、具有履行合同所必需的设备和专业技术能力；</w:t>
      </w:r>
    </w:p>
    <w:p w14:paraId="0AD31777">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4、有依法缴纳税收和社会保障资金的良好记录；</w:t>
      </w:r>
    </w:p>
    <w:p w14:paraId="0A05D8AB">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5、参加政府采购活动前三年内，在经营活动中没有重大违法记录；</w:t>
      </w:r>
    </w:p>
    <w:p w14:paraId="0E82AFB0">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6、具有法律、行政法规规定的其他条件。</w:t>
      </w:r>
    </w:p>
    <w:p w14:paraId="7EE25863">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（二）未被信用中国（www.creditchina.gov.cn)、中国政府采购网（www.ccgp.gov.cn）列入失信被执行人、重大税收违法案件当事人名单、政府采购严重违法失信行为记录名单。</w:t>
      </w:r>
    </w:p>
    <w:p w14:paraId="33C7D131">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（三）不存在以下情况：</w:t>
      </w:r>
    </w:p>
    <w:p w14:paraId="75EC5DAB">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1、单位负责人为同一人或者存在直接控股、管理关系的不同投标人参加同一合同项下的政府采购活动的；</w:t>
      </w:r>
    </w:p>
    <w:p w14:paraId="064E8447">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2、为采购项目提供整体设计、规范编制或者项目管理、监理、检测等服务后再参加该采购项目的其他采购活动的。</w:t>
      </w:r>
    </w:p>
    <w:p w14:paraId="39566F06">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公司对上述承诺的真实性负责。上述承诺如有虚假，将按“提供虚假材料谋取中标、成交”情形，由采购人取消我公司任何资格（投标/中标/签订合同），且由采购人/采购代理机构报告至采购监管部门。“较大数额罚款”认定为200万元以上的罚款，法律、行政法规以及国务院有关部门明确规定相关领域“较大数额罚款”标准高于200万元的，从其规定。</w:t>
      </w:r>
    </w:p>
    <w:p w14:paraId="26143F6F">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我单位已知晓前述法律规定，对此无任何异议。</w:t>
      </w:r>
    </w:p>
    <w:p w14:paraId="7EA61A75">
      <w:pPr>
        <w:snapToGrid w:val="0"/>
        <w:spacing w:line="360" w:lineRule="auto"/>
        <w:ind w:firstLine="5520" w:firstLineChars="2300"/>
        <w:rPr>
          <w:rFonts w:hint="eastAsia" w:asciiTheme="minorEastAsia" w:hAnsiTheme="minorEastAsia" w:eastAsiaTheme="minorEastAsia" w:cstheme="minorEastAsia"/>
          <w:kern w:val="0"/>
          <w:sz w:val="24"/>
          <w:highlight w:val="none"/>
          <w:lang w:val="zh-CN"/>
        </w:rPr>
      </w:pPr>
    </w:p>
    <w:p w14:paraId="05FC9D4F">
      <w:pPr>
        <w:snapToGrid w:val="0"/>
        <w:spacing w:line="360" w:lineRule="auto"/>
        <w:ind w:firstLine="5520" w:firstLineChars="23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zh-CN"/>
        </w:rPr>
        <w:t>投标人名称(电子签名)：</w:t>
      </w:r>
    </w:p>
    <w:p w14:paraId="4999B417">
      <w:pPr>
        <w:snapToGrid w:val="0"/>
        <w:spacing w:line="360" w:lineRule="auto"/>
        <w:jc w:val="righ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zh-CN"/>
        </w:rPr>
        <w:t>日期</w:t>
      </w:r>
      <w:r>
        <w:rPr>
          <w:rFonts w:hint="eastAsia" w:asciiTheme="minorEastAsia" w:hAnsiTheme="minorEastAsia" w:eastAsiaTheme="minorEastAsia" w:cstheme="minorEastAsia"/>
          <w:kern w:val="0"/>
          <w:sz w:val="24"/>
          <w:highlight w:val="none"/>
        </w:rPr>
        <w:t xml:space="preserve">：  年  </w:t>
      </w:r>
      <w:r>
        <w:rPr>
          <w:rFonts w:hint="eastAsia" w:asciiTheme="minorEastAsia" w:hAnsiTheme="minorEastAsia" w:eastAsiaTheme="minorEastAsia" w:cstheme="minorEastAsia"/>
          <w:kern w:val="0"/>
          <w:sz w:val="24"/>
          <w:highlight w:val="none"/>
          <w:lang w:val="zh-CN"/>
        </w:rPr>
        <w:t>月</w:t>
      </w:r>
      <w:r>
        <w:rPr>
          <w:rFonts w:hint="eastAsia" w:asciiTheme="minorEastAsia" w:hAnsiTheme="minorEastAsia" w:eastAsiaTheme="minorEastAsia" w:cstheme="minorEastAsia"/>
          <w:kern w:val="0"/>
          <w:sz w:val="24"/>
          <w:highlight w:val="none"/>
        </w:rPr>
        <w:t xml:space="preserve">  </w:t>
      </w:r>
      <w:r>
        <w:rPr>
          <w:rFonts w:hint="eastAsia" w:asciiTheme="minorEastAsia" w:hAnsiTheme="minorEastAsia" w:eastAsiaTheme="minorEastAsia" w:cstheme="minorEastAsia"/>
          <w:kern w:val="0"/>
          <w:sz w:val="24"/>
          <w:highlight w:val="none"/>
          <w:lang w:val="zh-CN"/>
        </w:rPr>
        <w:t>日</w:t>
      </w:r>
    </w:p>
    <w:p w14:paraId="2320CB6C">
      <w:pPr>
        <w:snapToGrid w:val="0"/>
        <w:ind w:right="482"/>
        <w:jc w:val="left"/>
        <w:rPr>
          <w:rFonts w:hint="eastAsia" w:asciiTheme="minorEastAsia" w:hAnsiTheme="minorEastAsia" w:eastAsiaTheme="minorEastAsia" w:cstheme="minorEastAsia"/>
          <w:b/>
          <w:kern w:val="0"/>
          <w:sz w:val="20"/>
          <w:szCs w:val="20"/>
          <w:highlight w:val="none"/>
        </w:rPr>
      </w:pPr>
      <w:r>
        <w:rPr>
          <w:rFonts w:hint="eastAsia" w:ascii="宋体" w:hAnsi="宋体" w:cs="宋体"/>
          <w:sz w:val="20"/>
          <w:szCs w:val="20"/>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宋体"/>
          <w:b/>
          <w:sz w:val="20"/>
          <w:szCs w:val="20"/>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1E112D3E">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34" w:name="_Toc11536"/>
      <w:r>
        <w:rPr>
          <w:rFonts w:hint="eastAsia" w:asciiTheme="minorEastAsia" w:hAnsiTheme="minorEastAsia" w:eastAsiaTheme="minorEastAsia" w:cstheme="minorEastAsia"/>
          <w:b/>
          <w:kern w:val="0"/>
          <w:sz w:val="28"/>
          <w:szCs w:val="28"/>
          <w:highlight w:val="none"/>
        </w:rPr>
        <w:t>二、联合协议（如有）</w:t>
      </w:r>
      <w:bookmarkEnd w:id="534"/>
    </w:p>
    <w:p w14:paraId="328A6014">
      <w:pPr>
        <w:widowControl/>
        <w:spacing w:line="360" w:lineRule="auto"/>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[以联合体形式投标的，提供联合协议（附件5）；本项目不接受联合体投标或者投标人不以联合体形式投标的，则不需要提供]</w:t>
      </w:r>
    </w:p>
    <w:p w14:paraId="3B1FBBEC">
      <w:pPr>
        <w:snapToGrid w:val="0"/>
        <w:spacing w:line="360" w:lineRule="auto"/>
        <w:ind w:right="480"/>
        <w:jc w:val="center"/>
        <w:rPr>
          <w:rFonts w:hint="eastAsia" w:asciiTheme="minorEastAsia" w:hAnsiTheme="minorEastAsia" w:eastAsiaTheme="minorEastAsia" w:cstheme="minorEastAsia"/>
          <w:b/>
          <w:kern w:val="0"/>
          <w:sz w:val="32"/>
          <w:szCs w:val="32"/>
          <w:highlight w:val="none"/>
        </w:rPr>
      </w:pPr>
    </w:p>
    <w:p w14:paraId="7366F42D">
      <w:pPr>
        <w:snapToGrid w:val="0"/>
        <w:spacing w:line="360" w:lineRule="auto"/>
        <w:ind w:right="480"/>
        <w:jc w:val="center"/>
        <w:rPr>
          <w:rFonts w:hint="eastAsia" w:asciiTheme="minorEastAsia" w:hAnsiTheme="minorEastAsia" w:eastAsiaTheme="minorEastAsia" w:cstheme="minorEastAsia"/>
          <w:b/>
          <w:kern w:val="0"/>
          <w:sz w:val="32"/>
          <w:szCs w:val="32"/>
          <w:highlight w:val="none"/>
        </w:rPr>
      </w:pPr>
    </w:p>
    <w:p w14:paraId="60877363">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35" w:name="_Toc3663"/>
      <w:r>
        <w:rPr>
          <w:rFonts w:hint="eastAsia" w:asciiTheme="minorEastAsia" w:hAnsiTheme="minorEastAsia" w:eastAsiaTheme="minorEastAsia" w:cstheme="minorEastAsia"/>
          <w:b/>
          <w:kern w:val="0"/>
          <w:sz w:val="28"/>
          <w:szCs w:val="28"/>
          <w:highlight w:val="none"/>
        </w:rPr>
        <w:t>三、落实政府采购政策需满足的资格要求</w:t>
      </w:r>
      <w:bookmarkEnd w:id="535"/>
    </w:p>
    <w:p w14:paraId="23C541EC">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（根据招标公告落实政府采购政策需满足的资格要求选择提供相应的材料；未要求的，无需提供）</w:t>
      </w:r>
    </w:p>
    <w:p w14:paraId="376E96A0">
      <w:pPr>
        <w:snapToGrid w:val="0"/>
        <w:spacing w:before="50" w:after="50" w:line="360" w:lineRule="auto"/>
        <w:ind w:firstLine="472" w:firstLineChars="196"/>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A</w:t>
      </w:r>
      <w:r>
        <w:rPr>
          <w:rFonts w:hint="eastAsia" w:asciiTheme="minorEastAsia" w:hAnsiTheme="minorEastAsia" w:eastAsiaTheme="minorEastAsia" w:cstheme="minorEastAsia"/>
          <w:sz w:val="24"/>
          <w:highlight w:val="none"/>
        </w:rPr>
        <w:t xml:space="preserve">.专门面向中小企业，服务全部由符合政策要求的中小企业承接，提供中小企业声明函（附件5）。 </w:t>
      </w:r>
    </w:p>
    <w:p w14:paraId="555856C4">
      <w:pPr>
        <w:widowControl/>
        <w:spacing w:line="360" w:lineRule="auto"/>
        <w:ind w:firstLine="480"/>
        <w:jc w:val="left"/>
        <w:rPr>
          <w:rFonts w:hint="eastAsia" w:asciiTheme="minorEastAsia" w:hAnsiTheme="minorEastAsia" w:eastAsiaTheme="minorEastAsia" w:cstheme="minorEastAsia"/>
          <w:sz w:val="24"/>
          <w:highlight w:val="none"/>
        </w:rPr>
      </w:pPr>
    </w:p>
    <w:p w14:paraId="0A34CB74">
      <w:pPr>
        <w:widowControl/>
        <w:spacing w:line="360" w:lineRule="auto"/>
        <w:ind w:firstLine="472" w:firstLineChars="196"/>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B.</w:t>
      </w:r>
      <w:r>
        <w:rPr>
          <w:rFonts w:hint="eastAsia" w:asciiTheme="minorEastAsia" w:hAnsiTheme="minorEastAsia" w:eastAsiaTheme="minorEastAsia" w:cstheme="minorEastAsia"/>
          <w:sz w:val="24"/>
          <w:highlight w:val="none"/>
        </w:rPr>
        <w:t>要求以联合体形式参加的，提供联合协议（附件3）和中小企业声明函（附件5），联合协议中中小企业合同金额应当达到招标公告载明的比例；如果投标人本身提供所有标的均由中小企业承接的，</w:t>
      </w:r>
      <w:r>
        <w:rPr>
          <w:rFonts w:hint="eastAsia" w:asciiTheme="minorEastAsia" w:hAnsiTheme="minorEastAsia" w:eastAsiaTheme="minorEastAsia" w:cstheme="minorEastAsia"/>
          <w:spacing w:val="8"/>
          <w:kern w:val="0"/>
          <w:sz w:val="24"/>
          <w:highlight w:val="none"/>
        </w:rPr>
        <w:t>并相应达到了前述比例要求，</w:t>
      </w:r>
      <w:r>
        <w:rPr>
          <w:rFonts w:hint="eastAsia" w:asciiTheme="minorEastAsia" w:hAnsiTheme="minorEastAsia" w:eastAsiaTheme="minorEastAsia" w:cstheme="minorEastAsia"/>
          <w:sz w:val="24"/>
          <w:highlight w:val="none"/>
        </w:rPr>
        <w:t>视同符合了资格条件，无需再与其他中小企业组成联合体参加政府采购活动，无需提供联合协议。</w:t>
      </w:r>
    </w:p>
    <w:p w14:paraId="0C697505">
      <w:pPr>
        <w:snapToGrid w:val="0"/>
        <w:spacing w:before="50" w:after="50" w:line="360" w:lineRule="auto"/>
        <w:jc w:val="center"/>
        <w:rPr>
          <w:rFonts w:hint="eastAsia" w:asciiTheme="minorEastAsia" w:hAnsiTheme="minorEastAsia" w:eastAsiaTheme="minorEastAsia" w:cstheme="minorEastAsia"/>
          <w:sz w:val="24"/>
          <w:highlight w:val="none"/>
        </w:rPr>
      </w:pPr>
    </w:p>
    <w:p w14:paraId="486BA19A">
      <w:pPr>
        <w:spacing w:line="360" w:lineRule="auto"/>
        <w:ind w:firstLine="482"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C.</w:t>
      </w:r>
      <w:r>
        <w:rPr>
          <w:rFonts w:hint="eastAsia" w:asciiTheme="minorEastAsia" w:hAnsiTheme="minorEastAsia" w:eastAsiaTheme="minorEastAsia" w:cstheme="minorEastAsia"/>
          <w:sz w:val="24"/>
          <w:highlight w:val="none"/>
        </w:rPr>
        <w:t>要求合同分包的，提供分包意向协议（附件4）和中小企业声明函（附件5），分包意向协议中中小企业合同金额应当达到招标公告载明的比例；如果投标人本身提供所有标的均由中小企业承接的，</w:t>
      </w:r>
      <w:r>
        <w:rPr>
          <w:rFonts w:hint="eastAsia" w:asciiTheme="minorEastAsia" w:hAnsiTheme="minorEastAsia" w:eastAsiaTheme="minorEastAsia" w:cstheme="minorEastAsia"/>
          <w:spacing w:val="8"/>
          <w:kern w:val="0"/>
          <w:sz w:val="24"/>
          <w:highlight w:val="none"/>
        </w:rPr>
        <w:t>并相应达到了前述比例要求，</w:t>
      </w:r>
      <w:r>
        <w:rPr>
          <w:rFonts w:hint="eastAsia" w:asciiTheme="minorEastAsia" w:hAnsiTheme="minorEastAsia" w:eastAsiaTheme="minorEastAsia" w:cstheme="minorEastAsia"/>
          <w:sz w:val="24"/>
          <w:highlight w:val="none"/>
        </w:rPr>
        <w:t>视同符合了资格条件，无需再向中小企业分包，无需提供分包意向协议。</w:t>
      </w:r>
    </w:p>
    <w:p w14:paraId="70444200">
      <w:pPr>
        <w:widowControl/>
        <w:spacing w:line="360" w:lineRule="auto"/>
        <w:ind w:left="150"/>
        <w:jc w:val="center"/>
        <w:rPr>
          <w:rFonts w:hint="eastAsia" w:asciiTheme="minorEastAsia" w:hAnsiTheme="minorEastAsia" w:eastAsiaTheme="minorEastAsia" w:cstheme="minorEastAsia"/>
          <w:b/>
          <w:kern w:val="0"/>
          <w:sz w:val="32"/>
          <w:szCs w:val="32"/>
          <w:highlight w:val="none"/>
        </w:rPr>
      </w:pPr>
    </w:p>
    <w:p w14:paraId="11817FB0">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36" w:name="_Toc23133"/>
      <w:r>
        <w:rPr>
          <w:rFonts w:hint="eastAsia" w:asciiTheme="minorEastAsia" w:hAnsiTheme="minorEastAsia" w:eastAsiaTheme="minorEastAsia" w:cstheme="minorEastAsia"/>
          <w:b/>
          <w:kern w:val="0"/>
          <w:sz w:val="28"/>
          <w:szCs w:val="28"/>
          <w:highlight w:val="none"/>
        </w:rPr>
        <w:t>四、本项目的特定资格要求</w:t>
      </w:r>
      <w:bookmarkEnd w:id="536"/>
    </w:p>
    <w:p w14:paraId="3E85DAA7">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（根据招标公告本项目的特定资格要求提供相应的材料；未要求的，无需提供）</w:t>
      </w:r>
    </w:p>
    <w:p w14:paraId="760A3048">
      <w:pPr>
        <w:rPr>
          <w:rFonts w:hint="eastAsia" w:asciiTheme="minorEastAsia" w:hAnsiTheme="minorEastAsia" w:eastAsiaTheme="minorEastAsia" w:cstheme="minorEastAsia"/>
          <w:highlight w:val="none"/>
        </w:rPr>
      </w:pPr>
    </w:p>
    <w:p w14:paraId="7F2E1C8F">
      <w:pPr>
        <w:widowControl/>
        <w:adjustRightInd/>
        <w:jc w:val="left"/>
        <w:rPr>
          <w:rFonts w:hint="eastAsia" w:asciiTheme="minorEastAsia" w:hAnsiTheme="minorEastAsia" w:eastAsiaTheme="minorEastAsia" w:cstheme="minorEastAsia"/>
          <w:b/>
          <w:kern w:val="0"/>
          <w:sz w:val="32"/>
          <w:szCs w:val="32"/>
          <w:highlight w:val="none"/>
        </w:rPr>
      </w:pPr>
      <w:r>
        <w:rPr>
          <w:rFonts w:hint="eastAsia" w:asciiTheme="minorEastAsia" w:hAnsiTheme="minorEastAsia" w:eastAsiaTheme="minorEastAsia" w:cstheme="minorEastAsia"/>
          <w:b/>
          <w:kern w:val="0"/>
          <w:sz w:val="32"/>
          <w:szCs w:val="32"/>
          <w:highlight w:val="none"/>
        </w:rPr>
        <w:br w:type="page"/>
      </w:r>
    </w:p>
    <w:p w14:paraId="48963604">
      <w:pPr>
        <w:spacing w:line="360" w:lineRule="auto"/>
        <w:jc w:val="center"/>
        <w:outlineLvl w:val="0"/>
        <w:rPr>
          <w:rFonts w:hint="eastAsia" w:asciiTheme="minorEastAsia" w:hAnsiTheme="minorEastAsia" w:eastAsiaTheme="minorEastAsia" w:cstheme="minorEastAsia"/>
          <w:b/>
          <w:kern w:val="0"/>
          <w:sz w:val="40"/>
          <w:szCs w:val="40"/>
          <w:highlight w:val="none"/>
        </w:rPr>
      </w:pPr>
      <w:bookmarkStart w:id="537" w:name="_Toc30211"/>
      <w:r>
        <w:rPr>
          <w:rFonts w:hint="eastAsia" w:asciiTheme="minorEastAsia" w:hAnsiTheme="minorEastAsia" w:eastAsiaTheme="minorEastAsia" w:cstheme="minorEastAsia"/>
          <w:b/>
          <w:kern w:val="0"/>
          <w:sz w:val="40"/>
          <w:szCs w:val="40"/>
          <w:highlight w:val="none"/>
        </w:rPr>
        <w:t>商务技术文件部分</w:t>
      </w:r>
      <w:bookmarkEnd w:id="537"/>
    </w:p>
    <w:p w14:paraId="1691C8A2">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38" w:name="_Toc30220"/>
      <w:r>
        <w:rPr>
          <w:rFonts w:hint="eastAsia" w:asciiTheme="minorEastAsia" w:hAnsiTheme="minorEastAsia" w:eastAsiaTheme="minorEastAsia" w:cstheme="minorEastAsia"/>
          <w:b/>
          <w:kern w:val="0"/>
          <w:sz w:val="28"/>
          <w:szCs w:val="28"/>
          <w:highlight w:val="none"/>
        </w:rPr>
        <w:t>目录</w:t>
      </w:r>
      <w:bookmarkEnd w:id="538"/>
    </w:p>
    <w:p w14:paraId="12380C88">
      <w:pPr>
        <w:numPr>
          <w:ilvl w:val="0"/>
          <w:numId w:val="6"/>
        </w:numPr>
        <w:snapToGrid w:val="0"/>
        <w:spacing w:line="360" w:lineRule="auto"/>
        <w:ind w:left="479" w:leftChars="228"/>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投标函…………………………………………………………………………………（页码）</w:t>
      </w:r>
    </w:p>
    <w:p w14:paraId="376017E1">
      <w:pPr>
        <w:numPr>
          <w:ilvl w:val="0"/>
          <w:numId w:val="6"/>
        </w:numPr>
        <w:snapToGrid w:val="0"/>
        <w:spacing w:line="360" w:lineRule="auto"/>
        <w:ind w:left="479" w:leftChars="228"/>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授权委托书或法定代表人（单位负责人、自然人本人）身份证明………………（页码）</w:t>
      </w:r>
    </w:p>
    <w:p w14:paraId="3324315D">
      <w:pPr>
        <w:snapToGrid w:val="0"/>
        <w:spacing w:line="360" w:lineRule="auto"/>
        <w:ind w:left="479" w:leftChars="228"/>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（3）分包意向协议…………………………………………………………………………（页码）</w:t>
      </w:r>
    </w:p>
    <w:p w14:paraId="21609013">
      <w:pPr>
        <w:snapToGrid w:val="0"/>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（4）符合性审查资料………………………………………………………………………（页码）</w:t>
      </w:r>
    </w:p>
    <w:p w14:paraId="19C7CC01">
      <w:pPr>
        <w:snapToGrid w:val="0"/>
        <w:spacing w:line="360" w:lineRule="auto"/>
        <w:ind w:left="479" w:leftChars="228"/>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（5）评标标准相应的商务技术资料………………………………………………………（页码）</w:t>
      </w:r>
    </w:p>
    <w:p w14:paraId="0EEAA2A0">
      <w:pPr>
        <w:snapToGrid w:val="0"/>
        <w:spacing w:line="360" w:lineRule="auto"/>
        <w:ind w:left="479" w:leftChars="228"/>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（6）投标标的清单…………………………………………………………………………（页码）</w:t>
      </w:r>
    </w:p>
    <w:p w14:paraId="6752C51F">
      <w:pPr>
        <w:snapToGrid w:val="0"/>
        <w:spacing w:line="360" w:lineRule="auto"/>
        <w:ind w:left="479" w:leftChars="228"/>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（7）商务技术偏离表………………………………………………………………………（页码）</w:t>
      </w:r>
    </w:p>
    <w:p w14:paraId="069862EF">
      <w:pPr>
        <w:snapToGrid w:val="0"/>
        <w:spacing w:line="360" w:lineRule="auto"/>
        <w:ind w:left="479" w:leftChars="228"/>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zh-CN"/>
        </w:rPr>
        <w:t>（</w:t>
      </w:r>
      <w:r>
        <w:rPr>
          <w:rFonts w:hint="eastAsia" w:asciiTheme="minorEastAsia" w:hAnsiTheme="minorEastAsia" w:eastAsiaTheme="minorEastAsia" w:cstheme="minorEastAsia"/>
          <w:sz w:val="22"/>
          <w:szCs w:val="22"/>
          <w:highlight w:val="none"/>
        </w:rPr>
        <w:t>8</w:t>
      </w:r>
      <w:r>
        <w:rPr>
          <w:rFonts w:hint="eastAsia" w:asciiTheme="minorEastAsia" w:hAnsiTheme="minorEastAsia" w:eastAsiaTheme="minorEastAsia" w:cstheme="minorEastAsia"/>
          <w:sz w:val="22"/>
          <w:szCs w:val="22"/>
          <w:highlight w:val="none"/>
          <w:lang w:val="zh-CN"/>
        </w:rPr>
        <w:t>）政府采购投标人廉洁自律承诺书</w:t>
      </w:r>
      <w:r>
        <w:rPr>
          <w:rFonts w:hint="eastAsia" w:asciiTheme="minorEastAsia" w:hAnsiTheme="minorEastAsia" w:eastAsiaTheme="minorEastAsia" w:cstheme="minorEastAsia"/>
          <w:sz w:val="22"/>
          <w:szCs w:val="22"/>
          <w:highlight w:val="none"/>
        </w:rPr>
        <w:t>……………………………………………………（页码）</w:t>
      </w:r>
    </w:p>
    <w:p w14:paraId="5771D72E">
      <w:pPr>
        <w:rPr>
          <w:rFonts w:hint="eastAsia" w:asciiTheme="minorEastAsia" w:hAnsiTheme="minorEastAsia" w:eastAsiaTheme="minorEastAsia" w:cstheme="minorEastAsia"/>
          <w:highlight w:val="none"/>
        </w:rPr>
      </w:pPr>
    </w:p>
    <w:p w14:paraId="6D8FD2C6">
      <w:pPr>
        <w:rPr>
          <w:rFonts w:hint="eastAsia" w:asciiTheme="minorEastAsia" w:hAnsiTheme="minorEastAsia" w:eastAsiaTheme="minorEastAsia" w:cstheme="minorEastAsia"/>
          <w:b/>
          <w:kern w:val="0"/>
          <w:sz w:val="32"/>
          <w:szCs w:val="32"/>
          <w:highlight w:val="none"/>
        </w:rPr>
      </w:pPr>
      <w:r>
        <w:rPr>
          <w:rFonts w:hint="eastAsia" w:asciiTheme="minorEastAsia" w:hAnsiTheme="minorEastAsia" w:eastAsiaTheme="minorEastAsia" w:cstheme="minorEastAsia"/>
          <w:b/>
          <w:kern w:val="0"/>
          <w:sz w:val="32"/>
          <w:szCs w:val="32"/>
          <w:highlight w:val="none"/>
        </w:rPr>
        <w:br w:type="page"/>
      </w:r>
    </w:p>
    <w:p w14:paraId="2AC1BEE2">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39" w:name="_Toc17842"/>
      <w:r>
        <w:rPr>
          <w:rFonts w:hint="eastAsia" w:asciiTheme="minorEastAsia" w:hAnsiTheme="minorEastAsia" w:eastAsiaTheme="minorEastAsia" w:cstheme="minorEastAsia"/>
          <w:b/>
          <w:kern w:val="0"/>
          <w:sz w:val="28"/>
          <w:szCs w:val="28"/>
          <w:highlight w:val="none"/>
        </w:rPr>
        <w:t>一、投标函</w:t>
      </w:r>
      <w:bookmarkEnd w:id="539"/>
    </w:p>
    <w:p w14:paraId="7E9664DF">
      <w:pPr>
        <w:snapToGrid w:val="0"/>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（采购人）、（采购代理机构）：</w:t>
      </w:r>
    </w:p>
    <w:p w14:paraId="4E6067F7">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我方参加你方组织的</w:t>
      </w:r>
      <w:r>
        <w:rPr>
          <w:rFonts w:hint="eastAsia" w:asciiTheme="minorEastAsia" w:hAnsiTheme="minorEastAsia" w:eastAsiaTheme="minorEastAsia" w:cstheme="minorEastAsia"/>
          <w:sz w:val="24"/>
          <w:highlight w:val="none"/>
          <w:u w:val="single"/>
        </w:rPr>
        <w:t xml:space="preserve">    （项目名称）【招标编号：（</w:t>
      </w:r>
      <w:r>
        <w:rPr>
          <w:rFonts w:hint="eastAsia" w:asciiTheme="minorEastAsia" w:hAnsiTheme="minorEastAsia" w:eastAsiaTheme="minorEastAsia" w:cstheme="minorEastAsia"/>
          <w:sz w:val="24"/>
          <w:highlight w:val="none"/>
          <w:u w:val="single"/>
          <w:lang w:eastAsia="zh-CN"/>
        </w:rPr>
        <w:t>LGSYCG2025029</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sz w:val="24"/>
          <w:highlight w:val="none"/>
        </w:rPr>
        <w:t>招标的有关活动，并对此项目进行投标。为此：</w:t>
      </w:r>
    </w:p>
    <w:p w14:paraId="1C4CF2CD">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1、我方承诺投标有效期从提交投标文件的截止之日起【</w:t>
      </w:r>
      <w:r>
        <w:rPr>
          <w:rFonts w:hint="eastAsia" w:asciiTheme="minorEastAsia" w:hAnsiTheme="minorEastAsia" w:eastAsiaTheme="minorEastAsia" w:cstheme="minorEastAsia"/>
          <w:sz w:val="24"/>
          <w:highlight w:val="none"/>
          <w:u w:val="single"/>
        </w:rPr>
        <w:t xml:space="preserve"> 90 </w:t>
      </w:r>
      <w:r>
        <w:rPr>
          <w:rFonts w:hint="eastAsia" w:asciiTheme="minorEastAsia" w:hAnsiTheme="minorEastAsia" w:eastAsiaTheme="minorEastAsia" w:cstheme="minorEastAsia"/>
          <w:sz w:val="24"/>
          <w:highlight w:val="none"/>
        </w:rPr>
        <w:t>】天</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 w:val="24"/>
          <w:highlight w:val="none"/>
        </w:rPr>
        <w:t>本投标文件在投标有效期满之前均具有约束力。</w:t>
      </w:r>
    </w:p>
    <w:p w14:paraId="2525C977">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2、我方的投标文件包括以下内容：</w:t>
      </w:r>
    </w:p>
    <w:p w14:paraId="07D269EC">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2.1资格文件：</w:t>
      </w:r>
    </w:p>
    <w:p w14:paraId="60B4186A">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2.1.1承诺函；</w:t>
      </w:r>
    </w:p>
    <w:p w14:paraId="66A3BC11">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2.1.2</w:t>
      </w:r>
      <w:r>
        <w:rPr>
          <w:rFonts w:hint="eastAsia" w:asciiTheme="minorEastAsia" w:hAnsiTheme="minorEastAsia" w:eastAsiaTheme="minorEastAsia" w:cstheme="minorEastAsia"/>
          <w:snapToGrid w:val="0"/>
          <w:kern w:val="28"/>
          <w:sz w:val="24"/>
          <w:szCs w:val="20"/>
          <w:highlight w:val="none"/>
        </w:rPr>
        <w:t>联合协议（如有)；</w:t>
      </w:r>
    </w:p>
    <w:p w14:paraId="1EFD79BE">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2.1.3落实政府采购政策需满足的资格要求：</w:t>
      </w:r>
      <w:r>
        <w:rPr>
          <w:rFonts w:hint="eastAsia" w:asciiTheme="minorEastAsia" w:hAnsiTheme="minorEastAsia" w:eastAsiaTheme="minorEastAsia" w:cstheme="minorEastAsia"/>
          <w:snapToGrid w:val="0"/>
          <w:kern w:val="28"/>
          <w:sz w:val="24"/>
          <w:szCs w:val="20"/>
          <w:highlight w:val="none"/>
        </w:rPr>
        <w:t>（如有)</w:t>
      </w:r>
      <w:r>
        <w:rPr>
          <w:rFonts w:hint="eastAsia" w:asciiTheme="minorEastAsia" w:hAnsiTheme="minorEastAsia" w:eastAsiaTheme="minorEastAsia" w:cstheme="minorEastAsia"/>
          <w:sz w:val="24"/>
          <w:highlight w:val="none"/>
        </w:rPr>
        <w:t>；</w:t>
      </w:r>
    </w:p>
    <w:p w14:paraId="2C750A0D">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2.1.4本项目的特定资格要求：</w:t>
      </w:r>
      <w:r>
        <w:rPr>
          <w:rFonts w:hint="eastAsia" w:asciiTheme="minorEastAsia" w:hAnsiTheme="minorEastAsia" w:eastAsiaTheme="minorEastAsia" w:cstheme="minorEastAsia"/>
          <w:snapToGrid w:val="0"/>
          <w:kern w:val="28"/>
          <w:sz w:val="24"/>
          <w:szCs w:val="20"/>
          <w:highlight w:val="none"/>
        </w:rPr>
        <w:t>（如有)</w:t>
      </w:r>
      <w:r>
        <w:rPr>
          <w:rFonts w:hint="eastAsia" w:asciiTheme="minorEastAsia" w:hAnsiTheme="minorEastAsia" w:eastAsiaTheme="minorEastAsia" w:cstheme="minorEastAsia"/>
          <w:sz w:val="24"/>
          <w:highlight w:val="none"/>
        </w:rPr>
        <w:t>。</w:t>
      </w:r>
    </w:p>
    <w:p w14:paraId="5FF97111">
      <w:pPr>
        <w:snapToGrid w:val="0"/>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rPr>
        <w:t>2商务技术</w:t>
      </w:r>
      <w:r>
        <w:rPr>
          <w:rFonts w:hint="eastAsia" w:asciiTheme="minorEastAsia" w:hAnsiTheme="minorEastAsia" w:eastAsiaTheme="minorEastAsia" w:cstheme="minorEastAsia"/>
          <w:sz w:val="24"/>
          <w:highlight w:val="none"/>
          <w:lang w:val="zh-CN"/>
        </w:rPr>
        <w:t>文件：</w:t>
      </w:r>
    </w:p>
    <w:p w14:paraId="14812E6B">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2.2.1投标函；</w:t>
      </w:r>
    </w:p>
    <w:p w14:paraId="1A3D5E4A">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2.2.2授权委托书或法定代表人（单位负责人）身份证明；授权代表近一个月内在投标单位缴纳社保的参保证明（适用于法定代表人授权代表参加投标活动）；</w:t>
      </w:r>
    </w:p>
    <w:p w14:paraId="66B59119">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2.2.3分包意向协议</w:t>
      </w:r>
      <w:r>
        <w:rPr>
          <w:rFonts w:hint="eastAsia" w:asciiTheme="minorEastAsia" w:hAnsiTheme="minorEastAsia" w:eastAsiaTheme="minorEastAsia" w:cstheme="minorEastAsia"/>
          <w:snapToGrid w:val="0"/>
          <w:kern w:val="28"/>
          <w:sz w:val="24"/>
          <w:szCs w:val="20"/>
          <w:highlight w:val="none"/>
        </w:rPr>
        <w:t>（如有）</w:t>
      </w:r>
      <w:r>
        <w:rPr>
          <w:rFonts w:hint="eastAsia" w:asciiTheme="minorEastAsia" w:hAnsiTheme="minorEastAsia" w:eastAsiaTheme="minorEastAsia" w:cstheme="minorEastAsia"/>
          <w:sz w:val="24"/>
          <w:highlight w:val="none"/>
        </w:rPr>
        <w:t>；</w:t>
      </w:r>
    </w:p>
    <w:p w14:paraId="5CED8FE8">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2.2.4符合性审查资料；</w:t>
      </w:r>
    </w:p>
    <w:p w14:paraId="248595FC">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2.2.5评标标准相应的商务技术资料；</w:t>
      </w:r>
    </w:p>
    <w:p w14:paraId="68AFAF47">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2.2.6投标标的清单；</w:t>
      </w:r>
    </w:p>
    <w:p w14:paraId="5F64CA9A">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2.2.7商务技术偏离表；</w:t>
      </w:r>
    </w:p>
    <w:p w14:paraId="34EE503F">
      <w:pPr>
        <w:snapToGrid w:val="0"/>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rPr>
        <w:t>8</w:t>
      </w:r>
      <w:r>
        <w:rPr>
          <w:rFonts w:hint="eastAsia" w:asciiTheme="minorEastAsia" w:hAnsiTheme="minorEastAsia" w:eastAsiaTheme="minorEastAsia" w:cstheme="minorEastAsia"/>
          <w:sz w:val="24"/>
          <w:highlight w:val="none"/>
          <w:lang w:val="zh-CN"/>
        </w:rPr>
        <w:t>政府采购投标人廉洁自律承诺书；</w:t>
      </w:r>
    </w:p>
    <w:p w14:paraId="44D2BA82">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rPr>
        <w:t>3报价文件</w:t>
      </w:r>
    </w:p>
    <w:p w14:paraId="766A25DE">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2.3.1开标一览表（报价表）；</w:t>
      </w:r>
    </w:p>
    <w:p w14:paraId="1A35A5CB">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3、我方承诺除商务技术偏离表列出的偏离外，我方响应招标文件的全部要求。对投标文件中材料的真实性、合法性负责，积极配合采购人、采购代理机构复核投标文件中的资料。</w:t>
      </w:r>
    </w:p>
    <w:p w14:paraId="56136060">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4、如我方中标，我方承诺：</w:t>
      </w:r>
    </w:p>
    <w:p w14:paraId="2E3BC652">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4.1在收到中标通知书后，在中标通知书规定的期限内与你方签订合同； </w:t>
      </w:r>
    </w:p>
    <w:p w14:paraId="335B9EFC">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4.2在签订合同时不向你方提出附加条件； </w:t>
      </w:r>
    </w:p>
    <w:p w14:paraId="3A4B1AB9">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4.3按照招标文件要求提交履约保证金； </w:t>
      </w:r>
    </w:p>
    <w:p w14:paraId="520F7A73">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4.4在合同约定的期限内完成合同规定的全部义务。 </w:t>
      </w:r>
    </w:p>
    <w:p w14:paraId="47140815">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70CF7AD">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6、其他补充说明:/。</w:t>
      </w:r>
    </w:p>
    <w:p w14:paraId="39E6D929">
      <w:pPr>
        <w:spacing w:line="360" w:lineRule="auto"/>
        <w:ind w:firstLine="3600" w:firstLineChars="1500"/>
        <w:rPr>
          <w:rFonts w:hint="eastAsia" w:asciiTheme="minorEastAsia" w:hAnsiTheme="minorEastAsia" w:eastAsiaTheme="minorEastAsia" w:cstheme="minorEastAsia"/>
          <w:sz w:val="24"/>
          <w:highlight w:val="none"/>
        </w:rPr>
      </w:pPr>
    </w:p>
    <w:p w14:paraId="2B60AE3E">
      <w:pPr>
        <w:spacing w:line="360" w:lineRule="auto"/>
        <w:ind w:firstLine="3600" w:firstLineChars="15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投标人名称（电子签名）：                          </w:t>
      </w:r>
    </w:p>
    <w:p w14:paraId="549B2A26">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日期：  年   月   日</w:t>
      </w:r>
    </w:p>
    <w:p w14:paraId="50726A83">
      <w:pPr>
        <w:snapToGrid w:val="0"/>
        <w:spacing w:line="360" w:lineRule="auto"/>
        <w:ind w:left="420" w:leftChars="200" w:firstLine="4200" w:firstLineChars="1750"/>
        <w:rPr>
          <w:rFonts w:hint="eastAsia" w:asciiTheme="minorEastAsia" w:hAnsiTheme="minorEastAsia" w:eastAsiaTheme="minorEastAsia" w:cstheme="minorEastAsia"/>
          <w:kern w:val="0"/>
          <w:sz w:val="24"/>
          <w:highlight w:val="none"/>
          <w:u w:val="single"/>
        </w:rPr>
      </w:pPr>
    </w:p>
    <w:p w14:paraId="6FF2CB8A">
      <w:pPr>
        <w:spacing w:line="360" w:lineRule="auto"/>
        <w:ind w:right="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注：按本格式和要求提供。</w:t>
      </w:r>
    </w:p>
    <w:p w14:paraId="7ED64FE5">
      <w:pPr>
        <w:snapToGrid w:val="0"/>
        <w:spacing w:line="360" w:lineRule="auto"/>
        <w:jc w:val="center"/>
        <w:rPr>
          <w:rFonts w:hint="eastAsia" w:asciiTheme="minorEastAsia" w:hAnsiTheme="minorEastAsia" w:eastAsiaTheme="minorEastAsia" w:cstheme="minorEastAsia"/>
          <w:b/>
          <w:kern w:val="0"/>
          <w:sz w:val="32"/>
          <w:szCs w:val="32"/>
          <w:highlight w:val="none"/>
        </w:rPr>
      </w:pPr>
    </w:p>
    <w:p w14:paraId="77C83DFE">
      <w:pPr>
        <w:snapToGrid w:val="0"/>
        <w:spacing w:line="360" w:lineRule="auto"/>
        <w:rPr>
          <w:rFonts w:hint="eastAsia" w:asciiTheme="minorEastAsia" w:hAnsiTheme="minorEastAsia" w:eastAsiaTheme="minorEastAsia" w:cstheme="minorEastAsia"/>
          <w:sz w:val="24"/>
          <w:highlight w:val="none"/>
        </w:rPr>
      </w:pPr>
    </w:p>
    <w:p w14:paraId="37DF177A">
      <w:pPr>
        <w:jc w:val="center"/>
        <w:rPr>
          <w:rFonts w:hint="eastAsia" w:asciiTheme="minorEastAsia" w:hAnsiTheme="minorEastAsia" w:eastAsiaTheme="minorEastAsia" w:cstheme="minorEastAsia"/>
          <w:b/>
          <w:kern w:val="0"/>
          <w:sz w:val="32"/>
          <w:szCs w:val="32"/>
          <w:highlight w:val="none"/>
        </w:rPr>
      </w:pPr>
    </w:p>
    <w:p w14:paraId="16A8498A">
      <w:pPr>
        <w:jc w:val="center"/>
        <w:rPr>
          <w:rFonts w:hint="eastAsia" w:asciiTheme="minorEastAsia" w:hAnsiTheme="minorEastAsia" w:eastAsiaTheme="minorEastAsia" w:cstheme="minorEastAsia"/>
          <w:b/>
          <w:kern w:val="0"/>
          <w:sz w:val="32"/>
          <w:szCs w:val="32"/>
          <w:highlight w:val="none"/>
        </w:rPr>
      </w:pPr>
    </w:p>
    <w:p w14:paraId="39BD980E">
      <w:pPr>
        <w:jc w:val="center"/>
        <w:rPr>
          <w:rFonts w:hint="eastAsia" w:asciiTheme="minorEastAsia" w:hAnsiTheme="minorEastAsia" w:eastAsiaTheme="minorEastAsia" w:cstheme="minorEastAsia"/>
          <w:b/>
          <w:kern w:val="0"/>
          <w:sz w:val="32"/>
          <w:szCs w:val="32"/>
          <w:highlight w:val="none"/>
        </w:rPr>
      </w:pPr>
    </w:p>
    <w:p w14:paraId="014DA9D8">
      <w:pPr>
        <w:jc w:val="center"/>
        <w:rPr>
          <w:rFonts w:hint="eastAsia" w:asciiTheme="minorEastAsia" w:hAnsiTheme="minorEastAsia" w:eastAsiaTheme="minorEastAsia" w:cstheme="minorEastAsia"/>
          <w:b/>
          <w:kern w:val="0"/>
          <w:sz w:val="32"/>
          <w:szCs w:val="32"/>
          <w:highlight w:val="none"/>
        </w:rPr>
      </w:pPr>
    </w:p>
    <w:p w14:paraId="55D15B6D">
      <w:pPr>
        <w:jc w:val="center"/>
        <w:rPr>
          <w:rFonts w:hint="eastAsia" w:asciiTheme="minorEastAsia" w:hAnsiTheme="minorEastAsia" w:eastAsiaTheme="minorEastAsia" w:cstheme="minorEastAsia"/>
          <w:b/>
          <w:kern w:val="0"/>
          <w:sz w:val="32"/>
          <w:szCs w:val="32"/>
          <w:highlight w:val="none"/>
        </w:rPr>
      </w:pPr>
    </w:p>
    <w:p w14:paraId="5316F006">
      <w:pPr>
        <w:jc w:val="center"/>
        <w:rPr>
          <w:rFonts w:hint="eastAsia" w:asciiTheme="minorEastAsia" w:hAnsiTheme="minorEastAsia" w:eastAsiaTheme="minorEastAsia" w:cstheme="minorEastAsia"/>
          <w:b/>
          <w:kern w:val="0"/>
          <w:sz w:val="32"/>
          <w:szCs w:val="32"/>
          <w:highlight w:val="none"/>
        </w:rPr>
      </w:pPr>
    </w:p>
    <w:p w14:paraId="21402A27">
      <w:pPr>
        <w:jc w:val="center"/>
        <w:rPr>
          <w:rFonts w:hint="eastAsia" w:asciiTheme="minorEastAsia" w:hAnsiTheme="minorEastAsia" w:eastAsiaTheme="minorEastAsia" w:cstheme="minorEastAsia"/>
          <w:b/>
          <w:kern w:val="0"/>
          <w:sz w:val="32"/>
          <w:szCs w:val="32"/>
          <w:highlight w:val="none"/>
        </w:rPr>
      </w:pPr>
    </w:p>
    <w:p w14:paraId="326514DC">
      <w:pPr>
        <w:jc w:val="center"/>
        <w:rPr>
          <w:rFonts w:hint="eastAsia" w:asciiTheme="minorEastAsia" w:hAnsiTheme="minorEastAsia" w:eastAsiaTheme="minorEastAsia" w:cstheme="minorEastAsia"/>
          <w:b/>
          <w:kern w:val="0"/>
          <w:sz w:val="32"/>
          <w:szCs w:val="32"/>
          <w:highlight w:val="none"/>
        </w:rPr>
      </w:pPr>
    </w:p>
    <w:p w14:paraId="5AC1E23D">
      <w:pPr>
        <w:jc w:val="center"/>
        <w:rPr>
          <w:rFonts w:hint="eastAsia" w:asciiTheme="minorEastAsia" w:hAnsiTheme="minorEastAsia" w:eastAsiaTheme="minorEastAsia" w:cstheme="minorEastAsia"/>
          <w:b/>
          <w:kern w:val="0"/>
          <w:sz w:val="32"/>
          <w:szCs w:val="32"/>
          <w:highlight w:val="none"/>
        </w:rPr>
      </w:pPr>
    </w:p>
    <w:p w14:paraId="419426E0">
      <w:pPr>
        <w:jc w:val="center"/>
        <w:rPr>
          <w:rFonts w:hint="eastAsia" w:asciiTheme="minorEastAsia" w:hAnsiTheme="minorEastAsia" w:eastAsiaTheme="minorEastAsia" w:cstheme="minorEastAsia"/>
          <w:b/>
          <w:kern w:val="0"/>
          <w:sz w:val="32"/>
          <w:szCs w:val="32"/>
          <w:highlight w:val="none"/>
        </w:rPr>
      </w:pPr>
    </w:p>
    <w:p w14:paraId="44661B3E">
      <w:pPr>
        <w:jc w:val="center"/>
        <w:rPr>
          <w:rFonts w:hint="eastAsia" w:asciiTheme="minorEastAsia" w:hAnsiTheme="minorEastAsia" w:eastAsiaTheme="minorEastAsia" w:cstheme="minorEastAsia"/>
          <w:b/>
          <w:kern w:val="0"/>
          <w:sz w:val="32"/>
          <w:szCs w:val="32"/>
          <w:highlight w:val="none"/>
        </w:rPr>
      </w:pPr>
    </w:p>
    <w:p w14:paraId="4427CBB5">
      <w:pPr>
        <w:jc w:val="left"/>
        <w:rPr>
          <w:rFonts w:hint="eastAsia" w:asciiTheme="minorEastAsia" w:hAnsiTheme="minorEastAsia" w:eastAsiaTheme="minorEastAsia" w:cstheme="minorEastAsia"/>
          <w:b/>
          <w:kern w:val="0"/>
          <w:sz w:val="32"/>
          <w:szCs w:val="32"/>
          <w:highlight w:val="none"/>
        </w:rPr>
      </w:pPr>
      <w:r>
        <w:rPr>
          <w:rFonts w:hint="eastAsia" w:asciiTheme="minorEastAsia" w:hAnsiTheme="minorEastAsia" w:eastAsiaTheme="minorEastAsia" w:cstheme="minorEastAsia"/>
          <w:b/>
          <w:kern w:val="0"/>
          <w:sz w:val="32"/>
          <w:szCs w:val="32"/>
          <w:highlight w:val="none"/>
        </w:rPr>
        <w:br w:type="page"/>
      </w:r>
    </w:p>
    <w:p w14:paraId="2ED6D97A">
      <w:pPr>
        <w:spacing w:line="360" w:lineRule="auto"/>
        <w:jc w:val="center"/>
        <w:outlineLvl w:val="0"/>
        <w:rPr>
          <w:rFonts w:hint="eastAsia" w:asciiTheme="minorEastAsia" w:hAnsiTheme="minorEastAsia" w:eastAsiaTheme="minorEastAsia" w:cstheme="minorEastAsia"/>
          <w:b/>
          <w:kern w:val="0"/>
          <w:sz w:val="28"/>
          <w:szCs w:val="28"/>
          <w:highlight w:val="none"/>
          <w:lang w:val="zh-CN"/>
        </w:rPr>
      </w:pPr>
      <w:bookmarkStart w:id="540" w:name="_Toc19823"/>
      <w:r>
        <w:rPr>
          <w:rFonts w:hint="eastAsia" w:asciiTheme="minorEastAsia" w:hAnsiTheme="minorEastAsia" w:eastAsiaTheme="minorEastAsia" w:cstheme="minorEastAsia"/>
          <w:b/>
          <w:kern w:val="0"/>
          <w:sz w:val="28"/>
          <w:szCs w:val="28"/>
          <w:highlight w:val="none"/>
          <w:lang w:val="zh-CN"/>
        </w:rPr>
        <w:t>二、授权委托书或法定代表人（单位负责人、自然人本人）身份证明</w:t>
      </w:r>
      <w:bookmarkEnd w:id="540"/>
    </w:p>
    <w:p w14:paraId="10698850">
      <w:pPr>
        <w:snapToGrid w:val="0"/>
        <w:spacing w:line="360" w:lineRule="auto"/>
        <w:rPr>
          <w:rFonts w:hint="eastAsia" w:asciiTheme="minorEastAsia" w:hAnsiTheme="minorEastAsia" w:eastAsiaTheme="minorEastAsia" w:cstheme="minorEastAsia"/>
          <w:sz w:val="24"/>
          <w:highlight w:val="none"/>
        </w:rPr>
      </w:pPr>
    </w:p>
    <w:p w14:paraId="47372EAA">
      <w:pPr>
        <w:snapToGrid w:val="0"/>
        <w:spacing w:line="360" w:lineRule="auto"/>
        <w:ind w:firstLine="2872" w:firstLineChars="89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kern w:val="0"/>
          <w:sz w:val="32"/>
          <w:szCs w:val="32"/>
          <w:highlight w:val="none"/>
          <w:lang w:val="zh-CN"/>
        </w:rPr>
        <w:t>授权委托书（适用于非联合体投标）</w:t>
      </w:r>
    </w:p>
    <w:p w14:paraId="374FA2B2">
      <w:pPr>
        <w:snapToGrid w:val="0"/>
        <w:spacing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u w:val="single"/>
        </w:rPr>
        <w:t>（采购人）、（采购代理机构）</w:t>
      </w:r>
      <w:r>
        <w:rPr>
          <w:rFonts w:hint="eastAsia" w:asciiTheme="minorEastAsia" w:hAnsiTheme="minorEastAsia" w:eastAsiaTheme="minorEastAsia" w:cstheme="minorEastAsia"/>
          <w:kern w:val="0"/>
          <w:sz w:val="24"/>
          <w:highlight w:val="none"/>
          <w:lang w:val="zh-CN"/>
        </w:rPr>
        <w:t>：</w:t>
      </w:r>
    </w:p>
    <w:p w14:paraId="1FACF2B8">
      <w:pPr>
        <w:snapToGrid w:val="0"/>
        <w:spacing w:line="360" w:lineRule="auto"/>
        <w:ind w:firstLine="576"/>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现</w:t>
      </w:r>
      <w:r>
        <w:rPr>
          <w:rFonts w:hint="eastAsia" w:asciiTheme="minorEastAsia" w:hAnsiTheme="minorEastAsia" w:eastAsiaTheme="minorEastAsia" w:cstheme="minorEastAsia"/>
          <w:kern w:val="0"/>
          <w:sz w:val="24"/>
          <w:highlight w:val="none"/>
          <w:lang w:val="zh-CN"/>
        </w:rPr>
        <w:t>委托</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lang w:val="zh-CN"/>
        </w:rPr>
        <w:t>（姓名）为我方代理人（身份证号码：</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lang w:val="zh-CN"/>
        </w:rPr>
        <w:t>，手机：</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，所在单位：</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lang w:val="zh-CN"/>
        </w:rPr>
        <w:t>），以我方名义处理</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sz w:val="24"/>
          <w:highlight w:val="none"/>
        </w:rPr>
        <w:t>（项目名称）【招标编号：（</w:t>
      </w:r>
      <w:r>
        <w:rPr>
          <w:rFonts w:hint="eastAsia" w:asciiTheme="minorEastAsia" w:hAnsiTheme="minorEastAsia" w:eastAsiaTheme="minorEastAsia" w:cstheme="minorEastAsia"/>
          <w:sz w:val="24"/>
          <w:highlight w:val="none"/>
          <w:lang w:eastAsia="zh-CN"/>
        </w:rPr>
        <w:t>LGSYCG2025029</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kern w:val="0"/>
          <w:sz w:val="24"/>
          <w:highlight w:val="none"/>
          <w:lang w:val="zh-CN"/>
        </w:rPr>
        <w:t>政府采购投标的一切事项，其法律后果由我方承担。</w:t>
      </w:r>
    </w:p>
    <w:p w14:paraId="615C71EE">
      <w:pPr>
        <w:snapToGrid w:val="0"/>
        <w:spacing w:line="360" w:lineRule="auto"/>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lang w:val="zh-CN"/>
        </w:rPr>
        <w:t>委托期限</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lang w:val="zh-CN"/>
        </w:rPr>
        <w:t>自</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年</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月</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日起至</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年</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月</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日止。</w:t>
      </w:r>
    </w:p>
    <w:p w14:paraId="18964962">
      <w:pPr>
        <w:snapToGrid w:val="0"/>
        <w:spacing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zh-CN"/>
        </w:rPr>
        <w:t>特此告知。</w:t>
      </w:r>
    </w:p>
    <w:p w14:paraId="1322A385">
      <w:pPr>
        <w:snapToGrid w:val="0"/>
        <w:spacing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zh-CN"/>
        </w:rPr>
        <w:t xml:space="preserve">                                                 投标人名称(电子签名)：</w:t>
      </w:r>
    </w:p>
    <w:p w14:paraId="49569B6C">
      <w:pPr>
        <w:snapToGrid w:val="0"/>
        <w:spacing w:line="360" w:lineRule="auto"/>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                                                 签发日期：  年  月   日</w:t>
      </w:r>
    </w:p>
    <w:p w14:paraId="367563E7">
      <w:pPr>
        <w:snapToGrid w:val="0"/>
        <w:spacing w:line="360" w:lineRule="auto"/>
        <w:rPr>
          <w:rFonts w:hint="eastAsia" w:asciiTheme="minorEastAsia" w:hAnsiTheme="minorEastAsia" w:eastAsiaTheme="minorEastAsia" w:cstheme="minorEastAsia"/>
          <w:sz w:val="24"/>
          <w:highlight w:val="none"/>
        </w:rPr>
      </w:pPr>
    </w:p>
    <w:p w14:paraId="10BE8175">
      <w:pPr>
        <w:jc w:val="center"/>
        <w:rPr>
          <w:rFonts w:hint="eastAsia" w:asciiTheme="minorEastAsia" w:hAnsiTheme="minorEastAsia" w:eastAsiaTheme="minorEastAsia" w:cstheme="minorEastAsia"/>
          <w:b/>
          <w:kern w:val="0"/>
          <w:sz w:val="32"/>
          <w:szCs w:val="32"/>
          <w:highlight w:val="none"/>
        </w:rPr>
      </w:pPr>
      <w:r>
        <w:rPr>
          <w:rFonts w:hint="eastAsia" w:asciiTheme="minorEastAsia" w:hAnsiTheme="minorEastAsia" w:eastAsiaTheme="minorEastAsia" w:cstheme="minorEastAsia"/>
          <w:b/>
          <w:kern w:val="0"/>
          <w:sz w:val="32"/>
          <w:szCs w:val="32"/>
          <w:highlight w:val="none"/>
          <w:lang w:val="zh-CN"/>
        </w:rPr>
        <w:t>授权委托书（适用于联合体投标）</w:t>
      </w:r>
    </w:p>
    <w:p w14:paraId="070B528E">
      <w:pPr>
        <w:snapToGrid w:val="0"/>
        <w:spacing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u w:val="single"/>
        </w:rPr>
        <w:t>（采购人）、（采购代理机构）</w:t>
      </w:r>
      <w:r>
        <w:rPr>
          <w:rFonts w:hint="eastAsia" w:asciiTheme="minorEastAsia" w:hAnsiTheme="minorEastAsia" w:eastAsiaTheme="minorEastAsia" w:cstheme="minorEastAsia"/>
          <w:kern w:val="0"/>
          <w:sz w:val="24"/>
          <w:highlight w:val="none"/>
          <w:lang w:val="zh-CN"/>
        </w:rPr>
        <w:t>：</w:t>
      </w:r>
    </w:p>
    <w:p w14:paraId="368169CE">
      <w:pPr>
        <w:snapToGrid w:val="0"/>
        <w:spacing w:line="360" w:lineRule="auto"/>
        <w:ind w:firstLine="576"/>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现</w:t>
      </w:r>
      <w:r>
        <w:rPr>
          <w:rFonts w:hint="eastAsia" w:asciiTheme="minorEastAsia" w:hAnsiTheme="minorEastAsia" w:eastAsiaTheme="minorEastAsia" w:cstheme="minorEastAsia"/>
          <w:kern w:val="0"/>
          <w:sz w:val="24"/>
          <w:highlight w:val="none"/>
          <w:lang w:val="zh-CN"/>
        </w:rPr>
        <w:t>委托</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lang w:val="zh-CN"/>
        </w:rPr>
        <w:t>（姓名）为我方代理人（身份证号码：</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lang w:val="zh-CN"/>
        </w:rPr>
        <w:t>，手机：</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，所在单位：</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lang w:val="zh-CN"/>
        </w:rPr>
        <w:t>），以我方名义处理</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sz w:val="24"/>
          <w:highlight w:val="none"/>
        </w:rPr>
        <w:t>（项目名称）【招标编号：（</w:t>
      </w:r>
      <w:r>
        <w:rPr>
          <w:rFonts w:hint="eastAsia" w:asciiTheme="minorEastAsia" w:hAnsiTheme="minorEastAsia" w:eastAsiaTheme="minorEastAsia" w:cstheme="minorEastAsia"/>
          <w:sz w:val="24"/>
          <w:highlight w:val="none"/>
          <w:lang w:eastAsia="zh-CN"/>
        </w:rPr>
        <w:t>LGSYCG2025029</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kern w:val="0"/>
          <w:sz w:val="24"/>
          <w:highlight w:val="none"/>
          <w:lang w:val="zh-CN"/>
        </w:rPr>
        <w:t>政府采购投标的一切事项，其法律后果由我方承担。</w:t>
      </w:r>
    </w:p>
    <w:p w14:paraId="64451784">
      <w:pPr>
        <w:snapToGrid w:val="0"/>
        <w:spacing w:line="360" w:lineRule="auto"/>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lang w:val="zh-CN"/>
        </w:rPr>
        <w:t>委托期限</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lang w:val="zh-CN"/>
        </w:rPr>
        <w:t>自</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年</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月</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日起至</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年</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月</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zh-CN"/>
        </w:rPr>
        <w:t>日止。</w:t>
      </w:r>
    </w:p>
    <w:p w14:paraId="68D287EB">
      <w:pPr>
        <w:snapToGrid w:val="0"/>
        <w:spacing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zh-CN"/>
        </w:rPr>
        <w:t>特此告知。</w:t>
      </w:r>
    </w:p>
    <w:p w14:paraId="148BD526">
      <w:pPr>
        <w:jc w:val="center"/>
        <w:rPr>
          <w:rFonts w:hint="eastAsia" w:asciiTheme="minorEastAsia" w:hAnsiTheme="minorEastAsia" w:eastAsiaTheme="minorEastAsia" w:cstheme="minorEastAsia"/>
          <w:b/>
          <w:kern w:val="0"/>
          <w:sz w:val="32"/>
          <w:szCs w:val="32"/>
          <w:highlight w:val="none"/>
        </w:rPr>
      </w:pPr>
    </w:p>
    <w:p w14:paraId="01B8A39B">
      <w:pPr>
        <w:jc w:val="center"/>
        <w:rPr>
          <w:rFonts w:hint="eastAsia" w:asciiTheme="minorEastAsia" w:hAnsiTheme="minorEastAsia" w:eastAsiaTheme="minorEastAsia" w:cstheme="minorEastAsia"/>
          <w:b/>
          <w:kern w:val="0"/>
          <w:sz w:val="32"/>
          <w:szCs w:val="32"/>
          <w:highlight w:val="none"/>
        </w:rPr>
      </w:pPr>
    </w:p>
    <w:p w14:paraId="75DEEFD5">
      <w:pPr>
        <w:jc w:val="center"/>
        <w:rPr>
          <w:rFonts w:hint="eastAsia" w:asciiTheme="minorEastAsia" w:hAnsiTheme="minorEastAsia" w:eastAsiaTheme="minorEastAsia" w:cstheme="minorEastAsia"/>
          <w:b/>
          <w:kern w:val="0"/>
          <w:sz w:val="32"/>
          <w:szCs w:val="32"/>
          <w:highlight w:val="none"/>
        </w:rPr>
      </w:pPr>
    </w:p>
    <w:p w14:paraId="58288094">
      <w:pPr>
        <w:rPr>
          <w:rFonts w:hint="eastAsia" w:asciiTheme="minorEastAsia" w:hAnsiTheme="minorEastAsia" w:eastAsiaTheme="minorEastAsia" w:cstheme="minorEastAsia"/>
          <w:highlight w:val="none"/>
        </w:rPr>
      </w:pPr>
    </w:p>
    <w:p w14:paraId="3276BE54">
      <w:pPr>
        <w:snapToGrid w:val="0"/>
        <w:spacing w:line="360" w:lineRule="auto"/>
        <w:ind w:firstLine="5040" w:firstLineChars="21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联合体成员名称(电子签名/公章)：</w:t>
      </w:r>
    </w:p>
    <w:p w14:paraId="64A017C3">
      <w:pPr>
        <w:snapToGrid w:val="0"/>
        <w:spacing w:line="360" w:lineRule="auto"/>
        <w:ind w:firstLine="5040" w:firstLineChars="21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联合体成员名称(电子签名/公章)：</w:t>
      </w:r>
    </w:p>
    <w:p w14:paraId="7605A8BF">
      <w:pPr>
        <w:snapToGrid w:val="0"/>
        <w:spacing w:line="360" w:lineRule="auto"/>
        <w:ind w:firstLine="5760" w:firstLineChars="24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highlight w:val="none"/>
          <w:lang w:val="zh-CN"/>
        </w:rPr>
        <w:t>……</w:t>
      </w:r>
    </w:p>
    <w:p w14:paraId="05ED52D9">
      <w:pPr>
        <w:snapToGrid w:val="0"/>
        <w:spacing w:line="360" w:lineRule="auto"/>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                                               日期：  年  月   日</w:t>
      </w:r>
    </w:p>
    <w:p w14:paraId="3CE0356C">
      <w:pPr>
        <w:jc w:val="left"/>
        <w:rPr>
          <w:rFonts w:hint="eastAsia" w:asciiTheme="minorEastAsia" w:hAnsiTheme="minorEastAsia" w:eastAsiaTheme="minorEastAsia" w:cstheme="minorEastAsia"/>
          <w:b/>
          <w:kern w:val="0"/>
          <w:sz w:val="32"/>
          <w:szCs w:val="32"/>
          <w:highlight w:val="none"/>
          <w:lang w:val="zh-CN"/>
        </w:rPr>
      </w:pPr>
      <w:r>
        <w:rPr>
          <w:rFonts w:hint="eastAsia" w:asciiTheme="minorEastAsia" w:hAnsiTheme="minorEastAsia" w:eastAsiaTheme="minorEastAsia" w:cstheme="minorEastAsia"/>
          <w:b/>
          <w:kern w:val="0"/>
          <w:sz w:val="32"/>
          <w:szCs w:val="32"/>
          <w:highlight w:val="none"/>
          <w:lang w:val="zh-CN"/>
        </w:rPr>
        <w:br w:type="page"/>
      </w:r>
    </w:p>
    <w:p w14:paraId="3F2622DD">
      <w:pPr>
        <w:autoSpaceDE w:val="0"/>
        <w:autoSpaceDN w:val="0"/>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kern w:val="0"/>
          <w:sz w:val="32"/>
          <w:szCs w:val="32"/>
          <w:highlight w:val="none"/>
          <w:lang w:val="zh-CN"/>
        </w:rPr>
        <w:t>法定代表人、单位负责人或自然人本人</w:t>
      </w:r>
      <w:r>
        <w:rPr>
          <w:rFonts w:hint="eastAsia" w:asciiTheme="minorEastAsia" w:hAnsiTheme="minorEastAsia" w:eastAsiaTheme="minorEastAsia" w:cstheme="minorEastAsia"/>
          <w:b/>
          <w:sz w:val="30"/>
          <w:szCs w:val="30"/>
          <w:highlight w:val="none"/>
        </w:rPr>
        <w:t>的身份证明（适用于法定代表人、单位负责人或者自然人本人代表投标人参加投标）</w:t>
      </w:r>
    </w:p>
    <w:p w14:paraId="2B6D86DD">
      <w:pPr>
        <w:pStyle w:val="162"/>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身份证件扫描件：</w:t>
      </w:r>
    </w:p>
    <w:tbl>
      <w:tblPr>
        <w:tblStyle w:val="6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1FC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F966EA9">
            <w:pPr>
              <w:pStyle w:val="162"/>
              <w:adjustRightIn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正面：                                 反面：</w:t>
            </w:r>
          </w:p>
          <w:p w14:paraId="09516020">
            <w:pPr>
              <w:pStyle w:val="162"/>
              <w:adjustRightInd w:val="0"/>
              <w:spacing w:line="360" w:lineRule="auto"/>
              <w:rPr>
                <w:rFonts w:hint="eastAsia" w:asciiTheme="minorEastAsia" w:hAnsiTheme="minorEastAsia" w:eastAsiaTheme="minorEastAsia" w:cstheme="minorEastAsia"/>
                <w:bCs/>
                <w:sz w:val="24"/>
                <w:highlight w:val="none"/>
              </w:rPr>
            </w:pPr>
          </w:p>
        </w:tc>
      </w:tr>
    </w:tbl>
    <w:p w14:paraId="4E8ED447">
      <w:pPr>
        <w:snapToGrid w:val="0"/>
        <w:spacing w:line="360" w:lineRule="auto"/>
        <w:ind w:firstLine="576"/>
        <w:jc w:val="center"/>
        <w:rPr>
          <w:rFonts w:hint="eastAsia" w:asciiTheme="minorEastAsia" w:hAnsiTheme="minorEastAsia" w:eastAsiaTheme="minorEastAsia" w:cstheme="minorEastAsia"/>
          <w:kern w:val="0"/>
          <w:sz w:val="24"/>
          <w:highlight w:val="none"/>
          <w:lang w:val="zh-CN"/>
        </w:rPr>
      </w:pPr>
    </w:p>
    <w:p w14:paraId="0EA2AE36">
      <w:pPr>
        <w:snapToGrid w:val="0"/>
        <w:spacing w:line="360" w:lineRule="auto"/>
        <w:ind w:firstLine="576"/>
        <w:jc w:val="center"/>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                  投标人名称(电子签名)：                              </w:t>
      </w:r>
    </w:p>
    <w:p w14:paraId="7662EFC0">
      <w:pPr>
        <w:spacing w:line="360" w:lineRule="auto"/>
        <w:jc w:val="center"/>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                   日期：  年  月  日</w:t>
      </w:r>
    </w:p>
    <w:p w14:paraId="0ED79126">
      <w:pPr>
        <w:jc w:val="center"/>
        <w:rPr>
          <w:rFonts w:hint="eastAsia" w:asciiTheme="minorEastAsia" w:hAnsiTheme="minorEastAsia" w:eastAsiaTheme="minorEastAsia" w:cstheme="minorEastAsia"/>
          <w:b/>
          <w:kern w:val="0"/>
          <w:sz w:val="32"/>
          <w:szCs w:val="32"/>
          <w:highlight w:val="none"/>
        </w:rPr>
      </w:pPr>
    </w:p>
    <w:p w14:paraId="10A20528">
      <w:pPr>
        <w:jc w:val="center"/>
        <w:rPr>
          <w:rFonts w:hint="eastAsia" w:asciiTheme="minorEastAsia" w:hAnsiTheme="minorEastAsia" w:eastAsiaTheme="minorEastAsia" w:cstheme="minorEastAsia"/>
          <w:b/>
          <w:kern w:val="0"/>
          <w:sz w:val="32"/>
          <w:szCs w:val="32"/>
          <w:highlight w:val="none"/>
        </w:rPr>
      </w:pPr>
    </w:p>
    <w:p w14:paraId="0D5CD15B">
      <w:pPr>
        <w:jc w:val="center"/>
        <w:rPr>
          <w:rFonts w:hint="eastAsia" w:asciiTheme="minorEastAsia" w:hAnsiTheme="minorEastAsia" w:eastAsiaTheme="minorEastAsia" w:cstheme="minorEastAsia"/>
          <w:b/>
          <w:kern w:val="0"/>
          <w:sz w:val="32"/>
          <w:szCs w:val="32"/>
          <w:highlight w:val="none"/>
        </w:rPr>
      </w:pPr>
    </w:p>
    <w:p w14:paraId="4FA178F3">
      <w:pPr>
        <w:jc w:val="center"/>
        <w:rPr>
          <w:rFonts w:hint="eastAsia" w:asciiTheme="minorEastAsia" w:hAnsiTheme="minorEastAsia" w:eastAsiaTheme="minorEastAsia" w:cstheme="minorEastAsia"/>
          <w:b/>
          <w:kern w:val="0"/>
          <w:sz w:val="32"/>
          <w:szCs w:val="32"/>
          <w:highlight w:val="none"/>
        </w:rPr>
      </w:pPr>
    </w:p>
    <w:p w14:paraId="67D38834">
      <w:pPr>
        <w:jc w:val="center"/>
        <w:rPr>
          <w:rFonts w:hint="eastAsia" w:asciiTheme="minorEastAsia" w:hAnsiTheme="minorEastAsia" w:eastAsiaTheme="minorEastAsia" w:cstheme="minorEastAsia"/>
          <w:b/>
          <w:kern w:val="0"/>
          <w:sz w:val="32"/>
          <w:szCs w:val="32"/>
          <w:highlight w:val="none"/>
        </w:rPr>
      </w:pPr>
    </w:p>
    <w:p w14:paraId="1994D014">
      <w:pPr>
        <w:jc w:val="center"/>
        <w:rPr>
          <w:rFonts w:hint="eastAsia" w:asciiTheme="minorEastAsia" w:hAnsiTheme="minorEastAsia" w:eastAsiaTheme="minorEastAsia" w:cstheme="minorEastAsia"/>
          <w:b/>
          <w:kern w:val="0"/>
          <w:sz w:val="32"/>
          <w:szCs w:val="32"/>
          <w:highlight w:val="none"/>
        </w:rPr>
      </w:pPr>
    </w:p>
    <w:p w14:paraId="62AE9B15">
      <w:pPr>
        <w:jc w:val="center"/>
        <w:rPr>
          <w:rFonts w:hint="eastAsia" w:asciiTheme="minorEastAsia" w:hAnsiTheme="minorEastAsia" w:eastAsiaTheme="minorEastAsia" w:cstheme="minorEastAsia"/>
          <w:b/>
          <w:kern w:val="0"/>
          <w:sz w:val="32"/>
          <w:szCs w:val="32"/>
          <w:highlight w:val="none"/>
        </w:rPr>
      </w:pPr>
    </w:p>
    <w:p w14:paraId="3EF76FA1">
      <w:pPr>
        <w:jc w:val="center"/>
        <w:rPr>
          <w:rFonts w:hint="eastAsia" w:asciiTheme="minorEastAsia" w:hAnsiTheme="minorEastAsia" w:eastAsiaTheme="minorEastAsia" w:cstheme="minorEastAsia"/>
          <w:b/>
          <w:kern w:val="0"/>
          <w:sz w:val="32"/>
          <w:szCs w:val="32"/>
          <w:highlight w:val="none"/>
        </w:rPr>
      </w:pPr>
    </w:p>
    <w:p w14:paraId="1E3ED642">
      <w:pPr>
        <w:jc w:val="center"/>
        <w:rPr>
          <w:rFonts w:hint="eastAsia" w:asciiTheme="minorEastAsia" w:hAnsiTheme="minorEastAsia" w:eastAsiaTheme="minorEastAsia" w:cstheme="minorEastAsia"/>
          <w:b/>
          <w:kern w:val="0"/>
          <w:sz w:val="32"/>
          <w:szCs w:val="32"/>
          <w:highlight w:val="none"/>
        </w:rPr>
      </w:pPr>
    </w:p>
    <w:p w14:paraId="57768409">
      <w:pPr>
        <w:snapToGrid w:val="0"/>
        <w:spacing w:line="360" w:lineRule="auto"/>
        <w:ind w:right="480"/>
        <w:rPr>
          <w:rFonts w:hint="eastAsia" w:asciiTheme="minorEastAsia" w:hAnsiTheme="minorEastAsia" w:eastAsiaTheme="minorEastAsia" w:cstheme="minorEastAsia"/>
          <w:b/>
          <w:kern w:val="0"/>
          <w:sz w:val="32"/>
          <w:szCs w:val="32"/>
          <w:highlight w:val="none"/>
        </w:rPr>
        <w:sectPr>
          <w:pgSz w:w="11906" w:h="16838"/>
          <w:pgMar w:top="1440" w:right="1080" w:bottom="1440" w:left="1080" w:header="851" w:footer="992" w:gutter="0"/>
          <w:cols w:space="720" w:num="1"/>
          <w:titlePg/>
          <w:docGrid w:linePitch="312" w:charSpace="0"/>
        </w:sectPr>
      </w:pPr>
    </w:p>
    <w:p w14:paraId="0DBD86B6">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41" w:name="_Toc24669"/>
      <w:r>
        <w:rPr>
          <w:rFonts w:hint="eastAsia" w:asciiTheme="minorEastAsia" w:hAnsiTheme="minorEastAsia" w:eastAsiaTheme="minorEastAsia" w:cstheme="minorEastAsia"/>
          <w:b/>
          <w:kern w:val="0"/>
          <w:sz w:val="28"/>
          <w:szCs w:val="28"/>
          <w:highlight w:val="none"/>
        </w:rPr>
        <w:t>三、分包意向协议（如有）</w:t>
      </w:r>
      <w:bookmarkEnd w:id="541"/>
    </w:p>
    <w:p w14:paraId="328DDE00">
      <w:pPr>
        <w:widowControl/>
        <w:spacing w:line="360" w:lineRule="auto"/>
        <w:ind w:firstLine="120" w:firstLineChars="50"/>
        <w:jc w:val="left"/>
        <w:rPr>
          <w:rFonts w:hint="eastAsia" w:asciiTheme="minorEastAsia" w:hAnsiTheme="minorEastAsia" w:eastAsiaTheme="minorEastAsia" w:cstheme="minorEastAsia"/>
          <w:kern w:val="0"/>
          <w:sz w:val="24"/>
          <w:highlight w:val="none"/>
        </w:rPr>
      </w:pPr>
      <w:bookmarkStart w:id="542" w:name="_Hlk101169080"/>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b/>
          <w:sz w:val="24"/>
          <w:highlight w:val="none"/>
        </w:rPr>
        <w:t>中标后以分包方式履行合同的，提供分包意向协议(附件4)；采购人不同意分包或者投标人中标后不以分包方式履行合同的，则不需要提供。</w:t>
      </w:r>
      <w:r>
        <w:rPr>
          <w:rFonts w:hint="eastAsia" w:asciiTheme="minorEastAsia" w:hAnsiTheme="minorEastAsia" w:eastAsiaTheme="minorEastAsia" w:cstheme="minorEastAsia"/>
          <w:sz w:val="24"/>
          <w:highlight w:val="none"/>
        </w:rPr>
        <w:t>]</w:t>
      </w:r>
      <w:bookmarkEnd w:id="542"/>
    </w:p>
    <w:p w14:paraId="148A9926">
      <w:pPr>
        <w:jc w:val="center"/>
        <w:rPr>
          <w:rFonts w:hint="eastAsia" w:asciiTheme="minorEastAsia" w:hAnsiTheme="minorEastAsia" w:eastAsiaTheme="minorEastAsia" w:cstheme="minorEastAsia"/>
          <w:b/>
          <w:kern w:val="0"/>
          <w:sz w:val="32"/>
          <w:szCs w:val="32"/>
          <w:highlight w:val="none"/>
        </w:rPr>
      </w:pPr>
    </w:p>
    <w:p w14:paraId="3A5E4382">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43" w:name="_Toc16017"/>
      <w:r>
        <w:rPr>
          <w:rFonts w:hint="eastAsia" w:asciiTheme="minorEastAsia" w:hAnsiTheme="minorEastAsia" w:eastAsiaTheme="minorEastAsia" w:cstheme="minorEastAsia"/>
          <w:b/>
          <w:kern w:val="0"/>
          <w:sz w:val="28"/>
          <w:szCs w:val="28"/>
          <w:highlight w:val="none"/>
        </w:rPr>
        <w:t>四、符合性审查资料</w:t>
      </w:r>
      <w:bookmarkEnd w:id="543"/>
    </w:p>
    <w:p w14:paraId="28C2BB5A">
      <w:pPr>
        <w:jc w:val="center"/>
        <w:rPr>
          <w:rFonts w:hint="eastAsia" w:asciiTheme="minorEastAsia" w:hAnsiTheme="minorEastAsia" w:eastAsiaTheme="minorEastAsia" w:cstheme="minorEastAsia"/>
          <w:b/>
          <w:kern w:val="0"/>
          <w:sz w:val="32"/>
          <w:szCs w:val="32"/>
          <w:highlight w:val="none"/>
        </w:rPr>
      </w:pPr>
    </w:p>
    <w:tbl>
      <w:tblPr>
        <w:tblStyle w:val="64"/>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404"/>
        <w:gridCol w:w="2322"/>
        <w:gridCol w:w="1825"/>
      </w:tblGrid>
      <w:tr w14:paraId="6639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774812D0">
            <w:pPr>
              <w:snapToGrid w:val="0"/>
              <w:spacing w:line="240" w:lineRule="atLeast"/>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4404" w:type="dxa"/>
            <w:vAlign w:val="center"/>
          </w:tcPr>
          <w:p w14:paraId="35822F2B">
            <w:pPr>
              <w:snapToGrid w:val="0"/>
              <w:spacing w:line="240" w:lineRule="atLeast"/>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实质性要求</w:t>
            </w:r>
          </w:p>
        </w:tc>
        <w:tc>
          <w:tcPr>
            <w:tcW w:w="2322" w:type="dxa"/>
            <w:vAlign w:val="center"/>
          </w:tcPr>
          <w:p w14:paraId="1CF38F18">
            <w:pPr>
              <w:snapToGrid w:val="0"/>
              <w:spacing w:line="240" w:lineRule="atLeast"/>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需要提供的符合性审查资料</w:t>
            </w:r>
          </w:p>
        </w:tc>
        <w:tc>
          <w:tcPr>
            <w:tcW w:w="1825" w:type="dxa"/>
            <w:vAlign w:val="center"/>
          </w:tcPr>
          <w:p w14:paraId="11E07CA8">
            <w:pPr>
              <w:snapToGrid w:val="0"/>
              <w:spacing w:line="240" w:lineRule="atLeast"/>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投标文件中的</w:t>
            </w:r>
          </w:p>
          <w:p w14:paraId="58ADF055">
            <w:pPr>
              <w:snapToGrid w:val="0"/>
              <w:spacing w:line="240" w:lineRule="atLeast"/>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页码位置</w:t>
            </w:r>
          </w:p>
        </w:tc>
      </w:tr>
      <w:tr w14:paraId="681B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E9A6E3B">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4404" w:type="dxa"/>
            <w:vAlign w:val="center"/>
          </w:tcPr>
          <w:p w14:paraId="3C8B5989">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投标文件按照招标文件要求签署、盖章。</w:t>
            </w:r>
          </w:p>
        </w:tc>
        <w:tc>
          <w:tcPr>
            <w:tcW w:w="2322" w:type="dxa"/>
            <w:vAlign w:val="center"/>
          </w:tcPr>
          <w:p w14:paraId="2313B111">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需要使用电子签名或者签字盖章的投标文件的组成部分</w:t>
            </w:r>
          </w:p>
        </w:tc>
        <w:tc>
          <w:tcPr>
            <w:tcW w:w="1825" w:type="dxa"/>
            <w:vAlign w:val="center"/>
          </w:tcPr>
          <w:p w14:paraId="247BB35A">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见投标文件</w:t>
            </w:r>
          </w:p>
          <w:p w14:paraId="53ED6ED5">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第页</w:t>
            </w:r>
          </w:p>
        </w:tc>
      </w:tr>
      <w:tr w14:paraId="586D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43F6F66C">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4404" w:type="dxa"/>
            <w:vAlign w:val="center"/>
          </w:tcPr>
          <w:p w14:paraId="5AF7E2CD">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投标文件中承诺的投标有效期不少于招标文件中载明的投标有效期。</w:t>
            </w:r>
          </w:p>
        </w:tc>
        <w:tc>
          <w:tcPr>
            <w:tcW w:w="2322" w:type="dxa"/>
            <w:vAlign w:val="center"/>
          </w:tcPr>
          <w:p w14:paraId="4D7D0A75">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投标函</w:t>
            </w:r>
          </w:p>
        </w:tc>
        <w:tc>
          <w:tcPr>
            <w:tcW w:w="1825" w:type="dxa"/>
            <w:vAlign w:val="center"/>
          </w:tcPr>
          <w:p w14:paraId="6E0B0309">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见投标文件第页</w:t>
            </w:r>
          </w:p>
        </w:tc>
      </w:tr>
      <w:tr w14:paraId="46FC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9BD973E">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4404" w:type="dxa"/>
            <w:vAlign w:val="center"/>
          </w:tcPr>
          <w:p w14:paraId="72DC9F12">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val="0"/>
                <w:sz w:val="24"/>
                <w:highlight w:val="none"/>
              </w:rPr>
              <w:t>其他实质性要求1：</w:t>
            </w:r>
          </w:p>
        </w:tc>
        <w:tc>
          <w:tcPr>
            <w:tcW w:w="2322" w:type="dxa"/>
            <w:vMerge w:val="restart"/>
            <w:vAlign w:val="center"/>
          </w:tcPr>
          <w:p w14:paraId="1FBA3268">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招标文件其它实质性要求相应的材料（“▲” 系指实质性要求条款，招标文件无其它实质性要求的，无需提供）</w:t>
            </w:r>
          </w:p>
        </w:tc>
        <w:tc>
          <w:tcPr>
            <w:tcW w:w="1825" w:type="dxa"/>
            <w:vAlign w:val="center"/>
          </w:tcPr>
          <w:p w14:paraId="4E657F52">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见投标文件第页</w:t>
            </w:r>
          </w:p>
        </w:tc>
      </w:tr>
      <w:tr w14:paraId="0073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6421966">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4404" w:type="dxa"/>
            <w:vAlign w:val="center"/>
          </w:tcPr>
          <w:p w14:paraId="4FB1C045">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val="0"/>
                <w:sz w:val="24"/>
                <w:highlight w:val="none"/>
              </w:rPr>
              <w:t>其他实质性要求2：</w:t>
            </w:r>
          </w:p>
        </w:tc>
        <w:tc>
          <w:tcPr>
            <w:tcW w:w="2322" w:type="dxa"/>
            <w:vMerge w:val="continue"/>
            <w:vAlign w:val="center"/>
          </w:tcPr>
          <w:p w14:paraId="272C48F2">
            <w:pPr>
              <w:rPr>
                <w:rFonts w:hint="eastAsia" w:asciiTheme="minorEastAsia" w:hAnsiTheme="minorEastAsia" w:eastAsiaTheme="minorEastAsia" w:cstheme="minorEastAsia"/>
                <w:sz w:val="24"/>
                <w:highlight w:val="none"/>
              </w:rPr>
            </w:pPr>
          </w:p>
        </w:tc>
        <w:tc>
          <w:tcPr>
            <w:tcW w:w="1825" w:type="dxa"/>
            <w:vAlign w:val="center"/>
          </w:tcPr>
          <w:p w14:paraId="420F5FD0">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见投标文件第页</w:t>
            </w:r>
          </w:p>
        </w:tc>
      </w:tr>
      <w:tr w14:paraId="434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5C53E94">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w:t>
            </w:r>
          </w:p>
        </w:tc>
        <w:tc>
          <w:tcPr>
            <w:tcW w:w="4404" w:type="dxa"/>
            <w:vAlign w:val="center"/>
          </w:tcPr>
          <w:p w14:paraId="6363389F">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val="0"/>
                <w:sz w:val="24"/>
                <w:highlight w:val="none"/>
              </w:rPr>
              <w:t>其他实质性要求</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snapToGrid w:val="0"/>
                <w:sz w:val="24"/>
                <w:highlight w:val="none"/>
              </w:rPr>
              <w:t>：</w:t>
            </w:r>
          </w:p>
        </w:tc>
        <w:tc>
          <w:tcPr>
            <w:tcW w:w="2322" w:type="dxa"/>
            <w:vMerge w:val="continue"/>
            <w:vAlign w:val="center"/>
          </w:tcPr>
          <w:p w14:paraId="6DCA4266">
            <w:pPr>
              <w:rPr>
                <w:rFonts w:hint="eastAsia" w:asciiTheme="minorEastAsia" w:hAnsiTheme="minorEastAsia" w:eastAsiaTheme="minorEastAsia" w:cstheme="minorEastAsia"/>
                <w:sz w:val="24"/>
                <w:highlight w:val="none"/>
              </w:rPr>
            </w:pPr>
          </w:p>
        </w:tc>
        <w:tc>
          <w:tcPr>
            <w:tcW w:w="1825" w:type="dxa"/>
            <w:vAlign w:val="center"/>
          </w:tcPr>
          <w:p w14:paraId="200DCC66">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见投标文件第页</w:t>
            </w:r>
          </w:p>
        </w:tc>
      </w:tr>
    </w:tbl>
    <w:p w14:paraId="51E9549C">
      <w:pPr>
        <w:spacing w:line="360" w:lineRule="auto"/>
        <w:ind w:right="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注：1.按本格式和要求提供。</w:t>
      </w:r>
    </w:p>
    <w:p w14:paraId="3AA5C900">
      <w:pPr>
        <w:spacing w:line="360" w:lineRule="auto"/>
        <w:ind w:right="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2.招标文件中实质性要求必须明确响应。</w:t>
      </w:r>
    </w:p>
    <w:p w14:paraId="58C79B33">
      <w:pPr>
        <w:pStyle w:val="92"/>
        <w:rPr>
          <w:rFonts w:hint="eastAsia" w:asciiTheme="minorEastAsia" w:hAnsiTheme="minorEastAsia" w:eastAsiaTheme="minorEastAsia" w:cstheme="minorEastAsia"/>
          <w:highlight w:val="none"/>
        </w:rPr>
      </w:pPr>
    </w:p>
    <w:p w14:paraId="1EDC3B0B">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44" w:name="_Toc24240"/>
      <w:r>
        <w:rPr>
          <w:rFonts w:hint="eastAsia" w:asciiTheme="minorEastAsia" w:hAnsiTheme="minorEastAsia" w:eastAsiaTheme="minorEastAsia" w:cstheme="minorEastAsia"/>
          <w:b/>
          <w:kern w:val="0"/>
          <w:sz w:val="28"/>
          <w:szCs w:val="28"/>
          <w:highlight w:val="none"/>
        </w:rPr>
        <w:t>五、评标标准相应的商务技术资料</w:t>
      </w:r>
      <w:bookmarkEnd w:id="544"/>
    </w:p>
    <w:p w14:paraId="6E86F54C">
      <w:pPr>
        <w:snapToGrid w:val="0"/>
        <w:spacing w:line="360" w:lineRule="auto"/>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（按招标文件第四部分评标办法前附表中“投标文件中评标标准相应的商务技术资料目录”提供资料。）</w:t>
      </w:r>
    </w:p>
    <w:tbl>
      <w:tblPr>
        <w:tblStyle w:val="6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A21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9F330B6">
            <w:pPr>
              <w:snapToGrid w:val="0"/>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序号</w:t>
            </w:r>
          </w:p>
        </w:tc>
        <w:tc>
          <w:tcPr>
            <w:tcW w:w="5465" w:type="dxa"/>
          </w:tcPr>
          <w:p w14:paraId="47AAC3A3">
            <w:pPr>
              <w:snapToGrid w:val="0"/>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投标文件中评标标准相应的商务技术资料目录*</w:t>
            </w:r>
          </w:p>
        </w:tc>
        <w:tc>
          <w:tcPr>
            <w:tcW w:w="3046" w:type="dxa"/>
          </w:tcPr>
          <w:p w14:paraId="3D38321F">
            <w:pPr>
              <w:snapToGrid w:val="0"/>
              <w:spacing w:line="240" w:lineRule="atLeast"/>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投标文件中的页码位置</w:t>
            </w:r>
          </w:p>
        </w:tc>
      </w:tr>
      <w:tr w14:paraId="5214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9CE2722">
            <w:pPr>
              <w:snapToGrid w:val="0"/>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w:t>
            </w:r>
          </w:p>
        </w:tc>
        <w:tc>
          <w:tcPr>
            <w:tcW w:w="5465" w:type="dxa"/>
          </w:tcPr>
          <w:p w14:paraId="4AF0249C">
            <w:pPr>
              <w:snapToGrid w:val="0"/>
              <w:spacing w:line="360" w:lineRule="auto"/>
              <w:jc w:val="center"/>
              <w:rPr>
                <w:rFonts w:hint="eastAsia" w:asciiTheme="minorEastAsia" w:hAnsiTheme="minorEastAsia" w:eastAsiaTheme="minorEastAsia" w:cstheme="minorEastAsia"/>
                <w:bCs/>
                <w:sz w:val="24"/>
                <w:highlight w:val="none"/>
              </w:rPr>
            </w:pPr>
          </w:p>
        </w:tc>
        <w:tc>
          <w:tcPr>
            <w:tcW w:w="3046" w:type="dxa"/>
          </w:tcPr>
          <w:p w14:paraId="08CEEEE2">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见投标文件第页</w:t>
            </w:r>
          </w:p>
        </w:tc>
      </w:tr>
      <w:tr w14:paraId="40D2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579576C">
            <w:pPr>
              <w:snapToGrid w:val="0"/>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p>
        </w:tc>
        <w:tc>
          <w:tcPr>
            <w:tcW w:w="5465" w:type="dxa"/>
          </w:tcPr>
          <w:p w14:paraId="265CA17C">
            <w:pPr>
              <w:snapToGrid w:val="0"/>
              <w:spacing w:line="360" w:lineRule="auto"/>
              <w:jc w:val="center"/>
              <w:rPr>
                <w:rFonts w:hint="eastAsia" w:asciiTheme="minorEastAsia" w:hAnsiTheme="minorEastAsia" w:eastAsiaTheme="minorEastAsia" w:cstheme="minorEastAsia"/>
                <w:bCs/>
                <w:sz w:val="24"/>
                <w:highlight w:val="none"/>
              </w:rPr>
            </w:pPr>
          </w:p>
        </w:tc>
        <w:tc>
          <w:tcPr>
            <w:tcW w:w="3046" w:type="dxa"/>
          </w:tcPr>
          <w:p w14:paraId="5B553A0E">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见投标文件第页</w:t>
            </w:r>
          </w:p>
        </w:tc>
      </w:tr>
      <w:tr w14:paraId="1C78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1F102D0">
            <w:pPr>
              <w:snapToGrid w:val="0"/>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kern w:val="0"/>
                <w:sz w:val="24"/>
                <w:highlight w:val="none"/>
              </w:rPr>
              <w:t>……</w:t>
            </w:r>
          </w:p>
        </w:tc>
        <w:tc>
          <w:tcPr>
            <w:tcW w:w="5465" w:type="dxa"/>
          </w:tcPr>
          <w:p w14:paraId="2522E68B">
            <w:pPr>
              <w:snapToGrid w:val="0"/>
              <w:spacing w:line="360" w:lineRule="auto"/>
              <w:jc w:val="center"/>
              <w:rPr>
                <w:rFonts w:hint="eastAsia" w:asciiTheme="minorEastAsia" w:hAnsiTheme="minorEastAsia" w:eastAsiaTheme="minorEastAsia" w:cstheme="minorEastAsia"/>
                <w:bCs/>
                <w:sz w:val="24"/>
                <w:highlight w:val="none"/>
              </w:rPr>
            </w:pPr>
          </w:p>
        </w:tc>
        <w:tc>
          <w:tcPr>
            <w:tcW w:w="3046" w:type="dxa"/>
          </w:tcPr>
          <w:p w14:paraId="2BF5597A">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见投标文件第页</w:t>
            </w:r>
          </w:p>
        </w:tc>
      </w:tr>
    </w:tbl>
    <w:p w14:paraId="13634418">
      <w:pPr>
        <w:pStyle w:val="92"/>
        <w:rPr>
          <w:rFonts w:hint="eastAsia" w:asciiTheme="minorEastAsia" w:hAnsiTheme="minorEastAsia" w:eastAsiaTheme="minorEastAsia" w:cstheme="minorEastAsia"/>
          <w:highlight w:val="none"/>
        </w:rPr>
      </w:pPr>
    </w:p>
    <w:p w14:paraId="7FB78D6C">
      <w:pPr>
        <w:jc w:val="center"/>
        <w:rPr>
          <w:rFonts w:hint="eastAsia" w:asciiTheme="minorEastAsia" w:hAnsiTheme="minorEastAsia" w:eastAsiaTheme="minorEastAsia" w:cstheme="minorEastAsia"/>
          <w:b/>
          <w:kern w:val="0"/>
          <w:sz w:val="32"/>
          <w:szCs w:val="32"/>
          <w:highlight w:val="none"/>
        </w:rPr>
      </w:pPr>
    </w:p>
    <w:p w14:paraId="11C301A4">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45" w:name="_Toc3856"/>
      <w:r>
        <w:rPr>
          <w:rFonts w:hint="eastAsia" w:asciiTheme="minorEastAsia" w:hAnsiTheme="minorEastAsia" w:eastAsiaTheme="minorEastAsia" w:cstheme="minorEastAsia"/>
          <w:b/>
          <w:kern w:val="0"/>
          <w:sz w:val="28"/>
          <w:szCs w:val="28"/>
          <w:highlight w:val="none"/>
        </w:rPr>
        <w:t>六、投标标的清单</w:t>
      </w:r>
      <w:bookmarkEnd w:id="545"/>
    </w:p>
    <w:tbl>
      <w:tblPr>
        <w:tblStyle w:val="6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7F93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9078BC2">
            <w:pPr>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C9BB5A4">
            <w:pPr>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796E85F3">
            <w:pPr>
              <w:spacing w:line="360" w:lineRule="auto"/>
              <w:jc w:val="center"/>
              <w:rPr>
                <w:rFonts w:hint="eastAsia" w:asciiTheme="minorEastAsia" w:hAnsiTheme="minorEastAsia" w:eastAsiaTheme="minorEastAsia" w:cstheme="minorEastAsia"/>
                <w:b/>
                <w:sz w:val="24"/>
                <w:highlight w:val="none"/>
              </w:rPr>
            </w:pPr>
          </w:p>
          <w:p w14:paraId="48AD2B64">
            <w:pPr>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服务内容</w:t>
            </w:r>
          </w:p>
        </w:tc>
        <w:tc>
          <w:tcPr>
            <w:tcW w:w="1260" w:type="dxa"/>
            <w:tcBorders>
              <w:top w:val="single" w:color="auto" w:sz="4" w:space="0"/>
              <w:left w:val="single" w:color="auto" w:sz="4" w:space="0"/>
              <w:bottom w:val="single" w:color="auto" w:sz="4" w:space="0"/>
              <w:right w:val="single" w:color="auto" w:sz="4" w:space="0"/>
            </w:tcBorders>
            <w:vAlign w:val="center"/>
          </w:tcPr>
          <w:p w14:paraId="67C4A7F4">
            <w:pPr>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服务标准</w:t>
            </w:r>
          </w:p>
        </w:tc>
        <w:tc>
          <w:tcPr>
            <w:tcW w:w="2775" w:type="dxa"/>
            <w:tcBorders>
              <w:top w:val="single" w:color="auto" w:sz="4" w:space="0"/>
              <w:left w:val="single" w:color="auto" w:sz="4" w:space="0"/>
              <w:bottom w:val="single" w:color="auto" w:sz="4" w:space="0"/>
              <w:right w:val="single" w:color="auto" w:sz="4" w:space="0"/>
            </w:tcBorders>
            <w:vAlign w:val="center"/>
          </w:tcPr>
          <w:p w14:paraId="2EB914F0">
            <w:pPr>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406F020D">
            <w:pPr>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备注</w:t>
            </w:r>
          </w:p>
        </w:tc>
      </w:tr>
      <w:tr w14:paraId="2ED5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9852D5F">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0237A428">
            <w:pPr>
              <w:snapToGrid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47E14675">
            <w:pPr>
              <w:snapToGrid w:val="0"/>
              <w:spacing w:line="360" w:lineRule="auto"/>
              <w:jc w:val="center"/>
              <w:rPr>
                <w:rFonts w:hint="eastAsia" w:asciiTheme="minorEastAsia" w:hAnsiTheme="minorEastAsia" w:eastAsiaTheme="minorEastAsia" w:cs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E8914A4">
            <w:pPr>
              <w:snapToGrid w:val="0"/>
              <w:spacing w:line="360" w:lineRule="auto"/>
              <w:jc w:val="center"/>
              <w:rPr>
                <w:rFonts w:hint="eastAsia" w:asciiTheme="minorEastAsia" w:hAnsiTheme="minorEastAsia" w:eastAsiaTheme="minorEastAsia" w:cs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4944868">
            <w:pPr>
              <w:spacing w:line="360" w:lineRule="auto"/>
              <w:jc w:val="center"/>
              <w:rPr>
                <w:rFonts w:hint="eastAsia" w:asciiTheme="minorEastAsia" w:hAnsiTheme="minorEastAsia" w:eastAsiaTheme="minorEastAsia" w:cstheme="minorEastAsia"/>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7821FAE">
            <w:pPr>
              <w:spacing w:line="360" w:lineRule="auto"/>
              <w:jc w:val="center"/>
              <w:rPr>
                <w:rFonts w:hint="eastAsia" w:asciiTheme="minorEastAsia" w:hAnsiTheme="minorEastAsia" w:eastAsiaTheme="minorEastAsia" w:cstheme="minorEastAsia"/>
                <w:sz w:val="24"/>
                <w:highlight w:val="none"/>
              </w:rPr>
            </w:pPr>
          </w:p>
        </w:tc>
      </w:tr>
      <w:tr w14:paraId="278C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43F8F51">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54EA9EB2">
            <w:pPr>
              <w:snapToGrid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0E2EE58E">
            <w:pPr>
              <w:snapToGrid w:val="0"/>
              <w:spacing w:line="360" w:lineRule="auto"/>
              <w:jc w:val="center"/>
              <w:rPr>
                <w:rFonts w:hint="eastAsia" w:asciiTheme="minorEastAsia" w:hAnsiTheme="minorEastAsia" w:eastAsiaTheme="minorEastAsia" w:cs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6CEE690">
            <w:pPr>
              <w:snapToGrid w:val="0"/>
              <w:spacing w:line="360" w:lineRule="auto"/>
              <w:jc w:val="center"/>
              <w:rPr>
                <w:rFonts w:hint="eastAsia" w:asciiTheme="minorEastAsia" w:hAnsiTheme="minorEastAsia" w:eastAsiaTheme="minorEastAsia" w:cs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EAE065C">
            <w:pPr>
              <w:spacing w:line="360" w:lineRule="auto"/>
              <w:jc w:val="center"/>
              <w:rPr>
                <w:rFonts w:hint="eastAsia" w:asciiTheme="minorEastAsia" w:hAnsiTheme="minorEastAsia" w:eastAsiaTheme="minorEastAsia" w:cstheme="minorEastAsia"/>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D0EFB05">
            <w:pPr>
              <w:spacing w:line="360" w:lineRule="auto"/>
              <w:jc w:val="center"/>
              <w:rPr>
                <w:rFonts w:hint="eastAsia" w:asciiTheme="minorEastAsia" w:hAnsiTheme="minorEastAsia" w:eastAsiaTheme="minorEastAsia" w:cstheme="minorEastAsia"/>
                <w:sz w:val="24"/>
                <w:highlight w:val="none"/>
              </w:rPr>
            </w:pPr>
          </w:p>
        </w:tc>
      </w:tr>
      <w:tr w14:paraId="3899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4AA3794">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282CA565">
            <w:pPr>
              <w:snapToGrid w:val="0"/>
              <w:spacing w:line="360" w:lineRule="auto"/>
              <w:jc w:val="center"/>
              <w:rPr>
                <w:rFonts w:hint="eastAsia" w:asciiTheme="minorEastAsia" w:hAnsiTheme="minorEastAsia" w:eastAsiaTheme="minorEastAsia" w:cs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37DA107">
            <w:pPr>
              <w:snapToGrid w:val="0"/>
              <w:spacing w:line="360" w:lineRule="auto"/>
              <w:jc w:val="center"/>
              <w:rPr>
                <w:rFonts w:hint="eastAsia" w:asciiTheme="minorEastAsia" w:hAnsiTheme="minorEastAsia" w:eastAsiaTheme="minorEastAsia" w:cs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4C70136">
            <w:pPr>
              <w:snapToGrid w:val="0"/>
              <w:spacing w:line="360" w:lineRule="auto"/>
              <w:jc w:val="center"/>
              <w:rPr>
                <w:rFonts w:hint="eastAsia" w:asciiTheme="minorEastAsia" w:hAnsiTheme="minorEastAsia" w:eastAsiaTheme="minorEastAsia" w:cs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B4D7C74">
            <w:pPr>
              <w:spacing w:line="360" w:lineRule="auto"/>
              <w:jc w:val="center"/>
              <w:rPr>
                <w:rFonts w:hint="eastAsia" w:asciiTheme="minorEastAsia" w:hAnsiTheme="minorEastAsia" w:eastAsiaTheme="minorEastAsia" w:cstheme="minorEastAsia"/>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408134D">
            <w:pPr>
              <w:spacing w:line="360" w:lineRule="auto"/>
              <w:jc w:val="center"/>
              <w:rPr>
                <w:rFonts w:hint="eastAsia" w:asciiTheme="minorEastAsia" w:hAnsiTheme="minorEastAsia" w:eastAsiaTheme="minorEastAsia" w:cstheme="minorEastAsia"/>
                <w:sz w:val="24"/>
                <w:highlight w:val="none"/>
              </w:rPr>
            </w:pPr>
          </w:p>
        </w:tc>
      </w:tr>
    </w:tbl>
    <w:p w14:paraId="693306C0">
      <w:pPr>
        <w:spacing w:line="360" w:lineRule="auto"/>
        <w:ind w:right="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注：按本格式和要求提供。</w:t>
      </w:r>
    </w:p>
    <w:p w14:paraId="72D2472E">
      <w:pPr>
        <w:jc w:val="center"/>
        <w:rPr>
          <w:rFonts w:hint="eastAsia" w:asciiTheme="minorEastAsia" w:hAnsiTheme="minorEastAsia" w:eastAsiaTheme="minorEastAsia" w:cstheme="minorEastAsia"/>
          <w:b/>
          <w:kern w:val="0"/>
          <w:sz w:val="32"/>
          <w:szCs w:val="32"/>
          <w:highlight w:val="none"/>
        </w:rPr>
      </w:pPr>
    </w:p>
    <w:p w14:paraId="6A651A2C">
      <w:pPr>
        <w:snapToGrid w:val="0"/>
        <w:spacing w:line="360" w:lineRule="auto"/>
        <w:ind w:firstLine="576"/>
        <w:jc w:val="center"/>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投标人名称(电子签名)：                              </w:t>
      </w:r>
    </w:p>
    <w:p w14:paraId="1F090922">
      <w:pPr>
        <w:spacing w:line="360" w:lineRule="auto"/>
        <w:jc w:val="center"/>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                   日期：  年  月  日</w:t>
      </w:r>
    </w:p>
    <w:p w14:paraId="2721E755">
      <w:pPr>
        <w:rPr>
          <w:rFonts w:hint="eastAsia" w:asciiTheme="minorEastAsia" w:hAnsiTheme="minorEastAsia" w:eastAsiaTheme="minorEastAsia" w:cstheme="minorEastAsia"/>
          <w:b/>
          <w:kern w:val="0"/>
          <w:sz w:val="32"/>
          <w:szCs w:val="32"/>
          <w:highlight w:val="none"/>
        </w:rPr>
      </w:pPr>
    </w:p>
    <w:p w14:paraId="17CEFA4F">
      <w:pPr>
        <w:rPr>
          <w:rFonts w:hint="eastAsia" w:asciiTheme="minorEastAsia" w:hAnsiTheme="minorEastAsia" w:eastAsiaTheme="minorEastAsia" w:cstheme="minorEastAsia"/>
          <w:b/>
          <w:kern w:val="0"/>
          <w:sz w:val="28"/>
          <w:szCs w:val="28"/>
          <w:highlight w:val="none"/>
        </w:rPr>
      </w:pPr>
      <w:bookmarkStart w:id="546" w:name="_Toc18663"/>
      <w:r>
        <w:rPr>
          <w:rFonts w:hint="eastAsia" w:asciiTheme="minorEastAsia" w:hAnsiTheme="minorEastAsia" w:eastAsiaTheme="minorEastAsia" w:cstheme="minorEastAsia"/>
          <w:b/>
          <w:kern w:val="0"/>
          <w:sz w:val="28"/>
          <w:szCs w:val="28"/>
          <w:highlight w:val="none"/>
        </w:rPr>
        <w:br w:type="page"/>
      </w:r>
    </w:p>
    <w:p w14:paraId="10282A3B">
      <w:pPr>
        <w:spacing w:line="360" w:lineRule="auto"/>
        <w:jc w:val="center"/>
        <w:outlineLvl w:val="0"/>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七、商务技术偏离表</w:t>
      </w:r>
      <w:bookmarkEnd w:id="546"/>
    </w:p>
    <w:tbl>
      <w:tblPr>
        <w:tblStyle w:val="65"/>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2042"/>
      </w:tblGrid>
      <w:tr w14:paraId="77C5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14:paraId="26B986BD">
            <w:pPr>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序号</w:t>
            </w:r>
          </w:p>
        </w:tc>
        <w:tc>
          <w:tcPr>
            <w:tcW w:w="3180" w:type="dxa"/>
          </w:tcPr>
          <w:p w14:paraId="0EF64CE4">
            <w:pPr>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招标文件章节及具体内容</w:t>
            </w:r>
          </w:p>
        </w:tc>
        <w:tc>
          <w:tcPr>
            <w:tcW w:w="3062" w:type="dxa"/>
          </w:tcPr>
          <w:p w14:paraId="4C4EF922">
            <w:pPr>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投标文件章节及具体内容</w:t>
            </w:r>
          </w:p>
        </w:tc>
        <w:tc>
          <w:tcPr>
            <w:tcW w:w="2042" w:type="dxa"/>
          </w:tcPr>
          <w:p w14:paraId="3C817347">
            <w:pPr>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偏离说明</w:t>
            </w:r>
          </w:p>
        </w:tc>
      </w:tr>
      <w:tr w14:paraId="605A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14:paraId="21BB0B01">
            <w:pPr>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3180" w:type="dxa"/>
          </w:tcPr>
          <w:p w14:paraId="6FB59526">
            <w:pPr>
              <w:jc w:val="center"/>
              <w:rPr>
                <w:rFonts w:hint="eastAsia" w:asciiTheme="minorEastAsia" w:hAnsiTheme="minorEastAsia" w:eastAsiaTheme="minorEastAsia" w:cstheme="minorEastAsia"/>
                <w:b/>
                <w:kern w:val="0"/>
                <w:sz w:val="32"/>
                <w:szCs w:val="32"/>
                <w:highlight w:val="none"/>
              </w:rPr>
            </w:pPr>
          </w:p>
        </w:tc>
        <w:tc>
          <w:tcPr>
            <w:tcW w:w="3062" w:type="dxa"/>
          </w:tcPr>
          <w:p w14:paraId="0FAA12A5">
            <w:pPr>
              <w:jc w:val="center"/>
              <w:rPr>
                <w:rFonts w:hint="eastAsia" w:asciiTheme="minorEastAsia" w:hAnsiTheme="minorEastAsia" w:eastAsiaTheme="minorEastAsia" w:cstheme="minorEastAsia"/>
                <w:b/>
                <w:kern w:val="0"/>
                <w:sz w:val="32"/>
                <w:szCs w:val="32"/>
                <w:highlight w:val="none"/>
              </w:rPr>
            </w:pPr>
          </w:p>
        </w:tc>
        <w:tc>
          <w:tcPr>
            <w:tcW w:w="2042" w:type="dxa"/>
          </w:tcPr>
          <w:p w14:paraId="44EDF7FD">
            <w:pPr>
              <w:jc w:val="center"/>
              <w:rPr>
                <w:rFonts w:hint="eastAsia" w:asciiTheme="minorEastAsia" w:hAnsiTheme="minorEastAsia" w:eastAsiaTheme="minorEastAsia" w:cstheme="minorEastAsia"/>
                <w:b/>
                <w:kern w:val="0"/>
                <w:sz w:val="32"/>
                <w:szCs w:val="32"/>
                <w:highlight w:val="none"/>
              </w:rPr>
            </w:pPr>
          </w:p>
        </w:tc>
      </w:tr>
      <w:tr w14:paraId="2649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14:paraId="5903B901">
            <w:pPr>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3180" w:type="dxa"/>
          </w:tcPr>
          <w:p w14:paraId="3CEFAE16">
            <w:pPr>
              <w:jc w:val="center"/>
              <w:rPr>
                <w:rFonts w:hint="eastAsia" w:asciiTheme="minorEastAsia" w:hAnsiTheme="minorEastAsia" w:eastAsiaTheme="minorEastAsia" w:cstheme="minorEastAsia"/>
                <w:b/>
                <w:kern w:val="0"/>
                <w:sz w:val="32"/>
                <w:szCs w:val="32"/>
                <w:highlight w:val="none"/>
              </w:rPr>
            </w:pPr>
          </w:p>
        </w:tc>
        <w:tc>
          <w:tcPr>
            <w:tcW w:w="3062" w:type="dxa"/>
          </w:tcPr>
          <w:p w14:paraId="56440882">
            <w:pPr>
              <w:jc w:val="center"/>
              <w:rPr>
                <w:rFonts w:hint="eastAsia" w:asciiTheme="minorEastAsia" w:hAnsiTheme="minorEastAsia" w:eastAsiaTheme="minorEastAsia" w:cstheme="minorEastAsia"/>
                <w:b/>
                <w:kern w:val="0"/>
                <w:sz w:val="32"/>
                <w:szCs w:val="32"/>
                <w:highlight w:val="none"/>
              </w:rPr>
            </w:pPr>
          </w:p>
        </w:tc>
        <w:tc>
          <w:tcPr>
            <w:tcW w:w="2042" w:type="dxa"/>
          </w:tcPr>
          <w:p w14:paraId="63B5241F">
            <w:pPr>
              <w:jc w:val="center"/>
              <w:rPr>
                <w:rFonts w:hint="eastAsia" w:asciiTheme="minorEastAsia" w:hAnsiTheme="minorEastAsia" w:eastAsiaTheme="minorEastAsia" w:cstheme="minorEastAsia"/>
                <w:b/>
                <w:kern w:val="0"/>
                <w:sz w:val="32"/>
                <w:szCs w:val="32"/>
                <w:highlight w:val="none"/>
              </w:rPr>
            </w:pPr>
          </w:p>
        </w:tc>
      </w:tr>
      <w:tr w14:paraId="228C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14:paraId="548C5E72">
            <w:pPr>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3180" w:type="dxa"/>
          </w:tcPr>
          <w:p w14:paraId="6981272C">
            <w:pPr>
              <w:jc w:val="center"/>
              <w:rPr>
                <w:rFonts w:hint="eastAsia" w:asciiTheme="minorEastAsia" w:hAnsiTheme="minorEastAsia" w:eastAsiaTheme="minorEastAsia" w:cstheme="minorEastAsia"/>
                <w:b/>
                <w:kern w:val="0"/>
                <w:sz w:val="32"/>
                <w:szCs w:val="32"/>
                <w:highlight w:val="none"/>
              </w:rPr>
            </w:pPr>
          </w:p>
        </w:tc>
        <w:tc>
          <w:tcPr>
            <w:tcW w:w="3062" w:type="dxa"/>
          </w:tcPr>
          <w:p w14:paraId="795F2B52">
            <w:pPr>
              <w:jc w:val="center"/>
              <w:rPr>
                <w:rFonts w:hint="eastAsia" w:asciiTheme="minorEastAsia" w:hAnsiTheme="minorEastAsia" w:eastAsiaTheme="minorEastAsia" w:cstheme="minorEastAsia"/>
                <w:b/>
                <w:kern w:val="0"/>
                <w:sz w:val="32"/>
                <w:szCs w:val="32"/>
                <w:highlight w:val="none"/>
              </w:rPr>
            </w:pPr>
          </w:p>
        </w:tc>
        <w:tc>
          <w:tcPr>
            <w:tcW w:w="2042" w:type="dxa"/>
          </w:tcPr>
          <w:p w14:paraId="3D948989">
            <w:pPr>
              <w:jc w:val="center"/>
              <w:rPr>
                <w:rFonts w:hint="eastAsia" w:asciiTheme="minorEastAsia" w:hAnsiTheme="minorEastAsia" w:eastAsiaTheme="minorEastAsia" w:cstheme="minorEastAsia"/>
                <w:b/>
                <w:kern w:val="0"/>
                <w:sz w:val="32"/>
                <w:szCs w:val="32"/>
                <w:highlight w:val="none"/>
              </w:rPr>
            </w:pPr>
          </w:p>
        </w:tc>
      </w:tr>
    </w:tbl>
    <w:p w14:paraId="7E9340DC">
      <w:pPr>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投标人保证：除商务技术偏离表列出的偏离外，投标人响应招标文件的全部要求</w:t>
      </w:r>
    </w:p>
    <w:p w14:paraId="3AEA6A56">
      <w:pPr>
        <w:jc w:val="center"/>
        <w:rPr>
          <w:rFonts w:hint="eastAsia" w:asciiTheme="minorEastAsia" w:hAnsiTheme="minorEastAsia" w:eastAsiaTheme="minorEastAsia" w:cstheme="minorEastAsia"/>
          <w:b/>
          <w:kern w:val="0"/>
          <w:sz w:val="32"/>
          <w:szCs w:val="32"/>
          <w:highlight w:val="none"/>
        </w:rPr>
      </w:pPr>
    </w:p>
    <w:p w14:paraId="37A6871D">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注：1.按本格式和要求提供。</w:t>
      </w:r>
    </w:p>
    <w:p w14:paraId="7711758C">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2.本表格所反映的偏离情况与“符合性审查资料”、“评标标准相应的商务技术资料”不一致的，以“符合性审查资料”、“评标标准相应的商务技术资料”为准。</w:t>
      </w:r>
    </w:p>
    <w:p w14:paraId="3641C310">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3.投标人须保证：除商务技术偏离表列出的偏离外，投标人响应招标文件的全部非实质性要求。</w:t>
      </w:r>
    </w:p>
    <w:p w14:paraId="62C77A1B">
      <w:pPr>
        <w:pStyle w:val="92"/>
        <w:rPr>
          <w:rFonts w:hint="eastAsia" w:asciiTheme="minorEastAsia" w:hAnsiTheme="minorEastAsia" w:eastAsiaTheme="minorEastAsia" w:cstheme="minorEastAsia"/>
          <w:highlight w:val="none"/>
        </w:rPr>
      </w:pPr>
    </w:p>
    <w:p w14:paraId="758F1A09">
      <w:pPr>
        <w:ind w:firstLine="1911" w:firstLineChars="595"/>
        <w:rPr>
          <w:rFonts w:hint="eastAsia" w:asciiTheme="minorEastAsia" w:hAnsiTheme="minorEastAsia" w:eastAsiaTheme="minorEastAsia" w:cstheme="minorEastAsia"/>
          <w:b/>
          <w:bCs/>
          <w:sz w:val="32"/>
          <w:szCs w:val="32"/>
          <w:highlight w:val="none"/>
        </w:rPr>
      </w:pPr>
    </w:p>
    <w:p w14:paraId="20F29F4E">
      <w:pPr>
        <w:ind w:firstLine="1911" w:firstLineChars="595"/>
        <w:rPr>
          <w:rFonts w:hint="eastAsia" w:asciiTheme="minorEastAsia" w:hAnsiTheme="minorEastAsia" w:eastAsiaTheme="minorEastAsia" w:cstheme="minorEastAsia"/>
          <w:b/>
          <w:bCs/>
          <w:sz w:val="32"/>
          <w:szCs w:val="32"/>
          <w:highlight w:val="none"/>
        </w:rPr>
      </w:pPr>
    </w:p>
    <w:p w14:paraId="39FCAA6E">
      <w:pPr>
        <w:snapToGrid w:val="0"/>
        <w:spacing w:line="360" w:lineRule="auto"/>
        <w:ind w:firstLine="576"/>
        <w:jc w:val="center"/>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lang w:val="zh-CN"/>
        </w:rPr>
        <w:t xml:space="preserve">投标人名称(电子签名)：                              </w:t>
      </w:r>
    </w:p>
    <w:p w14:paraId="28BC63CB">
      <w:pPr>
        <w:spacing w:line="360" w:lineRule="auto"/>
        <w:jc w:val="center"/>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                   日期：  年  月  日</w:t>
      </w:r>
    </w:p>
    <w:p w14:paraId="2155DFB0">
      <w:pPr>
        <w:ind w:firstLine="1911" w:firstLineChars="595"/>
        <w:rPr>
          <w:rFonts w:hint="eastAsia" w:asciiTheme="minorEastAsia" w:hAnsiTheme="minorEastAsia" w:eastAsiaTheme="minorEastAsia" w:cstheme="minorEastAsia"/>
          <w:b/>
          <w:bCs/>
          <w:sz w:val="32"/>
          <w:szCs w:val="32"/>
          <w:highlight w:val="none"/>
        </w:rPr>
      </w:pPr>
    </w:p>
    <w:p w14:paraId="02E29ECB">
      <w:pPr>
        <w:ind w:firstLine="1911" w:firstLineChars="595"/>
        <w:rPr>
          <w:rFonts w:hint="eastAsia" w:asciiTheme="minorEastAsia" w:hAnsiTheme="minorEastAsia" w:eastAsiaTheme="minorEastAsia" w:cstheme="minorEastAsia"/>
          <w:b/>
          <w:bCs/>
          <w:sz w:val="32"/>
          <w:szCs w:val="32"/>
          <w:highlight w:val="none"/>
        </w:rPr>
      </w:pPr>
    </w:p>
    <w:p w14:paraId="75EB1CB7">
      <w:pPr>
        <w:ind w:firstLine="1911" w:firstLineChars="595"/>
        <w:rPr>
          <w:rFonts w:hint="eastAsia" w:asciiTheme="minorEastAsia" w:hAnsiTheme="minorEastAsia" w:eastAsiaTheme="minorEastAsia" w:cstheme="minorEastAsia"/>
          <w:b/>
          <w:bCs/>
          <w:sz w:val="32"/>
          <w:szCs w:val="32"/>
          <w:highlight w:val="none"/>
        </w:rPr>
      </w:pPr>
    </w:p>
    <w:p w14:paraId="297FB496">
      <w:pPr>
        <w:widowControl/>
        <w:adjustRightInd/>
        <w:jc w:val="left"/>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br w:type="page"/>
      </w:r>
    </w:p>
    <w:p w14:paraId="2113FBD2">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47" w:name="_Toc749"/>
      <w:r>
        <w:rPr>
          <w:rFonts w:hint="eastAsia" w:asciiTheme="minorEastAsia" w:hAnsiTheme="minorEastAsia" w:eastAsiaTheme="minorEastAsia" w:cstheme="minorEastAsia"/>
          <w:b/>
          <w:kern w:val="0"/>
          <w:sz w:val="28"/>
          <w:szCs w:val="28"/>
          <w:highlight w:val="none"/>
        </w:rPr>
        <w:t>八、</w:t>
      </w:r>
      <w:r>
        <w:rPr>
          <w:rFonts w:hint="eastAsia" w:asciiTheme="minorEastAsia" w:hAnsiTheme="minorEastAsia" w:eastAsiaTheme="minorEastAsia" w:cstheme="minorEastAsia"/>
          <w:b/>
          <w:kern w:val="0"/>
          <w:sz w:val="28"/>
          <w:szCs w:val="28"/>
          <w:highlight w:val="none"/>
          <w:lang w:val="zh-CN"/>
        </w:rPr>
        <w:t>政府采购投标人廉洁自律承诺书</w:t>
      </w:r>
      <w:bookmarkEnd w:id="547"/>
    </w:p>
    <w:p w14:paraId="241909ED">
      <w:pPr>
        <w:snapToGrid w:val="0"/>
        <w:spacing w:line="360" w:lineRule="auto"/>
        <w:rPr>
          <w:rFonts w:hint="eastAsia" w:asciiTheme="minorEastAsia" w:hAnsiTheme="minorEastAsia" w:eastAsiaTheme="minorEastAsia" w:cstheme="minorEastAsia"/>
          <w:sz w:val="24"/>
          <w:highlight w:val="none"/>
        </w:rPr>
      </w:pPr>
    </w:p>
    <w:p w14:paraId="643BE1B6">
      <w:pPr>
        <w:snapToGrid w:val="0"/>
        <w:spacing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（采购人）、（采购代理机构）</w:t>
      </w:r>
      <w:r>
        <w:rPr>
          <w:rFonts w:hint="eastAsia" w:asciiTheme="minorEastAsia" w:hAnsiTheme="minorEastAsia" w:eastAsiaTheme="minorEastAsia" w:cstheme="minorEastAsia"/>
          <w:kern w:val="0"/>
          <w:sz w:val="24"/>
          <w:highlight w:val="none"/>
          <w:lang w:val="zh-CN"/>
        </w:rPr>
        <w:t>：</w:t>
      </w:r>
    </w:p>
    <w:p w14:paraId="1495F570">
      <w:pPr>
        <w:autoSpaceDE w:val="0"/>
        <w:autoSpaceDN w:val="0"/>
        <w:spacing w:line="360" w:lineRule="auto"/>
        <w:ind w:left="2" w:leftChars="1" w:firstLine="480" w:firstLineChars="200"/>
        <w:jc w:val="lef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我单位响应你</w:t>
      </w:r>
      <w:r>
        <w:rPr>
          <w:rFonts w:hint="eastAsia" w:asciiTheme="minorEastAsia" w:hAnsiTheme="minorEastAsia" w:eastAsiaTheme="minorEastAsia" w:cstheme="minorEastAsia"/>
          <w:sz w:val="24"/>
          <w:highlight w:val="none"/>
        </w:rPr>
        <w:t>单位</w:t>
      </w:r>
      <w:r>
        <w:rPr>
          <w:rFonts w:hint="eastAsia" w:asciiTheme="minorEastAsia" w:hAnsiTheme="minorEastAsia" w:eastAsiaTheme="minorEastAsia" w:cstheme="minorEastAsia"/>
          <w:kern w:val="0"/>
          <w:sz w:val="24"/>
          <w:highlight w:val="none"/>
          <w:lang w:val="zh-CN"/>
        </w:rPr>
        <w:t>项目招标要求参加投标。在这次投标过程中和中标后，我们将严格遵守国家法律法规要求，并郑重承诺：</w:t>
      </w:r>
    </w:p>
    <w:p w14:paraId="580DA49D">
      <w:pPr>
        <w:autoSpaceDE w:val="0"/>
        <w:autoSpaceDN w:val="0"/>
        <w:spacing w:line="360" w:lineRule="auto"/>
        <w:ind w:left="2" w:leftChars="1" w:firstLine="480" w:firstLineChars="200"/>
        <w:jc w:val="lef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一、不向项目有关人员及部门赠送礼金礼物、有价证券、回扣以及中介费、介绍费、咨询费等好处费； </w:t>
      </w:r>
    </w:p>
    <w:p w14:paraId="64E576E7">
      <w:pPr>
        <w:autoSpaceDE w:val="0"/>
        <w:autoSpaceDN w:val="0"/>
        <w:spacing w:line="360" w:lineRule="auto"/>
        <w:ind w:left="2" w:leftChars="1" w:firstLine="480" w:firstLineChars="200"/>
        <w:jc w:val="lef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二、不为项目有关人员及部门报销应由你方单位或个人支付的费用； </w:t>
      </w:r>
    </w:p>
    <w:p w14:paraId="448E8203">
      <w:pPr>
        <w:autoSpaceDE w:val="0"/>
        <w:autoSpaceDN w:val="0"/>
        <w:spacing w:line="360" w:lineRule="auto"/>
        <w:ind w:left="2" w:leftChars="1" w:firstLine="480" w:firstLineChars="200"/>
        <w:jc w:val="lef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三、不向项目有关人员及部门提供有可能影响公正的宴请和健身娱乐等活动； </w:t>
      </w:r>
    </w:p>
    <w:p w14:paraId="2EDD8624">
      <w:pPr>
        <w:autoSpaceDE w:val="0"/>
        <w:autoSpaceDN w:val="0"/>
        <w:spacing w:line="360" w:lineRule="auto"/>
        <w:ind w:left="2" w:leftChars="1" w:firstLine="480" w:firstLineChars="200"/>
        <w:jc w:val="lef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四、不为项目有关人员及部门出国（境）、旅游等提供方便；</w:t>
      </w:r>
    </w:p>
    <w:p w14:paraId="1FF80685">
      <w:pPr>
        <w:autoSpaceDE w:val="0"/>
        <w:autoSpaceDN w:val="0"/>
        <w:spacing w:line="360" w:lineRule="auto"/>
        <w:ind w:left="481" w:leftChars="229"/>
        <w:jc w:val="lef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五、不为项目有关人员个人装修住房、婚丧嫁娶、配偶子女工作安排等提供</w:t>
      </w:r>
    </w:p>
    <w:p w14:paraId="1A535373">
      <w:pPr>
        <w:autoSpaceDE w:val="0"/>
        <w:autoSpaceDN w:val="0"/>
        <w:spacing w:line="360" w:lineRule="auto"/>
        <w:jc w:val="lef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好处；</w:t>
      </w:r>
    </w:p>
    <w:p w14:paraId="4796980C">
      <w:pPr>
        <w:autoSpaceDE w:val="0"/>
        <w:autoSpaceDN w:val="0"/>
        <w:spacing w:line="360" w:lineRule="auto"/>
        <w:ind w:firstLine="480" w:firstLineChars="200"/>
        <w:jc w:val="lef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六、严格遵守《</w:t>
      </w:r>
      <w:r>
        <w:rPr>
          <w:rFonts w:hint="eastAsia" w:asciiTheme="minorEastAsia" w:hAnsiTheme="minorEastAsia" w:eastAsiaTheme="minorEastAsia" w:cstheme="minorEastAsia"/>
          <w:sz w:val="24"/>
          <w:highlight w:val="none"/>
          <w:lang w:val="zh-CN"/>
        </w:rPr>
        <w:t>中华人民共和国</w:t>
      </w:r>
      <w:r>
        <w:rPr>
          <w:rFonts w:hint="eastAsia" w:asciiTheme="minorEastAsia" w:hAnsiTheme="minorEastAsia" w:eastAsiaTheme="minorEastAsia" w:cstheme="minorEastAsia"/>
          <w:kern w:val="0"/>
          <w:sz w:val="24"/>
          <w:highlight w:val="none"/>
          <w:lang w:val="zh-CN"/>
        </w:rPr>
        <w:t>政府采购法》《</w:t>
      </w:r>
      <w:r>
        <w:rPr>
          <w:rFonts w:hint="eastAsia" w:asciiTheme="minorEastAsia" w:hAnsiTheme="minorEastAsia" w:eastAsiaTheme="minorEastAsia" w:cstheme="minorEastAsia"/>
          <w:sz w:val="24"/>
          <w:highlight w:val="none"/>
          <w:lang w:val="zh-CN"/>
        </w:rPr>
        <w:t>中华人民共和国</w:t>
      </w:r>
      <w:r>
        <w:rPr>
          <w:rFonts w:hint="eastAsia" w:asciiTheme="minorEastAsia" w:hAnsiTheme="minorEastAsia" w:eastAsiaTheme="minorEastAsia" w:cstheme="minorEastAsia"/>
          <w:kern w:val="0"/>
          <w:sz w:val="24"/>
          <w:highlight w:val="none"/>
          <w:lang w:val="zh-CN"/>
        </w:rPr>
        <w:t>招标投标法》</w:t>
      </w:r>
      <w:r>
        <w:rPr>
          <w:rFonts w:hint="eastAsia" w:asciiTheme="minorEastAsia" w:hAnsiTheme="minorEastAsia" w:eastAsiaTheme="minorEastAsia" w:cstheme="minorEastAsia"/>
          <w:sz w:val="24"/>
          <w:highlight w:val="none"/>
          <w:lang w:val="zh-CN"/>
        </w:rPr>
        <w:t>《中华人民共和国民法典》</w:t>
      </w:r>
      <w:r>
        <w:rPr>
          <w:rFonts w:hint="eastAsia" w:asciiTheme="minorEastAsia" w:hAnsiTheme="minorEastAsia" w:eastAsiaTheme="minorEastAsia" w:cstheme="minorEastAsia"/>
          <w:kern w:val="0"/>
          <w:sz w:val="24"/>
          <w:highlight w:val="none"/>
          <w:lang w:val="zh-CN"/>
        </w:rPr>
        <w:t xml:space="preserve">等法律法规，诚实守信，合法经营，坚决抵制各种违法违纪行为。 </w:t>
      </w:r>
    </w:p>
    <w:p w14:paraId="55C364DE">
      <w:pPr>
        <w:autoSpaceDE w:val="0"/>
        <w:autoSpaceDN w:val="0"/>
        <w:spacing w:line="360" w:lineRule="auto"/>
        <w:ind w:firstLine="480" w:firstLineChars="200"/>
        <w:jc w:val="lef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如违反上述承诺，你</w:t>
      </w:r>
      <w:r>
        <w:rPr>
          <w:rFonts w:hint="eastAsia" w:asciiTheme="minorEastAsia" w:hAnsiTheme="minorEastAsia" w:eastAsiaTheme="minorEastAsia" w:cstheme="minorEastAsia"/>
          <w:sz w:val="24"/>
          <w:highlight w:val="none"/>
        </w:rPr>
        <w:t>单位</w:t>
      </w:r>
      <w:r>
        <w:rPr>
          <w:rFonts w:hint="eastAsia" w:asciiTheme="minorEastAsia" w:hAnsiTheme="minorEastAsia" w:eastAsiaTheme="minorEastAsia" w:cstheme="minorEastAsia"/>
          <w:kern w:val="0"/>
          <w:sz w:val="24"/>
          <w:highlight w:val="none"/>
          <w:lang w:val="zh-CN"/>
        </w:rPr>
        <w:t>有权立即取消我单位投标、中标或在建项目的建设资格，有权拒绝我单位在一定时期内进入你</w:t>
      </w:r>
      <w:r>
        <w:rPr>
          <w:rFonts w:hint="eastAsia" w:asciiTheme="minorEastAsia" w:hAnsiTheme="minorEastAsia" w:eastAsiaTheme="minorEastAsia" w:cstheme="minorEastAsia"/>
          <w:sz w:val="24"/>
          <w:highlight w:val="none"/>
        </w:rPr>
        <w:t>单位</w:t>
      </w:r>
      <w:r>
        <w:rPr>
          <w:rFonts w:hint="eastAsia" w:asciiTheme="minorEastAsia" w:hAnsiTheme="minorEastAsia" w:eastAsiaTheme="minorEastAsia" w:cstheme="minorEastAsia"/>
          <w:kern w:val="0"/>
          <w:sz w:val="24"/>
          <w:highlight w:val="none"/>
          <w:lang w:val="zh-CN"/>
        </w:rPr>
        <w:t>进行项目建设或其他经营活动，并通报市财政局。由此引起的相应损失均由我单位承担。</w:t>
      </w:r>
    </w:p>
    <w:p w14:paraId="1144DD53">
      <w:pPr>
        <w:autoSpaceDE w:val="0"/>
        <w:autoSpaceDN w:val="0"/>
        <w:spacing w:line="360" w:lineRule="auto"/>
        <w:ind w:left="2"/>
        <w:jc w:val="left"/>
        <w:rPr>
          <w:rFonts w:hint="eastAsia" w:asciiTheme="minorEastAsia" w:hAnsiTheme="minorEastAsia" w:eastAsiaTheme="minorEastAsia" w:cstheme="minorEastAsia"/>
          <w:kern w:val="0"/>
          <w:sz w:val="24"/>
          <w:highlight w:val="none"/>
          <w:lang w:val="zh-CN"/>
        </w:rPr>
      </w:pPr>
    </w:p>
    <w:p w14:paraId="27703E5E">
      <w:pPr>
        <w:autoSpaceDE w:val="0"/>
        <w:autoSpaceDN w:val="0"/>
        <w:spacing w:line="360" w:lineRule="auto"/>
        <w:ind w:left="2"/>
        <w:jc w:val="left"/>
        <w:rPr>
          <w:rFonts w:hint="eastAsia" w:asciiTheme="minorEastAsia" w:hAnsiTheme="minorEastAsia" w:eastAsiaTheme="minorEastAsia" w:cstheme="minorEastAsia"/>
          <w:kern w:val="0"/>
          <w:sz w:val="24"/>
          <w:highlight w:val="none"/>
          <w:lang w:val="zh-CN"/>
        </w:rPr>
      </w:pPr>
    </w:p>
    <w:p w14:paraId="0EA2CB2E">
      <w:pPr>
        <w:autoSpaceDE w:val="0"/>
        <w:autoSpaceDN w:val="0"/>
        <w:spacing w:line="360" w:lineRule="auto"/>
        <w:ind w:left="2"/>
        <w:jc w:val="left"/>
        <w:rPr>
          <w:rFonts w:hint="eastAsia" w:asciiTheme="minorEastAsia" w:hAnsiTheme="minorEastAsia" w:eastAsiaTheme="minorEastAsia" w:cstheme="minorEastAsia"/>
          <w:kern w:val="0"/>
          <w:sz w:val="24"/>
          <w:highlight w:val="none"/>
          <w:lang w:val="zh-CN"/>
        </w:rPr>
      </w:pPr>
    </w:p>
    <w:p w14:paraId="14CC7D53">
      <w:pPr>
        <w:autoSpaceDE w:val="0"/>
        <w:autoSpaceDN w:val="0"/>
        <w:spacing w:line="360" w:lineRule="auto"/>
        <w:ind w:left="2" w:leftChars="1" w:right="1120" w:firstLine="4560" w:firstLineChars="1900"/>
        <w:jc w:val="lef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投标人名称（</w:t>
      </w:r>
      <w:r>
        <w:rPr>
          <w:rFonts w:hint="eastAsia" w:asciiTheme="minorEastAsia" w:hAnsiTheme="minorEastAsia" w:eastAsiaTheme="minorEastAsia" w:cstheme="minorEastAsia"/>
          <w:sz w:val="24"/>
          <w:highlight w:val="none"/>
        </w:rPr>
        <w:t>电子签名</w:t>
      </w:r>
      <w:r>
        <w:rPr>
          <w:rFonts w:hint="eastAsia" w:asciiTheme="minorEastAsia" w:hAnsiTheme="minorEastAsia" w:eastAsiaTheme="minorEastAsia" w:cstheme="minorEastAsia"/>
          <w:kern w:val="0"/>
          <w:sz w:val="24"/>
          <w:highlight w:val="none"/>
          <w:lang w:val="zh-CN"/>
        </w:rPr>
        <w:t xml:space="preserve">）：                                                                                                                                                                                                               </w:t>
      </w:r>
    </w:p>
    <w:p w14:paraId="7E4B41DC">
      <w:pPr>
        <w:spacing w:line="360" w:lineRule="auto"/>
        <w:ind w:left="4620" w:leftChars="2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val="zh-CN"/>
        </w:rPr>
        <w:t>日期</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lang w:val="zh-CN"/>
        </w:rPr>
        <w:t xml:space="preserve">   年   月   日</w:t>
      </w:r>
    </w:p>
    <w:p w14:paraId="30C5E52A">
      <w:pPr>
        <w:spacing w:line="360" w:lineRule="auto"/>
        <w:jc w:val="center"/>
        <w:rPr>
          <w:rFonts w:hint="eastAsia" w:asciiTheme="minorEastAsia" w:hAnsiTheme="minorEastAsia" w:eastAsiaTheme="minorEastAsia" w:cstheme="minorEastAsia"/>
          <w:b/>
          <w:bCs/>
          <w:sz w:val="24"/>
          <w:highlight w:val="none"/>
        </w:rPr>
      </w:pPr>
    </w:p>
    <w:p w14:paraId="32B24382">
      <w:pPr>
        <w:spacing w:line="360" w:lineRule="auto"/>
        <w:ind w:right="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注：按本格式和要求提供。</w:t>
      </w:r>
    </w:p>
    <w:p w14:paraId="714D8F30">
      <w:pPr>
        <w:spacing w:line="360" w:lineRule="auto"/>
        <w:jc w:val="center"/>
        <w:rPr>
          <w:rFonts w:hint="eastAsia" w:asciiTheme="minorEastAsia" w:hAnsiTheme="minorEastAsia" w:eastAsiaTheme="minorEastAsia" w:cstheme="minorEastAsia"/>
          <w:b/>
          <w:bCs/>
          <w:sz w:val="24"/>
          <w:highlight w:val="none"/>
        </w:rPr>
        <w:sectPr>
          <w:footerReference r:id="rId13" w:type="first"/>
          <w:footerReference r:id="rId12" w:type="default"/>
          <w:pgSz w:w="11906" w:h="16838"/>
          <w:pgMar w:top="1276" w:right="1418" w:bottom="1247" w:left="1418" w:header="851" w:footer="992" w:gutter="0"/>
          <w:cols w:space="720" w:num="1"/>
          <w:titlePg/>
          <w:docGrid w:linePitch="312" w:charSpace="0"/>
        </w:sectPr>
      </w:pPr>
    </w:p>
    <w:p w14:paraId="7550C7AA">
      <w:pPr>
        <w:spacing w:line="360" w:lineRule="auto"/>
        <w:jc w:val="center"/>
        <w:outlineLvl w:val="0"/>
        <w:rPr>
          <w:rFonts w:hint="eastAsia" w:asciiTheme="minorEastAsia" w:hAnsiTheme="minorEastAsia" w:eastAsiaTheme="minorEastAsia" w:cstheme="minorEastAsia"/>
          <w:b/>
          <w:kern w:val="0"/>
          <w:sz w:val="36"/>
          <w:szCs w:val="36"/>
          <w:highlight w:val="none"/>
        </w:rPr>
      </w:pPr>
      <w:bookmarkStart w:id="548" w:name="_Toc1261"/>
      <w:r>
        <w:rPr>
          <w:rFonts w:hint="eastAsia" w:asciiTheme="minorEastAsia" w:hAnsiTheme="minorEastAsia" w:eastAsiaTheme="minorEastAsia" w:cstheme="minorEastAsia"/>
          <w:b/>
          <w:kern w:val="0"/>
          <w:sz w:val="36"/>
          <w:szCs w:val="36"/>
          <w:highlight w:val="none"/>
        </w:rPr>
        <w:t>报价文件部分</w:t>
      </w:r>
      <w:bookmarkEnd w:id="548"/>
    </w:p>
    <w:p w14:paraId="34E82FB0">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49" w:name="_Toc31398"/>
      <w:r>
        <w:rPr>
          <w:rFonts w:hint="eastAsia" w:asciiTheme="minorEastAsia" w:hAnsiTheme="minorEastAsia" w:eastAsiaTheme="minorEastAsia" w:cstheme="minorEastAsia"/>
          <w:b/>
          <w:kern w:val="0"/>
          <w:sz w:val="28"/>
          <w:szCs w:val="28"/>
          <w:highlight w:val="none"/>
        </w:rPr>
        <w:t>目录</w:t>
      </w:r>
      <w:bookmarkEnd w:id="549"/>
    </w:p>
    <w:p w14:paraId="6C8797DD">
      <w:pPr>
        <w:rPr>
          <w:rFonts w:hint="eastAsia" w:asciiTheme="minorEastAsia" w:hAnsiTheme="minorEastAsia" w:eastAsiaTheme="minorEastAsia" w:cstheme="minorEastAsia"/>
          <w:highlight w:val="none"/>
        </w:rPr>
      </w:pPr>
    </w:p>
    <w:p w14:paraId="59572DB8">
      <w:pPr>
        <w:numPr>
          <w:ilvl w:val="0"/>
          <w:numId w:val="7"/>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开标一览表（报价表）………………………………………………………（页码）</w:t>
      </w:r>
    </w:p>
    <w:p w14:paraId="0AF1C42F">
      <w:p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（2）报价明细表……………………………………………………………………（页码）</w:t>
      </w:r>
    </w:p>
    <w:p w14:paraId="5711B8D4">
      <w:p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（3）中小企业声明函（如有）……………………………………………………（页码）</w:t>
      </w:r>
    </w:p>
    <w:p w14:paraId="13328897">
      <w:pPr>
        <w:pStyle w:val="93"/>
        <w:rPr>
          <w:rFonts w:hint="eastAsia" w:asciiTheme="minorEastAsia" w:hAnsiTheme="minorEastAsia" w:eastAsiaTheme="minorEastAsia" w:cstheme="minorEastAsia"/>
          <w:highlight w:val="none"/>
        </w:rPr>
      </w:pPr>
    </w:p>
    <w:p w14:paraId="431DFFC3">
      <w:pPr>
        <w:pStyle w:val="698"/>
        <w:keepNext w:val="0"/>
        <w:pageBreakBefore w:val="0"/>
        <w:tabs>
          <w:tab w:val="clear" w:pos="720"/>
        </w:tabs>
        <w:snapToGrid w:val="0"/>
        <w:spacing w:before="120" w:after="120"/>
        <w:ind w:firstLine="643"/>
        <w:outlineLvl w:val="9"/>
        <w:rPr>
          <w:rFonts w:hint="eastAsia" w:asciiTheme="minorEastAsia" w:hAnsiTheme="minorEastAsia" w:eastAsiaTheme="minorEastAsia" w:cstheme="minorEastAsia"/>
          <w:kern w:val="2"/>
          <w:sz w:val="32"/>
          <w:szCs w:val="32"/>
          <w:highlight w:val="none"/>
        </w:rPr>
        <w:sectPr>
          <w:footerReference r:id="rId16" w:type="first"/>
          <w:headerReference r:id="rId14" w:type="default"/>
          <w:footerReference r:id="rId15" w:type="default"/>
          <w:pgSz w:w="11906" w:h="16838"/>
          <w:pgMar w:top="1247" w:right="1418" w:bottom="1276" w:left="1418" w:header="851" w:footer="992" w:gutter="0"/>
          <w:cols w:space="720" w:num="1"/>
          <w:titlePg/>
          <w:docGrid w:linePitch="312" w:charSpace="0"/>
        </w:sectPr>
      </w:pPr>
    </w:p>
    <w:p w14:paraId="26800BEB">
      <w:pPr>
        <w:numPr>
          <w:ilvl w:val="0"/>
          <w:numId w:val="8"/>
        </w:num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50" w:name="_Toc17023"/>
      <w:r>
        <w:rPr>
          <w:rFonts w:hint="eastAsia" w:asciiTheme="minorEastAsia" w:hAnsiTheme="minorEastAsia" w:eastAsiaTheme="minorEastAsia" w:cstheme="minorEastAsia"/>
          <w:b/>
          <w:kern w:val="0"/>
          <w:sz w:val="28"/>
          <w:szCs w:val="28"/>
          <w:highlight w:val="none"/>
        </w:rPr>
        <w:t>开标一览表（报价表）</w:t>
      </w:r>
      <w:bookmarkEnd w:id="550"/>
    </w:p>
    <w:p w14:paraId="419217A5">
      <w:pPr>
        <w:pStyle w:val="83"/>
        <w:ind w:firstLine="0" w:firstLineChars="0"/>
        <w:rPr>
          <w:rFonts w:hint="eastAsia" w:ascii="宋体" w:hAnsi="宋体" w:cs="宋体"/>
          <w:sz w:val="22"/>
          <w:highlight w:val="none"/>
        </w:rPr>
      </w:pPr>
      <w:r>
        <w:rPr>
          <w:rFonts w:hint="eastAsia" w:ascii="宋体" w:hAnsi="宋体" w:cs="宋体"/>
          <w:sz w:val="22"/>
          <w:highlight w:val="none"/>
        </w:rPr>
        <w:t xml:space="preserve">项目名称：                                           项目编号： </w:t>
      </w:r>
    </w:p>
    <w:tbl>
      <w:tblPr>
        <w:tblStyle w:val="64"/>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4714"/>
        <w:gridCol w:w="2694"/>
      </w:tblGrid>
      <w:tr w14:paraId="5CA1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90" w:type="dxa"/>
            <w:noWrap w:val="0"/>
            <w:vAlign w:val="center"/>
          </w:tcPr>
          <w:p w14:paraId="1F68A3AC">
            <w:pPr>
              <w:spacing w:line="360" w:lineRule="auto"/>
              <w:jc w:val="center"/>
              <w:rPr>
                <w:rFonts w:ascii="宋体" w:hAnsi="宋体" w:eastAsia="宋体" w:cs="Arial"/>
                <w:kern w:val="0"/>
                <w:sz w:val="22"/>
                <w:szCs w:val="22"/>
              </w:rPr>
            </w:pPr>
            <w:r>
              <w:rPr>
                <w:rFonts w:hint="eastAsia" w:ascii="宋体" w:hAnsi="宋体" w:eastAsia="宋体" w:cs="Arial"/>
                <w:kern w:val="0"/>
                <w:sz w:val="22"/>
                <w:szCs w:val="22"/>
              </w:rPr>
              <w:t>项目名称</w:t>
            </w:r>
          </w:p>
        </w:tc>
        <w:tc>
          <w:tcPr>
            <w:tcW w:w="7408" w:type="dxa"/>
            <w:gridSpan w:val="2"/>
            <w:noWrap w:val="0"/>
            <w:vAlign w:val="center"/>
          </w:tcPr>
          <w:p w14:paraId="1B53B07E">
            <w:pPr>
              <w:spacing w:line="360" w:lineRule="auto"/>
              <w:jc w:val="center"/>
              <w:rPr>
                <w:rFonts w:hint="eastAsia" w:ascii="宋体" w:hAnsi="宋体" w:eastAsia="宋体" w:cs="Arial"/>
                <w:kern w:val="0"/>
                <w:sz w:val="22"/>
                <w:szCs w:val="22"/>
              </w:rPr>
            </w:pPr>
          </w:p>
        </w:tc>
      </w:tr>
      <w:tr w14:paraId="41F9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90" w:type="dxa"/>
            <w:noWrap w:val="0"/>
            <w:vAlign w:val="center"/>
          </w:tcPr>
          <w:p w14:paraId="2CAC4DFA">
            <w:pPr>
              <w:spacing w:line="360" w:lineRule="auto"/>
              <w:jc w:val="center"/>
              <w:rPr>
                <w:rFonts w:hint="eastAsia" w:ascii="宋体" w:hAnsi="宋体" w:eastAsia="宋体" w:cs="Arial"/>
                <w:kern w:val="0"/>
                <w:sz w:val="22"/>
                <w:szCs w:val="22"/>
              </w:rPr>
            </w:pPr>
            <w:r>
              <w:rPr>
                <w:rFonts w:hint="eastAsia" w:ascii="宋体" w:hAnsi="宋体" w:eastAsia="宋体" w:cs="Arial"/>
                <w:bCs/>
                <w:kern w:val="0"/>
                <w:sz w:val="22"/>
                <w:szCs w:val="22"/>
              </w:rPr>
              <w:t>项目编号</w:t>
            </w:r>
          </w:p>
        </w:tc>
        <w:tc>
          <w:tcPr>
            <w:tcW w:w="7408" w:type="dxa"/>
            <w:gridSpan w:val="2"/>
            <w:noWrap w:val="0"/>
            <w:vAlign w:val="center"/>
          </w:tcPr>
          <w:p w14:paraId="039F6E6E">
            <w:pPr>
              <w:spacing w:line="360" w:lineRule="auto"/>
              <w:jc w:val="center"/>
              <w:rPr>
                <w:rFonts w:hint="eastAsia" w:ascii="宋体" w:hAnsi="宋体" w:eastAsia="宋体" w:cs="Arial"/>
                <w:kern w:val="0"/>
                <w:sz w:val="22"/>
                <w:szCs w:val="22"/>
              </w:rPr>
            </w:pPr>
          </w:p>
        </w:tc>
      </w:tr>
      <w:tr w14:paraId="43C4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090" w:type="dxa"/>
            <w:vMerge w:val="restart"/>
            <w:noWrap w:val="0"/>
            <w:vAlign w:val="center"/>
          </w:tcPr>
          <w:p w14:paraId="26D1C549">
            <w:pPr>
              <w:spacing w:line="360" w:lineRule="auto"/>
              <w:jc w:val="center"/>
              <w:rPr>
                <w:rFonts w:hint="eastAsia" w:ascii="宋体" w:hAnsi="宋体" w:eastAsia="宋体" w:cs="Arial"/>
                <w:kern w:val="0"/>
                <w:sz w:val="22"/>
                <w:szCs w:val="22"/>
              </w:rPr>
            </w:pPr>
            <w:r>
              <w:rPr>
                <w:rFonts w:ascii="宋体" w:hAnsi="宋体" w:eastAsia="宋体" w:cs="Arial"/>
                <w:kern w:val="0"/>
                <w:sz w:val="22"/>
                <w:szCs w:val="22"/>
              </w:rPr>
              <w:t>投标</w:t>
            </w:r>
            <w:r>
              <w:rPr>
                <w:rFonts w:hint="eastAsia" w:ascii="宋体" w:hAnsi="宋体" w:eastAsia="宋体" w:cs="Arial"/>
                <w:kern w:val="0"/>
                <w:sz w:val="22"/>
                <w:szCs w:val="22"/>
              </w:rPr>
              <w:t>报</w:t>
            </w:r>
            <w:r>
              <w:rPr>
                <w:rFonts w:ascii="宋体" w:hAnsi="宋体" w:eastAsia="宋体" w:cs="Arial"/>
                <w:kern w:val="0"/>
                <w:sz w:val="22"/>
                <w:szCs w:val="22"/>
              </w:rPr>
              <w:t>价</w:t>
            </w:r>
          </w:p>
          <w:p w14:paraId="401C66F3">
            <w:pPr>
              <w:spacing w:line="360" w:lineRule="auto"/>
              <w:jc w:val="center"/>
              <w:rPr>
                <w:rFonts w:ascii="宋体" w:hAnsi="宋体" w:eastAsia="宋体" w:cs="Arial"/>
                <w:kern w:val="0"/>
                <w:sz w:val="22"/>
                <w:szCs w:val="22"/>
              </w:rPr>
            </w:pPr>
            <w:r>
              <w:rPr>
                <w:rFonts w:hint="eastAsia" w:ascii="宋体" w:hAnsi="宋体" w:eastAsia="宋体" w:cs="Arial"/>
                <w:kern w:val="0"/>
                <w:sz w:val="22"/>
                <w:szCs w:val="22"/>
              </w:rPr>
              <w:t>（折扣率）</w:t>
            </w:r>
          </w:p>
        </w:tc>
        <w:tc>
          <w:tcPr>
            <w:tcW w:w="4714" w:type="dxa"/>
            <w:noWrap w:val="0"/>
            <w:vAlign w:val="center"/>
          </w:tcPr>
          <w:p w14:paraId="370B06EF">
            <w:pPr>
              <w:spacing w:line="360" w:lineRule="auto"/>
              <w:rPr>
                <w:rFonts w:ascii="宋体" w:hAnsi="宋体" w:eastAsia="宋体" w:cs="Arial"/>
                <w:kern w:val="0"/>
                <w:sz w:val="22"/>
                <w:szCs w:val="22"/>
                <w:u w:val="single"/>
              </w:rPr>
            </w:pPr>
            <w:r>
              <w:rPr>
                <w:rFonts w:ascii="宋体" w:hAnsi="宋体" w:eastAsia="宋体" w:cs="Arial"/>
                <w:kern w:val="0"/>
                <w:sz w:val="22"/>
                <w:szCs w:val="22"/>
              </w:rPr>
              <w:t>（小写）：</w:t>
            </w:r>
            <w:r>
              <w:rPr>
                <w:rFonts w:hint="eastAsia" w:ascii="宋体" w:hAnsi="宋体" w:eastAsia="宋体" w:cs="Arial"/>
                <w:kern w:val="0"/>
                <w:sz w:val="22"/>
                <w:szCs w:val="22"/>
                <w:u w:val="single"/>
              </w:rPr>
              <w:t xml:space="preserve"> </w:t>
            </w:r>
            <w:r>
              <w:rPr>
                <w:rFonts w:ascii="宋体" w:hAnsi="宋体" w:eastAsia="宋体" w:cs="Arial"/>
                <w:kern w:val="0"/>
                <w:sz w:val="22"/>
                <w:szCs w:val="22"/>
                <w:u w:val="single"/>
              </w:rPr>
              <w:t xml:space="preserve">               </w:t>
            </w:r>
          </w:p>
        </w:tc>
        <w:tc>
          <w:tcPr>
            <w:tcW w:w="2694" w:type="dxa"/>
            <w:vMerge w:val="restart"/>
            <w:noWrap w:val="0"/>
            <w:vAlign w:val="center"/>
          </w:tcPr>
          <w:p w14:paraId="1EE270CD">
            <w:pPr>
              <w:spacing w:line="360" w:lineRule="auto"/>
              <w:jc w:val="center"/>
              <w:rPr>
                <w:rFonts w:hint="eastAsia" w:ascii="宋体" w:hAnsi="宋体" w:eastAsia="宋体" w:cs="Arial"/>
                <w:kern w:val="0"/>
                <w:sz w:val="22"/>
                <w:szCs w:val="22"/>
                <w:u w:val="single"/>
                <w:lang w:val="en-US" w:eastAsia="zh-CN"/>
              </w:rPr>
            </w:pPr>
            <w:r>
              <w:rPr>
                <w:rFonts w:hint="eastAsia" w:ascii="宋体" w:hAnsi="宋体" w:eastAsia="宋体" w:cs="Yu Mincho Light"/>
                <w:sz w:val="22"/>
                <w:szCs w:val="22"/>
                <w:lang w:val="en-US" w:eastAsia="zh-CN"/>
              </w:rPr>
              <w:t>注：结算单价=</w:t>
            </w:r>
            <w:r>
              <w:rPr>
                <w:rFonts w:hint="eastAsia" w:ascii="宋体" w:hAnsi="宋体" w:eastAsia="宋体" w:cs="宋体"/>
                <w:color w:val="000000"/>
                <w:kern w:val="0"/>
                <w:sz w:val="22"/>
                <w:szCs w:val="22"/>
                <w:lang w:bidi="ar"/>
              </w:rPr>
              <w:t>全费用单价最高限价（元）</w:t>
            </w:r>
            <w:r>
              <w:rPr>
                <w:rFonts w:hint="eastAsia" w:ascii="宋体" w:hAnsi="宋体" w:eastAsia="宋体" w:cs="宋体"/>
                <w:color w:val="000000"/>
                <w:kern w:val="0"/>
                <w:sz w:val="22"/>
                <w:szCs w:val="22"/>
                <w:lang w:val="en-US" w:eastAsia="zh-CN" w:bidi="ar"/>
              </w:rPr>
              <w:t>*</w:t>
            </w:r>
            <w:r>
              <w:rPr>
                <w:rFonts w:ascii="宋体" w:hAnsi="宋体" w:eastAsia="宋体" w:cs="Arial"/>
                <w:kern w:val="0"/>
                <w:sz w:val="22"/>
                <w:szCs w:val="22"/>
              </w:rPr>
              <w:t>投标</w:t>
            </w:r>
            <w:r>
              <w:rPr>
                <w:rFonts w:hint="eastAsia" w:ascii="宋体" w:hAnsi="宋体" w:eastAsia="宋体" w:cs="Arial"/>
                <w:kern w:val="0"/>
                <w:sz w:val="22"/>
                <w:szCs w:val="22"/>
              </w:rPr>
              <w:t>报</w:t>
            </w:r>
            <w:r>
              <w:rPr>
                <w:rFonts w:ascii="宋体" w:hAnsi="宋体" w:eastAsia="宋体" w:cs="Arial"/>
                <w:kern w:val="0"/>
                <w:sz w:val="22"/>
                <w:szCs w:val="22"/>
              </w:rPr>
              <w:t>价</w:t>
            </w:r>
            <w:r>
              <w:rPr>
                <w:rFonts w:hint="eastAsia" w:ascii="宋体" w:hAnsi="宋体" w:eastAsia="宋体" w:cs="Arial"/>
                <w:kern w:val="0"/>
                <w:sz w:val="22"/>
                <w:szCs w:val="22"/>
              </w:rPr>
              <w:t>（折扣率）</w:t>
            </w:r>
          </w:p>
        </w:tc>
      </w:tr>
      <w:tr w14:paraId="6A29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90" w:type="dxa"/>
            <w:vMerge w:val="continue"/>
            <w:noWrap w:val="0"/>
            <w:vAlign w:val="top"/>
          </w:tcPr>
          <w:p w14:paraId="4B40EB5E">
            <w:pPr>
              <w:spacing w:line="360" w:lineRule="auto"/>
              <w:jc w:val="center"/>
              <w:rPr>
                <w:rFonts w:ascii="宋体" w:hAnsi="宋体" w:eastAsia="宋体" w:cs="Arial"/>
                <w:kern w:val="0"/>
                <w:sz w:val="22"/>
                <w:szCs w:val="22"/>
              </w:rPr>
            </w:pPr>
          </w:p>
        </w:tc>
        <w:tc>
          <w:tcPr>
            <w:tcW w:w="4714" w:type="dxa"/>
            <w:noWrap w:val="0"/>
            <w:vAlign w:val="center"/>
          </w:tcPr>
          <w:p w14:paraId="27A9E1F1">
            <w:pPr>
              <w:spacing w:line="360" w:lineRule="auto"/>
              <w:rPr>
                <w:rFonts w:hint="eastAsia" w:ascii="宋体" w:hAnsi="宋体" w:eastAsia="宋体" w:cs="Arial"/>
                <w:kern w:val="0"/>
                <w:sz w:val="22"/>
                <w:szCs w:val="22"/>
              </w:rPr>
            </w:pPr>
            <w:r>
              <w:rPr>
                <w:rFonts w:ascii="宋体" w:hAnsi="宋体" w:eastAsia="宋体" w:cs="Arial"/>
                <w:kern w:val="0"/>
                <w:sz w:val="22"/>
                <w:szCs w:val="22"/>
              </w:rPr>
              <w:t>（大写）</w:t>
            </w:r>
            <w:r>
              <w:rPr>
                <w:rFonts w:hint="eastAsia" w:ascii="宋体" w:hAnsi="宋体" w:eastAsia="宋体" w:cs="Arial"/>
                <w:kern w:val="0"/>
                <w:sz w:val="22"/>
                <w:szCs w:val="22"/>
              </w:rPr>
              <w:t>：</w:t>
            </w:r>
            <w:r>
              <w:rPr>
                <w:rFonts w:hint="eastAsia" w:ascii="宋体" w:hAnsi="宋体" w:eastAsia="宋体" w:cs="Arial"/>
                <w:kern w:val="0"/>
                <w:sz w:val="22"/>
                <w:szCs w:val="22"/>
                <w:u w:val="single"/>
              </w:rPr>
              <w:t>百分之</w:t>
            </w:r>
            <w:r>
              <w:rPr>
                <w:rFonts w:ascii="宋体" w:hAnsi="宋体" w:eastAsia="宋体" w:cs="Arial"/>
                <w:kern w:val="0"/>
                <w:sz w:val="22"/>
                <w:szCs w:val="22"/>
                <w:u w:val="single"/>
              </w:rPr>
              <w:t xml:space="preserve">          </w:t>
            </w:r>
          </w:p>
        </w:tc>
        <w:tc>
          <w:tcPr>
            <w:tcW w:w="2694" w:type="dxa"/>
            <w:vMerge w:val="continue"/>
            <w:noWrap w:val="0"/>
            <w:vAlign w:val="center"/>
          </w:tcPr>
          <w:p w14:paraId="04B5DDF9">
            <w:pPr>
              <w:spacing w:line="360" w:lineRule="auto"/>
              <w:rPr>
                <w:rFonts w:hint="eastAsia" w:ascii="宋体" w:hAnsi="宋体" w:cs="Arial"/>
                <w:kern w:val="0"/>
                <w:sz w:val="22"/>
                <w:szCs w:val="22"/>
              </w:rPr>
            </w:pPr>
          </w:p>
        </w:tc>
      </w:tr>
      <w:tr w14:paraId="4080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90" w:type="dxa"/>
            <w:noWrap w:val="0"/>
            <w:vAlign w:val="center"/>
          </w:tcPr>
          <w:p w14:paraId="4D00C932">
            <w:pPr>
              <w:spacing w:line="360" w:lineRule="auto"/>
              <w:jc w:val="center"/>
              <w:rPr>
                <w:rFonts w:hint="eastAsia" w:ascii="宋体" w:hAnsi="宋体" w:eastAsia="宋体" w:cs="Arial"/>
                <w:kern w:val="0"/>
                <w:sz w:val="22"/>
                <w:szCs w:val="22"/>
              </w:rPr>
            </w:pPr>
            <w:r>
              <w:rPr>
                <w:rFonts w:hint="eastAsia" w:ascii="宋体" w:hAnsi="宋体" w:eastAsia="宋体" w:cs="Arial"/>
                <w:kern w:val="0"/>
                <w:sz w:val="22"/>
                <w:szCs w:val="22"/>
              </w:rPr>
              <w:t>服务期限</w:t>
            </w:r>
          </w:p>
        </w:tc>
        <w:tc>
          <w:tcPr>
            <w:tcW w:w="7408" w:type="dxa"/>
            <w:gridSpan w:val="2"/>
            <w:noWrap w:val="0"/>
            <w:vAlign w:val="center"/>
          </w:tcPr>
          <w:p w14:paraId="49C5B99F">
            <w:pPr>
              <w:spacing w:line="360" w:lineRule="auto"/>
              <w:jc w:val="center"/>
              <w:rPr>
                <w:rFonts w:ascii="宋体" w:hAnsi="宋体" w:eastAsia="宋体" w:cs="Arial"/>
                <w:kern w:val="0"/>
                <w:sz w:val="22"/>
                <w:szCs w:val="22"/>
              </w:rPr>
            </w:pPr>
            <w:r>
              <w:rPr>
                <w:rFonts w:hint="eastAsia" w:ascii="宋体" w:hAnsi="宋体" w:eastAsia="宋体" w:cs="Arial"/>
                <w:kern w:val="0"/>
                <w:sz w:val="22"/>
                <w:szCs w:val="22"/>
              </w:rPr>
              <w:t>按招标文件执行</w:t>
            </w:r>
          </w:p>
        </w:tc>
      </w:tr>
      <w:tr w14:paraId="32B5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90" w:type="dxa"/>
            <w:noWrap w:val="0"/>
            <w:vAlign w:val="center"/>
          </w:tcPr>
          <w:p w14:paraId="20991D64">
            <w:pPr>
              <w:spacing w:line="360" w:lineRule="auto"/>
              <w:jc w:val="center"/>
              <w:rPr>
                <w:rFonts w:hint="eastAsia" w:ascii="宋体" w:hAnsi="宋体" w:eastAsia="宋体" w:cs="Arial"/>
                <w:kern w:val="0"/>
                <w:sz w:val="22"/>
                <w:szCs w:val="22"/>
              </w:rPr>
            </w:pPr>
            <w:r>
              <w:rPr>
                <w:rFonts w:hint="eastAsia" w:ascii="宋体" w:hAnsi="宋体" w:eastAsia="宋体" w:cs="Arial"/>
                <w:sz w:val="22"/>
                <w:szCs w:val="22"/>
              </w:rPr>
              <w:t>项目负责人</w:t>
            </w:r>
          </w:p>
        </w:tc>
        <w:tc>
          <w:tcPr>
            <w:tcW w:w="7408" w:type="dxa"/>
            <w:gridSpan w:val="2"/>
            <w:noWrap w:val="0"/>
            <w:vAlign w:val="center"/>
          </w:tcPr>
          <w:p w14:paraId="20E664BE">
            <w:pPr>
              <w:spacing w:line="360" w:lineRule="auto"/>
              <w:rPr>
                <w:rFonts w:hint="eastAsia" w:ascii="宋体" w:hAnsi="宋体" w:eastAsia="宋体" w:cs="Arial"/>
                <w:kern w:val="0"/>
                <w:sz w:val="22"/>
                <w:szCs w:val="22"/>
              </w:rPr>
            </w:pPr>
          </w:p>
        </w:tc>
      </w:tr>
      <w:tr w14:paraId="4CB1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090" w:type="dxa"/>
            <w:noWrap w:val="0"/>
            <w:vAlign w:val="center"/>
          </w:tcPr>
          <w:p w14:paraId="0F61E97D">
            <w:pPr>
              <w:spacing w:line="360" w:lineRule="auto"/>
              <w:jc w:val="center"/>
              <w:rPr>
                <w:rFonts w:ascii="宋体" w:hAnsi="宋体" w:eastAsia="宋体" w:cs="Arial"/>
                <w:kern w:val="0"/>
                <w:sz w:val="22"/>
                <w:szCs w:val="22"/>
              </w:rPr>
            </w:pPr>
            <w:r>
              <w:rPr>
                <w:rFonts w:ascii="宋体" w:hAnsi="宋体" w:eastAsia="宋体" w:cs="Arial"/>
                <w:kern w:val="0"/>
                <w:sz w:val="22"/>
                <w:szCs w:val="22"/>
              </w:rPr>
              <w:t>备</w:t>
            </w:r>
            <w:r>
              <w:rPr>
                <w:rFonts w:hint="eastAsia" w:ascii="宋体" w:hAnsi="宋体" w:eastAsia="宋体" w:cs="Arial"/>
                <w:kern w:val="0"/>
                <w:sz w:val="22"/>
                <w:szCs w:val="22"/>
              </w:rPr>
              <w:t xml:space="preserve">     </w:t>
            </w:r>
            <w:r>
              <w:rPr>
                <w:rFonts w:ascii="宋体" w:hAnsi="宋体" w:eastAsia="宋体" w:cs="Arial"/>
                <w:kern w:val="0"/>
                <w:sz w:val="22"/>
                <w:szCs w:val="22"/>
              </w:rPr>
              <w:t>注</w:t>
            </w:r>
          </w:p>
        </w:tc>
        <w:tc>
          <w:tcPr>
            <w:tcW w:w="7408" w:type="dxa"/>
            <w:gridSpan w:val="2"/>
            <w:noWrap w:val="0"/>
            <w:vAlign w:val="center"/>
          </w:tcPr>
          <w:p w14:paraId="4AC1182F">
            <w:pPr>
              <w:spacing w:line="360" w:lineRule="auto"/>
              <w:rPr>
                <w:rFonts w:ascii="宋体" w:hAnsi="宋体" w:eastAsia="宋体" w:cs="Arial"/>
                <w:kern w:val="0"/>
                <w:sz w:val="22"/>
                <w:szCs w:val="22"/>
              </w:rPr>
            </w:pPr>
          </w:p>
        </w:tc>
      </w:tr>
    </w:tbl>
    <w:p w14:paraId="5A61B5BC">
      <w:pPr>
        <w:snapToGrid w:val="0"/>
        <w:spacing w:line="360" w:lineRule="auto"/>
        <w:ind w:left="480"/>
        <w:rPr>
          <w:rFonts w:hint="eastAsia" w:asciiTheme="minorEastAsia" w:hAnsiTheme="minorEastAsia" w:eastAsiaTheme="minorEastAsia" w:cstheme="minorEastAsia"/>
          <w:b/>
          <w:kern w:val="0"/>
          <w:sz w:val="22"/>
          <w:szCs w:val="22"/>
          <w:highlight w:val="none"/>
          <w:lang w:val="zh-CN"/>
        </w:rPr>
      </w:pPr>
    </w:p>
    <w:p w14:paraId="57FA7B54">
      <w:pPr>
        <w:snapToGrid w:val="0"/>
        <w:spacing w:line="360" w:lineRule="auto"/>
        <w:ind w:left="480"/>
        <w:rPr>
          <w:rFonts w:hint="eastAsia" w:asciiTheme="minorEastAsia" w:hAnsiTheme="minorEastAsia" w:eastAsiaTheme="minorEastAsia" w:cstheme="minorEastAsia"/>
          <w:b/>
          <w:kern w:val="0"/>
          <w:sz w:val="22"/>
          <w:szCs w:val="22"/>
          <w:highlight w:val="none"/>
          <w:lang w:val="zh-CN"/>
        </w:rPr>
      </w:pPr>
      <w:r>
        <w:rPr>
          <w:rFonts w:hint="eastAsia" w:asciiTheme="minorEastAsia" w:hAnsiTheme="minorEastAsia" w:eastAsiaTheme="minorEastAsia" w:cstheme="minorEastAsia"/>
          <w:b/>
          <w:kern w:val="0"/>
          <w:sz w:val="22"/>
          <w:szCs w:val="22"/>
          <w:highlight w:val="none"/>
          <w:lang w:val="zh-CN"/>
        </w:rPr>
        <w:t>注：</w:t>
      </w:r>
    </w:p>
    <w:p w14:paraId="0260DAAB">
      <w:pPr>
        <w:spacing w:line="360" w:lineRule="auto"/>
        <w:ind w:left="-2" w:leftChars="-1" w:firstLine="440" w:firstLineChars="200"/>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1、投标人需按本表格式填写</w:t>
      </w:r>
      <w:r>
        <w:rPr>
          <w:rFonts w:hint="eastAsia" w:asciiTheme="minorEastAsia" w:hAnsiTheme="minorEastAsia" w:eastAsiaTheme="minorEastAsia" w:cstheme="minorEastAsia"/>
          <w:b/>
          <w:kern w:val="0"/>
          <w:sz w:val="22"/>
          <w:szCs w:val="22"/>
          <w:highlight w:val="none"/>
          <w:lang w:val="zh-CN"/>
        </w:rPr>
        <w:t>，</w:t>
      </w:r>
      <w:r>
        <w:rPr>
          <w:rFonts w:hint="eastAsia" w:asciiTheme="minorEastAsia" w:hAnsiTheme="minorEastAsia" w:eastAsiaTheme="minorEastAsia" w:cstheme="minorEastAsia"/>
          <w:b/>
          <w:kern w:val="0"/>
          <w:sz w:val="22"/>
          <w:szCs w:val="22"/>
          <w:highlight w:val="none"/>
        </w:rPr>
        <w:t>否则视为</w:t>
      </w:r>
      <w:r>
        <w:rPr>
          <w:rFonts w:hint="eastAsia" w:asciiTheme="minorEastAsia" w:hAnsiTheme="minorEastAsia" w:eastAsiaTheme="minorEastAsia" w:cstheme="minorEastAsia"/>
          <w:b/>
          <w:sz w:val="22"/>
          <w:szCs w:val="22"/>
          <w:highlight w:val="none"/>
        </w:rPr>
        <w:t>投标文件含有采购人不能接受的附加条件，投标无效</w:t>
      </w:r>
      <w:r>
        <w:rPr>
          <w:rFonts w:hint="eastAsia" w:asciiTheme="minorEastAsia" w:hAnsiTheme="minorEastAsia" w:eastAsiaTheme="minorEastAsia" w:cstheme="minorEastAsia"/>
          <w:kern w:val="0"/>
          <w:sz w:val="22"/>
          <w:szCs w:val="22"/>
          <w:highlight w:val="none"/>
          <w:lang w:val="zh-CN"/>
        </w:rPr>
        <w:t>。</w:t>
      </w:r>
    </w:p>
    <w:p w14:paraId="6FA7B957">
      <w:pPr>
        <w:spacing w:line="360" w:lineRule="auto"/>
        <w:ind w:firstLine="440" w:firstLineChars="200"/>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lang w:val="zh-CN"/>
        </w:rPr>
        <w:t>2、有关本项目实施所涉及的一切费用均计入报价。</w:t>
      </w:r>
      <w:r>
        <w:rPr>
          <w:rFonts w:hint="eastAsia" w:asciiTheme="minorEastAsia" w:hAnsiTheme="minorEastAsia" w:eastAsiaTheme="minorEastAsia" w:cstheme="minorEastAsia"/>
          <w:kern w:val="0"/>
          <w:sz w:val="22"/>
          <w:szCs w:val="22"/>
          <w:highlight w:val="none"/>
        </w:rPr>
        <w:t>采购人不得向投标人索要或者接受投标人给予的赠品、回扣或者与采购无关的其他商品、服务；如投标人承诺提供赠品、回扣、采购预算中本身不包含的其他商品或服务，视作无效承诺，不得因无效承诺对投标人实行差别待遇或者歧视待遇，也不得将其作为中标（成交）条件或者合同签订条件；总价不为零，部分产品、服务单价为零的，视作已包含在总价中。</w:t>
      </w:r>
    </w:p>
    <w:p w14:paraId="0ED41796">
      <w:pPr>
        <w:spacing w:line="360" w:lineRule="auto"/>
        <w:ind w:firstLine="440" w:firstLineChars="200"/>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lang w:val="zh-CN"/>
        </w:rPr>
        <w:t>3、</w:t>
      </w:r>
      <w:r>
        <w:rPr>
          <w:rFonts w:hint="eastAsia" w:asciiTheme="minorEastAsia" w:hAnsiTheme="minorEastAsia" w:eastAsiaTheme="minorEastAsia" w:cstheme="minorEastAsia"/>
          <w:kern w:val="0"/>
          <w:sz w:val="22"/>
          <w:szCs w:val="22"/>
          <w:highlight w:val="none"/>
        </w:rPr>
        <w:t>投标人</w:t>
      </w:r>
      <w:r>
        <w:rPr>
          <w:rFonts w:hint="eastAsia" w:asciiTheme="minorEastAsia" w:hAnsiTheme="minorEastAsia" w:eastAsiaTheme="minorEastAsia" w:cstheme="minorEastAsia"/>
          <w:kern w:val="0"/>
          <w:sz w:val="22"/>
          <w:szCs w:val="22"/>
          <w:highlight w:val="none"/>
          <w:lang w:val="zh-CN"/>
        </w:rPr>
        <w:t>不得进行影响产品质量或者诚信履约的恶意报价。</w:t>
      </w:r>
      <w:r>
        <w:rPr>
          <w:rFonts w:hint="eastAsia" w:asciiTheme="minorEastAsia" w:hAnsiTheme="minorEastAsia" w:eastAsiaTheme="minorEastAsia" w:cstheme="minorEastAsia"/>
          <w:kern w:val="0"/>
          <w:sz w:val="22"/>
          <w:szCs w:val="22"/>
          <w:highlight w:val="none"/>
        </w:rPr>
        <w:t>投标人</w:t>
      </w:r>
      <w:r>
        <w:rPr>
          <w:rFonts w:hint="eastAsia" w:asciiTheme="minorEastAsia" w:hAnsiTheme="minorEastAsia" w:eastAsiaTheme="minorEastAsia" w:cstheme="minorEastAsia"/>
          <w:kern w:val="0"/>
          <w:sz w:val="22"/>
          <w:szCs w:val="22"/>
          <w:highlight w:val="none"/>
          <w:lang w:val="zh-CN"/>
        </w:rPr>
        <w:t>在项目评审前准备好报价核算、报价明细、报价说明等材料，以备评审专家核查。</w:t>
      </w:r>
      <w:r>
        <w:rPr>
          <w:rFonts w:hint="eastAsia" w:asciiTheme="minorEastAsia" w:hAnsiTheme="minorEastAsia" w:eastAsiaTheme="minorEastAsia" w:cstheme="minorEastAsia"/>
          <w:kern w:val="0"/>
          <w:sz w:val="22"/>
          <w:szCs w:val="22"/>
          <w:highlight w:val="none"/>
        </w:rPr>
        <w:t>投标人</w:t>
      </w:r>
      <w:r>
        <w:rPr>
          <w:rFonts w:hint="eastAsia" w:asciiTheme="minorEastAsia" w:hAnsiTheme="minorEastAsia" w:eastAsiaTheme="minorEastAsia" w:cstheme="minorEastAsia"/>
          <w:kern w:val="0"/>
          <w:sz w:val="22"/>
          <w:szCs w:val="22"/>
          <w:highlight w:val="none"/>
          <w:lang w:val="zh-CN"/>
        </w:rPr>
        <w:t>报价低于项目预算50%的，应当在报价文件中详细阐述不影响产品质量或者诚信履约的具体原因。</w:t>
      </w:r>
    </w:p>
    <w:p w14:paraId="660BF729">
      <w:pPr>
        <w:spacing w:line="360" w:lineRule="auto"/>
        <w:ind w:firstLine="440" w:firstLineChars="200"/>
        <w:rPr>
          <w:rFonts w:hint="eastAsia" w:asciiTheme="minorEastAsia" w:hAnsiTheme="minorEastAsia" w:eastAsiaTheme="minorEastAsia" w:cstheme="minorEastAsia"/>
          <w:kern w:val="0"/>
          <w:sz w:val="22"/>
          <w:szCs w:val="22"/>
          <w:highlight w:val="none"/>
          <w:lang w:val="zh-CN"/>
        </w:rPr>
      </w:pPr>
      <w:r>
        <w:rPr>
          <w:rFonts w:hint="eastAsia" w:asciiTheme="minorEastAsia" w:hAnsiTheme="minorEastAsia" w:eastAsiaTheme="minorEastAsia" w:cstheme="minorEastAsia"/>
          <w:kern w:val="0"/>
          <w:sz w:val="22"/>
          <w:szCs w:val="22"/>
          <w:highlight w:val="none"/>
        </w:rPr>
        <w:t>4、</w:t>
      </w:r>
      <w:r>
        <w:rPr>
          <w:rFonts w:hint="eastAsia" w:asciiTheme="minorEastAsia" w:hAnsiTheme="minorEastAsia" w:eastAsiaTheme="minorEastAsia" w:cstheme="minorEastAsia"/>
          <w:kern w:val="0"/>
          <w:sz w:val="22"/>
          <w:szCs w:val="22"/>
          <w:highlight w:val="none"/>
          <w:lang w:val="zh-CN"/>
        </w:rPr>
        <w:t>特别提示：采购代理机构将对项目名称和项目编号，中标人名称、地址和中标金额，主要中标标的名称、品牌（如果有）、规格型号、数量、单价等予以公示。</w:t>
      </w:r>
    </w:p>
    <w:p w14:paraId="404850CF">
      <w:pPr>
        <w:pStyle w:val="23"/>
        <w:rPr>
          <w:rFonts w:hint="eastAsia" w:asciiTheme="minorEastAsia" w:hAnsiTheme="minorEastAsia" w:eastAsiaTheme="minorEastAsia" w:cstheme="minorEastAsia"/>
          <w:kern w:val="0"/>
          <w:sz w:val="22"/>
          <w:szCs w:val="22"/>
          <w:highlight w:val="none"/>
        </w:rPr>
      </w:pPr>
    </w:p>
    <w:p w14:paraId="32EFFFDE">
      <w:pPr>
        <w:tabs>
          <w:tab w:val="left" w:pos="4860"/>
        </w:tabs>
        <w:spacing w:line="360" w:lineRule="auto"/>
        <w:ind w:right="1560"/>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kern w:val="0"/>
          <w:sz w:val="22"/>
          <w:szCs w:val="22"/>
          <w:highlight w:val="none"/>
          <w:lang w:val="zh-CN"/>
        </w:rPr>
        <w:t>投标人名称（电子签名）</w:t>
      </w:r>
      <w:r>
        <w:rPr>
          <w:rFonts w:hint="eastAsia" w:asciiTheme="minorEastAsia" w:hAnsiTheme="minorEastAsia" w:eastAsiaTheme="minorEastAsia" w:cstheme="minorEastAsia"/>
          <w:sz w:val="22"/>
          <w:szCs w:val="22"/>
          <w:highlight w:val="none"/>
        </w:rPr>
        <w:t>：</w:t>
      </w:r>
    </w:p>
    <w:p w14:paraId="76F1E74F">
      <w:pPr>
        <w:tabs>
          <w:tab w:val="left" w:pos="4860"/>
        </w:tabs>
        <w:spacing w:line="360" w:lineRule="auto"/>
        <w:ind w:right="1560"/>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日  期：</w:t>
      </w:r>
    </w:p>
    <w:p w14:paraId="3E1B2FAA">
      <w:pPr>
        <w:pStyle w:val="62"/>
        <w:rPr>
          <w:highlight w:val="none"/>
        </w:rPr>
        <w:sectPr>
          <w:pgSz w:w="11906" w:h="16838"/>
          <w:pgMar w:top="1247" w:right="1418" w:bottom="1276" w:left="1418" w:header="851" w:footer="992" w:gutter="0"/>
          <w:cols w:space="720" w:num="1"/>
          <w:titlePg/>
          <w:docGrid w:linePitch="312" w:charSpace="0"/>
        </w:sectPr>
      </w:pPr>
    </w:p>
    <w:p w14:paraId="2AA57959">
      <w:pPr>
        <w:spacing w:line="360" w:lineRule="auto"/>
        <w:jc w:val="center"/>
        <w:outlineLvl w:val="0"/>
        <w:rPr>
          <w:rFonts w:hint="eastAsia" w:asciiTheme="minorEastAsia" w:hAnsiTheme="minorEastAsia" w:eastAsiaTheme="minorEastAsia" w:cstheme="minorEastAsia"/>
          <w:b/>
          <w:kern w:val="0"/>
          <w:sz w:val="28"/>
          <w:szCs w:val="28"/>
          <w:highlight w:val="none"/>
        </w:rPr>
      </w:pPr>
      <w:bookmarkStart w:id="551" w:name="_Toc23382"/>
      <w:r>
        <w:rPr>
          <w:rFonts w:hint="eastAsia" w:asciiTheme="minorEastAsia" w:hAnsiTheme="minorEastAsia" w:eastAsiaTheme="minorEastAsia" w:cstheme="minorEastAsia"/>
          <w:b/>
          <w:kern w:val="0"/>
          <w:sz w:val="28"/>
          <w:szCs w:val="28"/>
          <w:highlight w:val="none"/>
        </w:rPr>
        <w:t>二、中小企业声明函</w:t>
      </w:r>
      <w:bookmarkStart w:id="552" w:name="_Hlk101259491"/>
      <w:r>
        <w:rPr>
          <w:rFonts w:hint="eastAsia" w:asciiTheme="minorEastAsia" w:hAnsiTheme="minorEastAsia" w:eastAsiaTheme="minorEastAsia" w:cstheme="minorEastAsia"/>
          <w:b/>
          <w:kern w:val="0"/>
          <w:sz w:val="28"/>
          <w:szCs w:val="28"/>
          <w:highlight w:val="none"/>
        </w:rPr>
        <w:t>（如有）</w:t>
      </w:r>
      <w:bookmarkEnd w:id="551"/>
      <w:bookmarkEnd w:id="552"/>
    </w:p>
    <w:p w14:paraId="650CDEFA">
      <w:pPr>
        <w:widowControl/>
        <w:spacing w:line="360" w:lineRule="auto"/>
        <w:ind w:firstLine="120" w:firstLineChars="5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533A2509">
      <w:pPr>
        <w:pStyle w:val="698"/>
        <w:keepNext w:val="0"/>
        <w:pageBreakBefore w:val="0"/>
        <w:tabs>
          <w:tab w:val="clear" w:pos="720"/>
        </w:tabs>
        <w:snapToGrid w:val="0"/>
        <w:spacing w:before="120" w:after="120"/>
        <w:ind w:firstLine="643"/>
        <w:outlineLvl w:val="9"/>
        <w:rPr>
          <w:rFonts w:hint="eastAsia" w:asciiTheme="minorEastAsia" w:hAnsiTheme="minorEastAsia" w:eastAsiaTheme="minorEastAsia" w:cstheme="minorEastAsia"/>
          <w:b w:val="0"/>
          <w:sz w:val="32"/>
          <w:szCs w:val="32"/>
          <w:highlight w:val="none"/>
        </w:rPr>
      </w:pPr>
    </w:p>
    <w:p w14:paraId="7F84509E">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67BC8DF3">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3D34EC8F">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3B91A17B">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640C57B5">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0DD8F86F">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0FD419C4">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16FD7604">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3A5F1DD9">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133173AC">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313B7919">
      <w:pPr>
        <w:spacing w:line="360" w:lineRule="auto"/>
        <w:ind w:right="420" w:firstLine="3614" w:firstLineChars="1000"/>
        <w:rPr>
          <w:rFonts w:hint="eastAsia" w:asciiTheme="minorEastAsia" w:hAnsiTheme="minorEastAsia" w:eastAsiaTheme="minorEastAsia" w:cstheme="minorEastAsia"/>
          <w:b/>
          <w:kern w:val="0"/>
          <w:sz w:val="36"/>
          <w:szCs w:val="36"/>
          <w:highlight w:val="none"/>
        </w:rPr>
      </w:pPr>
    </w:p>
    <w:p w14:paraId="006BDA1D">
      <w:pPr>
        <w:rPr>
          <w:rFonts w:hint="eastAsia" w:asciiTheme="minorEastAsia" w:hAnsiTheme="minorEastAsia" w:eastAsiaTheme="minorEastAsia" w:cstheme="minorEastAsia"/>
          <w:b/>
          <w:kern w:val="0"/>
          <w:sz w:val="36"/>
          <w:szCs w:val="36"/>
          <w:highlight w:val="none"/>
        </w:rPr>
      </w:pPr>
      <w:r>
        <w:rPr>
          <w:rFonts w:hint="eastAsia" w:asciiTheme="minorEastAsia" w:hAnsiTheme="minorEastAsia" w:eastAsiaTheme="minorEastAsia" w:cstheme="minorEastAsia"/>
          <w:b/>
          <w:kern w:val="0"/>
          <w:sz w:val="36"/>
          <w:szCs w:val="36"/>
          <w:highlight w:val="none"/>
        </w:rPr>
        <w:br w:type="page"/>
      </w:r>
    </w:p>
    <w:p w14:paraId="4E8000CB">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政府采购活动现场确认声明书</w:t>
      </w:r>
    </w:p>
    <w:p w14:paraId="26DE86A5">
      <w:pPr>
        <w:pStyle w:val="59"/>
        <w:spacing w:beforeAutospacing="0" w:afterAutospacing="0" w:line="360" w:lineRule="auto"/>
        <w:rPr>
          <w:rFonts w:hint="eastAsia" w:ascii="宋体" w:hAnsi="宋体" w:eastAsia="宋体" w:cs="宋体"/>
          <w:color w:val="auto"/>
          <w:sz w:val="22"/>
          <w:szCs w:val="22"/>
          <w:highlight w:val="none"/>
        </w:rPr>
      </w:pPr>
      <w:r>
        <w:rPr>
          <w:rStyle w:val="983"/>
          <w:rFonts w:hint="eastAsia" w:cs="宋体"/>
          <w:color w:val="auto"/>
          <w:sz w:val="22"/>
          <w:szCs w:val="22"/>
          <w:highlight w:val="none"/>
          <w:lang w:eastAsia="zh-CN"/>
        </w:rPr>
        <w:t>浙江晟业工程咨询有限公司</w:t>
      </w:r>
      <w:r>
        <w:rPr>
          <w:rFonts w:hint="eastAsia" w:ascii="宋体" w:hAnsi="宋体" w:eastAsia="宋体" w:cs="宋体"/>
          <w:color w:val="auto"/>
          <w:sz w:val="22"/>
          <w:szCs w:val="22"/>
          <w:highlight w:val="none"/>
        </w:rPr>
        <w:t>：</w:t>
      </w:r>
    </w:p>
    <w:p w14:paraId="0612C3F7">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（授权代表姓名）</w:t>
      </w:r>
      <w:r>
        <w:rPr>
          <w:rFonts w:hint="eastAsia" w:ascii="宋体" w:hAnsi="宋体" w:eastAsia="宋体" w:cs="宋体"/>
          <w:color w:val="auto"/>
          <w:sz w:val="22"/>
          <w:szCs w:val="22"/>
          <w:highlight w:val="none"/>
        </w:rPr>
        <w:t>，经由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（单位）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（法定代表人姓名）</w:t>
      </w:r>
      <w:r>
        <w:rPr>
          <w:rFonts w:hint="eastAsia" w:ascii="宋体" w:hAnsi="宋体" w:eastAsia="宋体" w:cs="宋体"/>
          <w:color w:val="auto"/>
          <w:sz w:val="22"/>
          <w:szCs w:val="22"/>
          <w:highlight w:val="none"/>
        </w:rPr>
        <w:t>合法授权参加</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项目【招标编号：</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政府采购活动．经与本单位法人代表（负责人）联系确认，现就有关公平竞争事项郑重声明如下：</w:t>
      </w:r>
    </w:p>
    <w:p w14:paraId="7E1A7E5A">
      <w:pPr>
        <w:pStyle w:val="59"/>
        <w:spacing w:beforeAutospacing="0" w:afterAutospacing="0"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一、本单位与采购人之间</w:t>
      </w:r>
      <w:r>
        <w:rPr>
          <w:rFonts w:hint="eastAsia" w:ascii="宋体" w:hAnsi="宋体" w:eastAsia="宋体" w:cs="宋体"/>
          <w:color w:val="auto"/>
          <w:sz w:val="22"/>
          <w:szCs w:val="22"/>
          <w:highlight w:val="none"/>
          <w:u w:val="single"/>
        </w:rPr>
        <w:t xml:space="preserve"> 口不存在利害关系 口存在下列利害关系 </w:t>
      </w:r>
      <w:r>
        <w:rPr>
          <w:rFonts w:hint="eastAsia" w:ascii="宋体" w:hAnsi="宋体" w:eastAsia="宋体" w:cs="宋体"/>
          <w:color w:val="auto"/>
          <w:sz w:val="22"/>
          <w:szCs w:val="22"/>
          <w:highlight w:val="none"/>
        </w:rPr>
        <w:t>：</w:t>
      </w:r>
    </w:p>
    <w:p w14:paraId="54C0AD00">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A．投资关系      B．行政隶属关系      C．业务指导关系</w:t>
      </w:r>
    </w:p>
    <w:p w14:paraId="4B7CB1F8">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D．其他可能影响采购公正的利害关系（如有，请如实说明）。</w:t>
      </w:r>
    </w:p>
    <w:p w14:paraId="4C9A33D2">
      <w:pPr>
        <w:pStyle w:val="59"/>
        <w:spacing w:beforeAutospacing="0" w:afterAutospacing="0"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二、现已清楚知道参加本项目采购活动的其他所有供应商名称，本单位</w:t>
      </w:r>
      <w:r>
        <w:rPr>
          <w:rFonts w:hint="eastAsia" w:ascii="宋体" w:hAnsi="宋体" w:eastAsia="宋体" w:cs="宋体"/>
          <w:color w:val="auto"/>
          <w:sz w:val="22"/>
          <w:szCs w:val="22"/>
          <w:highlight w:val="none"/>
          <w:u w:val="single"/>
        </w:rPr>
        <w:t xml:space="preserve"> 口与其他所有供应商之间均不存在利害关系 口与（供应商名称）之间存在下列利害关系 </w:t>
      </w:r>
      <w:r>
        <w:rPr>
          <w:rFonts w:hint="eastAsia" w:ascii="宋体" w:hAnsi="宋体" w:eastAsia="宋体" w:cs="宋体"/>
          <w:color w:val="auto"/>
          <w:sz w:val="22"/>
          <w:szCs w:val="22"/>
          <w:highlight w:val="none"/>
        </w:rPr>
        <w:t>：</w:t>
      </w:r>
    </w:p>
    <w:p w14:paraId="10F501E7">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A．法定代表人或负责人或实际控制人是同一人</w:t>
      </w:r>
    </w:p>
    <w:p w14:paraId="4BDE3953">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B．法定代表人或负责人或实际控制人是夫妻关系</w:t>
      </w:r>
    </w:p>
    <w:p w14:paraId="67DBFAF0">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C．法定代表人或负责人或实际控制人是直系血亲关系</w:t>
      </w:r>
    </w:p>
    <w:p w14:paraId="1F9AB5E6">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D．法定代表人或负责人或实际控制人存在三代以内旁系血亲关系</w:t>
      </w:r>
    </w:p>
    <w:p w14:paraId="229F2EFB">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E．法定代表人或负责人或实际控制人存在近姻亲关系</w:t>
      </w:r>
    </w:p>
    <w:p w14:paraId="1282949F">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F．法定代表人或负责人或实际控制人存在股份控制或实际控制关系</w:t>
      </w:r>
    </w:p>
    <w:p w14:paraId="7B401320">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G．存在共同直接或间接投资设立子公司、联营企业和合营企业情况</w:t>
      </w:r>
    </w:p>
    <w:p w14:paraId="52ED0E6E">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H．存在分级代理或代销关系、同一生产制造商关系、管理关系、重要业务（占主营业务收入 50 ％以上）或重要财务往来关系（如融资）等其他实质性控制关系</w:t>
      </w:r>
    </w:p>
    <w:p w14:paraId="5FDDD8BC">
      <w:pPr>
        <w:pStyle w:val="59"/>
        <w:spacing w:beforeAutospacing="0" w:afterAutospacing="0"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I．其他利害关系情况：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2A098D34">
      <w:pPr>
        <w:pStyle w:val="59"/>
        <w:spacing w:beforeAutospacing="0" w:afterAutospacing="0"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三、现已清楚知道并严格遵守政府采购法律法规和现场纪律。</w:t>
      </w:r>
    </w:p>
    <w:p w14:paraId="0427DD50">
      <w:pPr>
        <w:pStyle w:val="59"/>
        <w:spacing w:beforeAutospacing="0" w:afterAutospacing="0"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四、我发现供应商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之间存在或可能存在上述第二条第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项利害关系。</w:t>
      </w:r>
    </w:p>
    <w:p w14:paraId="1DE5C640">
      <w:pPr>
        <w:spacing w:line="360" w:lineRule="auto"/>
        <w:ind w:firstLine="4400" w:firstLineChars="20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法定代表人或授权代表（签字或盖章）</w:t>
      </w:r>
      <w:r>
        <w:rPr>
          <w:rFonts w:hint="eastAsia" w:ascii="宋体" w:hAnsi="宋体" w:eastAsia="宋体" w:cs="宋体"/>
          <w:color w:val="auto"/>
          <w:kern w:val="0"/>
          <w:sz w:val="22"/>
          <w:szCs w:val="22"/>
          <w:highlight w:val="none"/>
          <w:lang w:val="zh-CN"/>
        </w:rPr>
        <w:t>：</w:t>
      </w:r>
    </w:p>
    <w:p w14:paraId="7283ADF7">
      <w:pPr>
        <w:spacing w:line="360" w:lineRule="auto"/>
        <w:ind w:firstLine="4400" w:firstLineChars="20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日期：  年  月  日</w:t>
      </w:r>
    </w:p>
    <w:p w14:paraId="46F64084">
      <w:pPr>
        <w:pStyle w:val="984"/>
        <w:spacing w:line="360" w:lineRule="auto"/>
        <w:rPr>
          <w:rFonts w:hint="eastAsia" w:ascii="宋体" w:hAnsi="宋体" w:eastAsia="宋体" w:cs="宋体"/>
          <w:color w:val="auto"/>
          <w:sz w:val="22"/>
          <w:szCs w:val="22"/>
          <w:highlight w:val="none"/>
        </w:rPr>
      </w:pPr>
    </w:p>
    <w:p w14:paraId="71D06C6F">
      <w:pPr>
        <w:pStyle w:val="23"/>
        <w:rPr>
          <w:rFonts w:asciiTheme="minorEastAsia" w:hAnsiTheme="minorEastAsia" w:eastAsiaTheme="minorEastAsia" w:cstheme="minorEastAsia"/>
          <w:b/>
          <w:color w:val="auto"/>
          <w:kern w:val="0"/>
          <w:sz w:val="36"/>
          <w:szCs w:val="36"/>
          <w:highlight w:val="cyan"/>
        </w:rPr>
      </w:pPr>
      <w:r>
        <w:rPr>
          <w:rFonts w:hint="eastAsia" w:ascii="宋体" w:hAnsi="宋体" w:eastAsia="宋体" w:cs="宋体"/>
          <w:b/>
          <w:color w:val="auto"/>
          <w:sz w:val="22"/>
          <w:szCs w:val="22"/>
          <w:highlight w:val="cyan"/>
        </w:rPr>
        <w:t>（备注：本页内容非投标文件组成部分，投标人在解密通知发出后1小时内，签署本《政府采购活动现场确认声明书》并扫描发送至邮箱</w:t>
      </w:r>
      <w:r>
        <w:rPr>
          <w:rFonts w:hint="eastAsia" w:hAnsi="宋体" w:cs="宋体"/>
          <w:b/>
          <w:color w:val="auto"/>
          <w:spacing w:val="20"/>
          <w:sz w:val="22"/>
          <w:szCs w:val="22"/>
          <w:highlight w:val="cyan"/>
          <w:u w:val="single"/>
          <w:lang w:eastAsia="zh-CN"/>
        </w:rPr>
        <w:t>2645610819</w:t>
      </w:r>
      <w:r>
        <w:rPr>
          <w:rFonts w:hint="eastAsia" w:ascii="宋体" w:hAnsi="宋体" w:eastAsia="宋体" w:cs="宋体"/>
          <w:b/>
          <w:color w:val="auto"/>
          <w:spacing w:val="20"/>
          <w:sz w:val="22"/>
          <w:szCs w:val="22"/>
          <w:highlight w:val="cyan"/>
          <w:u w:val="single"/>
        </w:rPr>
        <w:t>@qq.com</w:t>
      </w:r>
      <w:r>
        <w:rPr>
          <w:rFonts w:hint="eastAsia" w:ascii="宋体" w:hAnsi="宋体" w:eastAsia="宋体" w:cs="宋体"/>
          <w:b/>
          <w:color w:val="auto"/>
          <w:sz w:val="22"/>
          <w:szCs w:val="22"/>
          <w:highlight w:val="cyan"/>
        </w:rPr>
        <w:t>）</w:t>
      </w:r>
    </w:p>
    <w:p w14:paraId="4FFA5703">
      <w:pPr>
        <w:pStyle w:val="23"/>
        <w:rPr>
          <w:rFonts w:hint="eastAsia"/>
          <w:highlight w:val="none"/>
        </w:rPr>
      </w:pPr>
    </w:p>
    <w:p w14:paraId="52D81D07">
      <w:pPr>
        <w:pStyle w:val="2"/>
        <w:keepNext w:val="0"/>
        <w:keepLines w:val="0"/>
        <w:pageBreakBefore/>
        <w:widowControl/>
        <w:spacing w:before="100" w:beforeAutospacing="1" w:after="100" w:afterAutospacing="1" w:line="360" w:lineRule="auto"/>
        <w:ind w:left="1290" w:firstLine="3092" w:firstLineChars="700"/>
        <w:rPr>
          <w:rFonts w:hint="eastAsia" w:asciiTheme="minorEastAsia" w:hAnsiTheme="minorEastAsia" w:eastAsiaTheme="minorEastAsia" w:cstheme="minorEastAsia"/>
          <w:highlight w:val="none"/>
        </w:rPr>
      </w:pPr>
      <w:bookmarkStart w:id="553" w:name="_Toc465665161"/>
      <w:bookmarkStart w:id="554" w:name="_Toc15702"/>
      <w:r>
        <w:rPr>
          <w:rFonts w:hint="eastAsia" w:asciiTheme="minorEastAsia" w:hAnsiTheme="minorEastAsia" w:eastAsiaTheme="minorEastAsia" w:cstheme="minorEastAsia"/>
          <w:highlight w:val="none"/>
        </w:rPr>
        <w:t>附件</w:t>
      </w:r>
      <w:bookmarkEnd w:id="553"/>
      <w:bookmarkEnd w:id="554"/>
    </w:p>
    <w:p w14:paraId="79F254B5">
      <w:pPr>
        <w:spacing w:line="360" w:lineRule="auto"/>
        <w:outlineLvl w:val="1"/>
        <w:rPr>
          <w:rFonts w:hint="eastAsia" w:asciiTheme="minorEastAsia" w:hAnsiTheme="minorEastAsia" w:eastAsiaTheme="minorEastAsia" w:cstheme="minorEastAsia"/>
          <w:b/>
          <w:spacing w:val="6"/>
          <w:sz w:val="32"/>
          <w:szCs w:val="32"/>
          <w:highlight w:val="none"/>
        </w:rPr>
      </w:pPr>
      <w:bookmarkStart w:id="555" w:name="_Toc22712"/>
      <w:r>
        <w:rPr>
          <w:rFonts w:hint="eastAsia" w:asciiTheme="minorEastAsia" w:hAnsiTheme="minorEastAsia" w:eastAsiaTheme="minorEastAsia" w:cstheme="minorEastAsia"/>
          <w:b/>
          <w:spacing w:val="6"/>
          <w:sz w:val="32"/>
          <w:szCs w:val="32"/>
          <w:highlight w:val="none"/>
        </w:rPr>
        <w:t>附件1：</w:t>
      </w:r>
      <w:bookmarkEnd w:id="555"/>
    </w:p>
    <w:p w14:paraId="26C77A49">
      <w:pPr>
        <w:spacing w:line="360" w:lineRule="auto"/>
        <w:jc w:val="center"/>
        <w:rPr>
          <w:rFonts w:hint="eastAsia" w:asciiTheme="minorEastAsia" w:hAnsiTheme="minorEastAsia" w:eastAsiaTheme="minorEastAsia" w:cstheme="minorEastAsia"/>
          <w:b/>
          <w:spacing w:val="6"/>
          <w:sz w:val="32"/>
          <w:szCs w:val="32"/>
          <w:highlight w:val="none"/>
        </w:rPr>
      </w:pPr>
      <w:bookmarkStart w:id="556" w:name="OLE_LINK14"/>
      <w:bookmarkStart w:id="557" w:name="OLE_LINK13"/>
      <w:r>
        <w:rPr>
          <w:rFonts w:hint="eastAsia" w:asciiTheme="minorEastAsia" w:hAnsiTheme="minorEastAsia" w:eastAsiaTheme="minorEastAsia" w:cstheme="minorEastAsia"/>
          <w:b/>
          <w:spacing w:val="6"/>
          <w:sz w:val="32"/>
          <w:szCs w:val="32"/>
          <w:highlight w:val="none"/>
        </w:rPr>
        <w:t>残疾人福利性单位声明函</w:t>
      </w:r>
    </w:p>
    <w:bookmarkEnd w:id="556"/>
    <w:bookmarkEnd w:id="557"/>
    <w:p w14:paraId="3B343B32">
      <w:pPr>
        <w:spacing w:line="360" w:lineRule="auto"/>
        <w:rPr>
          <w:rFonts w:hint="eastAsia" w:asciiTheme="minorEastAsia" w:hAnsiTheme="minorEastAsia" w:eastAsiaTheme="minorEastAsia" w:cstheme="minorEastAsia"/>
          <w:b/>
          <w:spacing w:val="6"/>
          <w:sz w:val="30"/>
          <w:szCs w:val="30"/>
          <w:highlight w:val="none"/>
        </w:rPr>
      </w:pPr>
    </w:p>
    <w:p w14:paraId="70C428FB">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Theme="minorEastAsia" w:hAnsiTheme="minorEastAsia" w:eastAsiaTheme="minorEastAsia" w:cstheme="minorEastAsia"/>
          <w:sz w:val="24"/>
          <w:highlight w:val="none"/>
          <w:u w:val="single"/>
        </w:rPr>
        <w:t>（采购人）</w:t>
      </w:r>
      <w:r>
        <w:rPr>
          <w:rFonts w:hint="eastAsia" w:asciiTheme="minorEastAsia" w:hAnsiTheme="minorEastAsia" w:eastAsiaTheme="minorEastAsia" w:cstheme="minorEastAsia"/>
          <w:sz w:val="24"/>
          <w:highlight w:val="none"/>
        </w:rPr>
        <w:t>_单位的_</w:t>
      </w:r>
      <w:r>
        <w:rPr>
          <w:rFonts w:hint="eastAsia" w:asciiTheme="minorEastAsia" w:hAnsiTheme="minorEastAsia" w:eastAsiaTheme="minorEastAsia" w:cstheme="minorEastAsia"/>
          <w:sz w:val="24"/>
          <w:highlight w:val="none"/>
          <w:u w:val="single"/>
        </w:rPr>
        <w:t>（项目名称）</w:t>
      </w:r>
      <w:r>
        <w:rPr>
          <w:rFonts w:hint="eastAsia" w:asciiTheme="minorEastAsia" w:hAnsiTheme="minorEastAsia" w:eastAsiaTheme="minorEastAsia" w:cstheme="minorEastAsia"/>
          <w:sz w:val="24"/>
          <w:highlight w:val="none"/>
        </w:rPr>
        <w:t>__项目采购活动提供本单位制造的货物（由本单位承担工程/提供服务），或者提供其他残疾人福利性单位制造的货物（不包括使用非残疾人福利性单位注册商标的货物）。</w:t>
      </w:r>
    </w:p>
    <w:p w14:paraId="08515C2C">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本单位对上述声明的真实性负责。如有虚假，将依法承担相应责任。</w:t>
      </w:r>
    </w:p>
    <w:p w14:paraId="4B6DCC1B">
      <w:pPr>
        <w:spacing w:line="360" w:lineRule="auto"/>
        <w:ind w:firstLine="480" w:firstLineChars="200"/>
        <w:rPr>
          <w:rFonts w:hint="eastAsia" w:asciiTheme="minorEastAsia" w:hAnsiTheme="minorEastAsia" w:eastAsiaTheme="minorEastAsia" w:cstheme="minorEastAsia"/>
          <w:sz w:val="24"/>
          <w:highlight w:val="none"/>
        </w:rPr>
      </w:pPr>
    </w:p>
    <w:p w14:paraId="4D1E265D">
      <w:pPr>
        <w:spacing w:line="360" w:lineRule="auto"/>
        <w:ind w:firstLine="480" w:firstLineChars="200"/>
        <w:rPr>
          <w:rFonts w:hint="eastAsia" w:asciiTheme="minorEastAsia" w:hAnsiTheme="minorEastAsia" w:eastAsiaTheme="minorEastAsia" w:cstheme="minorEastAsia"/>
          <w:sz w:val="24"/>
          <w:highlight w:val="none"/>
        </w:rPr>
      </w:pPr>
    </w:p>
    <w:p w14:paraId="603818B7">
      <w:pPr>
        <w:tabs>
          <w:tab w:val="left" w:pos="4860"/>
        </w:tabs>
        <w:spacing w:line="360" w:lineRule="auto"/>
        <w:ind w:right="1560" w:firstLine="480" w:firstLineChars="20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val="zh-CN"/>
        </w:rPr>
        <w:t>投标人名称（电子签名）</w:t>
      </w:r>
      <w:r>
        <w:rPr>
          <w:rFonts w:hint="eastAsia" w:asciiTheme="minorEastAsia" w:hAnsiTheme="minorEastAsia" w:eastAsiaTheme="minorEastAsia" w:cstheme="minorEastAsia"/>
          <w:sz w:val="24"/>
          <w:highlight w:val="none"/>
        </w:rPr>
        <w:t>：</w:t>
      </w:r>
    </w:p>
    <w:p w14:paraId="3B2AEC63">
      <w:pPr>
        <w:tabs>
          <w:tab w:val="left" w:pos="4860"/>
        </w:tabs>
        <w:spacing w:line="360" w:lineRule="auto"/>
        <w:ind w:right="1560" w:firstLine="480" w:firstLineChars="20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日  期：</w:t>
      </w:r>
    </w:p>
    <w:p w14:paraId="7D7B6ACE">
      <w:pPr>
        <w:spacing w:line="360" w:lineRule="auto"/>
        <w:ind w:firstLine="480" w:firstLineChars="200"/>
        <w:rPr>
          <w:rFonts w:hint="eastAsia" w:asciiTheme="minorEastAsia" w:hAnsiTheme="minorEastAsia" w:eastAsiaTheme="minorEastAsia" w:cstheme="minorEastAsia"/>
          <w:sz w:val="24"/>
          <w:highlight w:val="none"/>
        </w:rPr>
      </w:pPr>
    </w:p>
    <w:p w14:paraId="4D8B0850">
      <w:pPr>
        <w:spacing w:line="360" w:lineRule="auto"/>
        <w:ind w:firstLine="420" w:firstLineChars="200"/>
        <w:rPr>
          <w:rFonts w:hint="eastAsia" w:asciiTheme="minorEastAsia" w:hAnsiTheme="minorEastAsia" w:eastAsiaTheme="minorEastAsia" w:cstheme="minorEastAsia"/>
          <w:highlight w:val="none"/>
        </w:rPr>
      </w:pPr>
    </w:p>
    <w:p w14:paraId="49C09D55">
      <w:pPr>
        <w:spacing w:line="360" w:lineRule="auto"/>
        <w:ind w:firstLine="420" w:firstLineChars="200"/>
        <w:rPr>
          <w:rFonts w:hint="eastAsia" w:asciiTheme="minorEastAsia" w:hAnsiTheme="minorEastAsia" w:eastAsiaTheme="minorEastAsia" w:cstheme="minorEastAsia"/>
          <w:highlight w:val="none"/>
        </w:rPr>
      </w:pPr>
    </w:p>
    <w:p w14:paraId="6BE73499">
      <w:pPr>
        <w:spacing w:line="360" w:lineRule="auto"/>
        <w:ind w:firstLine="420" w:firstLineChars="200"/>
        <w:rPr>
          <w:rFonts w:hint="eastAsia" w:asciiTheme="minorEastAsia" w:hAnsiTheme="minorEastAsia" w:eastAsiaTheme="minorEastAsia" w:cstheme="minorEastAsia"/>
          <w:highlight w:val="none"/>
        </w:rPr>
      </w:pPr>
    </w:p>
    <w:p w14:paraId="648B91A7">
      <w:pPr>
        <w:spacing w:line="360" w:lineRule="auto"/>
        <w:ind w:firstLine="420" w:firstLineChars="200"/>
        <w:rPr>
          <w:rFonts w:hint="eastAsia" w:asciiTheme="minorEastAsia" w:hAnsiTheme="minorEastAsia" w:eastAsiaTheme="minorEastAsia" w:cstheme="minorEastAsia"/>
          <w:highlight w:val="none"/>
        </w:rPr>
      </w:pPr>
    </w:p>
    <w:p w14:paraId="5799F8BF">
      <w:pPr>
        <w:spacing w:line="360" w:lineRule="auto"/>
        <w:rPr>
          <w:rFonts w:hint="eastAsia" w:asciiTheme="minorEastAsia" w:hAnsiTheme="minorEastAsia" w:eastAsiaTheme="minorEastAsia" w:cstheme="minorEastAsia"/>
          <w:b/>
          <w:sz w:val="24"/>
          <w:highlight w:val="none"/>
        </w:rPr>
      </w:pPr>
    </w:p>
    <w:p w14:paraId="5FC059A3">
      <w:pPr>
        <w:spacing w:line="360" w:lineRule="auto"/>
        <w:rPr>
          <w:rFonts w:hint="eastAsia" w:asciiTheme="minorEastAsia" w:hAnsiTheme="minorEastAsia" w:eastAsiaTheme="minorEastAsia" w:cstheme="minorEastAsia"/>
          <w:b/>
          <w:sz w:val="24"/>
          <w:highlight w:val="none"/>
        </w:rPr>
      </w:pPr>
    </w:p>
    <w:p w14:paraId="4EF4C8AE">
      <w:pPr>
        <w:spacing w:line="360" w:lineRule="auto"/>
        <w:rPr>
          <w:rFonts w:hint="eastAsia" w:asciiTheme="minorEastAsia" w:hAnsiTheme="minorEastAsia" w:eastAsiaTheme="minorEastAsia" w:cstheme="minorEastAsia"/>
          <w:b/>
          <w:sz w:val="24"/>
          <w:highlight w:val="none"/>
        </w:rPr>
      </w:pPr>
    </w:p>
    <w:p w14:paraId="5BE85493">
      <w:pPr>
        <w:spacing w:line="360" w:lineRule="auto"/>
        <w:rPr>
          <w:rFonts w:hint="eastAsia" w:asciiTheme="minorEastAsia" w:hAnsiTheme="minorEastAsia" w:eastAsiaTheme="minorEastAsia" w:cstheme="minorEastAsia"/>
          <w:b/>
          <w:sz w:val="24"/>
          <w:highlight w:val="none"/>
        </w:rPr>
      </w:pPr>
    </w:p>
    <w:p w14:paraId="4FC7FE7F">
      <w:pPr>
        <w:spacing w:line="360" w:lineRule="auto"/>
        <w:rPr>
          <w:rFonts w:hint="eastAsia" w:asciiTheme="minorEastAsia" w:hAnsiTheme="minorEastAsia" w:eastAsiaTheme="minorEastAsia" w:cstheme="minorEastAsia"/>
          <w:b/>
          <w:sz w:val="24"/>
          <w:highlight w:val="none"/>
        </w:rPr>
      </w:pPr>
    </w:p>
    <w:p w14:paraId="4BD32DA7">
      <w:pPr>
        <w:spacing w:line="360" w:lineRule="auto"/>
        <w:rPr>
          <w:rFonts w:hint="eastAsia" w:asciiTheme="minorEastAsia" w:hAnsiTheme="minorEastAsia" w:eastAsiaTheme="minorEastAsia" w:cstheme="minorEastAsia"/>
          <w:b/>
          <w:sz w:val="24"/>
          <w:highlight w:val="none"/>
        </w:rPr>
      </w:pPr>
    </w:p>
    <w:p w14:paraId="66D95E5F">
      <w:pPr>
        <w:jc w:val="left"/>
        <w:rPr>
          <w:rFonts w:hint="eastAsia" w:asciiTheme="minorEastAsia" w:hAnsiTheme="minorEastAsia" w:eastAsiaTheme="minorEastAsia" w:cstheme="minorEastAsia"/>
          <w:b/>
          <w:spacing w:val="6"/>
          <w:sz w:val="32"/>
          <w:szCs w:val="32"/>
          <w:highlight w:val="none"/>
        </w:rPr>
      </w:pPr>
      <w:r>
        <w:rPr>
          <w:rFonts w:hint="eastAsia" w:asciiTheme="minorEastAsia" w:hAnsiTheme="minorEastAsia" w:eastAsiaTheme="minorEastAsia" w:cstheme="minorEastAsia"/>
          <w:b/>
          <w:spacing w:val="6"/>
          <w:sz w:val="32"/>
          <w:szCs w:val="32"/>
          <w:highlight w:val="none"/>
        </w:rPr>
        <w:br w:type="page"/>
      </w:r>
    </w:p>
    <w:p w14:paraId="7EF0361B">
      <w:pPr>
        <w:jc w:val="left"/>
        <w:rPr>
          <w:rFonts w:hint="eastAsia" w:asciiTheme="minorEastAsia" w:hAnsiTheme="minorEastAsia" w:eastAsiaTheme="minorEastAsia" w:cstheme="minorEastAsia"/>
          <w:b/>
          <w:spacing w:val="6"/>
          <w:sz w:val="32"/>
          <w:szCs w:val="32"/>
          <w:highlight w:val="none"/>
        </w:rPr>
      </w:pPr>
      <w:r>
        <w:rPr>
          <w:rFonts w:hint="eastAsia" w:asciiTheme="minorEastAsia" w:hAnsiTheme="minorEastAsia" w:eastAsiaTheme="minorEastAsia" w:cstheme="minorEastAsia"/>
          <w:b/>
          <w:spacing w:val="6"/>
          <w:sz w:val="32"/>
          <w:szCs w:val="32"/>
          <w:highlight w:val="none"/>
        </w:rPr>
        <w:t>附件2：</w:t>
      </w:r>
    </w:p>
    <w:p w14:paraId="5F7D6874">
      <w:pPr>
        <w:spacing w:line="360" w:lineRule="auto"/>
        <w:jc w:val="center"/>
        <w:outlineLvl w:val="1"/>
        <w:rPr>
          <w:rFonts w:hint="eastAsia" w:asciiTheme="minorEastAsia" w:hAnsiTheme="minorEastAsia" w:eastAsiaTheme="minorEastAsia" w:cstheme="minorEastAsia"/>
          <w:b/>
          <w:spacing w:val="6"/>
          <w:sz w:val="32"/>
          <w:szCs w:val="32"/>
          <w:highlight w:val="none"/>
        </w:rPr>
      </w:pPr>
      <w:bookmarkStart w:id="558" w:name="_Toc11681"/>
      <w:r>
        <w:rPr>
          <w:rFonts w:hint="eastAsia" w:asciiTheme="minorEastAsia" w:hAnsiTheme="minorEastAsia" w:eastAsiaTheme="minorEastAsia" w:cstheme="minorEastAsia"/>
          <w:b/>
          <w:spacing w:val="6"/>
          <w:sz w:val="32"/>
          <w:szCs w:val="32"/>
          <w:highlight w:val="none"/>
        </w:rPr>
        <w:t>业务专用章使用说明函</w:t>
      </w:r>
      <w:bookmarkEnd w:id="558"/>
    </w:p>
    <w:p w14:paraId="1FC22562">
      <w:pPr>
        <w:spacing w:line="360" w:lineRule="auto"/>
        <w:rPr>
          <w:rFonts w:hint="eastAsia" w:asciiTheme="minorEastAsia" w:hAnsiTheme="minorEastAsia" w:eastAsiaTheme="minorEastAsia" w:cstheme="minorEastAsia"/>
          <w:sz w:val="24"/>
          <w:highlight w:val="none"/>
          <w:u w:val="single"/>
        </w:rPr>
      </w:pPr>
    </w:p>
    <w:p w14:paraId="4AA8C0D3">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（采购人）、（采购代理机构）：</w:t>
      </w:r>
    </w:p>
    <w:p w14:paraId="42C178DA">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val="zh-CN"/>
        </w:rPr>
        <w:t>我方</w:t>
      </w:r>
      <w:r>
        <w:rPr>
          <w:rFonts w:hint="eastAsia" w:asciiTheme="minorEastAsia" w:hAnsiTheme="minorEastAsia" w:eastAsiaTheme="minorEastAsia" w:cstheme="minorEastAsia"/>
          <w:sz w:val="24"/>
          <w:highlight w:val="none"/>
        </w:rPr>
        <w:t>(投标人全称)是中华人民共和国依法登记注册的合法企业，</w:t>
      </w:r>
      <w:r>
        <w:rPr>
          <w:rFonts w:hint="eastAsia" w:asciiTheme="minorEastAsia" w:hAnsiTheme="minorEastAsia" w:eastAsiaTheme="minorEastAsia" w:cstheme="minorEastAsia"/>
          <w:bCs/>
          <w:sz w:val="24"/>
          <w:highlight w:val="none"/>
        </w:rPr>
        <w:t>在参加</w:t>
      </w:r>
      <w:r>
        <w:rPr>
          <w:rFonts w:hint="eastAsia" w:asciiTheme="minorEastAsia" w:hAnsiTheme="minorEastAsia" w:eastAsiaTheme="minorEastAsia" w:cstheme="minorEastAsia"/>
          <w:sz w:val="24"/>
          <w:highlight w:val="none"/>
        </w:rPr>
        <w:t>你方组织的（项目名称）【招标编号：（</w:t>
      </w:r>
      <w:r>
        <w:rPr>
          <w:rFonts w:hint="eastAsia" w:asciiTheme="minorEastAsia" w:hAnsiTheme="minorEastAsia" w:eastAsiaTheme="minorEastAsia" w:cstheme="minorEastAsia"/>
          <w:sz w:val="24"/>
          <w:highlight w:val="none"/>
          <w:lang w:eastAsia="zh-CN"/>
        </w:rPr>
        <w:t>LGSYCG2025029</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bCs/>
          <w:sz w:val="24"/>
          <w:highlight w:val="none"/>
        </w:rPr>
        <w:t>投标活动中作如下说明：</w:t>
      </w:r>
      <w:r>
        <w:rPr>
          <w:rFonts w:hint="eastAsia" w:asciiTheme="minorEastAsia" w:hAnsiTheme="minorEastAsia" w:eastAsiaTheme="minorEastAsia" w:cstheme="minorEastAsia"/>
          <w:sz w:val="24"/>
          <w:highlight w:val="none"/>
        </w:rPr>
        <w:t xml:space="preserve">我方所使用的“XX专用章”与法定名称章具有同等的法律效力，对使用“XX专用章”的行为予以完全承认，并愿意承担相应责任。   </w:t>
      </w:r>
    </w:p>
    <w:p w14:paraId="01CA33BB">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特此说明。</w:t>
      </w:r>
    </w:p>
    <w:p w14:paraId="7F6A32B2">
      <w:pPr>
        <w:spacing w:line="360" w:lineRule="auto"/>
        <w:ind w:firstLine="494"/>
        <w:rPr>
          <w:rFonts w:hint="eastAsia" w:asciiTheme="minorEastAsia" w:hAnsiTheme="minorEastAsia" w:eastAsiaTheme="minorEastAsia" w:cstheme="minorEastAsia"/>
          <w:sz w:val="24"/>
          <w:highlight w:val="none"/>
        </w:rPr>
      </w:pPr>
    </w:p>
    <w:p w14:paraId="5B07E7AC">
      <w:pPr>
        <w:spacing w:line="360" w:lineRule="auto"/>
        <w:ind w:firstLine="494"/>
        <w:rPr>
          <w:rFonts w:hint="eastAsia" w:asciiTheme="minorEastAsia" w:hAnsiTheme="minorEastAsia" w:eastAsiaTheme="minorEastAsia" w:cstheme="minorEastAsia"/>
          <w:sz w:val="24"/>
          <w:highlight w:val="none"/>
        </w:rPr>
      </w:pPr>
    </w:p>
    <w:p w14:paraId="2D9CA127">
      <w:pPr>
        <w:spacing w:line="360" w:lineRule="auto"/>
        <w:ind w:firstLine="494"/>
        <w:rPr>
          <w:rFonts w:hint="eastAsia" w:asciiTheme="minorEastAsia" w:hAnsiTheme="minorEastAsia" w:eastAsiaTheme="minorEastAsia" w:cstheme="minorEastAsia"/>
          <w:sz w:val="24"/>
          <w:highlight w:val="none"/>
        </w:rPr>
      </w:pPr>
    </w:p>
    <w:p w14:paraId="5C189E1D">
      <w:pPr>
        <w:spacing w:line="360" w:lineRule="auto"/>
        <w:ind w:right="480" w:firstLine="4080" w:firstLineChars="17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投标单位（法定名称章）：</w:t>
      </w:r>
    </w:p>
    <w:p w14:paraId="08713F63">
      <w:pPr>
        <w:ind w:right="1440" w:firstLine="494"/>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日期：       年     月     日</w:t>
      </w:r>
    </w:p>
    <w:p w14:paraId="6579AD55">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附：</w:t>
      </w:r>
    </w:p>
    <w:p w14:paraId="70129027">
      <w:pPr>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bCs/>
          <w:sz w:val="24"/>
          <w:highlight w:val="none"/>
        </w:rPr>
        <mc:AlternateContent>
          <mc:Choice Requires="wps">
            <w:drawing>
              <wp:anchor distT="0" distB="0" distL="114300" distR="114300" simplePos="0" relativeHeight="251666432"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004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b/>
          <w:bCs/>
          <w:sz w:val="24"/>
          <w:highlight w:val="none"/>
        </w:rPr>
        <mc:AlternateContent>
          <mc:Choice Requires="wps">
            <w:drawing>
              <wp:anchor distT="0" distB="0" distL="114300" distR="114300" simplePos="0" relativeHeight="251667456"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4902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sz w:val="24"/>
          <w:highlight w:val="none"/>
        </w:rPr>
        <w:t>投标单位法定名称章（印模）                投标单位“XX专用章”（印模）</w:t>
      </w:r>
    </w:p>
    <w:p w14:paraId="0371CB16">
      <w:pPr>
        <w:autoSpaceDE w:val="0"/>
        <w:autoSpaceDN w:val="0"/>
        <w:jc w:val="center"/>
        <w:rPr>
          <w:rFonts w:hint="eastAsia" w:asciiTheme="minorEastAsia" w:hAnsiTheme="minorEastAsia" w:eastAsiaTheme="minorEastAsia" w:cstheme="minorEastAsia"/>
          <w:b/>
          <w:spacing w:val="6"/>
          <w:sz w:val="32"/>
          <w:szCs w:val="32"/>
          <w:highlight w:val="none"/>
        </w:rPr>
      </w:pPr>
    </w:p>
    <w:p w14:paraId="40FD0674">
      <w:pPr>
        <w:autoSpaceDE w:val="0"/>
        <w:autoSpaceDN w:val="0"/>
        <w:jc w:val="center"/>
        <w:rPr>
          <w:rFonts w:hint="eastAsia" w:asciiTheme="minorEastAsia" w:hAnsiTheme="minorEastAsia" w:eastAsiaTheme="minorEastAsia" w:cstheme="minorEastAsia"/>
          <w:b/>
          <w:spacing w:val="6"/>
          <w:sz w:val="32"/>
          <w:szCs w:val="32"/>
          <w:highlight w:val="none"/>
        </w:rPr>
      </w:pPr>
    </w:p>
    <w:p w14:paraId="3F5EE5AA">
      <w:pPr>
        <w:autoSpaceDE w:val="0"/>
        <w:autoSpaceDN w:val="0"/>
        <w:jc w:val="center"/>
        <w:rPr>
          <w:rFonts w:hint="eastAsia" w:asciiTheme="minorEastAsia" w:hAnsiTheme="minorEastAsia" w:eastAsiaTheme="minorEastAsia" w:cstheme="minorEastAsia"/>
          <w:b/>
          <w:spacing w:val="6"/>
          <w:sz w:val="32"/>
          <w:szCs w:val="32"/>
          <w:highlight w:val="none"/>
        </w:rPr>
      </w:pPr>
    </w:p>
    <w:p w14:paraId="27A12121">
      <w:pPr>
        <w:autoSpaceDE w:val="0"/>
        <w:autoSpaceDN w:val="0"/>
        <w:jc w:val="center"/>
        <w:rPr>
          <w:rFonts w:hint="eastAsia" w:asciiTheme="minorEastAsia" w:hAnsiTheme="minorEastAsia" w:eastAsiaTheme="minorEastAsia" w:cstheme="minorEastAsia"/>
          <w:b/>
          <w:spacing w:val="6"/>
          <w:sz w:val="32"/>
          <w:szCs w:val="32"/>
          <w:highlight w:val="none"/>
        </w:rPr>
      </w:pPr>
    </w:p>
    <w:p w14:paraId="55C0EDC9">
      <w:pPr>
        <w:autoSpaceDE w:val="0"/>
        <w:autoSpaceDN w:val="0"/>
        <w:jc w:val="center"/>
        <w:rPr>
          <w:rFonts w:hint="eastAsia" w:asciiTheme="minorEastAsia" w:hAnsiTheme="minorEastAsia" w:eastAsiaTheme="minorEastAsia" w:cstheme="minorEastAsia"/>
          <w:b/>
          <w:spacing w:val="6"/>
          <w:sz w:val="32"/>
          <w:szCs w:val="32"/>
          <w:highlight w:val="none"/>
        </w:rPr>
      </w:pPr>
    </w:p>
    <w:p w14:paraId="233CA8C5">
      <w:pPr>
        <w:autoSpaceDE w:val="0"/>
        <w:autoSpaceDN w:val="0"/>
        <w:jc w:val="center"/>
        <w:rPr>
          <w:rFonts w:hint="eastAsia" w:asciiTheme="minorEastAsia" w:hAnsiTheme="minorEastAsia" w:eastAsiaTheme="minorEastAsia" w:cstheme="minorEastAsia"/>
          <w:b/>
          <w:spacing w:val="6"/>
          <w:sz w:val="32"/>
          <w:szCs w:val="32"/>
          <w:highlight w:val="none"/>
        </w:rPr>
      </w:pPr>
    </w:p>
    <w:p w14:paraId="39D3EF26">
      <w:pPr>
        <w:autoSpaceDE w:val="0"/>
        <w:autoSpaceDN w:val="0"/>
        <w:jc w:val="center"/>
        <w:rPr>
          <w:rFonts w:hint="eastAsia" w:asciiTheme="minorEastAsia" w:hAnsiTheme="minorEastAsia" w:eastAsiaTheme="minorEastAsia" w:cstheme="minorEastAsia"/>
          <w:b/>
          <w:spacing w:val="6"/>
          <w:sz w:val="32"/>
          <w:szCs w:val="32"/>
          <w:highlight w:val="none"/>
        </w:rPr>
      </w:pPr>
    </w:p>
    <w:p w14:paraId="5DC77FD9">
      <w:pPr>
        <w:autoSpaceDE w:val="0"/>
        <w:autoSpaceDN w:val="0"/>
        <w:jc w:val="center"/>
        <w:rPr>
          <w:rFonts w:hint="eastAsia" w:asciiTheme="minorEastAsia" w:hAnsiTheme="minorEastAsia" w:eastAsiaTheme="minorEastAsia" w:cstheme="minorEastAsia"/>
          <w:b/>
          <w:spacing w:val="6"/>
          <w:sz w:val="32"/>
          <w:szCs w:val="32"/>
          <w:highlight w:val="none"/>
        </w:rPr>
      </w:pPr>
    </w:p>
    <w:p w14:paraId="2B5A19EB">
      <w:pPr>
        <w:autoSpaceDE w:val="0"/>
        <w:autoSpaceDN w:val="0"/>
        <w:jc w:val="center"/>
        <w:rPr>
          <w:rFonts w:hint="eastAsia" w:asciiTheme="minorEastAsia" w:hAnsiTheme="minorEastAsia" w:eastAsiaTheme="minorEastAsia" w:cstheme="minorEastAsia"/>
          <w:b/>
          <w:spacing w:val="6"/>
          <w:sz w:val="32"/>
          <w:szCs w:val="32"/>
          <w:highlight w:val="none"/>
        </w:rPr>
      </w:pPr>
    </w:p>
    <w:p w14:paraId="4022BD28">
      <w:pPr>
        <w:autoSpaceDE w:val="0"/>
        <w:autoSpaceDN w:val="0"/>
        <w:jc w:val="center"/>
        <w:rPr>
          <w:rFonts w:hint="eastAsia" w:asciiTheme="minorEastAsia" w:hAnsiTheme="minorEastAsia" w:eastAsiaTheme="minorEastAsia" w:cstheme="minorEastAsia"/>
          <w:b/>
          <w:spacing w:val="6"/>
          <w:sz w:val="32"/>
          <w:szCs w:val="32"/>
          <w:highlight w:val="none"/>
        </w:rPr>
      </w:pPr>
    </w:p>
    <w:p w14:paraId="34DC72D6">
      <w:pPr>
        <w:autoSpaceDE w:val="0"/>
        <w:autoSpaceDN w:val="0"/>
        <w:jc w:val="center"/>
        <w:rPr>
          <w:rFonts w:hint="eastAsia" w:asciiTheme="minorEastAsia" w:hAnsiTheme="minorEastAsia" w:eastAsiaTheme="minorEastAsia" w:cstheme="minorEastAsia"/>
          <w:b/>
          <w:spacing w:val="6"/>
          <w:sz w:val="32"/>
          <w:szCs w:val="32"/>
          <w:highlight w:val="none"/>
        </w:rPr>
      </w:pPr>
    </w:p>
    <w:p w14:paraId="66A72CA3">
      <w:pPr>
        <w:autoSpaceDE w:val="0"/>
        <w:autoSpaceDN w:val="0"/>
        <w:jc w:val="center"/>
        <w:rPr>
          <w:rFonts w:hint="eastAsia" w:asciiTheme="minorEastAsia" w:hAnsiTheme="minorEastAsia" w:eastAsiaTheme="minorEastAsia" w:cstheme="minorEastAsia"/>
          <w:b/>
          <w:spacing w:val="6"/>
          <w:sz w:val="32"/>
          <w:szCs w:val="32"/>
          <w:highlight w:val="none"/>
        </w:rPr>
      </w:pPr>
    </w:p>
    <w:p w14:paraId="734E99CE">
      <w:pPr>
        <w:autoSpaceDE w:val="0"/>
        <w:autoSpaceDN w:val="0"/>
        <w:jc w:val="center"/>
        <w:rPr>
          <w:rFonts w:hint="eastAsia" w:asciiTheme="minorEastAsia" w:hAnsiTheme="minorEastAsia" w:eastAsiaTheme="minorEastAsia" w:cstheme="minorEastAsia"/>
          <w:b/>
          <w:spacing w:val="6"/>
          <w:sz w:val="32"/>
          <w:szCs w:val="32"/>
          <w:highlight w:val="none"/>
        </w:rPr>
      </w:pPr>
    </w:p>
    <w:p w14:paraId="6F4913E2">
      <w:pPr>
        <w:autoSpaceDE w:val="0"/>
        <w:autoSpaceDN w:val="0"/>
        <w:jc w:val="center"/>
        <w:rPr>
          <w:rFonts w:hint="eastAsia" w:asciiTheme="minorEastAsia" w:hAnsiTheme="minorEastAsia" w:eastAsiaTheme="minorEastAsia" w:cstheme="minorEastAsia"/>
          <w:b/>
          <w:spacing w:val="6"/>
          <w:sz w:val="32"/>
          <w:szCs w:val="32"/>
          <w:highlight w:val="none"/>
        </w:rPr>
      </w:pPr>
    </w:p>
    <w:p w14:paraId="33598E5F">
      <w:pPr>
        <w:jc w:val="left"/>
        <w:rPr>
          <w:rFonts w:hint="eastAsia" w:asciiTheme="minorEastAsia" w:hAnsiTheme="minorEastAsia" w:eastAsiaTheme="minorEastAsia" w:cstheme="minorEastAsia"/>
          <w:b/>
          <w:kern w:val="0"/>
          <w:sz w:val="32"/>
          <w:szCs w:val="32"/>
          <w:highlight w:val="none"/>
        </w:rPr>
      </w:pPr>
      <w:r>
        <w:rPr>
          <w:rFonts w:hint="eastAsia" w:asciiTheme="minorEastAsia" w:hAnsiTheme="minorEastAsia" w:eastAsiaTheme="minorEastAsia" w:cstheme="minorEastAsia"/>
          <w:b/>
          <w:kern w:val="0"/>
          <w:sz w:val="32"/>
          <w:szCs w:val="32"/>
          <w:highlight w:val="none"/>
        </w:rPr>
        <w:br w:type="page"/>
      </w:r>
    </w:p>
    <w:p w14:paraId="6D0EB6D3">
      <w:pPr>
        <w:spacing w:line="360" w:lineRule="auto"/>
        <w:outlineLvl w:val="1"/>
        <w:rPr>
          <w:rFonts w:hint="eastAsia" w:asciiTheme="minorEastAsia" w:hAnsiTheme="minorEastAsia" w:eastAsiaTheme="minorEastAsia" w:cstheme="minorEastAsia"/>
          <w:b/>
          <w:spacing w:val="6"/>
          <w:sz w:val="32"/>
          <w:szCs w:val="32"/>
          <w:highlight w:val="none"/>
        </w:rPr>
      </w:pPr>
      <w:bookmarkStart w:id="559" w:name="_Toc14383"/>
      <w:r>
        <w:rPr>
          <w:rFonts w:hint="eastAsia" w:asciiTheme="minorEastAsia" w:hAnsiTheme="minorEastAsia" w:eastAsiaTheme="minorEastAsia" w:cstheme="minorEastAsia"/>
          <w:b/>
          <w:spacing w:val="6"/>
          <w:sz w:val="32"/>
          <w:szCs w:val="32"/>
          <w:highlight w:val="none"/>
        </w:rPr>
        <w:t>附件3：联合协议</w:t>
      </w:r>
      <w:bookmarkEnd w:id="559"/>
    </w:p>
    <w:p w14:paraId="36C5DA4D">
      <w:pPr>
        <w:widowControl/>
        <w:spacing w:line="360" w:lineRule="auto"/>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（以联合体形式投标的，提供联合协议；本项目不接受联合体投标或者投标人不以联合体形式投标的，则不需要提供）</w:t>
      </w:r>
    </w:p>
    <w:p w14:paraId="60082FC3">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u w:val="single"/>
        </w:rPr>
        <w:t>（联合体所有成员名称）</w:t>
      </w:r>
      <w:r>
        <w:rPr>
          <w:rFonts w:hint="eastAsia" w:asciiTheme="minorEastAsia" w:hAnsiTheme="minorEastAsia" w:eastAsiaTheme="minorEastAsia" w:cstheme="minorEastAsia"/>
          <w:kern w:val="0"/>
          <w:sz w:val="24"/>
          <w:highlight w:val="none"/>
        </w:rPr>
        <w:t>自愿</w:t>
      </w:r>
      <w:r>
        <w:rPr>
          <w:rFonts w:hint="eastAsia" w:asciiTheme="minorEastAsia" w:hAnsiTheme="minorEastAsia" w:eastAsiaTheme="minorEastAsia" w:cstheme="minorEastAsia"/>
          <w:kern w:val="0"/>
          <w:sz w:val="24"/>
          <w:highlight w:val="none"/>
          <w:lang w:val="zh-CN"/>
        </w:rPr>
        <w:t>组成一个联合体，以一个投标人的身份</w:t>
      </w:r>
      <w:r>
        <w:rPr>
          <w:rFonts w:hint="eastAsia" w:asciiTheme="minorEastAsia" w:hAnsiTheme="minorEastAsia" w:eastAsiaTheme="minorEastAsia" w:cstheme="minorEastAsia"/>
          <w:kern w:val="0"/>
          <w:sz w:val="24"/>
          <w:highlight w:val="none"/>
        </w:rPr>
        <w:t>参加</w:t>
      </w:r>
      <w:r>
        <w:rPr>
          <w:rFonts w:hint="eastAsia" w:asciiTheme="minorEastAsia" w:hAnsiTheme="minorEastAsia" w:eastAsiaTheme="minorEastAsia" w:cstheme="minorEastAsia"/>
          <w:sz w:val="24"/>
          <w:highlight w:val="none"/>
        </w:rPr>
        <w:t>（项目名称）【招标编号：（</w:t>
      </w:r>
      <w:r>
        <w:rPr>
          <w:rFonts w:hint="eastAsia" w:asciiTheme="minorEastAsia" w:hAnsiTheme="minorEastAsia" w:eastAsiaTheme="minorEastAsia" w:cstheme="minorEastAsia"/>
          <w:sz w:val="24"/>
          <w:highlight w:val="none"/>
          <w:lang w:eastAsia="zh-CN"/>
        </w:rPr>
        <w:t>LGSYCG2025029</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kern w:val="0"/>
          <w:sz w:val="24"/>
          <w:highlight w:val="none"/>
          <w:lang w:val="zh-CN"/>
        </w:rPr>
        <w:t xml:space="preserve">投标。 </w:t>
      </w:r>
    </w:p>
    <w:p w14:paraId="4F1CF63A">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一、各方一致决定，</w:t>
      </w:r>
      <w:r>
        <w:rPr>
          <w:rFonts w:hint="eastAsia" w:asciiTheme="minorEastAsia" w:hAnsiTheme="minorEastAsia" w:eastAsiaTheme="minorEastAsia" w:cstheme="minorEastAsia"/>
          <w:kern w:val="0"/>
          <w:sz w:val="24"/>
          <w:highlight w:val="none"/>
          <w:u w:val="single"/>
        </w:rPr>
        <w:t>（某联合体成员名称）</w:t>
      </w:r>
      <w:r>
        <w:rPr>
          <w:rFonts w:hint="eastAsia" w:asciiTheme="minorEastAsia" w:hAnsiTheme="minorEastAsia" w:eastAsiaTheme="minorEastAsia" w:cstheme="minorEastAsia"/>
          <w:kern w:val="0"/>
          <w:sz w:val="24"/>
          <w:highlight w:val="none"/>
        </w:rPr>
        <w:t>为联合体</w:t>
      </w:r>
      <w:r>
        <w:rPr>
          <w:rFonts w:hint="eastAsia" w:asciiTheme="minorEastAsia" w:hAnsiTheme="minorEastAsia" w:eastAsiaTheme="minorEastAsia" w:cstheme="minorEastAsia"/>
          <w:kern w:val="0"/>
          <w:sz w:val="24"/>
          <w:highlight w:val="none"/>
          <w:lang w:val="zh-CN"/>
        </w:rPr>
        <w:t>牵头人</w:t>
      </w:r>
      <w:r>
        <w:rPr>
          <w:rFonts w:hint="eastAsia" w:asciiTheme="minorEastAsia" w:hAnsiTheme="minorEastAsia" w:eastAsiaTheme="minorEastAsia" w:cstheme="minorEastAsia"/>
          <w:sz w:val="24"/>
          <w:highlight w:val="none"/>
        </w:rPr>
        <w:t>，代表所有联合体成员负责投标和合同实施阶段的主办、协调工作</w:t>
      </w:r>
      <w:r>
        <w:rPr>
          <w:rFonts w:hint="eastAsia" w:asciiTheme="minorEastAsia" w:hAnsiTheme="minorEastAsia" w:eastAsiaTheme="minorEastAsia" w:cstheme="minorEastAsia"/>
          <w:kern w:val="0"/>
          <w:sz w:val="24"/>
          <w:highlight w:val="none"/>
          <w:lang w:val="zh-CN"/>
        </w:rPr>
        <w:t>。</w:t>
      </w:r>
    </w:p>
    <w:p w14:paraId="25DC7856">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二、</w:t>
      </w:r>
      <w:r>
        <w:rPr>
          <w:rFonts w:hint="eastAsia" w:asciiTheme="minorEastAsia" w:hAnsiTheme="minorEastAsia" w:eastAsiaTheme="minorEastAsia" w:cstheme="minorEastAsia"/>
          <w:sz w:val="24"/>
          <w:highlight w:val="none"/>
        </w:rPr>
        <w:t>所有联合体成员各方签署授权书，授权书载明的</w:t>
      </w:r>
      <w:r>
        <w:rPr>
          <w:rFonts w:hint="eastAsia" w:asciiTheme="minorEastAsia" w:hAnsiTheme="minorEastAsia" w:eastAsiaTheme="minorEastAsia" w:cstheme="minorEastAsia"/>
          <w:kern w:val="0"/>
          <w:sz w:val="24"/>
          <w:highlight w:val="none"/>
          <w:lang w:val="zh-CN"/>
        </w:rPr>
        <w:t>授权代表根据招标文件规定及投标内容而对采购人、采购代理机构所作的任何合法承诺，包括书面澄清及响应等均对联合投标各方产生约束力。</w:t>
      </w:r>
    </w:p>
    <w:p w14:paraId="5B8273E1">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三、本次联合投标中，分工如下：</w:t>
      </w:r>
    </w:p>
    <w:p w14:paraId="174CD591">
      <w:pPr>
        <w:snapToGrid w:val="0"/>
        <w:spacing w:line="360" w:lineRule="auto"/>
        <w:ind w:firstLine="576"/>
        <w:rPr>
          <w:rFonts w:hint="eastAsia" w:asciiTheme="minorEastAsia" w:hAnsiTheme="minorEastAsia" w:eastAsiaTheme="minorEastAsia" w:cstheme="minorEastAsia"/>
          <w:kern w:val="0"/>
          <w:sz w:val="24"/>
          <w:highlight w:val="none"/>
          <w:lang w:val="zh-CN"/>
        </w:rPr>
      </w:pPr>
      <w:bookmarkStart w:id="560" w:name="_Hlk101134295"/>
      <w:r>
        <w:rPr>
          <w:rFonts w:hint="eastAsia" w:asciiTheme="minorEastAsia" w:hAnsiTheme="minorEastAsia" w:eastAsiaTheme="minorEastAsia" w:cstheme="minorEastAsia"/>
          <w:kern w:val="0"/>
          <w:sz w:val="24"/>
          <w:highlight w:val="none"/>
          <w:u w:val="single"/>
        </w:rPr>
        <w:t>（联合体成员1）</w:t>
      </w:r>
      <w:r>
        <w:rPr>
          <w:rFonts w:hint="eastAsia" w:asciiTheme="minorEastAsia" w:hAnsiTheme="minorEastAsia" w:eastAsiaTheme="minorEastAsia" w:cstheme="minorEastAsia"/>
          <w:kern w:val="0"/>
          <w:sz w:val="24"/>
          <w:highlight w:val="none"/>
          <w:lang w:val="zh-CN"/>
        </w:rPr>
        <w:t>承担的工作和义务为：；</w:t>
      </w:r>
    </w:p>
    <w:p w14:paraId="0419F165">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u w:val="single"/>
        </w:rPr>
        <w:t>（联合体成员2）</w:t>
      </w:r>
      <w:r>
        <w:rPr>
          <w:rFonts w:hint="eastAsia" w:asciiTheme="minorEastAsia" w:hAnsiTheme="minorEastAsia" w:eastAsiaTheme="minorEastAsia" w:cstheme="minorEastAsia"/>
          <w:kern w:val="0"/>
          <w:sz w:val="24"/>
          <w:highlight w:val="none"/>
          <w:lang w:val="zh-CN"/>
        </w:rPr>
        <w:t>承担的工作和义务为：；</w:t>
      </w:r>
    </w:p>
    <w:p w14:paraId="59B496FC">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w:t>
      </w:r>
    </w:p>
    <w:bookmarkEnd w:id="560"/>
    <w:p w14:paraId="62CBDEE0">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四、联合体成员中小企业合同份额。</w:t>
      </w:r>
    </w:p>
    <w:p w14:paraId="6599F3C6">
      <w:pPr>
        <w:snapToGrid w:val="0"/>
        <w:spacing w:line="360" w:lineRule="auto"/>
        <w:ind w:firstLine="576"/>
        <w:rPr>
          <w:rFonts w:hint="eastAsia" w:asciiTheme="minorEastAsia" w:hAnsiTheme="minorEastAsia" w:eastAsiaTheme="minorEastAsia" w:cstheme="minorEastAsia"/>
          <w:b/>
          <w:kern w:val="0"/>
          <w:sz w:val="24"/>
          <w:highlight w:val="none"/>
          <w:lang w:val="zh-CN"/>
        </w:rPr>
      </w:pPr>
      <w:r>
        <w:rPr>
          <w:rFonts w:hint="eastAsia" w:asciiTheme="minorEastAsia" w:hAnsiTheme="minorEastAsia" w:eastAsiaTheme="minorEastAsia" w:cstheme="minorEastAsia"/>
          <w:kern w:val="0"/>
          <w:sz w:val="24"/>
          <w:highlight w:val="none"/>
          <w:lang w:val="zh-CN"/>
        </w:rPr>
        <w:t>1、</w:t>
      </w:r>
      <w:r>
        <w:rPr>
          <w:rFonts w:hint="eastAsia" w:asciiTheme="minorEastAsia" w:hAnsiTheme="minorEastAsia" w:eastAsiaTheme="minorEastAsia" w:cstheme="minorEastAsia"/>
          <w:kern w:val="0"/>
          <w:sz w:val="24"/>
          <w:highlight w:val="none"/>
          <w:u w:val="single"/>
        </w:rPr>
        <w:t>（联合体成员X,……）</w:t>
      </w:r>
      <w:r>
        <w:rPr>
          <w:rFonts w:hint="eastAsia" w:asciiTheme="minorEastAsia" w:hAnsiTheme="minorEastAsia" w:eastAsiaTheme="minorEastAsia" w:cstheme="minorEastAsia"/>
          <w:kern w:val="0"/>
          <w:sz w:val="24"/>
          <w:highlight w:val="none"/>
        </w:rPr>
        <w:t>提供的全部货物由小微企业制造，其合同份额占到合同总金额%以上；</w:t>
      </w:r>
      <w:r>
        <w:rPr>
          <w:rFonts w:hint="eastAsia" w:asciiTheme="minorEastAsia" w:hAnsiTheme="minorEastAsia" w:eastAsiaTheme="minorEastAsia" w:cstheme="minorEastAsia"/>
          <w:kern w:val="0"/>
          <w:sz w:val="24"/>
          <w:highlight w:val="none"/>
          <w:lang w:val="zh-CN"/>
        </w:rPr>
        <w:t>……。</w:t>
      </w:r>
      <w:r>
        <w:rPr>
          <w:rFonts w:hint="eastAsia" w:asciiTheme="minorEastAsia" w:hAnsiTheme="minorEastAsia" w:eastAsiaTheme="minorEastAsia" w:cstheme="minorEastAsia"/>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投标人</w:t>
      </w:r>
      <w:r>
        <w:rPr>
          <w:rFonts w:hint="eastAsia" w:asciiTheme="minorEastAsia" w:hAnsiTheme="minorEastAsia" w:eastAsiaTheme="minorEastAsia" w:cstheme="minorEastAsia"/>
          <w:b/>
          <w:sz w:val="24"/>
          <w:highlight w:val="none"/>
        </w:rPr>
        <w:t>拟享受以上价格扣除政策的，填写有关内容。</w:t>
      </w:r>
      <w:r>
        <w:rPr>
          <w:rFonts w:hint="eastAsia" w:asciiTheme="minorEastAsia" w:hAnsiTheme="minorEastAsia" w:eastAsiaTheme="minorEastAsia" w:cstheme="minorEastAsia"/>
          <w:b/>
          <w:kern w:val="0"/>
          <w:sz w:val="24"/>
          <w:highlight w:val="none"/>
          <w:lang w:val="zh-CN"/>
        </w:rPr>
        <w:t>）</w:t>
      </w:r>
    </w:p>
    <w:p w14:paraId="43415928">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sz w:val="24"/>
          <w:highlight w:val="none"/>
        </w:rPr>
        <w:t>2、中小企业合同金额达到%，其中小微企业合同金额达到%</w:t>
      </w:r>
      <w:r>
        <w:rPr>
          <w:rFonts w:hint="eastAsia" w:asciiTheme="minorEastAsia" w:hAnsiTheme="minorEastAsia" w:eastAsiaTheme="minorEastAsia" w:cstheme="minorEastAsia"/>
          <w:kern w:val="0"/>
          <w:sz w:val="24"/>
          <w:highlight w:val="none"/>
          <w:lang w:val="zh-CN"/>
        </w:rPr>
        <w:t>。</w:t>
      </w:r>
      <w:r>
        <w:rPr>
          <w:rFonts w:hint="eastAsia" w:asciiTheme="minorEastAsia" w:hAnsiTheme="minorEastAsia" w:eastAsiaTheme="minorEastAsia" w:cstheme="minorEastAsia"/>
          <w:b/>
          <w:bCs/>
          <w:kern w:val="0"/>
          <w:sz w:val="24"/>
          <w:highlight w:val="none"/>
          <w:lang w:val="zh-CN"/>
        </w:rPr>
        <w:t>（</w:t>
      </w:r>
      <w:r>
        <w:rPr>
          <w:rFonts w:hint="eastAsia" w:asciiTheme="minorEastAsia" w:hAnsiTheme="minorEastAsia" w:eastAsiaTheme="minorEastAsia" w:cstheme="minorEastAsia"/>
          <w:b/>
          <w:bCs/>
          <w:sz w:val="24"/>
          <w:highlight w:val="none"/>
        </w:rPr>
        <w:t>要求以联合体形式参加的项目或采购包，投标人按招标文件第一部分招标公告申请人的资格要求中规定的联合协议中中小企业、小微企业合同金额应当达到的比例要求填写。</w:t>
      </w:r>
      <w:r>
        <w:rPr>
          <w:rFonts w:hint="eastAsia" w:asciiTheme="minorEastAsia" w:hAnsiTheme="minorEastAsia" w:eastAsiaTheme="minorEastAsia" w:cstheme="minorEastAsia"/>
          <w:b/>
          <w:bCs/>
          <w:kern w:val="0"/>
          <w:sz w:val="24"/>
          <w:highlight w:val="none"/>
          <w:lang w:val="zh-CN"/>
        </w:rPr>
        <w:t>）</w:t>
      </w:r>
    </w:p>
    <w:p w14:paraId="65412CE2">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五、如果中标，</w:t>
      </w:r>
      <w:r>
        <w:rPr>
          <w:rFonts w:hint="eastAsia" w:asciiTheme="minorEastAsia" w:hAnsiTheme="minorEastAsia" w:eastAsiaTheme="minorEastAsia" w:cstheme="minorEastAsia"/>
          <w:sz w:val="24"/>
          <w:highlight w:val="none"/>
        </w:rPr>
        <w:t>联合体各成员方共同与采购人签订合同，并就采购合同约定的事项对采购人承担连带责任。</w:t>
      </w:r>
    </w:p>
    <w:p w14:paraId="560FC0F2">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六、有关本次联合投标的其他事宜：</w:t>
      </w:r>
    </w:p>
    <w:p w14:paraId="1BEB254A">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1、联合体各方不再单独参加或者与其他投标人另外组成联合体参加同一合同项下的政府采购活动。</w:t>
      </w:r>
    </w:p>
    <w:p w14:paraId="1D3B7EB4">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2、联合体中有同类资质的各方按照联合体分工承担相同工作的，按照资质等级较低的投标人确定资质等级。</w:t>
      </w:r>
    </w:p>
    <w:p w14:paraId="4D77B09D">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3、本协议提交采购人、采购代理机构后，联合体各方不得以任何形式对上述内容进行修改或撤销。</w:t>
      </w:r>
    </w:p>
    <w:p w14:paraId="3154BF27">
      <w:pPr>
        <w:snapToGrid w:val="0"/>
        <w:spacing w:line="360" w:lineRule="auto"/>
        <w:ind w:firstLine="5040" w:firstLineChars="21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联合体成员名称(电子签名/公章)：</w:t>
      </w:r>
    </w:p>
    <w:p w14:paraId="324044A8">
      <w:pPr>
        <w:snapToGrid w:val="0"/>
        <w:spacing w:line="360" w:lineRule="auto"/>
        <w:ind w:firstLine="5040" w:firstLineChars="21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联合体成员名称(电子签名/公章)：</w:t>
      </w:r>
    </w:p>
    <w:p w14:paraId="7F52A465">
      <w:pPr>
        <w:snapToGrid w:val="0"/>
        <w:spacing w:line="360" w:lineRule="auto"/>
        <w:ind w:right="960"/>
        <w:jc w:val="center"/>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                   ……</w:t>
      </w:r>
    </w:p>
    <w:p w14:paraId="1E857CB1">
      <w:pPr>
        <w:snapToGrid w:val="0"/>
        <w:spacing w:line="360" w:lineRule="auto"/>
        <w:jc w:val="righ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日期：  年  月   日</w:t>
      </w:r>
    </w:p>
    <w:p w14:paraId="4222A0AE">
      <w:pPr>
        <w:spacing w:line="360" w:lineRule="auto"/>
        <w:ind w:right="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注：按本格式和要求提供。</w:t>
      </w:r>
    </w:p>
    <w:p w14:paraId="21EE08BE">
      <w:pPr>
        <w:autoSpaceDE w:val="0"/>
        <w:autoSpaceDN w:val="0"/>
        <w:jc w:val="center"/>
        <w:rPr>
          <w:rFonts w:hint="eastAsia" w:asciiTheme="minorEastAsia" w:hAnsiTheme="minorEastAsia" w:eastAsiaTheme="minorEastAsia" w:cstheme="minorEastAsia"/>
          <w:b/>
          <w:spacing w:val="6"/>
          <w:sz w:val="32"/>
          <w:szCs w:val="32"/>
          <w:highlight w:val="none"/>
        </w:rPr>
      </w:pPr>
    </w:p>
    <w:p w14:paraId="0625AFBC">
      <w:pPr>
        <w:autoSpaceDE w:val="0"/>
        <w:autoSpaceDN w:val="0"/>
        <w:jc w:val="center"/>
        <w:rPr>
          <w:rFonts w:hint="eastAsia" w:asciiTheme="minorEastAsia" w:hAnsiTheme="minorEastAsia" w:eastAsiaTheme="minorEastAsia" w:cstheme="minorEastAsia"/>
          <w:b/>
          <w:spacing w:val="6"/>
          <w:sz w:val="32"/>
          <w:szCs w:val="32"/>
          <w:highlight w:val="none"/>
        </w:rPr>
      </w:pPr>
    </w:p>
    <w:p w14:paraId="2FDC1727">
      <w:pPr>
        <w:autoSpaceDE w:val="0"/>
        <w:autoSpaceDN w:val="0"/>
        <w:jc w:val="center"/>
        <w:rPr>
          <w:rFonts w:hint="eastAsia" w:asciiTheme="minorEastAsia" w:hAnsiTheme="minorEastAsia" w:eastAsiaTheme="minorEastAsia" w:cstheme="minorEastAsia"/>
          <w:b/>
          <w:spacing w:val="6"/>
          <w:sz w:val="32"/>
          <w:szCs w:val="32"/>
          <w:highlight w:val="none"/>
        </w:rPr>
      </w:pPr>
    </w:p>
    <w:p w14:paraId="00802123">
      <w:pPr>
        <w:autoSpaceDE w:val="0"/>
        <w:autoSpaceDN w:val="0"/>
        <w:jc w:val="center"/>
        <w:rPr>
          <w:rFonts w:hint="eastAsia" w:asciiTheme="minorEastAsia" w:hAnsiTheme="minorEastAsia" w:eastAsiaTheme="minorEastAsia" w:cstheme="minorEastAsia"/>
          <w:b/>
          <w:spacing w:val="6"/>
          <w:sz w:val="32"/>
          <w:szCs w:val="32"/>
          <w:highlight w:val="none"/>
        </w:rPr>
      </w:pPr>
    </w:p>
    <w:p w14:paraId="234D38D4">
      <w:pPr>
        <w:autoSpaceDE w:val="0"/>
        <w:autoSpaceDN w:val="0"/>
        <w:jc w:val="center"/>
        <w:rPr>
          <w:rFonts w:hint="eastAsia" w:asciiTheme="minorEastAsia" w:hAnsiTheme="minorEastAsia" w:eastAsiaTheme="minorEastAsia" w:cstheme="minorEastAsia"/>
          <w:b/>
          <w:spacing w:val="6"/>
          <w:sz w:val="32"/>
          <w:szCs w:val="32"/>
          <w:highlight w:val="none"/>
        </w:rPr>
      </w:pPr>
    </w:p>
    <w:p w14:paraId="388400A5">
      <w:pPr>
        <w:autoSpaceDE w:val="0"/>
        <w:autoSpaceDN w:val="0"/>
        <w:jc w:val="center"/>
        <w:rPr>
          <w:rFonts w:hint="eastAsia" w:asciiTheme="minorEastAsia" w:hAnsiTheme="minorEastAsia" w:eastAsiaTheme="minorEastAsia" w:cstheme="minorEastAsia"/>
          <w:b/>
          <w:spacing w:val="6"/>
          <w:sz w:val="32"/>
          <w:szCs w:val="32"/>
          <w:highlight w:val="none"/>
        </w:rPr>
      </w:pPr>
    </w:p>
    <w:p w14:paraId="2A4BDD15">
      <w:pPr>
        <w:autoSpaceDE w:val="0"/>
        <w:autoSpaceDN w:val="0"/>
        <w:jc w:val="center"/>
        <w:rPr>
          <w:rFonts w:hint="eastAsia" w:asciiTheme="minorEastAsia" w:hAnsiTheme="minorEastAsia" w:eastAsiaTheme="minorEastAsia" w:cstheme="minorEastAsia"/>
          <w:b/>
          <w:spacing w:val="6"/>
          <w:sz w:val="32"/>
          <w:szCs w:val="32"/>
          <w:highlight w:val="none"/>
        </w:rPr>
      </w:pPr>
    </w:p>
    <w:p w14:paraId="1F3E20EC">
      <w:pPr>
        <w:autoSpaceDE w:val="0"/>
        <w:autoSpaceDN w:val="0"/>
        <w:jc w:val="center"/>
        <w:rPr>
          <w:rFonts w:hint="eastAsia" w:asciiTheme="minorEastAsia" w:hAnsiTheme="minorEastAsia" w:eastAsiaTheme="minorEastAsia" w:cstheme="minorEastAsia"/>
          <w:b/>
          <w:spacing w:val="6"/>
          <w:sz w:val="32"/>
          <w:szCs w:val="32"/>
          <w:highlight w:val="none"/>
        </w:rPr>
      </w:pPr>
    </w:p>
    <w:p w14:paraId="0D2757E2">
      <w:pPr>
        <w:autoSpaceDE w:val="0"/>
        <w:autoSpaceDN w:val="0"/>
        <w:jc w:val="center"/>
        <w:rPr>
          <w:rFonts w:hint="eastAsia" w:asciiTheme="minorEastAsia" w:hAnsiTheme="minorEastAsia" w:eastAsiaTheme="minorEastAsia" w:cstheme="minorEastAsia"/>
          <w:b/>
          <w:spacing w:val="6"/>
          <w:sz w:val="32"/>
          <w:szCs w:val="32"/>
          <w:highlight w:val="none"/>
        </w:rPr>
      </w:pPr>
    </w:p>
    <w:p w14:paraId="3ABC61E4">
      <w:pPr>
        <w:autoSpaceDE w:val="0"/>
        <w:autoSpaceDN w:val="0"/>
        <w:jc w:val="center"/>
        <w:rPr>
          <w:rFonts w:hint="eastAsia" w:asciiTheme="minorEastAsia" w:hAnsiTheme="minorEastAsia" w:eastAsiaTheme="minorEastAsia" w:cstheme="minorEastAsia"/>
          <w:b/>
          <w:spacing w:val="6"/>
          <w:sz w:val="32"/>
          <w:szCs w:val="32"/>
          <w:highlight w:val="none"/>
        </w:rPr>
      </w:pPr>
    </w:p>
    <w:p w14:paraId="24159C06">
      <w:pPr>
        <w:autoSpaceDE w:val="0"/>
        <w:autoSpaceDN w:val="0"/>
        <w:jc w:val="center"/>
        <w:rPr>
          <w:rFonts w:hint="eastAsia" w:asciiTheme="minorEastAsia" w:hAnsiTheme="minorEastAsia" w:eastAsiaTheme="minorEastAsia" w:cstheme="minorEastAsia"/>
          <w:b/>
          <w:spacing w:val="6"/>
          <w:sz w:val="32"/>
          <w:szCs w:val="32"/>
          <w:highlight w:val="none"/>
        </w:rPr>
      </w:pPr>
    </w:p>
    <w:p w14:paraId="56172282">
      <w:pPr>
        <w:autoSpaceDE w:val="0"/>
        <w:autoSpaceDN w:val="0"/>
        <w:jc w:val="center"/>
        <w:rPr>
          <w:rFonts w:hint="eastAsia" w:asciiTheme="minorEastAsia" w:hAnsiTheme="minorEastAsia" w:eastAsiaTheme="minorEastAsia" w:cstheme="minorEastAsia"/>
          <w:b/>
          <w:spacing w:val="6"/>
          <w:sz w:val="32"/>
          <w:szCs w:val="32"/>
          <w:highlight w:val="none"/>
        </w:rPr>
      </w:pPr>
    </w:p>
    <w:p w14:paraId="64069C42">
      <w:pPr>
        <w:autoSpaceDE w:val="0"/>
        <w:autoSpaceDN w:val="0"/>
        <w:jc w:val="center"/>
        <w:rPr>
          <w:rFonts w:hint="eastAsia" w:asciiTheme="minorEastAsia" w:hAnsiTheme="minorEastAsia" w:eastAsiaTheme="minorEastAsia" w:cstheme="minorEastAsia"/>
          <w:b/>
          <w:spacing w:val="6"/>
          <w:sz w:val="32"/>
          <w:szCs w:val="32"/>
          <w:highlight w:val="none"/>
        </w:rPr>
      </w:pPr>
    </w:p>
    <w:p w14:paraId="5250EFBB">
      <w:pPr>
        <w:autoSpaceDE w:val="0"/>
        <w:autoSpaceDN w:val="0"/>
        <w:jc w:val="center"/>
        <w:rPr>
          <w:rFonts w:hint="eastAsia" w:asciiTheme="minorEastAsia" w:hAnsiTheme="minorEastAsia" w:eastAsiaTheme="minorEastAsia" w:cstheme="minorEastAsia"/>
          <w:b/>
          <w:spacing w:val="6"/>
          <w:sz w:val="32"/>
          <w:szCs w:val="32"/>
          <w:highlight w:val="none"/>
        </w:rPr>
      </w:pPr>
    </w:p>
    <w:p w14:paraId="478A8CE3">
      <w:pPr>
        <w:autoSpaceDE w:val="0"/>
        <w:autoSpaceDN w:val="0"/>
        <w:jc w:val="center"/>
        <w:rPr>
          <w:rFonts w:hint="eastAsia" w:asciiTheme="minorEastAsia" w:hAnsiTheme="minorEastAsia" w:eastAsiaTheme="minorEastAsia" w:cstheme="minorEastAsia"/>
          <w:b/>
          <w:spacing w:val="6"/>
          <w:sz w:val="32"/>
          <w:szCs w:val="32"/>
          <w:highlight w:val="none"/>
        </w:rPr>
      </w:pPr>
    </w:p>
    <w:p w14:paraId="3133A1B4">
      <w:pPr>
        <w:autoSpaceDE w:val="0"/>
        <w:autoSpaceDN w:val="0"/>
        <w:jc w:val="center"/>
        <w:rPr>
          <w:rFonts w:hint="eastAsia" w:asciiTheme="minorEastAsia" w:hAnsiTheme="minorEastAsia" w:eastAsiaTheme="minorEastAsia" w:cstheme="minorEastAsia"/>
          <w:b/>
          <w:spacing w:val="6"/>
          <w:sz w:val="32"/>
          <w:szCs w:val="32"/>
          <w:highlight w:val="none"/>
        </w:rPr>
      </w:pPr>
    </w:p>
    <w:p w14:paraId="0B1228C2">
      <w:pPr>
        <w:autoSpaceDE w:val="0"/>
        <w:autoSpaceDN w:val="0"/>
        <w:jc w:val="center"/>
        <w:rPr>
          <w:rFonts w:hint="eastAsia" w:asciiTheme="minorEastAsia" w:hAnsiTheme="minorEastAsia" w:eastAsiaTheme="minorEastAsia" w:cstheme="minorEastAsia"/>
          <w:b/>
          <w:spacing w:val="6"/>
          <w:sz w:val="32"/>
          <w:szCs w:val="32"/>
          <w:highlight w:val="none"/>
        </w:rPr>
      </w:pPr>
    </w:p>
    <w:p w14:paraId="3DEFACE0">
      <w:pPr>
        <w:autoSpaceDE w:val="0"/>
        <w:autoSpaceDN w:val="0"/>
        <w:jc w:val="center"/>
        <w:rPr>
          <w:rFonts w:hint="eastAsia" w:asciiTheme="minorEastAsia" w:hAnsiTheme="minorEastAsia" w:eastAsiaTheme="minorEastAsia" w:cstheme="minorEastAsia"/>
          <w:b/>
          <w:spacing w:val="6"/>
          <w:sz w:val="32"/>
          <w:szCs w:val="32"/>
          <w:highlight w:val="none"/>
        </w:rPr>
      </w:pPr>
    </w:p>
    <w:p w14:paraId="4EB16A4D">
      <w:pPr>
        <w:autoSpaceDE w:val="0"/>
        <w:autoSpaceDN w:val="0"/>
        <w:jc w:val="center"/>
        <w:rPr>
          <w:rFonts w:hint="eastAsia" w:asciiTheme="minorEastAsia" w:hAnsiTheme="minorEastAsia" w:eastAsiaTheme="minorEastAsia" w:cstheme="minorEastAsia"/>
          <w:b/>
          <w:spacing w:val="6"/>
          <w:sz w:val="32"/>
          <w:szCs w:val="32"/>
          <w:highlight w:val="none"/>
        </w:rPr>
      </w:pPr>
    </w:p>
    <w:p w14:paraId="2F098513">
      <w:pPr>
        <w:jc w:val="left"/>
        <w:rPr>
          <w:rFonts w:hint="eastAsia" w:asciiTheme="minorEastAsia" w:hAnsiTheme="minorEastAsia" w:eastAsiaTheme="minorEastAsia" w:cstheme="minorEastAsia"/>
          <w:b/>
          <w:kern w:val="0"/>
          <w:sz w:val="32"/>
          <w:szCs w:val="32"/>
          <w:highlight w:val="none"/>
        </w:rPr>
      </w:pPr>
      <w:r>
        <w:rPr>
          <w:rFonts w:hint="eastAsia" w:asciiTheme="minorEastAsia" w:hAnsiTheme="minorEastAsia" w:eastAsiaTheme="minorEastAsia" w:cstheme="minorEastAsia"/>
          <w:b/>
          <w:kern w:val="0"/>
          <w:sz w:val="32"/>
          <w:szCs w:val="32"/>
          <w:highlight w:val="none"/>
        </w:rPr>
        <w:br w:type="page"/>
      </w:r>
    </w:p>
    <w:p w14:paraId="5CE276E7">
      <w:pPr>
        <w:spacing w:line="360" w:lineRule="auto"/>
        <w:outlineLvl w:val="1"/>
        <w:rPr>
          <w:rFonts w:hint="eastAsia" w:asciiTheme="minorEastAsia" w:hAnsiTheme="minorEastAsia" w:eastAsiaTheme="minorEastAsia" w:cstheme="minorEastAsia"/>
          <w:b/>
          <w:spacing w:val="6"/>
          <w:sz w:val="32"/>
          <w:szCs w:val="32"/>
          <w:highlight w:val="none"/>
        </w:rPr>
      </w:pPr>
      <w:bookmarkStart w:id="561" w:name="_Toc16728"/>
      <w:r>
        <w:rPr>
          <w:rFonts w:hint="eastAsia" w:asciiTheme="minorEastAsia" w:hAnsiTheme="minorEastAsia" w:eastAsiaTheme="minorEastAsia" w:cstheme="minorEastAsia"/>
          <w:b/>
          <w:spacing w:val="6"/>
          <w:sz w:val="32"/>
          <w:szCs w:val="32"/>
          <w:highlight w:val="none"/>
        </w:rPr>
        <w:t>附件4：分包意向协议</w:t>
      </w:r>
      <w:bookmarkEnd w:id="561"/>
    </w:p>
    <w:p w14:paraId="42FD0E13">
      <w:pPr>
        <w:widowControl/>
        <w:spacing w:line="360" w:lineRule="auto"/>
        <w:ind w:firstLine="120" w:firstLineChars="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b/>
          <w:sz w:val="24"/>
          <w:highlight w:val="none"/>
        </w:rPr>
        <w:t>中标后以分包方式履行合同的，提供分包意向协议；采购人不同意分包或者投标人中标后不以分包方式履行合同的，则不需要提供。</w:t>
      </w:r>
      <w:r>
        <w:rPr>
          <w:rFonts w:hint="eastAsia" w:asciiTheme="minorEastAsia" w:hAnsiTheme="minorEastAsia" w:eastAsiaTheme="minorEastAsia" w:cstheme="minorEastAsia"/>
          <w:sz w:val="24"/>
          <w:highlight w:val="none"/>
        </w:rPr>
        <w:t>）</w:t>
      </w:r>
    </w:p>
    <w:p w14:paraId="4B4D43D2">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u w:val="single"/>
        </w:rPr>
        <w:t>（投标人名称）</w:t>
      </w:r>
      <w:r>
        <w:rPr>
          <w:rFonts w:hint="eastAsia" w:asciiTheme="minorEastAsia" w:hAnsiTheme="minorEastAsia" w:eastAsiaTheme="minorEastAsia" w:cstheme="minorEastAsia"/>
          <w:kern w:val="0"/>
          <w:sz w:val="24"/>
          <w:highlight w:val="none"/>
          <w:lang w:val="zh-CN"/>
        </w:rPr>
        <w:t>若成为</w:t>
      </w:r>
      <w:r>
        <w:rPr>
          <w:rFonts w:hint="eastAsia" w:asciiTheme="minorEastAsia" w:hAnsiTheme="minorEastAsia" w:eastAsiaTheme="minorEastAsia" w:cstheme="minorEastAsia"/>
          <w:sz w:val="24"/>
          <w:highlight w:val="none"/>
        </w:rPr>
        <w:t>（项目名称）【招标编号：（</w:t>
      </w:r>
      <w:r>
        <w:rPr>
          <w:rFonts w:hint="eastAsia" w:asciiTheme="minorEastAsia" w:hAnsiTheme="minorEastAsia" w:eastAsiaTheme="minorEastAsia" w:cstheme="minorEastAsia"/>
          <w:sz w:val="24"/>
          <w:highlight w:val="none"/>
          <w:lang w:eastAsia="zh-CN"/>
        </w:rPr>
        <w:t>LGSYCG2025029</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kern w:val="0"/>
          <w:sz w:val="24"/>
          <w:highlight w:val="none"/>
          <w:lang w:val="zh-CN"/>
        </w:rPr>
        <w:t>的中标人，将依法采取分包方式履行合同。</w:t>
      </w:r>
      <w:r>
        <w:rPr>
          <w:rFonts w:hint="eastAsia" w:asciiTheme="minorEastAsia" w:hAnsiTheme="minorEastAsia" w:eastAsiaTheme="minorEastAsia" w:cstheme="minorEastAsia"/>
          <w:kern w:val="0"/>
          <w:sz w:val="24"/>
          <w:highlight w:val="none"/>
          <w:u w:val="single"/>
        </w:rPr>
        <w:t>（投标人名称）</w:t>
      </w:r>
      <w:r>
        <w:rPr>
          <w:rFonts w:hint="eastAsia" w:asciiTheme="minorEastAsia" w:hAnsiTheme="minorEastAsia" w:eastAsiaTheme="minorEastAsia" w:cstheme="minorEastAsia"/>
          <w:kern w:val="0"/>
          <w:sz w:val="24"/>
          <w:highlight w:val="none"/>
        </w:rPr>
        <w:t>与</w:t>
      </w:r>
      <w:r>
        <w:rPr>
          <w:rFonts w:hint="eastAsia" w:asciiTheme="minorEastAsia" w:hAnsiTheme="minorEastAsia" w:eastAsiaTheme="minorEastAsia" w:cstheme="minorEastAsia"/>
          <w:kern w:val="0"/>
          <w:sz w:val="24"/>
          <w:highlight w:val="none"/>
          <w:u w:val="single"/>
        </w:rPr>
        <w:t>（所有分包投标人名称）</w:t>
      </w:r>
      <w:r>
        <w:rPr>
          <w:rFonts w:hint="eastAsia" w:asciiTheme="minorEastAsia" w:hAnsiTheme="minorEastAsia" w:eastAsiaTheme="minorEastAsia" w:cstheme="minorEastAsia"/>
          <w:kern w:val="0"/>
          <w:sz w:val="24"/>
          <w:highlight w:val="none"/>
        </w:rPr>
        <w:t>达成分包意向协议</w:t>
      </w:r>
      <w:r>
        <w:rPr>
          <w:rFonts w:hint="eastAsia" w:asciiTheme="minorEastAsia" w:hAnsiTheme="minorEastAsia" w:eastAsiaTheme="minorEastAsia" w:cstheme="minorEastAsia"/>
          <w:kern w:val="0"/>
          <w:sz w:val="24"/>
          <w:highlight w:val="none"/>
          <w:lang w:val="zh-CN"/>
        </w:rPr>
        <w:t xml:space="preserve">。 </w:t>
      </w:r>
    </w:p>
    <w:p w14:paraId="7EA2FF32">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一、分包标的及数量</w:t>
      </w:r>
    </w:p>
    <w:p w14:paraId="30E9A894">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u w:val="single"/>
        </w:rPr>
        <w:t>（投标人名称）</w:t>
      </w:r>
      <w:r>
        <w:rPr>
          <w:rFonts w:hint="eastAsia" w:asciiTheme="minorEastAsia" w:hAnsiTheme="minorEastAsia" w:eastAsiaTheme="minorEastAsia" w:cstheme="minorEastAsia"/>
          <w:kern w:val="0"/>
          <w:sz w:val="24"/>
          <w:highlight w:val="none"/>
          <w:lang w:val="zh-CN"/>
        </w:rPr>
        <w:t>将</w:t>
      </w:r>
      <w:r>
        <w:rPr>
          <w:rFonts w:hint="eastAsia" w:asciiTheme="minorEastAsia" w:hAnsiTheme="minorEastAsia" w:eastAsiaTheme="minorEastAsia" w:cstheme="minorEastAsia"/>
          <w:kern w:val="0"/>
          <w:sz w:val="24"/>
          <w:highlight w:val="none"/>
          <w:u w:val="single"/>
        </w:rPr>
        <w:t xml:space="preserve">  XX工作内容   </w:t>
      </w:r>
      <w:r>
        <w:rPr>
          <w:rFonts w:hint="eastAsia" w:asciiTheme="minorEastAsia" w:hAnsiTheme="minorEastAsia" w:eastAsiaTheme="minorEastAsia" w:cstheme="minorEastAsia"/>
          <w:sz w:val="24"/>
          <w:highlight w:val="none"/>
        </w:rPr>
        <w:t>分包给</w:t>
      </w:r>
      <w:r>
        <w:rPr>
          <w:rFonts w:hint="eastAsia" w:asciiTheme="minorEastAsia" w:hAnsiTheme="minorEastAsia" w:eastAsiaTheme="minorEastAsia" w:cstheme="minorEastAsia"/>
          <w:kern w:val="0"/>
          <w:sz w:val="24"/>
          <w:highlight w:val="none"/>
          <w:u w:val="single"/>
        </w:rPr>
        <w:t>（分包投标人1名称）</w:t>
      </w:r>
      <w:r>
        <w:rPr>
          <w:rFonts w:hint="eastAsia" w:asciiTheme="minorEastAsia" w:hAnsiTheme="minorEastAsia" w:eastAsiaTheme="minorEastAsia" w:cstheme="minorEastAsia"/>
          <w:kern w:val="0"/>
          <w:sz w:val="24"/>
          <w:highlight w:val="none"/>
          <w:lang w:val="zh-CN"/>
        </w:rPr>
        <w:t>。</w:t>
      </w:r>
      <w:r>
        <w:rPr>
          <w:rFonts w:hint="eastAsia" w:asciiTheme="minorEastAsia" w:hAnsiTheme="minorEastAsia" w:eastAsiaTheme="minorEastAsia" w:cstheme="minorEastAsia"/>
          <w:b/>
          <w:bCs/>
          <w:kern w:val="0"/>
          <w:sz w:val="24"/>
          <w:highlight w:val="none"/>
          <w:u w:val="single"/>
        </w:rPr>
        <w:t>（分包投标人1名称），</w:t>
      </w:r>
      <w:r>
        <w:rPr>
          <w:rFonts w:hint="eastAsia" w:asciiTheme="minorEastAsia" w:hAnsiTheme="minorEastAsia" w:eastAsiaTheme="minorEastAsia" w:cstheme="minorEastAsia"/>
          <w:kern w:val="0"/>
          <w:sz w:val="24"/>
          <w:highlight w:val="none"/>
          <w:lang w:val="zh-CN"/>
        </w:rPr>
        <w:t>具备承</w:t>
      </w:r>
      <w:r>
        <w:rPr>
          <w:rFonts w:hint="eastAsia" w:asciiTheme="minorEastAsia" w:hAnsiTheme="minorEastAsia" w:eastAsiaTheme="minorEastAsia" w:cstheme="minorEastAsia"/>
          <w:kern w:val="0"/>
          <w:sz w:val="24"/>
          <w:highlight w:val="none"/>
        </w:rPr>
        <w:t>担</w:t>
      </w:r>
      <w:r>
        <w:rPr>
          <w:rFonts w:hint="eastAsia" w:asciiTheme="minorEastAsia" w:hAnsiTheme="minorEastAsia" w:eastAsiaTheme="minorEastAsia" w:cstheme="minorEastAsia"/>
          <w:kern w:val="0"/>
          <w:sz w:val="24"/>
          <w:highlight w:val="none"/>
          <w:u w:val="single"/>
          <w:lang w:val="zh-CN"/>
        </w:rPr>
        <w:t>XX工作内容</w:t>
      </w:r>
      <w:r>
        <w:rPr>
          <w:rFonts w:hint="eastAsia" w:asciiTheme="minorEastAsia" w:hAnsiTheme="minorEastAsia" w:eastAsiaTheme="minorEastAsia" w:cstheme="minorEastAsia"/>
          <w:kern w:val="0"/>
          <w:sz w:val="24"/>
          <w:highlight w:val="none"/>
          <w:lang w:val="zh-CN"/>
        </w:rPr>
        <w:t>相应资质条件且不得再次分包；</w:t>
      </w:r>
    </w:p>
    <w:p w14:paraId="0B2024BC">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356EF118">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二、分包投标人中小企业合同份额</w:t>
      </w:r>
    </w:p>
    <w:p w14:paraId="59B8CFA7">
      <w:pPr>
        <w:snapToGrid w:val="0"/>
        <w:spacing w:line="360" w:lineRule="auto"/>
        <w:ind w:firstLine="576"/>
        <w:rPr>
          <w:rFonts w:hint="eastAsia" w:asciiTheme="minorEastAsia" w:hAnsiTheme="minorEastAsia" w:eastAsiaTheme="minorEastAsia" w:cstheme="minorEastAsia"/>
          <w:kern w:val="0"/>
          <w:sz w:val="24"/>
          <w:highlight w:val="none"/>
          <w:u w:val="single"/>
          <w:lang w:val="zh-CN"/>
        </w:rPr>
      </w:pPr>
      <w:r>
        <w:rPr>
          <w:rFonts w:hint="eastAsia" w:asciiTheme="minorEastAsia" w:hAnsiTheme="minorEastAsia" w:eastAsiaTheme="minorEastAsia" w:cstheme="minorEastAsia"/>
          <w:kern w:val="0"/>
          <w:sz w:val="24"/>
          <w:highlight w:val="none"/>
          <w:lang w:val="zh-CN"/>
        </w:rPr>
        <w:t>中小企业合同金额达到</w:t>
      </w:r>
      <w:r>
        <w:rPr>
          <w:rFonts w:hint="eastAsia" w:asciiTheme="minorEastAsia" w:hAnsiTheme="minorEastAsia" w:eastAsiaTheme="minorEastAsia" w:cstheme="minorEastAsia"/>
          <w:kern w:val="0"/>
          <w:sz w:val="24"/>
          <w:highlight w:val="none"/>
          <w:u w:val="single"/>
          <w:lang w:val="zh-CN"/>
        </w:rPr>
        <w:t xml:space="preserve">  %</w:t>
      </w:r>
      <w:r>
        <w:rPr>
          <w:rFonts w:hint="eastAsia" w:asciiTheme="minorEastAsia" w:hAnsiTheme="minorEastAsia" w:eastAsiaTheme="minorEastAsia" w:cstheme="minorEastAsia"/>
          <w:kern w:val="0"/>
          <w:sz w:val="24"/>
          <w:highlight w:val="none"/>
          <w:lang w:val="zh-CN"/>
        </w:rPr>
        <w:t>，小微企业合同金额达到</w:t>
      </w:r>
      <w:r>
        <w:rPr>
          <w:rFonts w:hint="eastAsia" w:asciiTheme="minorEastAsia" w:hAnsiTheme="minorEastAsia" w:eastAsiaTheme="minorEastAsia" w:cstheme="minorEastAsia"/>
          <w:kern w:val="0"/>
          <w:sz w:val="24"/>
          <w:highlight w:val="none"/>
          <w:u w:val="single"/>
          <w:lang w:val="zh-CN"/>
        </w:rPr>
        <w:t xml:space="preserve"> %</w:t>
      </w:r>
    </w:p>
    <w:p w14:paraId="44BB9BF4">
      <w:pPr>
        <w:snapToGrid w:val="0"/>
        <w:spacing w:line="360" w:lineRule="auto"/>
        <w:ind w:firstLine="576"/>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kern w:val="0"/>
          <w:sz w:val="24"/>
          <w:highlight w:val="none"/>
          <w:lang w:val="zh-CN"/>
        </w:rPr>
        <w:t>三、分包工作履行期限、地点、方式</w:t>
      </w:r>
    </w:p>
    <w:p w14:paraId="420432DE">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四、质量</w:t>
      </w:r>
    </w:p>
    <w:p w14:paraId="4E3F38AF">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五、价款或者报酬</w:t>
      </w:r>
    </w:p>
    <w:p w14:paraId="777C5078">
      <w:pPr>
        <w:snapToGrid w:val="0"/>
        <w:spacing w:line="360" w:lineRule="auto"/>
        <w:ind w:left="573" w:leftChars="273"/>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六、违约责任</w:t>
      </w:r>
    </w:p>
    <w:p w14:paraId="030F86DC">
      <w:pPr>
        <w:snapToGrid w:val="0"/>
        <w:spacing w:line="360" w:lineRule="auto"/>
        <w:ind w:firstLine="576"/>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七、争议解决的办法</w:t>
      </w:r>
    </w:p>
    <w:p w14:paraId="7E7B0F5C">
      <w:pPr>
        <w:snapToGrid w:val="0"/>
        <w:spacing w:line="360" w:lineRule="auto"/>
        <w:ind w:firstLine="576"/>
        <w:rPr>
          <w:rFonts w:hint="eastAsia" w:asciiTheme="minorEastAsia" w:hAnsiTheme="minorEastAsia" w:eastAsiaTheme="minorEastAsia" w:cstheme="minorEastAsia"/>
          <w:kern w:val="0"/>
          <w:sz w:val="24"/>
          <w:highlight w:val="none"/>
          <w:lang w:val="zh-CN"/>
        </w:rPr>
      </w:pPr>
    </w:p>
    <w:p w14:paraId="7FC58EFF">
      <w:pPr>
        <w:snapToGrid w:val="0"/>
        <w:spacing w:line="360" w:lineRule="auto"/>
        <w:ind w:left="5758" w:leftChars="342" w:hanging="5040" w:hangingChars="21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                                          投标人名称(电子签名)：</w:t>
      </w:r>
    </w:p>
    <w:p w14:paraId="2D5AD559">
      <w:pPr>
        <w:snapToGrid w:val="0"/>
        <w:spacing w:line="360" w:lineRule="auto"/>
        <w:jc w:val="right"/>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分包投标人名称(电子签名/公章)：</w:t>
      </w:r>
    </w:p>
    <w:p w14:paraId="6244F7DB">
      <w:pPr>
        <w:snapToGrid w:val="0"/>
        <w:spacing w:line="360" w:lineRule="auto"/>
        <w:ind w:firstLine="5760" w:firstLineChars="24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highlight w:val="none"/>
          <w:lang w:val="zh-CN"/>
        </w:rPr>
        <w:t>……</w:t>
      </w:r>
    </w:p>
    <w:p w14:paraId="28365C70">
      <w:pPr>
        <w:spacing w:line="360" w:lineRule="auto"/>
        <w:jc w:val="center"/>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 xml:space="preserve">                                        日期：  年  月   日</w:t>
      </w:r>
    </w:p>
    <w:p w14:paraId="740E708E">
      <w:pPr>
        <w:spacing w:line="360" w:lineRule="auto"/>
        <w:ind w:right="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注：按本格式和要求提供。</w:t>
      </w:r>
    </w:p>
    <w:p w14:paraId="148641DB">
      <w:pPr>
        <w:spacing w:line="360" w:lineRule="auto"/>
        <w:outlineLvl w:val="1"/>
        <w:rPr>
          <w:rFonts w:hint="eastAsia" w:asciiTheme="minorEastAsia" w:hAnsiTheme="minorEastAsia" w:eastAsiaTheme="minorEastAsia" w:cstheme="minorEastAsia"/>
          <w:b/>
          <w:spacing w:val="6"/>
          <w:sz w:val="32"/>
          <w:szCs w:val="32"/>
          <w:highlight w:val="none"/>
        </w:rPr>
        <w:sectPr>
          <w:headerReference r:id="rId17" w:type="first"/>
          <w:footerReference r:id="rId20" w:type="first"/>
          <w:footerReference r:id="rId18" w:type="default"/>
          <w:footerReference r:id="rId19" w:type="even"/>
          <w:pgSz w:w="11906" w:h="16838"/>
          <w:pgMar w:top="1276" w:right="1418" w:bottom="1247" w:left="1418" w:header="851" w:footer="992" w:gutter="0"/>
          <w:cols w:space="720" w:num="1"/>
          <w:titlePg/>
          <w:docGrid w:linePitch="312" w:charSpace="0"/>
        </w:sectPr>
      </w:pPr>
    </w:p>
    <w:p w14:paraId="7D5B0897">
      <w:pPr>
        <w:spacing w:line="360" w:lineRule="auto"/>
        <w:outlineLvl w:val="1"/>
        <w:rPr>
          <w:rFonts w:hint="eastAsia" w:asciiTheme="minorEastAsia" w:hAnsiTheme="minorEastAsia" w:eastAsiaTheme="minorEastAsia" w:cstheme="minorEastAsia"/>
          <w:b/>
          <w:spacing w:val="6"/>
          <w:sz w:val="32"/>
          <w:szCs w:val="32"/>
          <w:highlight w:val="none"/>
        </w:rPr>
      </w:pPr>
      <w:bookmarkStart w:id="562" w:name="_Toc7506"/>
      <w:r>
        <w:rPr>
          <w:rFonts w:hint="eastAsia" w:asciiTheme="minorEastAsia" w:hAnsiTheme="minorEastAsia" w:eastAsiaTheme="minorEastAsia" w:cstheme="minorEastAsia"/>
          <w:b/>
          <w:spacing w:val="6"/>
          <w:sz w:val="32"/>
          <w:szCs w:val="32"/>
          <w:highlight w:val="none"/>
        </w:rPr>
        <w:t>附件5：中小企业声明函</w:t>
      </w:r>
      <w:bookmarkEnd w:id="562"/>
    </w:p>
    <w:p w14:paraId="5A707A55">
      <w:pPr>
        <w:spacing w:line="360" w:lineRule="auto"/>
        <w:jc w:val="center"/>
        <w:rPr>
          <w:rFonts w:hint="eastAsia" w:asciiTheme="minorEastAsia" w:hAnsiTheme="minorEastAsia" w:eastAsiaTheme="minorEastAsia" w:cstheme="minorEastAsia"/>
          <w:sz w:val="24"/>
          <w:highlight w:val="none"/>
          <w:u w:val="single"/>
        </w:rPr>
      </w:pPr>
    </w:p>
    <w:p w14:paraId="7FF4C779">
      <w:pPr>
        <w:spacing w:line="360" w:lineRule="auto"/>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中小企业声明函（服务）</w:t>
      </w:r>
    </w:p>
    <w:p w14:paraId="7F3F523D">
      <w:pPr>
        <w:pStyle w:val="977"/>
        <w:spacing w:line="381" w:lineRule="exact"/>
        <w:ind w:firstLine="480"/>
        <w:rPr>
          <w:rFonts w:hint="eastAsia"/>
          <w:sz w:val="24"/>
          <w:highlight w:val="none"/>
        </w:rPr>
      </w:pPr>
      <w:r>
        <w:rPr>
          <w:rFonts w:hint="eastAsia"/>
          <w:sz w:val="24"/>
          <w:highlight w:val="none"/>
        </w:rPr>
        <w:t>本公司（联合体）郑重声明，根据《政府采购促进中小企业发展管理办法》（财库（2020）46号）的规定，本公司（联合体）参加</w:t>
      </w:r>
      <w:r>
        <w:rPr>
          <w:rFonts w:hint="eastAsia"/>
          <w:sz w:val="24"/>
          <w:highlight w:val="none"/>
          <w:u w:val="single"/>
          <w:lang w:val="en-US" w:eastAsia="zh-CN"/>
        </w:rPr>
        <w:t>龙港市公安局交通管理大队</w:t>
      </w:r>
      <w:r>
        <w:rPr>
          <w:rFonts w:hint="eastAsia"/>
          <w:sz w:val="24"/>
          <w:highlight w:val="none"/>
          <w:u w:val="single"/>
        </w:rPr>
        <w:t>（</w:t>
      </w:r>
      <w:r>
        <w:rPr>
          <w:rFonts w:hint="eastAsia"/>
          <w:sz w:val="24"/>
          <w:highlight w:val="none"/>
          <w:u w:val="single"/>
          <w:lang w:val="en-US" w:eastAsia="zh-CN"/>
        </w:rPr>
        <w:t>单</w:t>
      </w:r>
      <w:r>
        <w:rPr>
          <w:rFonts w:hint="eastAsia"/>
          <w:sz w:val="24"/>
          <w:highlight w:val="none"/>
          <w:u w:val="single"/>
        </w:rPr>
        <w:t>位名称）</w:t>
      </w:r>
      <w:r>
        <w:rPr>
          <w:rFonts w:hint="eastAsia"/>
          <w:sz w:val="24"/>
          <w:highlight w:val="none"/>
        </w:rPr>
        <w:t>的</w:t>
      </w:r>
      <w:r>
        <w:rPr>
          <w:rFonts w:hint="eastAsia"/>
          <w:sz w:val="24"/>
          <w:highlight w:val="none"/>
          <w:u w:val="single"/>
          <w:lang w:val="en-US" w:eastAsia="zh-CN"/>
        </w:rPr>
        <w:t>2026年-2028年龙港市交通标志标线增设和维护项目</w:t>
      </w:r>
      <w:r>
        <w:rPr>
          <w:rFonts w:hint="eastAsia"/>
          <w:sz w:val="24"/>
          <w:highlight w:val="none"/>
          <w:u w:val="single"/>
        </w:rPr>
        <w:t>（</w:t>
      </w:r>
      <w:r>
        <w:rPr>
          <w:rFonts w:hint="eastAsia"/>
          <w:sz w:val="24"/>
          <w:highlight w:val="none"/>
          <w:u w:val="single"/>
          <w:lang w:val="en-US" w:eastAsia="zh-CN"/>
        </w:rPr>
        <w:t>项目名称</w:t>
      </w:r>
      <w:r>
        <w:rPr>
          <w:rFonts w:hint="eastAsia"/>
          <w:sz w:val="24"/>
          <w:highlight w:val="none"/>
          <w:u w:val="single"/>
        </w:rPr>
        <w:t>）</w:t>
      </w:r>
      <w:r>
        <w:rPr>
          <w:rFonts w:hint="eastAsia"/>
          <w:sz w:val="24"/>
          <w:highlight w:val="none"/>
          <w:lang w:val="zh-CN" w:eastAsia="zh-CN" w:bidi="zh-CN"/>
        </w:rPr>
        <w:t>活动，</w:t>
      </w:r>
      <w:r>
        <w:rPr>
          <w:rFonts w:hint="eastAsia"/>
          <w:sz w:val="24"/>
          <w:highlight w:val="none"/>
          <w:lang w:val="en-US" w:eastAsia="zh-CN"/>
        </w:rPr>
        <w:t>服务全部由符合政策要求的中小企业承接（如联合体投标的，联合体协议中的中小企业提供的服务全部由符合政策要求的中小企业承接）。相关企业（含联合体中的中小企业）的具体情况如下</w:t>
      </w:r>
      <w:r>
        <w:rPr>
          <w:rFonts w:hint="eastAsia"/>
          <w:sz w:val="24"/>
          <w:highlight w:val="none"/>
        </w:rPr>
        <w:t>：</w:t>
      </w:r>
    </w:p>
    <w:p w14:paraId="718BEA38">
      <w:pPr>
        <w:pStyle w:val="977"/>
        <w:numPr>
          <w:ilvl w:val="0"/>
          <w:numId w:val="9"/>
        </w:numPr>
        <w:tabs>
          <w:tab w:val="left" w:pos="879"/>
        </w:tabs>
        <w:spacing w:line="381" w:lineRule="exact"/>
        <w:ind w:firstLine="480"/>
        <w:rPr>
          <w:rFonts w:hint="eastAsia"/>
          <w:sz w:val="24"/>
          <w:highlight w:val="none"/>
        </w:rPr>
      </w:pPr>
      <w:bookmarkStart w:id="563" w:name="bookmark0"/>
      <w:bookmarkEnd w:id="563"/>
      <w:r>
        <w:rPr>
          <w:rFonts w:hint="eastAsia"/>
          <w:sz w:val="24"/>
          <w:highlight w:val="none"/>
          <w:u w:val="single"/>
          <w:lang w:val="en-US" w:eastAsia="zh-CN"/>
        </w:rPr>
        <w:t>2026年-2028年龙港市交通标志标线增设和维护项目</w:t>
      </w:r>
      <w:r>
        <w:rPr>
          <w:rFonts w:hint="eastAsia"/>
          <w:sz w:val="24"/>
          <w:highlight w:val="none"/>
          <w:u w:val="single"/>
        </w:rPr>
        <w:t>（标的名称）</w:t>
      </w:r>
      <w:r>
        <w:rPr>
          <w:rFonts w:hint="eastAsia"/>
          <w:sz w:val="24"/>
          <w:highlight w:val="none"/>
          <w:lang w:eastAsia="zh-CN"/>
        </w:rPr>
        <w:t>，</w:t>
      </w:r>
      <w:r>
        <w:rPr>
          <w:rFonts w:hint="eastAsia"/>
          <w:sz w:val="24"/>
          <w:highlight w:val="none"/>
        </w:rPr>
        <w:t>属于</w:t>
      </w:r>
      <w:r>
        <w:rPr>
          <w:rFonts w:hint="eastAsia"/>
          <w:sz w:val="24"/>
          <w:highlight w:val="none"/>
          <w:u w:val="single"/>
          <w:lang w:val="en-US" w:eastAsia="zh-CN"/>
        </w:rPr>
        <w:t>其他未列明行业</w:t>
      </w:r>
      <w:r>
        <w:rPr>
          <w:rFonts w:hint="eastAsia"/>
          <w:sz w:val="24"/>
          <w:highlight w:val="none"/>
          <w:u w:val="single"/>
        </w:rPr>
        <w:t>（采购文件中明确的所属行业）</w:t>
      </w:r>
      <w:r>
        <w:rPr>
          <w:rFonts w:hint="eastAsia"/>
          <w:sz w:val="24"/>
          <w:highlight w:val="none"/>
          <w:lang w:val="en-US" w:eastAsia="zh-CN" w:bidi="en-US"/>
        </w:rPr>
        <w:t>；</w:t>
      </w:r>
      <w:r>
        <w:rPr>
          <w:rFonts w:hint="eastAsia"/>
          <w:sz w:val="24"/>
          <w:highlight w:val="none"/>
        </w:rPr>
        <w:t>承建（承接）企业为</w:t>
      </w:r>
      <w:r>
        <w:rPr>
          <w:rFonts w:hint="eastAsia"/>
          <w:sz w:val="24"/>
          <w:highlight w:val="none"/>
          <w:u w:val="single"/>
          <w:lang w:val="en-US" w:eastAsia="zh-CN"/>
        </w:rPr>
        <w:t xml:space="preserve">   </w:t>
      </w:r>
      <w:r>
        <w:rPr>
          <w:rFonts w:hint="eastAsia"/>
          <w:sz w:val="24"/>
          <w:highlight w:val="none"/>
          <w:u w:val="single"/>
        </w:rPr>
        <w:t>（企业名称）</w:t>
      </w:r>
      <w:r>
        <w:rPr>
          <w:rFonts w:hint="eastAsia"/>
          <w:i/>
          <w:iCs/>
          <w:sz w:val="24"/>
          <w:highlight w:val="none"/>
          <w:lang w:eastAsia="zh-CN"/>
        </w:rPr>
        <w:t>，</w:t>
      </w:r>
      <w:r>
        <w:rPr>
          <w:rFonts w:hint="eastAsia"/>
          <w:sz w:val="24"/>
          <w:highlight w:val="none"/>
        </w:rPr>
        <w:t>从业人员</w:t>
      </w:r>
      <w:r>
        <w:rPr>
          <w:rFonts w:hint="eastAsia"/>
          <w:sz w:val="24"/>
          <w:highlight w:val="none"/>
          <w:u w:val="single"/>
          <w:lang w:val="en-US" w:eastAsia="zh-CN"/>
        </w:rPr>
        <w:t xml:space="preserve">   </w:t>
      </w:r>
      <w:r>
        <w:rPr>
          <w:rFonts w:hint="eastAsia"/>
          <w:sz w:val="24"/>
          <w:highlight w:val="none"/>
        </w:rPr>
        <w:t>人，营业收入为</w:t>
      </w:r>
      <w:r>
        <w:rPr>
          <w:rFonts w:hint="eastAsia"/>
          <w:sz w:val="24"/>
          <w:highlight w:val="none"/>
          <w:u w:val="single"/>
          <w:lang w:val="en-US" w:eastAsia="zh-CN"/>
        </w:rPr>
        <w:t xml:space="preserve">   </w:t>
      </w:r>
      <w:r>
        <w:rPr>
          <w:rFonts w:hint="eastAsia"/>
          <w:sz w:val="24"/>
          <w:highlight w:val="none"/>
        </w:rPr>
        <w:t>万元，资产总额为</w:t>
      </w:r>
      <w:r>
        <w:rPr>
          <w:rFonts w:hint="eastAsia"/>
          <w:sz w:val="24"/>
          <w:highlight w:val="none"/>
          <w:u w:val="single"/>
          <w:lang w:val="en-US" w:eastAsia="zh-CN"/>
        </w:rPr>
        <w:t xml:space="preserve">   </w:t>
      </w:r>
      <w:r>
        <w:rPr>
          <w:rFonts w:hint="eastAsia"/>
          <w:sz w:val="24"/>
          <w:highlight w:val="none"/>
        </w:rPr>
        <w:t>万元</w:t>
      </w:r>
      <w:r>
        <w:rPr>
          <w:rStyle w:val="81"/>
          <w:rFonts w:hint="eastAsia" w:cs="宋体"/>
          <w:sz w:val="24"/>
          <w:highlight w:val="none"/>
        </w:rPr>
        <w:footnoteReference w:id="0"/>
      </w:r>
      <w:r>
        <w:rPr>
          <w:rFonts w:hint="eastAsia"/>
          <w:sz w:val="24"/>
          <w:highlight w:val="none"/>
          <w:lang w:val="en-US" w:eastAsia="zh-CN" w:bidi="en-US"/>
        </w:rPr>
        <w:t>，</w:t>
      </w:r>
      <w:r>
        <w:rPr>
          <w:rFonts w:hint="eastAsia"/>
          <w:sz w:val="24"/>
          <w:highlight w:val="none"/>
        </w:rPr>
        <w:t>属于</w:t>
      </w:r>
      <w:r>
        <w:rPr>
          <w:rFonts w:hint="eastAsia"/>
          <w:sz w:val="24"/>
          <w:highlight w:val="none"/>
          <w:u w:val="single"/>
        </w:rPr>
        <w:t>（中型企业、 小型企业、微型企业）</w:t>
      </w:r>
      <w:r>
        <w:rPr>
          <w:rFonts w:hint="eastAsia"/>
          <w:sz w:val="24"/>
          <w:highlight w:val="none"/>
          <w:lang w:eastAsia="zh-CN"/>
        </w:rPr>
        <w:t>；</w:t>
      </w:r>
    </w:p>
    <w:p w14:paraId="4D85EDD5">
      <w:pPr>
        <w:pStyle w:val="977"/>
        <w:tabs>
          <w:tab w:val="left" w:pos="879"/>
          <w:tab w:val="left" w:pos="1136"/>
          <w:tab w:val="left" w:pos="3461"/>
        </w:tabs>
        <w:spacing w:line="381" w:lineRule="exact"/>
        <w:ind w:left="480" w:firstLine="0"/>
        <w:rPr>
          <w:rFonts w:hint="eastAsia"/>
          <w:sz w:val="24"/>
          <w:highlight w:val="none"/>
          <w:lang w:val="en-US"/>
        </w:rPr>
      </w:pPr>
      <w:bookmarkStart w:id="564" w:name="bookmark1"/>
      <w:bookmarkEnd w:id="564"/>
      <w:r>
        <w:rPr>
          <w:rFonts w:hint="eastAsia"/>
          <w:sz w:val="24"/>
          <w:highlight w:val="none"/>
          <w:lang w:val="en-US" w:eastAsia="zh-CN"/>
        </w:rPr>
        <w:t>……</w:t>
      </w:r>
    </w:p>
    <w:p w14:paraId="61354307">
      <w:pPr>
        <w:pStyle w:val="977"/>
        <w:tabs>
          <w:tab w:val="left" w:leader="dot" w:pos="-4890"/>
        </w:tabs>
        <w:spacing w:line="374" w:lineRule="exact"/>
        <w:rPr>
          <w:rFonts w:hint="eastAsia"/>
          <w:sz w:val="24"/>
          <w:highlight w:val="none"/>
        </w:rPr>
      </w:pPr>
      <w:r>
        <w:rPr>
          <w:rFonts w:hint="eastAsia"/>
          <w:sz w:val="24"/>
          <w:highlight w:val="none"/>
        </w:rPr>
        <w:t>以上企业，不属于大企业的分支机构，不存在控股股东为大企业的情形，也不存在与大企业的负责人为同一人的情形。</w:t>
      </w:r>
    </w:p>
    <w:p w14:paraId="4F2282A5">
      <w:pPr>
        <w:pStyle w:val="977"/>
        <w:spacing w:line="374" w:lineRule="exact"/>
        <w:ind w:firstLine="480"/>
        <w:rPr>
          <w:rFonts w:hint="eastAsia"/>
          <w:sz w:val="24"/>
          <w:highlight w:val="none"/>
        </w:rPr>
      </w:pPr>
      <w:r>
        <w:rPr>
          <w:rFonts w:hint="eastAsia"/>
          <w:sz w:val="24"/>
          <w:highlight w:val="none"/>
        </w:rPr>
        <w:t>本企业对上述声明内容的真实性负责。如有虚假，将依法承担相应责任。</w:t>
      </w:r>
    </w:p>
    <w:p w14:paraId="27E34171">
      <w:pPr>
        <w:pStyle w:val="977"/>
        <w:spacing w:line="372" w:lineRule="exact"/>
        <w:jc w:val="left"/>
        <w:rPr>
          <w:rFonts w:hint="eastAsia"/>
          <w:sz w:val="24"/>
          <w:highlight w:val="none"/>
        </w:rPr>
      </w:pPr>
    </w:p>
    <w:p w14:paraId="055C2DAB">
      <w:pPr>
        <w:pStyle w:val="977"/>
        <w:spacing w:line="372" w:lineRule="exact"/>
        <w:ind w:firstLine="4468" w:firstLineChars="1862"/>
        <w:jc w:val="left"/>
        <w:rPr>
          <w:rFonts w:hint="eastAsia"/>
          <w:sz w:val="24"/>
          <w:highlight w:val="none"/>
        </w:rPr>
      </w:pPr>
      <w:r>
        <w:rPr>
          <w:rFonts w:hint="eastAsia"/>
          <w:sz w:val="24"/>
          <w:highlight w:val="none"/>
        </w:rPr>
        <w:t>企业名称（</w:t>
      </w:r>
      <w:r>
        <w:rPr>
          <w:rFonts w:hint="eastAsia"/>
          <w:sz w:val="24"/>
          <w:highlight w:val="none"/>
          <w:lang w:eastAsia="zh-CN"/>
        </w:rPr>
        <w:t>电子签名或公章</w:t>
      </w:r>
      <w:r>
        <w:rPr>
          <w:rFonts w:hint="eastAsia"/>
          <w:sz w:val="24"/>
          <w:highlight w:val="none"/>
        </w:rPr>
        <w:t>）：</w:t>
      </w:r>
    </w:p>
    <w:p w14:paraId="6DF953E9">
      <w:pPr>
        <w:pStyle w:val="59"/>
        <w:spacing w:before="0" w:beforeAutospacing="0" w:after="0" w:afterAutospacing="0" w:line="360" w:lineRule="auto"/>
        <w:ind w:firstLine="480" w:firstLineChars="200"/>
        <w:jc w:val="center"/>
        <w:rPr>
          <w:rFonts w:hint="eastAsia"/>
          <w:sz w:val="22"/>
          <w:highlight w:val="none"/>
          <w:shd w:val="clear" w:color="auto" w:fill="FFFFFF"/>
        </w:rPr>
      </w:pPr>
      <w:r>
        <w:rPr>
          <w:rFonts w:hint="eastAsia"/>
          <w:highlight w:val="none"/>
        </w:rPr>
        <w:t>日期：</w:t>
      </w:r>
      <w:r>
        <w:rPr>
          <w:rFonts w:hint="eastAsia"/>
          <w:sz w:val="22"/>
          <w:highlight w:val="none"/>
          <w:shd w:val="clear" w:color="auto" w:fill="FFFFFF"/>
        </w:rPr>
        <w:t>　</w:t>
      </w:r>
    </w:p>
    <w:p w14:paraId="110D32EF">
      <w:pPr>
        <w:snapToGrid w:val="0"/>
        <w:spacing w:line="360" w:lineRule="auto"/>
        <w:rPr>
          <w:rFonts w:hint="eastAsia" w:asciiTheme="minorEastAsia" w:hAnsiTheme="minorEastAsia" w:eastAsiaTheme="minorEastAsia" w:cstheme="minorEastAsia"/>
          <w:kern w:val="0"/>
          <w:sz w:val="24"/>
          <w:highlight w:val="none"/>
          <w:lang w:val="zh-CN"/>
        </w:rPr>
      </w:pPr>
    </w:p>
    <w:p w14:paraId="037FC14C">
      <w:pPr>
        <w:spacing w:line="360" w:lineRule="auto"/>
        <w:ind w:right="420"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42FFACB8">
      <w:pPr>
        <w:spacing w:line="360" w:lineRule="auto"/>
        <w:jc w:val="center"/>
        <w:rPr>
          <w:rFonts w:hint="eastAsia" w:asciiTheme="minorEastAsia" w:hAnsiTheme="minorEastAsia" w:eastAsiaTheme="minorEastAsia" w:cstheme="minorEastAsia"/>
          <w:b/>
          <w:sz w:val="32"/>
          <w:szCs w:val="32"/>
          <w:highlight w:val="none"/>
        </w:rPr>
      </w:pPr>
    </w:p>
    <w:p w14:paraId="0E33F162">
      <w:pPr>
        <w:spacing w:line="360" w:lineRule="auto"/>
        <w:rPr>
          <w:rFonts w:hint="eastAsia" w:asciiTheme="minorEastAsia" w:hAnsiTheme="minorEastAsia" w:eastAsiaTheme="minorEastAsia" w:cstheme="minorEastAsia"/>
          <w:bCs/>
          <w:sz w:val="24"/>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Yu Mincho Light">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B5DE">
    <w:pPr>
      <w:pStyle w:val="41"/>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740F2">
                          <w:pPr>
                            <w:pStyle w:val="41"/>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8740F2">
                    <w:pPr>
                      <w:pStyle w:val="41"/>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9A5D1">
    <w:pPr>
      <w:pStyle w:val="41"/>
      <w:jc w:val="cente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9E067">
                          <w:pPr>
                            <w:pStyle w:val="41"/>
                            <w:jc w:val="center"/>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BD9E067">
                    <w:pPr>
                      <w:pStyle w:val="41"/>
                      <w:jc w:val="center"/>
                    </w:pPr>
                    <w:r>
                      <w:fldChar w:fldCharType="begin"/>
                    </w:r>
                    <w:r>
                      <w:instrText xml:space="preserve"> PAGE  \* MERGEFORMAT </w:instrText>
                    </w:r>
                    <w:r>
                      <w:fldChar w:fldCharType="separate"/>
                    </w:r>
                    <w:r>
                      <w:t>68</w:t>
                    </w:r>
                    <w:r>
                      <w:fldChar w:fldCharType="end"/>
                    </w:r>
                  </w:p>
                </w:txbxContent>
              </v:textbox>
            </v:shape>
          </w:pict>
        </mc:Fallback>
      </mc:AlternateContent>
    </w:r>
  </w:p>
  <w:p w14:paraId="18ED7121">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BCCF8">
    <w:pPr>
      <w:pStyle w:val="41"/>
      <w:jc w:val="center"/>
      <w:rPr>
        <w:rFonts w:ascii="仿宋_GB2312" w:eastAsia="仿宋_GB2312"/>
        <w:szCs w:val="24"/>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4CB67">
                          <w:pPr>
                            <w:pStyle w:val="41"/>
                            <w:jc w:val="center"/>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254CB67">
                    <w:pPr>
                      <w:pStyle w:val="41"/>
                      <w:jc w:val="center"/>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F8CA">
    <w:pPr>
      <w:pStyle w:val="41"/>
      <w:framePr w:wrap="around" w:vAnchor="text" w:hAnchor="margin" w:xAlign="right" w:y="1"/>
      <w:rPr>
        <w:rStyle w:val="74"/>
      </w:rPr>
    </w:pPr>
    <w:r>
      <w:fldChar w:fldCharType="begin"/>
    </w:r>
    <w:r>
      <w:rPr>
        <w:rStyle w:val="74"/>
      </w:rPr>
      <w:instrText xml:space="preserve">PAGE  </w:instrText>
    </w:r>
    <w:r>
      <w:fldChar w:fldCharType="end"/>
    </w:r>
  </w:p>
  <w:p w14:paraId="0A93E1F6">
    <w:pPr>
      <w:pStyle w:val="41"/>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C81E">
    <w:pPr>
      <w:pStyle w:val="41"/>
      <w:jc w:val="center"/>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4483A">
                          <w:pPr>
                            <w:pStyle w:val="41"/>
                            <w:jc w:val="center"/>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2E4483A">
                    <w:pPr>
                      <w:pStyle w:val="41"/>
                      <w:jc w:val="center"/>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CC00">
    <w:pPr>
      <w:pStyle w:val="41"/>
      <w:framePr w:wrap="around" w:vAnchor="text" w:hAnchor="margin" w:xAlign="right" w:y="1"/>
      <w:rPr>
        <w:rStyle w:val="74"/>
      </w:rPr>
    </w:pPr>
    <w:r>
      <w:fldChar w:fldCharType="begin"/>
    </w:r>
    <w:r>
      <w:rPr>
        <w:rStyle w:val="74"/>
      </w:rPr>
      <w:instrText xml:space="preserve">PAGE  </w:instrText>
    </w:r>
    <w:r>
      <w:fldChar w:fldCharType="end"/>
    </w:r>
  </w:p>
  <w:p w14:paraId="34C3684F">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D5639">
    <w:pPr>
      <w:pStyle w:val="41"/>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65533">
                          <w:pPr>
                            <w:pStyle w:val="41"/>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7F65533">
                    <w:pPr>
                      <w:pStyle w:val="41"/>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22A71">
    <w:pPr>
      <w:pStyle w:val="4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D76A17">
                          <w:pPr>
                            <w:pStyle w:val="4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60D76A17">
                    <w:pPr>
                      <w:pStyle w:val="41"/>
                    </w:pPr>
                    <w:r>
                      <w:fldChar w:fldCharType="begin"/>
                    </w:r>
                    <w:r>
                      <w:instrText xml:space="preserve"> PAGE  \* MERGEFORMAT </w:instrText>
                    </w:r>
                    <w:r>
                      <w:fldChar w:fldCharType="separate"/>
                    </w:r>
                    <w:r>
                      <w:t>1</w:t>
                    </w:r>
                    <w:r>
                      <w:fldChar w:fldCharType="end"/>
                    </w:r>
                  </w:p>
                </w:txbxContent>
              </v:textbox>
            </v:shape>
          </w:pict>
        </mc:Fallback>
      </mc:AlternateContent>
    </w:r>
  </w:p>
  <w:p w14:paraId="5B91E88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6747">
    <w:pPr>
      <w:pStyle w:val="41"/>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60AF5EF">
                          <w:pPr>
                            <w:pStyle w:val="41"/>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j/mCPKAQAAl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pORyoO/2UdsIXeWUEeoqRjOK3ObdistxFM/Zz3+T+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Dj/mCPKAQAAlwMAAA4AAAAAAAAAAQAgAAAAIgEAAGRycy9l&#10;Mm9Eb2MueG1sUEsFBgAAAAAGAAYAWQEAAF4FAAAAAA==&#10;">
              <v:fill on="f" focussize="0,0"/>
              <v:stroke on="f" weight="1.25pt"/>
              <v:imagedata o:title=""/>
              <o:lock v:ext="edit" aspectratio="f"/>
              <v:textbox inset="0mm,0mm,0mm,0mm" style="mso-fit-shape-to-text:t;">
                <w:txbxContent>
                  <w:p w14:paraId="360AF5EF">
                    <w:pPr>
                      <w:pStyle w:val="41"/>
                    </w:pPr>
                    <w:r>
                      <w:fldChar w:fldCharType="begin"/>
                    </w:r>
                    <w:r>
                      <w:instrText xml:space="preserve"> PAGE  \* MERGEFORMAT </w:instrText>
                    </w:r>
                    <w:r>
                      <w:fldChar w:fldCharType="separate"/>
                    </w:r>
                    <w:r>
                      <w:t>22</w:t>
                    </w:r>
                    <w:r>
                      <w:fldChar w:fldCharType="end"/>
                    </w:r>
                  </w:p>
                </w:txbxContent>
              </v:textbox>
            </v:shape>
          </w:pict>
        </mc:Fallback>
      </mc:AlternateContent>
    </w:r>
  </w:p>
  <w:p w14:paraId="3A5465F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E893">
    <w:pPr>
      <w:pStyle w:val="41"/>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DE557">
                          <w:pPr>
                            <w:pStyle w:val="41"/>
                            <w:jc w:val="center"/>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71DE557">
                    <w:pPr>
                      <w:pStyle w:val="41"/>
                      <w:jc w:val="center"/>
                    </w:pPr>
                    <w:r>
                      <w:fldChar w:fldCharType="begin"/>
                    </w:r>
                    <w:r>
                      <w:instrText xml:space="preserve"> PAGE  \* MERGEFORMAT </w:instrText>
                    </w:r>
                    <w:r>
                      <w:fldChar w:fldCharType="separate"/>
                    </w:r>
                    <w:r>
                      <w:t>39</w:t>
                    </w:r>
                    <w:r>
                      <w:fldChar w:fldCharType="end"/>
                    </w:r>
                  </w:p>
                </w:txbxContent>
              </v:textbox>
            </v:shape>
          </w:pict>
        </mc:Fallback>
      </mc:AlternateContent>
    </w:r>
  </w:p>
  <w:p w14:paraId="0EB8263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6182">
    <w:pPr>
      <w:pStyle w:val="4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41ABE">
                          <w:pPr>
                            <w:pStyle w:val="41"/>
                            <w:jc w:val="center"/>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7541ABE">
                    <w:pPr>
                      <w:pStyle w:val="41"/>
                      <w:jc w:val="center"/>
                    </w:pPr>
                    <w:r>
                      <w:fldChar w:fldCharType="begin"/>
                    </w:r>
                    <w:r>
                      <w:instrText xml:space="preserve"> PAGE  \* MERGEFORMAT </w:instrText>
                    </w:r>
                    <w:r>
                      <w:fldChar w:fldCharType="separate"/>
                    </w:r>
                    <w:r>
                      <w:t>65</w:t>
                    </w:r>
                    <w:r>
                      <w:fldChar w:fldCharType="end"/>
                    </w:r>
                  </w:p>
                </w:txbxContent>
              </v:textbox>
            </v:shape>
          </w:pict>
        </mc:Fallback>
      </mc:AlternateContent>
    </w:r>
  </w:p>
  <w:p w14:paraId="5A307A99">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D3453">
    <w:pPr>
      <w:pStyle w:val="41"/>
      <w:jc w:val="cente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853AC">
                          <w:pPr>
                            <w:pStyle w:val="41"/>
                            <w:jc w:val="center"/>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DA853AC">
                    <w:pPr>
                      <w:pStyle w:val="41"/>
                      <w:jc w:val="center"/>
                    </w:pPr>
                    <w:r>
                      <w:fldChar w:fldCharType="begin"/>
                    </w:r>
                    <w:r>
                      <w:instrText xml:space="preserve"> PAGE  \* MERGEFORMAT </w:instrText>
                    </w:r>
                    <w:r>
                      <w:fldChar w:fldCharType="separate"/>
                    </w:r>
                    <w:r>
                      <w:t>64</w:t>
                    </w:r>
                    <w:r>
                      <w:fldChar w:fldCharType="end"/>
                    </w:r>
                  </w:p>
                </w:txbxContent>
              </v:textbox>
            </v:shape>
          </w:pict>
        </mc:Fallback>
      </mc:AlternateContent>
    </w:r>
  </w:p>
  <w:p w14:paraId="1655F03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64C2">
    <w:pPr>
      <w:pStyle w:val="41"/>
      <w:jc w:val="cente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0915">
                          <w:pPr>
                            <w:pStyle w:val="41"/>
                            <w:jc w:val="center"/>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B5F0915">
                    <w:pPr>
                      <w:pStyle w:val="41"/>
                      <w:jc w:val="center"/>
                    </w:pPr>
                    <w:r>
                      <w:fldChar w:fldCharType="begin"/>
                    </w:r>
                    <w:r>
                      <w:instrText xml:space="preserve"> PAGE  \* MERGEFORMAT </w:instrText>
                    </w:r>
                    <w:r>
                      <w:fldChar w:fldCharType="separate"/>
                    </w:r>
                    <w:r>
                      <w:t>70</w:t>
                    </w:r>
                    <w:r>
                      <w:fldChar w:fldCharType="end"/>
                    </w:r>
                  </w:p>
                </w:txbxContent>
              </v:textbox>
            </v:shape>
          </w:pict>
        </mc:Fallback>
      </mc:AlternateContent>
    </w:r>
  </w:p>
  <w:p w14:paraId="4EF3E3D8">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E2C7CE5">
      <w:pPr>
        <w:pStyle w:val="51"/>
      </w:pPr>
      <w:r>
        <w:rPr>
          <w:rStyle w:val="81"/>
        </w:rPr>
        <w:footnoteRef/>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DF89">
    <w:pPr>
      <w:pStyle w:val="42"/>
      <w:pBdr>
        <w:bottom w:val="single" w:color="auto" w:sz="6" w:space="4"/>
      </w:pBdr>
      <w:jc w:val="right"/>
      <w:rPr>
        <w:rFonts w:ascii="仿宋_GB2312" w:eastAsia="仿宋_GB2312"/>
        <w:i/>
        <w:u w:val="single"/>
      </w:rPr>
    </w:pPr>
    <w:r>
      <w:t></w:t>
    </w:r>
    <w:r>
      <w:rPr>
        <w:rFonts w:hint="eastAsia"/>
      </w:rPr>
      <w:t>温州市</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0EA8">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rPr>
      <w:t>温州</w:t>
    </w:r>
    <w:r>
      <w:rPr>
        <w:lang w:val="zh-CN"/>
      </w:rPr>
      <w:t>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77D8">
    <w:pPr>
      <w:pStyle w:val="42"/>
      <w:jc w:val="right"/>
      <w:rPr>
        <w:rFonts w:ascii="仿宋_GB2312"/>
        <w:b/>
        <w:i/>
        <w:u w:val="single"/>
      </w:rPr>
    </w:pPr>
    <w:r>
      <w:rPr>
        <w:rFonts w:hint="eastAsia"/>
      </w:rPr>
      <w:t>温州</w:t>
    </w:r>
    <w:r>
      <w:t>市政府采购公开招标文件</w:t>
    </w:r>
    <w:r>
      <w:rPr>
        <w:rFonts w:hint="eastAsia"/>
      </w:rPr>
      <w:t>(货物类)</w:t>
    </w:r>
  </w:p>
  <w:p w14:paraId="1B3F2412">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5513">
    <w:pPr>
      <w:pStyle w:val="42"/>
    </w:pPr>
    <w:r>
      <w:t></w:t>
    </w:r>
    <w:r>
      <w:rPr>
        <w:rFonts w:hint="eastAsia"/>
      </w:rPr>
      <w:t>温州</w:t>
    </w:r>
    <w:r>
      <w:t>市政府采购公开招标文件</w:t>
    </w:r>
    <w:r>
      <w:rPr>
        <w:rFonts w:hint="eastAsia"/>
      </w:rPr>
      <w:t>(货物类)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54105"/>
    <w:multiLevelType w:val="singleLevel"/>
    <w:tmpl w:val="84C54105"/>
    <w:lvl w:ilvl="0" w:tentative="0">
      <w:start w:val="1"/>
      <w:numFmt w:val="chineseCounting"/>
      <w:suff w:val="nothing"/>
      <w:lvlText w:val="%1、"/>
      <w:lvlJc w:val="left"/>
      <w:rPr>
        <w:rFonts w:hint="eastAsia"/>
      </w:rPr>
    </w:lvl>
  </w:abstractNum>
  <w:abstractNum w:abstractNumId="1">
    <w:nsid w:val="C42CDD79"/>
    <w:multiLevelType w:val="singleLevel"/>
    <w:tmpl w:val="C42CDD79"/>
    <w:lvl w:ilvl="0" w:tentative="0">
      <w:start w:val="1"/>
      <w:numFmt w:val="decimal"/>
      <w:suff w:val="nothing"/>
      <w:lvlText w:val="（%1）"/>
      <w:lvlJc w:val="left"/>
    </w:lvl>
  </w:abstractNum>
  <w:abstractNum w:abstractNumId="2">
    <w:nsid w:val="CF13A496"/>
    <w:multiLevelType w:val="singleLevel"/>
    <w:tmpl w:val="CF13A496"/>
    <w:lvl w:ilvl="0" w:tentative="0">
      <w:start w:val="1"/>
      <w:numFmt w:val="decimal"/>
      <w:suff w:val="nothing"/>
      <w:lvlText w:val="（%1）"/>
      <w:lvlJc w:val="left"/>
    </w:lvl>
  </w:abstractNum>
  <w:abstractNum w:abstractNumId="3">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4">
    <w:nsid w:val="30400FA6"/>
    <w:multiLevelType w:val="singleLevel"/>
    <w:tmpl w:val="30400FA6"/>
    <w:lvl w:ilvl="0" w:tentative="0">
      <w:start w:val="8"/>
      <w:numFmt w:val="chineseCounting"/>
      <w:suff w:val="nothing"/>
      <w:lvlText w:val="（%1）"/>
      <w:lvlJc w:val="left"/>
      <w:rPr>
        <w:rFonts w:hint="eastAsia"/>
      </w:rPr>
    </w:lvl>
  </w:abstractNum>
  <w:abstractNum w:abstractNumId="5">
    <w:nsid w:val="40CBE669"/>
    <w:multiLevelType w:val="singleLevel"/>
    <w:tmpl w:val="40CBE669"/>
    <w:lvl w:ilvl="0" w:tentative="0">
      <w:start w:val="1"/>
      <w:numFmt w:val="decimal"/>
      <w:suff w:val="nothing"/>
      <w:lvlText w:val="%1、"/>
      <w:lvlJc w:val="left"/>
    </w:lvl>
  </w:abstractNum>
  <w:abstractNum w:abstractNumId="6">
    <w:nsid w:val="4E583D29"/>
    <w:multiLevelType w:val="multilevel"/>
    <w:tmpl w:val="4E583D29"/>
    <w:lvl w:ilvl="0" w:tentative="0">
      <w:start w:val="1"/>
      <w:numFmt w:val="decimal"/>
      <w:suff w:val="space"/>
      <w:lvlText w:val="%1"/>
      <w:lvlJc w:val="left"/>
      <w:pPr>
        <w:ind w:left="0" w:firstLine="0"/>
      </w:pPr>
      <w:rPr>
        <w:rFonts w:ascii="Calibri" w:hAnsi="Calibri" w:eastAsia="黑体"/>
      </w:rPr>
    </w:lvl>
    <w:lvl w:ilvl="1" w:tentative="0">
      <w:start w:val="1"/>
      <w:numFmt w:val="decimal"/>
      <w:suff w:val="space"/>
      <w:lvlText w:val="%1.%2"/>
      <w:lvlJc w:val="left"/>
      <w:pPr>
        <w:ind w:left="0" w:firstLine="0"/>
      </w:pPr>
      <w:rPr>
        <w:rFonts w:ascii="Calibri" w:hAnsi="Calibri" w:eastAsia="黑体"/>
      </w:rPr>
    </w:lvl>
    <w:lvl w:ilvl="2" w:tentative="0">
      <w:start w:val="1"/>
      <w:numFmt w:val="decimal"/>
      <w:suff w:val="space"/>
      <w:lvlText w:val="%1.%2.%3"/>
      <w:lvlJc w:val="left"/>
      <w:pPr>
        <w:ind w:left="0" w:firstLine="0"/>
      </w:pPr>
      <w:rPr>
        <w:rFonts w:ascii="Calibri" w:hAnsi="Calibri" w:eastAsia="黑体"/>
      </w:rPr>
    </w:lvl>
    <w:lvl w:ilvl="3" w:tentative="0">
      <w:start w:val="1"/>
      <w:numFmt w:val="decimal"/>
      <w:suff w:val="space"/>
      <w:lvlText w:val="%1.%2.%3.%4"/>
      <w:lvlJc w:val="left"/>
      <w:pPr>
        <w:ind w:left="0" w:firstLine="0"/>
      </w:pPr>
      <w:rPr>
        <w:rFonts w:ascii="Calibri" w:hAnsi="Calibri" w:eastAsia="黑体"/>
      </w:rPr>
    </w:lvl>
    <w:lvl w:ilvl="4" w:tentative="0">
      <w:start w:val="1"/>
      <w:numFmt w:val="decimal"/>
      <w:suff w:val="space"/>
      <w:lvlText w:val="%1.%2.%3.%4.%5"/>
      <w:lvlJc w:val="left"/>
      <w:pPr>
        <w:ind w:left="0" w:firstLine="0"/>
      </w:pPr>
      <w:rPr>
        <w:rFonts w:ascii="Calibri" w:hAnsi="Calibri" w:eastAsia="黑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76FEBE2C"/>
    <w:multiLevelType w:val="singleLevel"/>
    <w:tmpl w:val="76FEBE2C"/>
    <w:lvl w:ilvl="0" w:tentative="0">
      <w:start w:val="1"/>
      <w:numFmt w:val="decimal"/>
      <w:suff w:val="nothing"/>
      <w:lvlText w:val="（%1）"/>
      <w:lvlJc w:val="left"/>
    </w:lvl>
  </w:abstractNum>
  <w:abstractNum w:abstractNumId="8">
    <w:nsid w:val="7832B314"/>
    <w:multiLevelType w:val="singleLevel"/>
    <w:tmpl w:val="7832B314"/>
    <w:lvl w:ilvl="0" w:tentative="0">
      <w:start w:val="1"/>
      <w:numFmt w:val="decimal"/>
      <w:suff w:val="nothing"/>
      <w:lvlText w:val="%1、"/>
      <w:lvlJc w:val="left"/>
      <w:pPr>
        <w:ind w:left="210" w:firstLine="0"/>
      </w:pPr>
    </w:lvl>
  </w:abstractNum>
  <w:num w:numId="1">
    <w:abstractNumId w:val="6"/>
    <w:lvlOverride w:ilvl="0">
      <w:lvl w:ilvl="0" w:tentative="1">
        <w:start w:val="0"/>
        <w:numFmt w:val="decimal"/>
        <w:pStyle w:val="986"/>
        <w:lvlText w:val=""/>
        <w:lvlJc w:val="left"/>
      </w:lvl>
    </w:lvlOverride>
    <w:lvlOverride w:ilvl="1">
      <w:lvl w:ilvl="1" w:tentative="1">
        <w:start w:val="1"/>
        <w:numFmt w:val="decimal"/>
        <w:suff w:val="space"/>
        <w:lvlText w:val="%1.%2"/>
        <w:lvlJc w:val="left"/>
        <w:pPr>
          <w:ind w:left="9924" w:firstLine="0"/>
        </w:pPr>
        <w:rPr>
          <w:rFonts w:ascii="Calibri" w:hAnsi="Calibri" w:eastAsia="黑体"/>
        </w:rPr>
      </w:lvl>
    </w:lvlOverride>
    <w:lvlOverride w:ilvl="2">
      <w:lvl w:ilvl="2" w:tentative="1">
        <w:start w:val="1"/>
        <w:numFmt w:val="decimal"/>
        <w:suff w:val="space"/>
        <w:lvlText w:val="%1.%2.%3"/>
        <w:lvlJc w:val="left"/>
        <w:pPr>
          <w:ind w:left="0" w:firstLine="0"/>
        </w:pPr>
        <w:rPr>
          <w:rFonts w:ascii="Calibri" w:hAnsi="Calibri" w:eastAsia="黑体"/>
        </w:rPr>
      </w:lvl>
    </w:lvlOverride>
  </w:num>
  <w:num w:numId="2">
    <w:abstractNumId w:val="5"/>
  </w:num>
  <w:num w:numId="3">
    <w:abstractNumId w:val="1"/>
  </w:num>
  <w:num w:numId="4">
    <w:abstractNumId w:val="8"/>
  </w:num>
  <w:num w:numId="5">
    <w:abstractNumId w:val="4"/>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NjZjZmVlODYxMGJhMWU3MDJhMzI4ZDNkYTQ1MzYifQ=="/>
    <w:docVar w:name="KSO_WPS_MARK_KEY" w:val="4d347cf1-1e4f-4d15-affa-2be11069bc4f"/>
  </w:docVars>
  <w:rsids>
    <w:rsidRoot w:val="00172A27"/>
    <w:rsid w:val="00000451"/>
    <w:rsid w:val="00000BAA"/>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AE4"/>
    <w:rsid w:val="00030CB3"/>
    <w:rsid w:val="0003206A"/>
    <w:rsid w:val="000326A7"/>
    <w:rsid w:val="00032EA0"/>
    <w:rsid w:val="000331B0"/>
    <w:rsid w:val="0003353E"/>
    <w:rsid w:val="000336D4"/>
    <w:rsid w:val="00034FA7"/>
    <w:rsid w:val="0003533D"/>
    <w:rsid w:val="000357E4"/>
    <w:rsid w:val="00035ACA"/>
    <w:rsid w:val="00036C29"/>
    <w:rsid w:val="00036CB1"/>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A7D"/>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395A"/>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1AE9"/>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2CC"/>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57F1A"/>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BF0"/>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E8A"/>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3ADA"/>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852"/>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3C38"/>
    <w:rsid w:val="00234248"/>
    <w:rsid w:val="0023449F"/>
    <w:rsid w:val="002344F5"/>
    <w:rsid w:val="0023454D"/>
    <w:rsid w:val="00234679"/>
    <w:rsid w:val="002359FC"/>
    <w:rsid w:val="002361C8"/>
    <w:rsid w:val="00236690"/>
    <w:rsid w:val="0023669D"/>
    <w:rsid w:val="00237C4B"/>
    <w:rsid w:val="00237EAE"/>
    <w:rsid w:val="00237FA2"/>
    <w:rsid w:val="002403D5"/>
    <w:rsid w:val="00240C1F"/>
    <w:rsid w:val="00240F55"/>
    <w:rsid w:val="00240F67"/>
    <w:rsid w:val="00241144"/>
    <w:rsid w:val="00242510"/>
    <w:rsid w:val="00242F79"/>
    <w:rsid w:val="002438E2"/>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69"/>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3F39"/>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1DDC"/>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4B8B"/>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AA0"/>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2EF7"/>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06F"/>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470F"/>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17EF4"/>
    <w:rsid w:val="004210C0"/>
    <w:rsid w:val="004211DD"/>
    <w:rsid w:val="00421762"/>
    <w:rsid w:val="00421D4B"/>
    <w:rsid w:val="00421ED8"/>
    <w:rsid w:val="00422907"/>
    <w:rsid w:val="00423125"/>
    <w:rsid w:val="00423309"/>
    <w:rsid w:val="004233AD"/>
    <w:rsid w:val="00423C6D"/>
    <w:rsid w:val="00424446"/>
    <w:rsid w:val="00424867"/>
    <w:rsid w:val="00425341"/>
    <w:rsid w:val="004255FE"/>
    <w:rsid w:val="00425674"/>
    <w:rsid w:val="00425A82"/>
    <w:rsid w:val="00425C60"/>
    <w:rsid w:val="00426B2C"/>
    <w:rsid w:val="00427FA8"/>
    <w:rsid w:val="0043009D"/>
    <w:rsid w:val="0043026B"/>
    <w:rsid w:val="00430299"/>
    <w:rsid w:val="004306D4"/>
    <w:rsid w:val="004309C1"/>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7E8"/>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A70EA"/>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42F"/>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9A0"/>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2C0"/>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2D64"/>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DB2"/>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5AC4"/>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5F78"/>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462"/>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9E3"/>
    <w:rsid w:val="006C6A51"/>
    <w:rsid w:val="006C6EBD"/>
    <w:rsid w:val="006C7E04"/>
    <w:rsid w:val="006C7F79"/>
    <w:rsid w:val="006D0004"/>
    <w:rsid w:val="006D015F"/>
    <w:rsid w:val="006D060E"/>
    <w:rsid w:val="006D0681"/>
    <w:rsid w:val="006D0A80"/>
    <w:rsid w:val="006D0AE8"/>
    <w:rsid w:val="006D135C"/>
    <w:rsid w:val="006D2F72"/>
    <w:rsid w:val="006D43C1"/>
    <w:rsid w:val="006D4D4C"/>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76F"/>
    <w:rsid w:val="0072388C"/>
    <w:rsid w:val="0072454E"/>
    <w:rsid w:val="00724552"/>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398E"/>
    <w:rsid w:val="00793F79"/>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406"/>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9A2"/>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40A"/>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89E"/>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50D"/>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4853"/>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B5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2DD"/>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0E9E"/>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4F02"/>
    <w:rsid w:val="00995B01"/>
    <w:rsid w:val="00996055"/>
    <w:rsid w:val="00996EF4"/>
    <w:rsid w:val="00997044"/>
    <w:rsid w:val="00997BC9"/>
    <w:rsid w:val="009A113D"/>
    <w:rsid w:val="009A1ECA"/>
    <w:rsid w:val="009A2BE9"/>
    <w:rsid w:val="009A2BF3"/>
    <w:rsid w:val="009A3688"/>
    <w:rsid w:val="009A36D4"/>
    <w:rsid w:val="009A3713"/>
    <w:rsid w:val="009A3C3E"/>
    <w:rsid w:val="009A4153"/>
    <w:rsid w:val="009A4C2C"/>
    <w:rsid w:val="009A59B3"/>
    <w:rsid w:val="009A5FAE"/>
    <w:rsid w:val="009A6B3A"/>
    <w:rsid w:val="009A70A3"/>
    <w:rsid w:val="009A73C5"/>
    <w:rsid w:val="009A7E7C"/>
    <w:rsid w:val="009B05D2"/>
    <w:rsid w:val="009B1355"/>
    <w:rsid w:val="009B152B"/>
    <w:rsid w:val="009B2731"/>
    <w:rsid w:val="009B2DCF"/>
    <w:rsid w:val="009B39D8"/>
    <w:rsid w:val="009B3D38"/>
    <w:rsid w:val="009B4368"/>
    <w:rsid w:val="009B4D4C"/>
    <w:rsid w:val="009B66F5"/>
    <w:rsid w:val="009B7505"/>
    <w:rsid w:val="009C0020"/>
    <w:rsid w:val="009C03F7"/>
    <w:rsid w:val="009C10DA"/>
    <w:rsid w:val="009C15AE"/>
    <w:rsid w:val="009C19FC"/>
    <w:rsid w:val="009C27F7"/>
    <w:rsid w:val="009C3BC4"/>
    <w:rsid w:val="009C3C93"/>
    <w:rsid w:val="009C3E97"/>
    <w:rsid w:val="009C4017"/>
    <w:rsid w:val="009C424E"/>
    <w:rsid w:val="009C4708"/>
    <w:rsid w:val="009C4870"/>
    <w:rsid w:val="009C4C4E"/>
    <w:rsid w:val="009C4D37"/>
    <w:rsid w:val="009C512B"/>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34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0F41"/>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AD0"/>
    <w:rsid w:val="00A847F9"/>
    <w:rsid w:val="00A84F27"/>
    <w:rsid w:val="00A8519C"/>
    <w:rsid w:val="00A855EE"/>
    <w:rsid w:val="00A8597A"/>
    <w:rsid w:val="00A85B87"/>
    <w:rsid w:val="00A85F83"/>
    <w:rsid w:val="00A86019"/>
    <w:rsid w:val="00A86DF4"/>
    <w:rsid w:val="00A86EED"/>
    <w:rsid w:val="00A8733A"/>
    <w:rsid w:val="00A9151F"/>
    <w:rsid w:val="00A9196B"/>
    <w:rsid w:val="00A91BB5"/>
    <w:rsid w:val="00A91BEE"/>
    <w:rsid w:val="00A91D4B"/>
    <w:rsid w:val="00A920B2"/>
    <w:rsid w:val="00A92A96"/>
    <w:rsid w:val="00A92AF0"/>
    <w:rsid w:val="00A93096"/>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6709"/>
    <w:rsid w:val="00AB756A"/>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0B0"/>
    <w:rsid w:val="00AE315E"/>
    <w:rsid w:val="00AE319F"/>
    <w:rsid w:val="00AE31D9"/>
    <w:rsid w:val="00AE3CF0"/>
    <w:rsid w:val="00AE4546"/>
    <w:rsid w:val="00AE6575"/>
    <w:rsid w:val="00AE71EE"/>
    <w:rsid w:val="00AE7368"/>
    <w:rsid w:val="00AE7ADA"/>
    <w:rsid w:val="00AF03CF"/>
    <w:rsid w:val="00AF0A0A"/>
    <w:rsid w:val="00AF14FC"/>
    <w:rsid w:val="00AF1DCB"/>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0F8A"/>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4C2B"/>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06B"/>
    <w:rsid w:val="00BF739A"/>
    <w:rsid w:val="00BF7EF5"/>
    <w:rsid w:val="00C00BF6"/>
    <w:rsid w:val="00C01146"/>
    <w:rsid w:val="00C0234A"/>
    <w:rsid w:val="00C0247B"/>
    <w:rsid w:val="00C0303F"/>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83F"/>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7C9"/>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743"/>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12"/>
    <w:rsid w:val="00C90B95"/>
    <w:rsid w:val="00C90BC4"/>
    <w:rsid w:val="00C90CA9"/>
    <w:rsid w:val="00C91802"/>
    <w:rsid w:val="00C918CA"/>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8D6"/>
    <w:rsid w:val="00CE6BA9"/>
    <w:rsid w:val="00CE71C3"/>
    <w:rsid w:val="00CE727A"/>
    <w:rsid w:val="00CF029C"/>
    <w:rsid w:val="00CF0AF0"/>
    <w:rsid w:val="00CF157E"/>
    <w:rsid w:val="00CF1631"/>
    <w:rsid w:val="00CF1834"/>
    <w:rsid w:val="00CF1AAA"/>
    <w:rsid w:val="00CF1EC2"/>
    <w:rsid w:val="00CF2ACF"/>
    <w:rsid w:val="00CF345B"/>
    <w:rsid w:val="00CF3752"/>
    <w:rsid w:val="00CF475F"/>
    <w:rsid w:val="00CF4E36"/>
    <w:rsid w:val="00CF5008"/>
    <w:rsid w:val="00CF5069"/>
    <w:rsid w:val="00CF5E34"/>
    <w:rsid w:val="00CF6707"/>
    <w:rsid w:val="00CF7101"/>
    <w:rsid w:val="00CF7327"/>
    <w:rsid w:val="00CF7385"/>
    <w:rsid w:val="00CF7539"/>
    <w:rsid w:val="00CF75C6"/>
    <w:rsid w:val="00CF7B77"/>
    <w:rsid w:val="00CF7DF5"/>
    <w:rsid w:val="00D001D2"/>
    <w:rsid w:val="00D00E7F"/>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9CC"/>
    <w:rsid w:val="00D10BE1"/>
    <w:rsid w:val="00D11FE3"/>
    <w:rsid w:val="00D12393"/>
    <w:rsid w:val="00D12945"/>
    <w:rsid w:val="00D12CC0"/>
    <w:rsid w:val="00D12DA1"/>
    <w:rsid w:val="00D130C0"/>
    <w:rsid w:val="00D13328"/>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1A4B"/>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AE1"/>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8E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53A"/>
    <w:rsid w:val="00E00C1E"/>
    <w:rsid w:val="00E00F5F"/>
    <w:rsid w:val="00E010E6"/>
    <w:rsid w:val="00E01377"/>
    <w:rsid w:val="00E014E7"/>
    <w:rsid w:val="00E017DE"/>
    <w:rsid w:val="00E0232F"/>
    <w:rsid w:val="00E026A9"/>
    <w:rsid w:val="00E0356F"/>
    <w:rsid w:val="00E03B42"/>
    <w:rsid w:val="00E03B6A"/>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6F5A"/>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78C"/>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50D"/>
    <w:rsid w:val="00E80AF8"/>
    <w:rsid w:val="00E80BED"/>
    <w:rsid w:val="00E816E8"/>
    <w:rsid w:val="00E819C8"/>
    <w:rsid w:val="00E82592"/>
    <w:rsid w:val="00E825ED"/>
    <w:rsid w:val="00E827BB"/>
    <w:rsid w:val="00E82B37"/>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7F7"/>
    <w:rsid w:val="00ED18B1"/>
    <w:rsid w:val="00ED1ADE"/>
    <w:rsid w:val="00ED1E2A"/>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CB7"/>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86C64"/>
    <w:rsid w:val="010D427B"/>
    <w:rsid w:val="0112077C"/>
    <w:rsid w:val="011F6449"/>
    <w:rsid w:val="01236AFB"/>
    <w:rsid w:val="015500B5"/>
    <w:rsid w:val="015D50E0"/>
    <w:rsid w:val="0168325F"/>
    <w:rsid w:val="01695955"/>
    <w:rsid w:val="017244EE"/>
    <w:rsid w:val="018C6405"/>
    <w:rsid w:val="01944054"/>
    <w:rsid w:val="019F7441"/>
    <w:rsid w:val="01A7647D"/>
    <w:rsid w:val="01B37585"/>
    <w:rsid w:val="01BD35AB"/>
    <w:rsid w:val="01C20BC1"/>
    <w:rsid w:val="01D04EC2"/>
    <w:rsid w:val="01D134FA"/>
    <w:rsid w:val="01D55165"/>
    <w:rsid w:val="01DD59FB"/>
    <w:rsid w:val="01DF6BF8"/>
    <w:rsid w:val="01EC2C57"/>
    <w:rsid w:val="01F82835"/>
    <w:rsid w:val="02054F52"/>
    <w:rsid w:val="021A09FD"/>
    <w:rsid w:val="021A6C4F"/>
    <w:rsid w:val="021F6013"/>
    <w:rsid w:val="0227136C"/>
    <w:rsid w:val="02306473"/>
    <w:rsid w:val="025F0711"/>
    <w:rsid w:val="025F0B06"/>
    <w:rsid w:val="025F28B4"/>
    <w:rsid w:val="026B2E25"/>
    <w:rsid w:val="026B3007"/>
    <w:rsid w:val="02704AC1"/>
    <w:rsid w:val="02824D4D"/>
    <w:rsid w:val="028E3199"/>
    <w:rsid w:val="02936A01"/>
    <w:rsid w:val="02985DC6"/>
    <w:rsid w:val="029A7D90"/>
    <w:rsid w:val="02A47092"/>
    <w:rsid w:val="02AE55E9"/>
    <w:rsid w:val="02C170CB"/>
    <w:rsid w:val="02C866AB"/>
    <w:rsid w:val="02D1478D"/>
    <w:rsid w:val="02D768EE"/>
    <w:rsid w:val="02DC4B10"/>
    <w:rsid w:val="02DD76CE"/>
    <w:rsid w:val="02F36323"/>
    <w:rsid w:val="02F5619C"/>
    <w:rsid w:val="02F7364A"/>
    <w:rsid w:val="02FA438B"/>
    <w:rsid w:val="03045209"/>
    <w:rsid w:val="03060F81"/>
    <w:rsid w:val="030E7E36"/>
    <w:rsid w:val="03195159"/>
    <w:rsid w:val="0321400D"/>
    <w:rsid w:val="0326446A"/>
    <w:rsid w:val="032D5555"/>
    <w:rsid w:val="03394EB3"/>
    <w:rsid w:val="036634D2"/>
    <w:rsid w:val="036D7252"/>
    <w:rsid w:val="0374413D"/>
    <w:rsid w:val="039447DF"/>
    <w:rsid w:val="03CA1FAF"/>
    <w:rsid w:val="03CC77EB"/>
    <w:rsid w:val="03D35307"/>
    <w:rsid w:val="03DB0660"/>
    <w:rsid w:val="03DD35E4"/>
    <w:rsid w:val="03DD6186"/>
    <w:rsid w:val="03E77AA4"/>
    <w:rsid w:val="03F434D0"/>
    <w:rsid w:val="03F90AE6"/>
    <w:rsid w:val="03FF60FC"/>
    <w:rsid w:val="04001E75"/>
    <w:rsid w:val="04076900"/>
    <w:rsid w:val="040B65F0"/>
    <w:rsid w:val="04115E30"/>
    <w:rsid w:val="041871BE"/>
    <w:rsid w:val="041A5A3B"/>
    <w:rsid w:val="041D6583"/>
    <w:rsid w:val="042311BA"/>
    <w:rsid w:val="042B157A"/>
    <w:rsid w:val="04441D61"/>
    <w:rsid w:val="04536448"/>
    <w:rsid w:val="045B70AB"/>
    <w:rsid w:val="048F763B"/>
    <w:rsid w:val="0490686B"/>
    <w:rsid w:val="04930EDB"/>
    <w:rsid w:val="04983E5B"/>
    <w:rsid w:val="049F330E"/>
    <w:rsid w:val="04A24CDA"/>
    <w:rsid w:val="04A942BA"/>
    <w:rsid w:val="04A953AD"/>
    <w:rsid w:val="04AA775C"/>
    <w:rsid w:val="04AF1889"/>
    <w:rsid w:val="04B844FD"/>
    <w:rsid w:val="04BA0275"/>
    <w:rsid w:val="04BF7EFA"/>
    <w:rsid w:val="04C23293"/>
    <w:rsid w:val="04D07A99"/>
    <w:rsid w:val="04D806FC"/>
    <w:rsid w:val="04E62B47"/>
    <w:rsid w:val="04ED41A7"/>
    <w:rsid w:val="04F27A0F"/>
    <w:rsid w:val="04F449E4"/>
    <w:rsid w:val="04F66F48"/>
    <w:rsid w:val="051777D5"/>
    <w:rsid w:val="052102F4"/>
    <w:rsid w:val="052120A3"/>
    <w:rsid w:val="05251E14"/>
    <w:rsid w:val="053C512E"/>
    <w:rsid w:val="05476E5D"/>
    <w:rsid w:val="054A5C5E"/>
    <w:rsid w:val="055661F0"/>
    <w:rsid w:val="056A3686"/>
    <w:rsid w:val="057743B8"/>
    <w:rsid w:val="05917228"/>
    <w:rsid w:val="05A131E3"/>
    <w:rsid w:val="05A14F91"/>
    <w:rsid w:val="05A16594"/>
    <w:rsid w:val="05A21435"/>
    <w:rsid w:val="05A56F80"/>
    <w:rsid w:val="05A7762D"/>
    <w:rsid w:val="05AB7BBE"/>
    <w:rsid w:val="05EA6938"/>
    <w:rsid w:val="05F6352F"/>
    <w:rsid w:val="05FB0B46"/>
    <w:rsid w:val="05FD48BE"/>
    <w:rsid w:val="060A2B37"/>
    <w:rsid w:val="060C2D53"/>
    <w:rsid w:val="060E5941"/>
    <w:rsid w:val="06110FAF"/>
    <w:rsid w:val="061614DB"/>
    <w:rsid w:val="06204BEB"/>
    <w:rsid w:val="063522A9"/>
    <w:rsid w:val="0648365F"/>
    <w:rsid w:val="06493CA7"/>
    <w:rsid w:val="064A73D7"/>
    <w:rsid w:val="065564A8"/>
    <w:rsid w:val="065A6178"/>
    <w:rsid w:val="06640499"/>
    <w:rsid w:val="066F1CF3"/>
    <w:rsid w:val="067803E8"/>
    <w:rsid w:val="06871610"/>
    <w:rsid w:val="06930BB8"/>
    <w:rsid w:val="069D39AB"/>
    <w:rsid w:val="069F7723"/>
    <w:rsid w:val="06A0349B"/>
    <w:rsid w:val="06AC1E40"/>
    <w:rsid w:val="06B036DE"/>
    <w:rsid w:val="06C1684A"/>
    <w:rsid w:val="06C278B5"/>
    <w:rsid w:val="06D373CC"/>
    <w:rsid w:val="06D73361"/>
    <w:rsid w:val="06DF3FC3"/>
    <w:rsid w:val="06F757B1"/>
    <w:rsid w:val="06FC6923"/>
    <w:rsid w:val="07061550"/>
    <w:rsid w:val="070E6657"/>
    <w:rsid w:val="07153728"/>
    <w:rsid w:val="07245D42"/>
    <w:rsid w:val="07264C62"/>
    <w:rsid w:val="07481B68"/>
    <w:rsid w:val="074A3B33"/>
    <w:rsid w:val="07554285"/>
    <w:rsid w:val="0757624F"/>
    <w:rsid w:val="0779354C"/>
    <w:rsid w:val="077C1812"/>
    <w:rsid w:val="077D7F4A"/>
    <w:rsid w:val="078619F3"/>
    <w:rsid w:val="07862691"/>
    <w:rsid w:val="07866B35"/>
    <w:rsid w:val="07921036"/>
    <w:rsid w:val="07927288"/>
    <w:rsid w:val="079A613C"/>
    <w:rsid w:val="07A5520D"/>
    <w:rsid w:val="07B40FAC"/>
    <w:rsid w:val="07BC60B3"/>
    <w:rsid w:val="07C82CA9"/>
    <w:rsid w:val="07CA07CF"/>
    <w:rsid w:val="07CD4764"/>
    <w:rsid w:val="07E06245"/>
    <w:rsid w:val="07E35D35"/>
    <w:rsid w:val="07E6312F"/>
    <w:rsid w:val="07F10452"/>
    <w:rsid w:val="08053EFD"/>
    <w:rsid w:val="08061376"/>
    <w:rsid w:val="08251EAA"/>
    <w:rsid w:val="08452D77"/>
    <w:rsid w:val="08536A17"/>
    <w:rsid w:val="08585DDB"/>
    <w:rsid w:val="085F360E"/>
    <w:rsid w:val="086401F8"/>
    <w:rsid w:val="08751CAA"/>
    <w:rsid w:val="08752E31"/>
    <w:rsid w:val="087D3A94"/>
    <w:rsid w:val="087E15BA"/>
    <w:rsid w:val="087E4C40"/>
    <w:rsid w:val="08836BD0"/>
    <w:rsid w:val="08852948"/>
    <w:rsid w:val="088E3EF3"/>
    <w:rsid w:val="089E3A0A"/>
    <w:rsid w:val="08A07782"/>
    <w:rsid w:val="08A871D0"/>
    <w:rsid w:val="08B2796D"/>
    <w:rsid w:val="08BA0844"/>
    <w:rsid w:val="08C863EC"/>
    <w:rsid w:val="08D66AD6"/>
    <w:rsid w:val="08DA33A3"/>
    <w:rsid w:val="08E80F13"/>
    <w:rsid w:val="08E87F44"/>
    <w:rsid w:val="08EB5D3D"/>
    <w:rsid w:val="08F0070A"/>
    <w:rsid w:val="08F301FA"/>
    <w:rsid w:val="08FA3336"/>
    <w:rsid w:val="09012917"/>
    <w:rsid w:val="09022778"/>
    <w:rsid w:val="09023F99"/>
    <w:rsid w:val="090B39B3"/>
    <w:rsid w:val="090D12BC"/>
    <w:rsid w:val="09175C96"/>
    <w:rsid w:val="091D7025"/>
    <w:rsid w:val="09335624"/>
    <w:rsid w:val="09383E5F"/>
    <w:rsid w:val="09385C0D"/>
    <w:rsid w:val="093E76C7"/>
    <w:rsid w:val="09412D13"/>
    <w:rsid w:val="0944690F"/>
    <w:rsid w:val="09466C4C"/>
    <w:rsid w:val="09535675"/>
    <w:rsid w:val="0958005D"/>
    <w:rsid w:val="095F057D"/>
    <w:rsid w:val="09642282"/>
    <w:rsid w:val="09733572"/>
    <w:rsid w:val="09772C16"/>
    <w:rsid w:val="098353B5"/>
    <w:rsid w:val="099866AB"/>
    <w:rsid w:val="099A0675"/>
    <w:rsid w:val="09A92330"/>
    <w:rsid w:val="09B06B87"/>
    <w:rsid w:val="09C13146"/>
    <w:rsid w:val="09C6146A"/>
    <w:rsid w:val="09D04097"/>
    <w:rsid w:val="09E04166"/>
    <w:rsid w:val="09F61D50"/>
    <w:rsid w:val="09FC6C3A"/>
    <w:rsid w:val="0A067AB9"/>
    <w:rsid w:val="0A1C0718"/>
    <w:rsid w:val="0A1E4E03"/>
    <w:rsid w:val="0A20501F"/>
    <w:rsid w:val="0A252635"/>
    <w:rsid w:val="0A2A7C4B"/>
    <w:rsid w:val="0A344980"/>
    <w:rsid w:val="0A3E7710"/>
    <w:rsid w:val="0A4D7496"/>
    <w:rsid w:val="0A530F50"/>
    <w:rsid w:val="0A544CC8"/>
    <w:rsid w:val="0A5B7E63"/>
    <w:rsid w:val="0A6749FB"/>
    <w:rsid w:val="0A7315F2"/>
    <w:rsid w:val="0A740EC6"/>
    <w:rsid w:val="0A805ABD"/>
    <w:rsid w:val="0A83110A"/>
    <w:rsid w:val="0A8455AD"/>
    <w:rsid w:val="0A863549"/>
    <w:rsid w:val="0A913826"/>
    <w:rsid w:val="0A917CCA"/>
    <w:rsid w:val="0A9652E1"/>
    <w:rsid w:val="0AA374A5"/>
    <w:rsid w:val="0AAB7649"/>
    <w:rsid w:val="0AB47515"/>
    <w:rsid w:val="0ABC5606"/>
    <w:rsid w:val="0ABF65E6"/>
    <w:rsid w:val="0ACF4E8E"/>
    <w:rsid w:val="0AD007F3"/>
    <w:rsid w:val="0ADD4CBE"/>
    <w:rsid w:val="0AE147AE"/>
    <w:rsid w:val="0AE71698"/>
    <w:rsid w:val="0AF0679F"/>
    <w:rsid w:val="0AFB3396"/>
    <w:rsid w:val="0B095AB3"/>
    <w:rsid w:val="0B0A5387"/>
    <w:rsid w:val="0B1D50BA"/>
    <w:rsid w:val="0B2B77D7"/>
    <w:rsid w:val="0B301291"/>
    <w:rsid w:val="0B30404E"/>
    <w:rsid w:val="0B3643CE"/>
    <w:rsid w:val="0B3D39AE"/>
    <w:rsid w:val="0B466FAE"/>
    <w:rsid w:val="0B4C6C14"/>
    <w:rsid w:val="0B547599"/>
    <w:rsid w:val="0B5E5DFE"/>
    <w:rsid w:val="0B631A88"/>
    <w:rsid w:val="0B64718D"/>
    <w:rsid w:val="0B6727D9"/>
    <w:rsid w:val="0B683D45"/>
    <w:rsid w:val="0B6D4294"/>
    <w:rsid w:val="0B776EC0"/>
    <w:rsid w:val="0B7F3F11"/>
    <w:rsid w:val="0B7F3FC7"/>
    <w:rsid w:val="0B837613"/>
    <w:rsid w:val="0B884417"/>
    <w:rsid w:val="0BA13F3D"/>
    <w:rsid w:val="0BB53545"/>
    <w:rsid w:val="0BC62E9C"/>
    <w:rsid w:val="0BC65752"/>
    <w:rsid w:val="0BD25EA5"/>
    <w:rsid w:val="0BD7170D"/>
    <w:rsid w:val="0BD936D7"/>
    <w:rsid w:val="0BEA7692"/>
    <w:rsid w:val="0BF6188C"/>
    <w:rsid w:val="0BF73C91"/>
    <w:rsid w:val="0C083FBC"/>
    <w:rsid w:val="0C170175"/>
    <w:rsid w:val="0C215C32"/>
    <w:rsid w:val="0C25691C"/>
    <w:rsid w:val="0C2D3A23"/>
    <w:rsid w:val="0C403756"/>
    <w:rsid w:val="0C463D95"/>
    <w:rsid w:val="0C571A41"/>
    <w:rsid w:val="0C580AA0"/>
    <w:rsid w:val="0C5C1171"/>
    <w:rsid w:val="0C5E1CBC"/>
    <w:rsid w:val="0C5E598A"/>
    <w:rsid w:val="0C5E5EFE"/>
    <w:rsid w:val="0C615B50"/>
    <w:rsid w:val="0C7358DA"/>
    <w:rsid w:val="0C767178"/>
    <w:rsid w:val="0C776A4C"/>
    <w:rsid w:val="0C8445DA"/>
    <w:rsid w:val="0C87121B"/>
    <w:rsid w:val="0C9F4821"/>
    <w:rsid w:val="0CA27F6D"/>
    <w:rsid w:val="0CA77331"/>
    <w:rsid w:val="0CA830A9"/>
    <w:rsid w:val="0CA84E57"/>
    <w:rsid w:val="0CBA3508"/>
    <w:rsid w:val="0CC007F7"/>
    <w:rsid w:val="0CC021A1"/>
    <w:rsid w:val="0CC617AC"/>
    <w:rsid w:val="0CC71496"/>
    <w:rsid w:val="0CD21ED4"/>
    <w:rsid w:val="0CE618DF"/>
    <w:rsid w:val="0CF06F2A"/>
    <w:rsid w:val="0CFE707A"/>
    <w:rsid w:val="0D0227BA"/>
    <w:rsid w:val="0D063BDA"/>
    <w:rsid w:val="0D08375F"/>
    <w:rsid w:val="0D184CFB"/>
    <w:rsid w:val="0D1A2A5B"/>
    <w:rsid w:val="0D1F2C91"/>
    <w:rsid w:val="0D1F511A"/>
    <w:rsid w:val="0D417786"/>
    <w:rsid w:val="0D474670"/>
    <w:rsid w:val="0D4A7419"/>
    <w:rsid w:val="0D611BD6"/>
    <w:rsid w:val="0D7336B7"/>
    <w:rsid w:val="0D75742F"/>
    <w:rsid w:val="0D827401"/>
    <w:rsid w:val="0D84094E"/>
    <w:rsid w:val="0D854AD0"/>
    <w:rsid w:val="0D8A00E9"/>
    <w:rsid w:val="0D8D589E"/>
    <w:rsid w:val="0DA01C73"/>
    <w:rsid w:val="0DA675E9"/>
    <w:rsid w:val="0DC65EDD"/>
    <w:rsid w:val="0DCD1019"/>
    <w:rsid w:val="0DD63300"/>
    <w:rsid w:val="0DD63C67"/>
    <w:rsid w:val="0DDF6F9F"/>
    <w:rsid w:val="0DF447F8"/>
    <w:rsid w:val="0DF50604"/>
    <w:rsid w:val="0DF702FE"/>
    <w:rsid w:val="0E060E51"/>
    <w:rsid w:val="0E06452B"/>
    <w:rsid w:val="0E0D7668"/>
    <w:rsid w:val="0E15651D"/>
    <w:rsid w:val="0E1704E7"/>
    <w:rsid w:val="0E197DBB"/>
    <w:rsid w:val="0E1A3B33"/>
    <w:rsid w:val="0E2C21E4"/>
    <w:rsid w:val="0E3966AF"/>
    <w:rsid w:val="0E422893"/>
    <w:rsid w:val="0E5604B2"/>
    <w:rsid w:val="0E567261"/>
    <w:rsid w:val="0E582F4D"/>
    <w:rsid w:val="0E604004"/>
    <w:rsid w:val="0E6B25E0"/>
    <w:rsid w:val="0E6D5D79"/>
    <w:rsid w:val="0E840FC4"/>
    <w:rsid w:val="0E913C6B"/>
    <w:rsid w:val="0E991A02"/>
    <w:rsid w:val="0E9D0089"/>
    <w:rsid w:val="0EA474D2"/>
    <w:rsid w:val="0EB328CE"/>
    <w:rsid w:val="0EB803EE"/>
    <w:rsid w:val="0EC56195"/>
    <w:rsid w:val="0ED308B1"/>
    <w:rsid w:val="0ED939EE"/>
    <w:rsid w:val="0EE728DC"/>
    <w:rsid w:val="0EF30E7F"/>
    <w:rsid w:val="0EF56A7A"/>
    <w:rsid w:val="0EF600FC"/>
    <w:rsid w:val="0EF63A53"/>
    <w:rsid w:val="0EF94D4B"/>
    <w:rsid w:val="0F080A16"/>
    <w:rsid w:val="0F0A3BA7"/>
    <w:rsid w:val="0F0E3698"/>
    <w:rsid w:val="0F1A64E0"/>
    <w:rsid w:val="0F20786F"/>
    <w:rsid w:val="0F234C69"/>
    <w:rsid w:val="0F247CAD"/>
    <w:rsid w:val="0F2E7DCF"/>
    <w:rsid w:val="0F3155D8"/>
    <w:rsid w:val="0F334EAC"/>
    <w:rsid w:val="0F421593"/>
    <w:rsid w:val="0F4672D5"/>
    <w:rsid w:val="0F4958DC"/>
    <w:rsid w:val="0F4C0664"/>
    <w:rsid w:val="0F515DF7"/>
    <w:rsid w:val="0F596BA8"/>
    <w:rsid w:val="0F5F2145"/>
    <w:rsid w:val="0F6248D2"/>
    <w:rsid w:val="0F693536"/>
    <w:rsid w:val="0F735BF1"/>
    <w:rsid w:val="0F753DCD"/>
    <w:rsid w:val="0F7A6F7F"/>
    <w:rsid w:val="0F7B0511"/>
    <w:rsid w:val="0F7B76D9"/>
    <w:rsid w:val="0F7D6A6F"/>
    <w:rsid w:val="0F816ACD"/>
    <w:rsid w:val="0F9832DB"/>
    <w:rsid w:val="0FA97864"/>
    <w:rsid w:val="0FAC24A5"/>
    <w:rsid w:val="0FBF3FD2"/>
    <w:rsid w:val="0FBF7FF3"/>
    <w:rsid w:val="0FC1695C"/>
    <w:rsid w:val="0FC338F7"/>
    <w:rsid w:val="0FCC70AF"/>
    <w:rsid w:val="0FD87FAF"/>
    <w:rsid w:val="0FDA5C70"/>
    <w:rsid w:val="0FF02D9D"/>
    <w:rsid w:val="0FFE195E"/>
    <w:rsid w:val="100A7FDF"/>
    <w:rsid w:val="101747CE"/>
    <w:rsid w:val="10190546"/>
    <w:rsid w:val="102D2243"/>
    <w:rsid w:val="104906FF"/>
    <w:rsid w:val="10490802"/>
    <w:rsid w:val="10646583"/>
    <w:rsid w:val="1066305F"/>
    <w:rsid w:val="106A1193"/>
    <w:rsid w:val="107C6D27"/>
    <w:rsid w:val="107D4B15"/>
    <w:rsid w:val="10861954"/>
    <w:rsid w:val="108A3C80"/>
    <w:rsid w:val="10A32505"/>
    <w:rsid w:val="10A83678"/>
    <w:rsid w:val="10BE4C49"/>
    <w:rsid w:val="10C2298C"/>
    <w:rsid w:val="10C26171"/>
    <w:rsid w:val="10CC380A"/>
    <w:rsid w:val="10D206F5"/>
    <w:rsid w:val="10E02E12"/>
    <w:rsid w:val="10F33360"/>
    <w:rsid w:val="10FC16EA"/>
    <w:rsid w:val="110E3E23"/>
    <w:rsid w:val="110F1D40"/>
    <w:rsid w:val="111451B1"/>
    <w:rsid w:val="11161701"/>
    <w:rsid w:val="11252F1A"/>
    <w:rsid w:val="11266F33"/>
    <w:rsid w:val="11276C93"/>
    <w:rsid w:val="11357601"/>
    <w:rsid w:val="113D0264"/>
    <w:rsid w:val="114535BD"/>
    <w:rsid w:val="1145536B"/>
    <w:rsid w:val="116E6670"/>
    <w:rsid w:val="117A3266"/>
    <w:rsid w:val="118963A1"/>
    <w:rsid w:val="1193257A"/>
    <w:rsid w:val="11963E18"/>
    <w:rsid w:val="11A227BD"/>
    <w:rsid w:val="11AC0F46"/>
    <w:rsid w:val="11B20C52"/>
    <w:rsid w:val="11BD75F7"/>
    <w:rsid w:val="11BE3980"/>
    <w:rsid w:val="11C06625"/>
    <w:rsid w:val="11C24C0D"/>
    <w:rsid w:val="11C6522A"/>
    <w:rsid w:val="11CC3396"/>
    <w:rsid w:val="11DF756D"/>
    <w:rsid w:val="11E104CC"/>
    <w:rsid w:val="11E132E5"/>
    <w:rsid w:val="11E20309"/>
    <w:rsid w:val="120945EA"/>
    <w:rsid w:val="120E1C01"/>
    <w:rsid w:val="12174F59"/>
    <w:rsid w:val="121E232E"/>
    <w:rsid w:val="12255233"/>
    <w:rsid w:val="122B27B2"/>
    <w:rsid w:val="124B69B1"/>
    <w:rsid w:val="12503FC7"/>
    <w:rsid w:val="12530213"/>
    <w:rsid w:val="127723A9"/>
    <w:rsid w:val="127E6D86"/>
    <w:rsid w:val="12862074"/>
    <w:rsid w:val="12883761"/>
    <w:rsid w:val="12883966"/>
    <w:rsid w:val="129E45B4"/>
    <w:rsid w:val="12C549B5"/>
    <w:rsid w:val="12CF1390"/>
    <w:rsid w:val="12D81596"/>
    <w:rsid w:val="12DC3AAD"/>
    <w:rsid w:val="12E666D9"/>
    <w:rsid w:val="12E806A4"/>
    <w:rsid w:val="12FE3A23"/>
    <w:rsid w:val="13024F2E"/>
    <w:rsid w:val="13072A44"/>
    <w:rsid w:val="13217712"/>
    <w:rsid w:val="13382DC7"/>
    <w:rsid w:val="133D09EF"/>
    <w:rsid w:val="134E6759"/>
    <w:rsid w:val="135F4BE2"/>
    <w:rsid w:val="136A730B"/>
    <w:rsid w:val="137912FC"/>
    <w:rsid w:val="137C7F3A"/>
    <w:rsid w:val="138C54D3"/>
    <w:rsid w:val="138E4DA7"/>
    <w:rsid w:val="138F28CD"/>
    <w:rsid w:val="13904FC3"/>
    <w:rsid w:val="139A4807"/>
    <w:rsid w:val="139B1A0A"/>
    <w:rsid w:val="139D25C7"/>
    <w:rsid w:val="139F5206"/>
    <w:rsid w:val="13A91BE1"/>
    <w:rsid w:val="13B32A60"/>
    <w:rsid w:val="13BF3CE4"/>
    <w:rsid w:val="13BF7656"/>
    <w:rsid w:val="13C7475D"/>
    <w:rsid w:val="13C77A9D"/>
    <w:rsid w:val="13C92283"/>
    <w:rsid w:val="13CE5AEB"/>
    <w:rsid w:val="13D84274"/>
    <w:rsid w:val="13DD7ADC"/>
    <w:rsid w:val="13E42553"/>
    <w:rsid w:val="13E76BAD"/>
    <w:rsid w:val="13EE6D2D"/>
    <w:rsid w:val="13FA243C"/>
    <w:rsid w:val="140212F1"/>
    <w:rsid w:val="140B289C"/>
    <w:rsid w:val="141008D8"/>
    <w:rsid w:val="14123C2A"/>
    <w:rsid w:val="14125FE6"/>
    <w:rsid w:val="14151024"/>
    <w:rsid w:val="141C6857"/>
    <w:rsid w:val="14270D58"/>
    <w:rsid w:val="14321BD6"/>
    <w:rsid w:val="144162BD"/>
    <w:rsid w:val="144D675B"/>
    <w:rsid w:val="145C06AD"/>
    <w:rsid w:val="145D29CB"/>
    <w:rsid w:val="146D0E60"/>
    <w:rsid w:val="146D271E"/>
    <w:rsid w:val="14733F9D"/>
    <w:rsid w:val="14795A57"/>
    <w:rsid w:val="147E12BF"/>
    <w:rsid w:val="148F527B"/>
    <w:rsid w:val="14900FF3"/>
    <w:rsid w:val="14982588"/>
    <w:rsid w:val="149A5AD9"/>
    <w:rsid w:val="14A7619D"/>
    <w:rsid w:val="14B7657F"/>
    <w:rsid w:val="14C238EF"/>
    <w:rsid w:val="14DA401C"/>
    <w:rsid w:val="14EB7563"/>
    <w:rsid w:val="14F0383F"/>
    <w:rsid w:val="14F275B8"/>
    <w:rsid w:val="14F41582"/>
    <w:rsid w:val="14F7697C"/>
    <w:rsid w:val="150536C3"/>
    <w:rsid w:val="150572EB"/>
    <w:rsid w:val="150C1963"/>
    <w:rsid w:val="151447A0"/>
    <w:rsid w:val="151C63E2"/>
    <w:rsid w:val="15376E72"/>
    <w:rsid w:val="15415E49"/>
    <w:rsid w:val="15492B0F"/>
    <w:rsid w:val="154A6454"/>
    <w:rsid w:val="15543DCE"/>
    <w:rsid w:val="155D0ED5"/>
    <w:rsid w:val="1562473D"/>
    <w:rsid w:val="1562635D"/>
    <w:rsid w:val="15714980"/>
    <w:rsid w:val="15762120"/>
    <w:rsid w:val="159D39C7"/>
    <w:rsid w:val="15AE34DE"/>
    <w:rsid w:val="15B14D7D"/>
    <w:rsid w:val="15BB4099"/>
    <w:rsid w:val="15C03212"/>
    <w:rsid w:val="15E213DA"/>
    <w:rsid w:val="15E52C78"/>
    <w:rsid w:val="15F630D7"/>
    <w:rsid w:val="15FF3D3A"/>
    <w:rsid w:val="16117F11"/>
    <w:rsid w:val="161F618A"/>
    <w:rsid w:val="1625549A"/>
    <w:rsid w:val="1642631D"/>
    <w:rsid w:val="164756E1"/>
    <w:rsid w:val="165C118C"/>
    <w:rsid w:val="16663DB9"/>
    <w:rsid w:val="16695657"/>
    <w:rsid w:val="166E2C6E"/>
    <w:rsid w:val="167C538B"/>
    <w:rsid w:val="16893F4C"/>
    <w:rsid w:val="16A8729C"/>
    <w:rsid w:val="16AD19E8"/>
    <w:rsid w:val="16B33777"/>
    <w:rsid w:val="16B859F6"/>
    <w:rsid w:val="16BC70A7"/>
    <w:rsid w:val="16C6339E"/>
    <w:rsid w:val="16CB46CC"/>
    <w:rsid w:val="16CD208A"/>
    <w:rsid w:val="16DE1BA1"/>
    <w:rsid w:val="16E55626"/>
    <w:rsid w:val="16EA2C3C"/>
    <w:rsid w:val="17017F86"/>
    <w:rsid w:val="17033CFE"/>
    <w:rsid w:val="170A6E3A"/>
    <w:rsid w:val="17190E2C"/>
    <w:rsid w:val="1720040C"/>
    <w:rsid w:val="17202C93"/>
    <w:rsid w:val="172F2D79"/>
    <w:rsid w:val="17326391"/>
    <w:rsid w:val="173619DD"/>
    <w:rsid w:val="174340FA"/>
    <w:rsid w:val="174560C4"/>
    <w:rsid w:val="174A5489"/>
    <w:rsid w:val="175207E1"/>
    <w:rsid w:val="175400B6"/>
    <w:rsid w:val="17544559"/>
    <w:rsid w:val="17557BEF"/>
    <w:rsid w:val="176127D3"/>
    <w:rsid w:val="1763479D"/>
    <w:rsid w:val="17710C68"/>
    <w:rsid w:val="17797B1C"/>
    <w:rsid w:val="17800EAB"/>
    <w:rsid w:val="178168AB"/>
    <w:rsid w:val="178169D1"/>
    <w:rsid w:val="178F10EE"/>
    <w:rsid w:val="17920BDE"/>
    <w:rsid w:val="17982698"/>
    <w:rsid w:val="17AC1CA0"/>
    <w:rsid w:val="17C8490F"/>
    <w:rsid w:val="17D11706"/>
    <w:rsid w:val="17D349C1"/>
    <w:rsid w:val="17E05DED"/>
    <w:rsid w:val="17EC1FB0"/>
    <w:rsid w:val="17FD6CA6"/>
    <w:rsid w:val="18075128"/>
    <w:rsid w:val="18244F26"/>
    <w:rsid w:val="1830729E"/>
    <w:rsid w:val="18420856"/>
    <w:rsid w:val="18493992"/>
    <w:rsid w:val="18512847"/>
    <w:rsid w:val="1852128A"/>
    <w:rsid w:val="185222E5"/>
    <w:rsid w:val="185802E5"/>
    <w:rsid w:val="1870062C"/>
    <w:rsid w:val="18707171"/>
    <w:rsid w:val="18817102"/>
    <w:rsid w:val="18830A15"/>
    <w:rsid w:val="18852B28"/>
    <w:rsid w:val="188B5321"/>
    <w:rsid w:val="18934C0E"/>
    <w:rsid w:val="18C1177B"/>
    <w:rsid w:val="18DE057F"/>
    <w:rsid w:val="19087821"/>
    <w:rsid w:val="190B6E9A"/>
    <w:rsid w:val="190D44B0"/>
    <w:rsid w:val="19210A83"/>
    <w:rsid w:val="19265889"/>
    <w:rsid w:val="19415F0A"/>
    <w:rsid w:val="194806DB"/>
    <w:rsid w:val="19510D51"/>
    <w:rsid w:val="19575C3B"/>
    <w:rsid w:val="19616ABA"/>
    <w:rsid w:val="196A1E12"/>
    <w:rsid w:val="196D36B1"/>
    <w:rsid w:val="19743CA1"/>
    <w:rsid w:val="1977452F"/>
    <w:rsid w:val="19810F0A"/>
    <w:rsid w:val="1988673C"/>
    <w:rsid w:val="198F1879"/>
    <w:rsid w:val="19932372"/>
    <w:rsid w:val="19A20DD5"/>
    <w:rsid w:val="19A370D2"/>
    <w:rsid w:val="19A90B8D"/>
    <w:rsid w:val="19AE03F1"/>
    <w:rsid w:val="19C534ED"/>
    <w:rsid w:val="19C5529B"/>
    <w:rsid w:val="19C73298"/>
    <w:rsid w:val="19DB061A"/>
    <w:rsid w:val="19F3474C"/>
    <w:rsid w:val="1A071A03"/>
    <w:rsid w:val="1A0B6C88"/>
    <w:rsid w:val="1A0C111B"/>
    <w:rsid w:val="1A143B2C"/>
    <w:rsid w:val="1A187AC0"/>
    <w:rsid w:val="1A1F16AE"/>
    <w:rsid w:val="1A310B82"/>
    <w:rsid w:val="1A320844"/>
    <w:rsid w:val="1A330456"/>
    <w:rsid w:val="1A3B37AF"/>
    <w:rsid w:val="1A3B5C77"/>
    <w:rsid w:val="1A3D7527"/>
    <w:rsid w:val="1A400DC5"/>
    <w:rsid w:val="1A4236E3"/>
    <w:rsid w:val="1A497C7A"/>
    <w:rsid w:val="1A5B175B"/>
    <w:rsid w:val="1A6B1B55"/>
    <w:rsid w:val="1A915F4F"/>
    <w:rsid w:val="1A974E89"/>
    <w:rsid w:val="1A984BAD"/>
    <w:rsid w:val="1AA9696A"/>
    <w:rsid w:val="1AB8220E"/>
    <w:rsid w:val="1ABD2416"/>
    <w:rsid w:val="1ABD41C4"/>
    <w:rsid w:val="1AC15A62"/>
    <w:rsid w:val="1AE31E7C"/>
    <w:rsid w:val="1AE4166C"/>
    <w:rsid w:val="1AE856E5"/>
    <w:rsid w:val="1AF06CFB"/>
    <w:rsid w:val="1AF11B8D"/>
    <w:rsid w:val="1B0818E3"/>
    <w:rsid w:val="1B11359C"/>
    <w:rsid w:val="1B1C0EEA"/>
    <w:rsid w:val="1B293607"/>
    <w:rsid w:val="1B2A271F"/>
    <w:rsid w:val="1B2F50C2"/>
    <w:rsid w:val="1B495729"/>
    <w:rsid w:val="1B50328A"/>
    <w:rsid w:val="1B530544"/>
    <w:rsid w:val="1B6A60FA"/>
    <w:rsid w:val="1B6B4F13"/>
    <w:rsid w:val="1B713184"/>
    <w:rsid w:val="1B770E20"/>
    <w:rsid w:val="1B7C5E2D"/>
    <w:rsid w:val="1B803B6F"/>
    <w:rsid w:val="1B80591D"/>
    <w:rsid w:val="1B862808"/>
    <w:rsid w:val="1BA209CF"/>
    <w:rsid w:val="1BA333BA"/>
    <w:rsid w:val="1BA3785E"/>
    <w:rsid w:val="1BAC6712"/>
    <w:rsid w:val="1BAD4238"/>
    <w:rsid w:val="1BB33257"/>
    <w:rsid w:val="1BB4777D"/>
    <w:rsid w:val="1BBB6955"/>
    <w:rsid w:val="1BD21EF1"/>
    <w:rsid w:val="1BD75AB8"/>
    <w:rsid w:val="1BE91714"/>
    <w:rsid w:val="1BF34341"/>
    <w:rsid w:val="1BFB6EBD"/>
    <w:rsid w:val="1C0459C2"/>
    <w:rsid w:val="1C0C790A"/>
    <w:rsid w:val="1C1B3B4A"/>
    <w:rsid w:val="1C1D316C"/>
    <w:rsid w:val="1C1E0055"/>
    <w:rsid w:val="1C202C5C"/>
    <w:rsid w:val="1C225300"/>
    <w:rsid w:val="1C387FA6"/>
    <w:rsid w:val="1C4306F9"/>
    <w:rsid w:val="1C4F0C2F"/>
    <w:rsid w:val="1C5F19D6"/>
    <w:rsid w:val="1C7859F2"/>
    <w:rsid w:val="1C7B4336"/>
    <w:rsid w:val="1C7B60E4"/>
    <w:rsid w:val="1C827473"/>
    <w:rsid w:val="1C88086E"/>
    <w:rsid w:val="1C901B90"/>
    <w:rsid w:val="1C9D24FF"/>
    <w:rsid w:val="1CA90EA4"/>
    <w:rsid w:val="1CA960E3"/>
    <w:rsid w:val="1CC31703"/>
    <w:rsid w:val="1CCB0E1A"/>
    <w:rsid w:val="1CCB5193"/>
    <w:rsid w:val="1CD51C99"/>
    <w:rsid w:val="1CD81789"/>
    <w:rsid w:val="1CDD0B4D"/>
    <w:rsid w:val="1CDD28FB"/>
    <w:rsid w:val="1CEE2D5A"/>
    <w:rsid w:val="1CF5102D"/>
    <w:rsid w:val="1D0460DA"/>
    <w:rsid w:val="1D1C3424"/>
    <w:rsid w:val="1D266CE1"/>
    <w:rsid w:val="1D3544E5"/>
    <w:rsid w:val="1D3963AF"/>
    <w:rsid w:val="1D3E783E"/>
    <w:rsid w:val="1D4E55A7"/>
    <w:rsid w:val="1D6A673C"/>
    <w:rsid w:val="1D807E56"/>
    <w:rsid w:val="1D835251"/>
    <w:rsid w:val="1D9247AE"/>
    <w:rsid w:val="1DAC0C4B"/>
    <w:rsid w:val="1DAC43A3"/>
    <w:rsid w:val="1DAD6772"/>
    <w:rsid w:val="1DB567EC"/>
    <w:rsid w:val="1DB775F0"/>
    <w:rsid w:val="1DB93368"/>
    <w:rsid w:val="1DBE44DB"/>
    <w:rsid w:val="1DD737EE"/>
    <w:rsid w:val="1DDC2BB3"/>
    <w:rsid w:val="1DE43840"/>
    <w:rsid w:val="1DED3012"/>
    <w:rsid w:val="1DF51A98"/>
    <w:rsid w:val="1DFE6FCD"/>
    <w:rsid w:val="1E012619"/>
    <w:rsid w:val="1E051CD9"/>
    <w:rsid w:val="1E114F52"/>
    <w:rsid w:val="1E1260A9"/>
    <w:rsid w:val="1E312EFF"/>
    <w:rsid w:val="1E3B1FCF"/>
    <w:rsid w:val="1E3D060F"/>
    <w:rsid w:val="1E3F5F7E"/>
    <w:rsid w:val="1E3F7D2E"/>
    <w:rsid w:val="1E4134E4"/>
    <w:rsid w:val="1E4470D6"/>
    <w:rsid w:val="1E5062B3"/>
    <w:rsid w:val="1E523514"/>
    <w:rsid w:val="1E601A36"/>
    <w:rsid w:val="1E6A6411"/>
    <w:rsid w:val="1E6C3F37"/>
    <w:rsid w:val="1E714A66"/>
    <w:rsid w:val="1E7554E1"/>
    <w:rsid w:val="1E7B061E"/>
    <w:rsid w:val="1E802593"/>
    <w:rsid w:val="1E894AFB"/>
    <w:rsid w:val="1E8B6156"/>
    <w:rsid w:val="1E8F5E77"/>
    <w:rsid w:val="1E965458"/>
    <w:rsid w:val="1E9811D0"/>
    <w:rsid w:val="1E9D67E6"/>
    <w:rsid w:val="1EA00084"/>
    <w:rsid w:val="1EA23DFC"/>
    <w:rsid w:val="1EA703CC"/>
    <w:rsid w:val="1EA91546"/>
    <w:rsid w:val="1EB7330C"/>
    <w:rsid w:val="1EB8717C"/>
    <w:rsid w:val="1EBA1146"/>
    <w:rsid w:val="1EC94B5F"/>
    <w:rsid w:val="1ED41ADC"/>
    <w:rsid w:val="1EDD6BE3"/>
    <w:rsid w:val="1EE7180F"/>
    <w:rsid w:val="1EE73F05"/>
    <w:rsid w:val="1EFA7794"/>
    <w:rsid w:val="1EFD54D7"/>
    <w:rsid w:val="1F093E7B"/>
    <w:rsid w:val="1F0A0FF3"/>
    <w:rsid w:val="1F0C1276"/>
    <w:rsid w:val="1F1B770B"/>
    <w:rsid w:val="1F204D21"/>
    <w:rsid w:val="1F2B2044"/>
    <w:rsid w:val="1F2B3DF2"/>
    <w:rsid w:val="1F49071C"/>
    <w:rsid w:val="1F530537"/>
    <w:rsid w:val="1F5771FF"/>
    <w:rsid w:val="1F5A46D7"/>
    <w:rsid w:val="1F5F1D10"/>
    <w:rsid w:val="1F6115C2"/>
    <w:rsid w:val="1F6410B2"/>
    <w:rsid w:val="1F652F81"/>
    <w:rsid w:val="1F6F0182"/>
    <w:rsid w:val="1F7237CF"/>
    <w:rsid w:val="1F777037"/>
    <w:rsid w:val="1F7C289F"/>
    <w:rsid w:val="1F811C64"/>
    <w:rsid w:val="1F8654CC"/>
    <w:rsid w:val="1F901EA7"/>
    <w:rsid w:val="1F925C1F"/>
    <w:rsid w:val="1F9279CD"/>
    <w:rsid w:val="1F9A4AD4"/>
    <w:rsid w:val="1FAB4F33"/>
    <w:rsid w:val="1FB72055"/>
    <w:rsid w:val="1FD52574"/>
    <w:rsid w:val="1FE8583F"/>
    <w:rsid w:val="1FE868A9"/>
    <w:rsid w:val="1FED72F9"/>
    <w:rsid w:val="1FF24910"/>
    <w:rsid w:val="1FF71F26"/>
    <w:rsid w:val="20000DDB"/>
    <w:rsid w:val="20034907"/>
    <w:rsid w:val="20104D96"/>
    <w:rsid w:val="20173E4B"/>
    <w:rsid w:val="202D3B9A"/>
    <w:rsid w:val="204E48BC"/>
    <w:rsid w:val="205D622D"/>
    <w:rsid w:val="20796DDF"/>
    <w:rsid w:val="207C1FE9"/>
    <w:rsid w:val="20847C5E"/>
    <w:rsid w:val="208921B3"/>
    <w:rsid w:val="20973DEB"/>
    <w:rsid w:val="209B4FA7"/>
    <w:rsid w:val="20AE6687"/>
    <w:rsid w:val="20B26522"/>
    <w:rsid w:val="20B35E4D"/>
    <w:rsid w:val="20B44310"/>
    <w:rsid w:val="20CF69FF"/>
    <w:rsid w:val="20DA6795"/>
    <w:rsid w:val="20DD736E"/>
    <w:rsid w:val="20EB1A8B"/>
    <w:rsid w:val="20F052F3"/>
    <w:rsid w:val="211116EB"/>
    <w:rsid w:val="21117017"/>
    <w:rsid w:val="211C7E96"/>
    <w:rsid w:val="21210FCF"/>
    <w:rsid w:val="21316BD4"/>
    <w:rsid w:val="213F13D3"/>
    <w:rsid w:val="214E201A"/>
    <w:rsid w:val="21577120"/>
    <w:rsid w:val="215B0293"/>
    <w:rsid w:val="21611D4D"/>
    <w:rsid w:val="216133FC"/>
    <w:rsid w:val="21635AC5"/>
    <w:rsid w:val="216E7FC6"/>
    <w:rsid w:val="21845A3B"/>
    <w:rsid w:val="218B7B28"/>
    <w:rsid w:val="21992591"/>
    <w:rsid w:val="219D08AB"/>
    <w:rsid w:val="21B46321"/>
    <w:rsid w:val="21BF6A73"/>
    <w:rsid w:val="21C67E02"/>
    <w:rsid w:val="21C85928"/>
    <w:rsid w:val="21D40771"/>
    <w:rsid w:val="21D56769"/>
    <w:rsid w:val="21DA38AD"/>
    <w:rsid w:val="21DC5877"/>
    <w:rsid w:val="21E52EF3"/>
    <w:rsid w:val="21E70BE8"/>
    <w:rsid w:val="21FB5D7B"/>
    <w:rsid w:val="22015E94"/>
    <w:rsid w:val="220529E0"/>
    <w:rsid w:val="220B1C3D"/>
    <w:rsid w:val="221768AF"/>
    <w:rsid w:val="221C0C67"/>
    <w:rsid w:val="221D1D20"/>
    <w:rsid w:val="221E19EC"/>
    <w:rsid w:val="22244B28"/>
    <w:rsid w:val="22252D7A"/>
    <w:rsid w:val="22334A87"/>
    <w:rsid w:val="223631D9"/>
    <w:rsid w:val="22370D00"/>
    <w:rsid w:val="225464D8"/>
    <w:rsid w:val="225C2514"/>
    <w:rsid w:val="226118D9"/>
    <w:rsid w:val="22617B2B"/>
    <w:rsid w:val="22623FCE"/>
    <w:rsid w:val="22684F70"/>
    <w:rsid w:val="22745AB0"/>
    <w:rsid w:val="22883309"/>
    <w:rsid w:val="228A52D3"/>
    <w:rsid w:val="228D26CE"/>
    <w:rsid w:val="228F0F89"/>
    <w:rsid w:val="229E2B2D"/>
    <w:rsid w:val="22A719E1"/>
    <w:rsid w:val="22AC349C"/>
    <w:rsid w:val="22B1477A"/>
    <w:rsid w:val="22BE6801"/>
    <w:rsid w:val="22C962B9"/>
    <w:rsid w:val="22DB168B"/>
    <w:rsid w:val="22E449E3"/>
    <w:rsid w:val="22ED612D"/>
    <w:rsid w:val="22F10EAE"/>
    <w:rsid w:val="22FB7F7F"/>
    <w:rsid w:val="23056708"/>
    <w:rsid w:val="23085827"/>
    <w:rsid w:val="231315F9"/>
    <w:rsid w:val="231828DF"/>
    <w:rsid w:val="233500BF"/>
    <w:rsid w:val="23377FF7"/>
    <w:rsid w:val="233A2855"/>
    <w:rsid w:val="234B4A63"/>
    <w:rsid w:val="23502079"/>
    <w:rsid w:val="2356029A"/>
    <w:rsid w:val="235D4796"/>
    <w:rsid w:val="23671171"/>
    <w:rsid w:val="236B425F"/>
    <w:rsid w:val="237815D0"/>
    <w:rsid w:val="23836192"/>
    <w:rsid w:val="23862C3D"/>
    <w:rsid w:val="23901F29"/>
    <w:rsid w:val="239C0061"/>
    <w:rsid w:val="23A45F21"/>
    <w:rsid w:val="23A81EB5"/>
    <w:rsid w:val="23B908A4"/>
    <w:rsid w:val="23C14D25"/>
    <w:rsid w:val="23C465C3"/>
    <w:rsid w:val="23E95BEF"/>
    <w:rsid w:val="23F5677C"/>
    <w:rsid w:val="23FA1FE5"/>
    <w:rsid w:val="23FD0064"/>
    <w:rsid w:val="240F5A90"/>
    <w:rsid w:val="241035B6"/>
    <w:rsid w:val="24134E54"/>
    <w:rsid w:val="24155071"/>
    <w:rsid w:val="24175A98"/>
    <w:rsid w:val="2418246B"/>
    <w:rsid w:val="241C1F5B"/>
    <w:rsid w:val="2435126F"/>
    <w:rsid w:val="243844A7"/>
    <w:rsid w:val="24516CBE"/>
    <w:rsid w:val="245375B0"/>
    <w:rsid w:val="24642C0A"/>
    <w:rsid w:val="24727DCD"/>
    <w:rsid w:val="247B3126"/>
    <w:rsid w:val="248D0E13"/>
    <w:rsid w:val="249064A5"/>
    <w:rsid w:val="24961D0D"/>
    <w:rsid w:val="249935AC"/>
    <w:rsid w:val="24A501A2"/>
    <w:rsid w:val="24AF7273"/>
    <w:rsid w:val="24B22173"/>
    <w:rsid w:val="24B86128"/>
    <w:rsid w:val="24B93C4E"/>
    <w:rsid w:val="24B95AD9"/>
    <w:rsid w:val="24BD373E"/>
    <w:rsid w:val="24BE24DA"/>
    <w:rsid w:val="24C83E91"/>
    <w:rsid w:val="24CF5825"/>
    <w:rsid w:val="24D663E6"/>
    <w:rsid w:val="24D77F2B"/>
    <w:rsid w:val="24DA1730"/>
    <w:rsid w:val="24EA3E07"/>
    <w:rsid w:val="250E3F9A"/>
    <w:rsid w:val="25137802"/>
    <w:rsid w:val="25152081"/>
    <w:rsid w:val="252235A1"/>
    <w:rsid w:val="25315EDA"/>
    <w:rsid w:val="253357AE"/>
    <w:rsid w:val="253D662D"/>
    <w:rsid w:val="25457290"/>
    <w:rsid w:val="255A0F8D"/>
    <w:rsid w:val="256911D0"/>
    <w:rsid w:val="256B1B54"/>
    <w:rsid w:val="2573204F"/>
    <w:rsid w:val="25754F10"/>
    <w:rsid w:val="25861D82"/>
    <w:rsid w:val="258B00E2"/>
    <w:rsid w:val="25900E53"/>
    <w:rsid w:val="259D0E7A"/>
    <w:rsid w:val="25A917A6"/>
    <w:rsid w:val="25BA1A2C"/>
    <w:rsid w:val="25BC1C48"/>
    <w:rsid w:val="25BE27CC"/>
    <w:rsid w:val="25C40AFC"/>
    <w:rsid w:val="25CB1E8B"/>
    <w:rsid w:val="25DA0320"/>
    <w:rsid w:val="25E05341"/>
    <w:rsid w:val="25EE7927"/>
    <w:rsid w:val="25F413E1"/>
    <w:rsid w:val="25F74A5C"/>
    <w:rsid w:val="25F93317"/>
    <w:rsid w:val="260333D3"/>
    <w:rsid w:val="2628108B"/>
    <w:rsid w:val="2628662C"/>
    <w:rsid w:val="262D45DE"/>
    <w:rsid w:val="26325A66"/>
    <w:rsid w:val="263E08AF"/>
    <w:rsid w:val="26555BF8"/>
    <w:rsid w:val="26663631"/>
    <w:rsid w:val="26681488"/>
    <w:rsid w:val="266A51AE"/>
    <w:rsid w:val="26793695"/>
    <w:rsid w:val="267C3185"/>
    <w:rsid w:val="268169ED"/>
    <w:rsid w:val="26871DC8"/>
    <w:rsid w:val="268A7650"/>
    <w:rsid w:val="269F0C21"/>
    <w:rsid w:val="26A53EF9"/>
    <w:rsid w:val="26A5448A"/>
    <w:rsid w:val="26A83F7A"/>
    <w:rsid w:val="26A94201"/>
    <w:rsid w:val="26AC274F"/>
    <w:rsid w:val="26B103D9"/>
    <w:rsid w:val="26BF6F42"/>
    <w:rsid w:val="26C62652"/>
    <w:rsid w:val="26CA3EF0"/>
    <w:rsid w:val="26CD39E1"/>
    <w:rsid w:val="26D42FC1"/>
    <w:rsid w:val="26E51CC1"/>
    <w:rsid w:val="26EA4592"/>
    <w:rsid w:val="26EE4083"/>
    <w:rsid w:val="270218DC"/>
    <w:rsid w:val="270252AE"/>
    <w:rsid w:val="27044A29"/>
    <w:rsid w:val="27054F28"/>
    <w:rsid w:val="27165388"/>
    <w:rsid w:val="27194E78"/>
    <w:rsid w:val="271B7437"/>
    <w:rsid w:val="271D34C8"/>
    <w:rsid w:val="27233601"/>
    <w:rsid w:val="272A498F"/>
    <w:rsid w:val="27313F6F"/>
    <w:rsid w:val="273870AC"/>
    <w:rsid w:val="27514612"/>
    <w:rsid w:val="27553A8D"/>
    <w:rsid w:val="275F0ADD"/>
    <w:rsid w:val="276142BF"/>
    <w:rsid w:val="27716A62"/>
    <w:rsid w:val="27783712"/>
    <w:rsid w:val="277B168E"/>
    <w:rsid w:val="27802801"/>
    <w:rsid w:val="27897907"/>
    <w:rsid w:val="27907362"/>
    <w:rsid w:val="279F537D"/>
    <w:rsid w:val="27A110F5"/>
    <w:rsid w:val="27A209C9"/>
    <w:rsid w:val="27C2106B"/>
    <w:rsid w:val="27C923FA"/>
    <w:rsid w:val="27E15995"/>
    <w:rsid w:val="27EB2370"/>
    <w:rsid w:val="27EC7E96"/>
    <w:rsid w:val="27F751B9"/>
    <w:rsid w:val="27FC35A6"/>
    <w:rsid w:val="280253D0"/>
    <w:rsid w:val="281D44F4"/>
    <w:rsid w:val="28333E1D"/>
    <w:rsid w:val="28397580"/>
    <w:rsid w:val="283D6944"/>
    <w:rsid w:val="284321AC"/>
    <w:rsid w:val="28441A80"/>
    <w:rsid w:val="28454BD6"/>
    <w:rsid w:val="28455253"/>
    <w:rsid w:val="28463A4A"/>
    <w:rsid w:val="284F6DA3"/>
    <w:rsid w:val="28537F15"/>
    <w:rsid w:val="28551971"/>
    <w:rsid w:val="28575C58"/>
    <w:rsid w:val="285A5748"/>
    <w:rsid w:val="285B1C53"/>
    <w:rsid w:val="285F68BA"/>
    <w:rsid w:val="2867186D"/>
    <w:rsid w:val="28732366"/>
    <w:rsid w:val="28795BCE"/>
    <w:rsid w:val="288A1B89"/>
    <w:rsid w:val="288F53F1"/>
    <w:rsid w:val="28964A2B"/>
    <w:rsid w:val="28976054"/>
    <w:rsid w:val="289F7086"/>
    <w:rsid w:val="28A74044"/>
    <w:rsid w:val="28AB7D51"/>
    <w:rsid w:val="28AD1D1C"/>
    <w:rsid w:val="28B05368"/>
    <w:rsid w:val="28BB1BB9"/>
    <w:rsid w:val="28C17575"/>
    <w:rsid w:val="28C32028"/>
    <w:rsid w:val="28CC490F"/>
    <w:rsid w:val="28DE40AA"/>
    <w:rsid w:val="28E76FDC"/>
    <w:rsid w:val="28EC45F2"/>
    <w:rsid w:val="28F416F8"/>
    <w:rsid w:val="29121C13"/>
    <w:rsid w:val="292C49EE"/>
    <w:rsid w:val="29345E77"/>
    <w:rsid w:val="294C65AD"/>
    <w:rsid w:val="294F2DD3"/>
    <w:rsid w:val="29785E86"/>
    <w:rsid w:val="29791BFE"/>
    <w:rsid w:val="297E0FC2"/>
    <w:rsid w:val="29806583"/>
    <w:rsid w:val="298B3C4C"/>
    <w:rsid w:val="29934A6D"/>
    <w:rsid w:val="2998358C"/>
    <w:rsid w:val="29A0362E"/>
    <w:rsid w:val="29A66B9A"/>
    <w:rsid w:val="29B6075C"/>
    <w:rsid w:val="29B733F6"/>
    <w:rsid w:val="29B844D4"/>
    <w:rsid w:val="29B9024C"/>
    <w:rsid w:val="29C9048F"/>
    <w:rsid w:val="29D11A3A"/>
    <w:rsid w:val="29D2220F"/>
    <w:rsid w:val="29D532D8"/>
    <w:rsid w:val="29D64538"/>
    <w:rsid w:val="29EC23D0"/>
    <w:rsid w:val="29F26D24"/>
    <w:rsid w:val="29F574D6"/>
    <w:rsid w:val="2A0240FC"/>
    <w:rsid w:val="2A0266BF"/>
    <w:rsid w:val="2A070FB7"/>
    <w:rsid w:val="2A15033F"/>
    <w:rsid w:val="2A1662C1"/>
    <w:rsid w:val="2A1C7367"/>
    <w:rsid w:val="2A2815FA"/>
    <w:rsid w:val="2A306760"/>
    <w:rsid w:val="2A337FFE"/>
    <w:rsid w:val="2A383867"/>
    <w:rsid w:val="2A397935"/>
    <w:rsid w:val="2A4B359A"/>
    <w:rsid w:val="2A554419"/>
    <w:rsid w:val="2A5561C7"/>
    <w:rsid w:val="2A5702ED"/>
    <w:rsid w:val="2A5A37DD"/>
    <w:rsid w:val="2A5A558B"/>
    <w:rsid w:val="2A5A71A5"/>
    <w:rsid w:val="2A5F7045"/>
    <w:rsid w:val="2A662182"/>
    <w:rsid w:val="2A6D6092"/>
    <w:rsid w:val="2A781EB5"/>
    <w:rsid w:val="2A7D76B4"/>
    <w:rsid w:val="2A846041"/>
    <w:rsid w:val="2A930A9D"/>
    <w:rsid w:val="2AA35184"/>
    <w:rsid w:val="2AAF1D7B"/>
    <w:rsid w:val="2AB27175"/>
    <w:rsid w:val="2AC1385C"/>
    <w:rsid w:val="2AC1560A"/>
    <w:rsid w:val="2AD510B6"/>
    <w:rsid w:val="2AE31A25"/>
    <w:rsid w:val="2AE65071"/>
    <w:rsid w:val="2B011EAB"/>
    <w:rsid w:val="2B065713"/>
    <w:rsid w:val="2B0A5203"/>
    <w:rsid w:val="2B2F6A18"/>
    <w:rsid w:val="2B34402E"/>
    <w:rsid w:val="2B437463"/>
    <w:rsid w:val="2B4C581C"/>
    <w:rsid w:val="2B4F70BA"/>
    <w:rsid w:val="2B595843"/>
    <w:rsid w:val="2B6F150A"/>
    <w:rsid w:val="2B710DDE"/>
    <w:rsid w:val="2B7807EE"/>
    <w:rsid w:val="2B836D64"/>
    <w:rsid w:val="2B870602"/>
    <w:rsid w:val="2B8C79C6"/>
    <w:rsid w:val="2B8F74B6"/>
    <w:rsid w:val="2BA50BF7"/>
    <w:rsid w:val="2BA84BC4"/>
    <w:rsid w:val="2BB13721"/>
    <w:rsid w:val="2BB47331"/>
    <w:rsid w:val="2BBF00EC"/>
    <w:rsid w:val="2BC37CFD"/>
    <w:rsid w:val="2BD4136D"/>
    <w:rsid w:val="2BD5237F"/>
    <w:rsid w:val="2BD61589"/>
    <w:rsid w:val="2BE536CE"/>
    <w:rsid w:val="2BE75544"/>
    <w:rsid w:val="2BE758D9"/>
    <w:rsid w:val="2BF346BB"/>
    <w:rsid w:val="2BF37A45"/>
    <w:rsid w:val="2BF57C61"/>
    <w:rsid w:val="2C09049E"/>
    <w:rsid w:val="2C0A653C"/>
    <w:rsid w:val="2C191F85"/>
    <w:rsid w:val="2C30172A"/>
    <w:rsid w:val="2C385DA0"/>
    <w:rsid w:val="2C3B4EC1"/>
    <w:rsid w:val="2C3F2C8B"/>
    <w:rsid w:val="2C567FD4"/>
    <w:rsid w:val="2C585E31"/>
    <w:rsid w:val="2C5A5D16"/>
    <w:rsid w:val="2C5F332D"/>
    <w:rsid w:val="2C5F50DB"/>
    <w:rsid w:val="2C6170A5"/>
    <w:rsid w:val="2C695F59"/>
    <w:rsid w:val="2C736DD8"/>
    <w:rsid w:val="2C9B4E57"/>
    <w:rsid w:val="2CA156F3"/>
    <w:rsid w:val="2CA945A8"/>
    <w:rsid w:val="2CBE44F7"/>
    <w:rsid w:val="2CDF7FCA"/>
    <w:rsid w:val="2CE11F94"/>
    <w:rsid w:val="2CE82D6F"/>
    <w:rsid w:val="2CFB648A"/>
    <w:rsid w:val="2D012504"/>
    <w:rsid w:val="2D0B08DF"/>
    <w:rsid w:val="2D157E8F"/>
    <w:rsid w:val="2D241E80"/>
    <w:rsid w:val="2D26209C"/>
    <w:rsid w:val="2D343236"/>
    <w:rsid w:val="2D346567"/>
    <w:rsid w:val="2D360531"/>
    <w:rsid w:val="2D382F2D"/>
    <w:rsid w:val="2D38455E"/>
    <w:rsid w:val="2D3E2F42"/>
    <w:rsid w:val="2D5409B8"/>
    <w:rsid w:val="2D55028C"/>
    <w:rsid w:val="2D575011"/>
    <w:rsid w:val="2D5B1D46"/>
    <w:rsid w:val="2D5F7CB2"/>
    <w:rsid w:val="2D614E83"/>
    <w:rsid w:val="2D6230D5"/>
    <w:rsid w:val="2D7746A6"/>
    <w:rsid w:val="2D7921CC"/>
    <w:rsid w:val="2DA769DC"/>
    <w:rsid w:val="2DA84860"/>
    <w:rsid w:val="2DB41543"/>
    <w:rsid w:val="2DC86CB0"/>
    <w:rsid w:val="2DCE076A"/>
    <w:rsid w:val="2DD12008"/>
    <w:rsid w:val="2DD15014"/>
    <w:rsid w:val="2DD9710F"/>
    <w:rsid w:val="2DE955A4"/>
    <w:rsid w:val="2DEE2BBA"/>
    <w:rsid w:val="2DF72DE4"/>
    <w:rsid w:val="2E0220AF"/>
    <w:rsid w:val="2E382087"/>
    <w:rsid w:val="2E3D58F0"/>
    <w:rsid w:val="2E450300"/>
    <w:rsid w:val="2E456552"/>
    <w:rsid w:val="2E4B082A"/>
    <w:rsid w:val="2E4C5B33"/>
    <w:rsid w:val="2E4C78E1"/>
    <w:rsid w:val="2E59653C"/>
    <w:rsid w:val="2E5A3DAC"/>
    <w:rsid w:val="2E5D4E86"/>
    <w:rsid w:val="2E5D790B"/>
    <w:rsid w:val="2E625356"/>
    <w:rsid w:val="2E67471B"/>
    <w:rsid w:val="2E6E5AA9"/>
    <w:rsid w:val="2E9A3C18"/>
    <w:rsid w:val="2EA43279"/>
    <w:rsid w:val="2EBA0CEE"/>
    <w:rsid w:val="2EBB0FEE"/>
    <w:rsid w:val="2EC1207D"/>
    <w:rsid w:val="2EC15BD9"/>
    <w:rsid w:val="2EC35DF5"/>
    <w:rsid w:val="2EC63002"/>
    <w:rsid w:val="2EC90F31"/>
    <w:rsid w:val="2ECE02F6"/>
    <w:rsid w:val="2EDE49DD"/>
    <w:rsid w:val="2EE32E0A"/>
    <w:rsid w:val="2EFF4953"/>
    <w:rsid w:val="2F087CAC"/>
    <w:rsid w:val="2F0A6B38"/>
    <w:rsid w:val="2F106B60"/>
    <w:rsid w:val="2F1B6430"/>
    <w:rsid w:val="2F2039F6"/>
    <w:rsid w:val="2F210D6D"/>
    <w:rsid w:val="2F3960B7"/>
    <w:rsid w:val="2F3C5BA7"/>
    <w:rsid w:val="2F407445"/>
    <w:rsid w:val="2F4800A8"/>
    <w:rsid w:val="2F57478F"/>
    <w:rsid w:val="2F603644"/>
    <w:rsid w:val="2F7964B4"/>
    <w:rsid w:val="2F946CCB"/>
    <w:rsid w:val="2F9B65C3"/>
    <w:rsid w:val="2F9E5410"/>
    <w:rsid w:val="2FA554FB"/>
    <w:rsid w:val="2FB27C17"/>
    <w:rsid w:val="2FB7522E"/>
    <w:rsid w:val="2FB92D54"/>
    <w:rsid w:val="2FC23D30"/>
    <w:rsid w:val="2FCC0CD9"/>
    <w:rsid w:val="2FD25781"/>
    <w:rsid w:val="2FDC745C"/>
    <w:rsid w:val="2FEC137B"/>
    <w:rsid w:val="2FEE1A5F"/>
    <w:rsid w:val="2FF3270A"/>
    <w:rsid w:val="2FFB15BE"/>
    <w:rsid w:val="2FFD7934"/>
    <w:rsid w:val="300541EB"/>
    <w:rsid w:val="30087837"/>
    <w:rsid w:val="3014442E"/>
    <w:rsid w:val="302A766F"/>
    <w:rsid w:val="303074BA"/>
    <w:rsid w:val="30330D58"/>
    <w:rsid w:val="303B5E5F"/>
    <w:rsid w:val="3046090B"/>
    <w:rsid w:val="3049169C"/>
    <w:rsid w:val="304A7E50"/>
    <w:rsid w:val="3050190A"/>
    <w:rsid w:val="30517430"/>
    <w:rsid w:val="305A62E5"/>
    <w:rsid w:val="305F38FB"/>
    <w:rsid w:val="30675E3D"/>
    <w:rsid w:val="306B4E7D"/>
    <w:rsid w:val="30733ACD"/>
    <w:rsid w:val="308C3862"/>
    <w:rsid w:val="309379D8"/>
    <w:rsid w:val="309A2B85"/>
    <w:rsid w:val="309A4933"/>
    <w:rsid w:val="309F63EE"/>
    <w:rsid w:val="30A270F7"/>
    <w:rsid w:val="30B31E99"/>
    <w:rsid w:val="30B52355"/>
    <w:rsid w:val="30C916BD"/>
    <w:rsid w:val="30D342E9"/>
    <w:rsid w:val="30D36097"/>
    <w:rsid w:val="30D66FCC"/>
    <w:rsid w:val="30D77936"/>
    <w:rsid w:val="30DD5474"/>
    <w:rsid w:val="30DF1478"/>
    <w:rsid w:val="30E21733"/>
    <w:rsid w:val="30EC586F"/>
    <w:rsid w:val="30F524B2"/>
    <w:rsid w:val="30F93D50"/>
    <w:rsid w:val="31097D0B"/>
    <w:rsid w:val="311566B0"/>
    <w:rsid w:val="31342FDA"/>
    <w:rsid w:val="31350B00"/>
    <w:rsid w:val="315A2315"/>
    <w:rsid w:val="31615451"/>
    <w:rsid w:val="316513E5"/>
    <w:rsid w:val="3172765E"/>
    <w:rsid w:val="31813D45"/>
    <w:rsid w:val="3186135C"/>
    <w:rsid w:val="319C6071"/>
    <w:rsid w:val="319F103E"/>
    <w:rsid w:val="31AC537E"/>
    <w:rsid w:val="31AF717C"/>
    <w:rsid w:val="31C53C32"/>
    <w:rsid w:val="31CA1248"/>
    <w:rsid w:val="31D420C7"/>
    <w:rsid w:val="31DC0F7C"/>
    <w:rsid w:val="31DE4A1F"/>
    <w:rsid w:val="31E16592"/>
    <w:rsid w:val="31E3679B"/>
    <w:rsid w:val="31E732FD"/>
    <w:rsid w:val="31E83DC4"/>
    <w:rsid w:val="31E87920"/>
    <w:rsid w:val="31F70287"/>
    <w:rsid w:val="31F84007"/>
    <w:rsid w:val="31FF72A0"/>
    <w:rsid w:val="320A7897"/>
    <w:rsid w:val="32236BAB"/>
    <w:rsid w:val="3239017C"/>
    <w:rsid w:val="323927EA"/>
    <w:rsid w:val="323E642A"/>
    <w:rsid w:val="324803BF"/>
    <w:rsid w:val="324A4137"/>
    <w:rsid w:val="3251196A"/>
    <w:rsid w:val="32517576"/>
    <w:rsid w:val="325D20BC"/>
    <w:rsid w:val="326571C3"/>
    <w:rsid w:val="32794A1C"/>
    <w:rsid w:val="327B0795"/>
    <w:rsid w:val="328B4E7C"/>
    <w:rsid w:val="3299646B"/>
    <w:rsid w:val="329A50BF"/>
    <w:rsid w:val="32A3609B"/>
    <w:rsid w:val="32A93554"/>
    <w:rsid w:val="32AB72CC"/>
    <w:rsid w:val="32BA306B"/>
    <w:rsid w:val="32BA7E9F"/>
    <w:rsid w:val="32BB6DE3"/>
    <w:rsid w:val="32BE5C2C"/>
    <w:rsid w:val="32CE4D68"/>
    <w:rsid w:val="32D54349"/>
    <w:rsid w:val="32F6606D"/>
    <w:rsid w:val="32FB6478"/>
    <w:rsid w:val="32FE389F"/>
    <w:rsid w:val="331309CD"/>
    <w:rsid w:val="33134E71"/>
    <w:rsid w:val="33263B3F"/>
    <w:rsid w:val="332E5807"/>
    <w:rsid w:val="3330332D"/>
    <w:rsid w:val="33462B51"/>
    <w:rsid w:val="33482D6D"/>
    <w:rsid w:val="335214F5"/>
    <w:rsid w:val="335334BF"/>
    <w:rsid w:val="335415FF"/>
    <w:rsid w:val="336963EB"/>
    <w:rsid w:val="33816EEB"/>
    <w:rsid w:val="33857B1D"/>
    <w:rsid w:val="33941B0E"/>
    <w:rsid w:val="33A1422B"/>
    <w:rsid w:val="33AB50A9"/>
    <w:rsid w:val="33B2468A"/>
    <w:rsid w:val="33B757FC"/>
    <w:rsid w:val="33B91574"/>
    <w:rsid w:val="33E34843"/>
    <w:rsid w:val="33EA7980"/>
    <w:rsid w:val="33EB55CD"/>
    <w:rsid w:val="33EC4C02"/>
    <w:rsid w:val="33F24A86"/>
    <w:rsid w:val="340D2360"/>
    <w:rsid w:val="3410665D"/>
    <w:rsid w:val="341B222F"/>
    <w:rsid w:val="34211214"/>
    <w:rsid w:val="342B439E"/>
    <w:rsid w:val="342C7F98"/>
    <w:rsid w:val="342E63AB"/>
    <w:rsid w:val="34360E17"/>
    <w:rsid w:val="343E1A7A"/>
    <w:rsid w:val="344F3C87"/>
    <w:rsid w:val="346C4839"/>
    <w:rsid w:val="34853B4C"/>
    <w:rsid w:val="349310F8"/>
    <w:rsid w:val="34950E68"/>
    <w:rsid w:val="34986E94"/>
    <w:rsid w:val="34A044E2"/>
    <w:rsid w:val="34A2025B"/>
    <w:rsid w:val="34AF62C9"/>
    <w:rsid w:val="34B85CD0"/>
    <w:rsid w:val="34C24459"/>
    <w:rsid w:val="34C44675"/>
    <w:rsid w:val="34C91C8B"/>
    <w:rsid w:val="34CB4388"/>
    <w:rsid w:val="34DB551B"/>
    <w:rsid w:val="34E46AC5"/>
    <w:rsid w:val="34E70363"/>
    <w:rsid w:val="34EF6AC7"/>
    <w:rsid w:val="34FA6E12"/>
    <w:rsid w:val="35044A71"/>
    <w:rsid w:val="350B4052"/>
    <w:rsid w:val="350C1B78"/>
    <w:rsid w:val="351A4295"/>
    <w:rsid w:val="351F18AB"/>
    <w:rsid w:val="351F5D4F"/>
    <w:rsid w:val="352017EB"/>
    <w:rsid w:val="352129D6"/>
    <w:rsid w:val="35216B3A"/>
    <w:rsid w:val="353E4427"/>
    <w:rsid w:val="354D7158"/>
    <w:rsid w:val="35661288"/>
    <w:rsid w:val="35680C39"/>
    <w:rsid w:val="356A12DA"/>
    <w:rsid w:val="35702107"/>
    <w:rsid w:val="357566C2"/>
    <w:rsid w:val="357E2A76"/>
    <w:rsid w:val="357F37B1"/>
    <w:rsid w:val="35814314"/>
    <w:rsid w:val="358D5588"/>
    <w:rsid w:val="35906305"/>
    <w:rsid w:val="35956011"/>
    <w:rsid w:val="35973B37"/>
    <w:rsid w:val="35A973C7"/>
    <w:rsid w:val="35AA187C"/>
    <w:rsid w:val="35B5220F"/>
    <w:rsid w:val="35B75F88"/>
    <w:rsid w:val="35C506A4"/>
    <w:rsid w:val="35C97A69"/>
    <w:rsid w:val="35CB1A33"/>
    <w:rsid w:val="35D11499"/>
    <w:rsid w:val="35D24B6F"/>
    <w:rsid w:val="35DE7D42"/>
    <w:rsid w:val="35EA1EB9"/>
    <w:rsid w:val="35EF65E1"/>
    <w:rsid w:val="35F40F8A"/>
    <w:rsid w:val="360867E3"/>
    <w:rsid w:val="36105ED1"/>
    <w:rsid w:val="36213401"/>
    <w:rsid w:val="3628478F"/>
    <w:rsid w:val="362F5B1E"/>
    <w:rsid w:val="3639699D"/>
    <w:rsid w:val="363A3B40"/>
    <w:rsid w:val="36415851"/>
    <w:rsid w:val="365302AE"/>
    <w:rsid w:val="365B6913"/>
    <w:rsid w:val="36607A0A"/>
    <w:rsid w:val="366B3700"/>
    <w:rsid w:val="366E227C"/>
    <w:rsid w:val="366F2E0D"/>
    <w:rsid w:val="367134E1"/>
    <w:rsid w:val="36783969"/>
    <w:rsid w:val="36785717"/>
    <w:rsid w:val="367B6A5C"/>
    <w:rsid w:val="368816D2"/>
    <w:rsid w:val="36987B67"/>
    <w:rsid w:val="36A35226"/>
    <w:rsid w:val="36A74ADA"/>
    <w:rsid w:val="36AD60D5"/>
    <w:rsid w:val="36B224F9"/>
    <w:rsid w:val="36B85B13"/>
    <w:rsid w:val="36C50230"/>
    <w:rsid w:val="36C95F72"/>
    <w:rsid w:val="36C97D20"/>
    <w:rsid w:val="36CE5337"/>
    <w:rsid w:val="36E52680"/>
    <w:rsid w:val="36EC0CC9"/>
    <w:rsid w:val="36F40B16"/>
    <w:rsid w:val="36FD3E6E"/>
    <w:rsid w:val="36FD5C1C"/>
    <w:rsid w:val="37040D59"/>
    <w:rsid w:val="37152F66"/>
    <w:rsid w:val="371B2546"/>
    <w:rsid w:val="37202102"/>
    <w:rsid w:val="37215DAE"/>
    <w:rsid w:val="372431A9"/>
    <w:rsid w:val="372E5DD5"/>
    <w:rsid w:val="373F410B"/>
    <w:rsid w:val="374B4BD9"/>
    <w:rsid w:val="375A4E1C"/>
    <w:rsid w:val="37682FD3"/>
    <w:rsid w:val="377F0D27"/>
    <w:rsid w:val="37837776"/>
    <w:rsid w:val="3793032E"/>
    <w:rsid w:val="37A8202C"/>
    <w:rsid w:val="37AB7069"/>
    <w:rsid w:val="37B00EE0"/>
    <w:rsid w:val="37B81B43"/>
    <w:rsid w:val="37EA0736"/>
    <w:rsid w:val="37ED7A3F"/>
    <w:rsid w:val="37EE7094"/>
    <w:rsid w:val="37F05781"/>
    <w:rsid w:val="37F60FE9"/>
    <w:rsid w:val="38296C89"/>
    <w:rsid w:val="382F62A9"/>
    <w:rsid w:val="383002EB"/>
    <w:rsid w:val="38397128"/>
    <w:rsid w:val="38431D54"/>
    <w:rsid w:val="3848736B"/>
    <w:rsid w:val="38547ABE"/>
    <w:rsid w:val="38586797"/>
    <w:rsid w:val="385D15DF"/>
    <w:rsid w:val="38767A34"/>
    <w:rsid w:val="38787C50"/>
    <w:rsid w:val="387C7014"/>
    <w:rsid w:val="38804D57"/>
    <w:rsid w:val="38816757"/>
    <w:rsid w:val="38997BC6"/>
    <w:rsid w:val="38A26A7B"/>
    <w:rsid w:val="38A50319"/>
    <w:rsid w:val="38A65E3F"/>
    <w:rsid w:val="38AC16A8"/>
    <w:rsid w:val="38AF2F46"/>
    <w:rsid w:val="38B247E4"/>
    <w:rsid w:val="38BC0149"/>
    <w:rsid w:val="38C15F7D"/>
    <w:rsid w:val="38C84008"/>
    <w:rsid w:val="38CF5396"/>
    <w:rsid w:val="38D87D1C"/>
    <w:rsid w:val="38E01351"/>
    <w:rsid w:val="39047736"/>
    <w:rsid w:val="39292CF8"/>
    <w:rsid w:val="394E275F"/>
    <w:rsid w:val="39636459"/>
    <w:rsid w:val="396B7F6C"/>
    <w:rsid w:val="396E4BAF"/>
    <w:rsid w:val="397F6DBC"/>
    <w:rsid w:val="39835EBF"/>
    <w:rsid w:val="39842625"/>
    <w:rsid w:val="39846181"/>
    <w:rsid w:val="39897C3B"/>
    <w:rsid w:val="398E0DAD"/>
    <w:rsid w:val="39972358"/>
    <w:rsid w:val="39987E7E"/>
    <w:rsid w:val="399C796E"/>
    <w:rsid w:val="39AE31FE"/>
    <w:rsid w:val="39B20F40"/>
    <w:rsid w:val="39B417A9"/>
    <w:rsid w:val="39B5458C"/>
    <w:rsid w:val="39B8407C"/>
    <w:rsid w:val="39C538B0"/>
    <w:rsid w:val="39CE1AF2"/>
    <w:rsid w:val="39E41315"/>
    <w:rsid w:val="39E60BE9"/>
    <w:rsid w:val="39E6508D"/>
    <w:rsid w:val="39FC5695"/>
    <w:rsid w:val="3A006D8E"/>
    <w:rsid w:val="3A064DE8"/>
    <w:rsid w:val="3A184B1B"/>
    <w:rsid w:val="3A2A31CC"/>
    <w:rsid w:val="3A3556CD"/>
    <w:rsid w:val="3A3651E5"/>
    <w:rsid w:val="3A3F02FA"/>
    <w:rsid w:val="3A402444"/>
    <w:rsid w:val="3A4B386E"/>
    <w:rsid w:val="3A4D0C68"/>
    <w:rsid w:val="3A6755EE"/>
    <w:rsid w:val="3A6A181A"/>
    <w:rsid w:val="3A726921"/>
    <w:rsid w:val="3A744481"/>
    <w:rsid w:val="3A865F28"/>
    <w:rsid w:val="3A8C7BEF"/>
    <w:rsid w:val="3A906246"/>
    <w:rsid w:val="3A95616C"/>
    <w:rsid w:val="3A9B5E78"/>
    <w:rsid w:val="3AA0523C"/>
    <w:rsid w:val="3AB331C1"/>
    <w:rsid w:val="3AC56A51"/>
    <w:rsid w:val="3AE96BE3"/>
    <w:rsid w:val="3AEF7F72"/>
    <w:rsid w:val="3AF47336"/>
    <w:rsid w:val="3AF86E26"/>
    <w:rsid w:val="3B005CDB"/>
    <w:rsid w:val="3B0F23C2"/>
    <w:rsid w:val="3B1654FE"/>
    <w:rsid w:val="3B181276"/>
    <w:rsid w:val="3B1D4ADF"/>
    <w:rsid w:val="3B2349B7"/>
    <w:rsid w:val="3B251BE5"/>
    <w:rsid w:val="3B3B4F65"/>
    <w:rsid w:val="3B4B164C"/>
    <w:rsid w:val="3B616CFF"/>
    <w:rsid w:val="3B6259F6"/>
    <w:rsid w:val="3B726358"/>
    <w:rsid w:val="3B800BCA"/>
    <w:rsid w:val="3B906BDA"/>
    <w:rsid w:val="3B912DD7"/>
    <w:rsid w:val="3B976654"/>
    <w:rsid w:val="3B9A7EDD"/>
    <w:rsid w:val="3BB01440"/>
    <w:rsid w:val="3BB32D4D"/>
    <w:rsid w:val="3BC01EFC"/>
    <w:rsid w:val="3BC211E2"/>
    <w:rsid w:val="3BC92571"/>
    <w:rsid w:val="3BC9431F"/>
    <w:rsid w:val="3BCA786A"/>
    <w:rsid w:val="3BCB453B"/>
    <w:rsid w:val="3BD31E2F"/>
    <w:rsid w:val="3BD46CE9"/>
    <w:rsid w:val="3BF15831"/>
    <w:rsid w:val="3BF75330"/>
    <w:rsid w:val="3C0D65B5"/>
    <w:rsid w:val="3C105946"/>
    <w:rsid w:val="3C123F18"/>
    <w:rsid w:val="3C125CC6"/>
    <w:rsid w:val="3C270EB1"/>
    <w:rsid w:val="3C29300F"/>
    <w:rsid w:val="3C2D2B00"/>
    <w:rsid w:val="3C395948"/>
    <w:rsid w:val="3C3A346E"/>
    <w:rsid w:val="3C471448"/>
    <w:rsid w:val="3C4E18E3"/>
    <w:rsid w:val="3C522566"/>
    <w:rsid w:val="3C5A141B"/>
    <w:rsid w:val="3C5F759A"/>
    <w:rsid w:val="3C6B3628"/>
    <w:rsid w:val="3C6C525A"/>
    <w:rsid w:val="3C884BA3"/>
    <w:rsid w:val="3C9708C1"/>
    <w:rsid w:val="3CA15E50"/>
    <w:rsid w:val="3CC2593E"/>
    <w:rsid w:val="3CC33464"/>
    <w:rsid w:val="3CCA4787"/>
    <w:rsid w:val="3CCE03B6"/>
    <w:rsid w:val="3CCE23CB"/>
    <w:rsid w:val="3CD17D17"/>
    <w:rsid w:val="3CD967E3"/>
    <w:rsid w:val="3CDE3DFA"/>
    <w:rsid w:val="3CE533DA"/>
    <w:rsid w:val="3CEB6517"/>
    <w:rsid w:val="3CF17FD1"/>
    <w:rsid w:val="3D0A1093"/>
    <w:rsid w:val="3D141F11"/>
    <w:rsid w:val="3D197528"/>
    <w:rsid w:val="3D3B2FFA"/>
    <w:rsid w:val="3D3C7F39"/>
    <w:rsid w:val="3D3F6F8E"/>
    <w:rsid w:val="3D440F09"/>
    <w:rsid w:val="3D4504A0"/>
    <w:rsid w:val="3D581DFE"/>
    <w:rsid w:val="3D624A2B"/>
    <w:rsid w:val="3D6A38DF"/>
    <w:rsid w:val="3D6E33D0"/>
    <w:rsid w:val="3D7E738B"/>
    <w:rsid w:val="3D8734BB"/>
    <w:rsid w:val="3D931088"/>
    <w:rsid w:val="3D956BAE"/>
    <w:rsid w:val="3D9848F1"/>
    <w:rsid w:val="3D9A11D4"/>
    <w:rsid w:val="3DA16D89"/>
    <w:rsid w:val="3DA364BE"/>
    <w:rsid w:val="3DA6700D"/>
    <w:rsid w:val="3DA74B34"/>
    <w:rsid w:val="3DBC05DF"/>
    <w:rsid w:val="3DCB0822"/>
    <w:rsid w:val="3DE041CB"/>
    <w:rsid w:val="3DF77869"/>
    <w:rsid w:val="3E0930F8"/>
    <w:rsid w:val="3E0D48F6"/>
    <w:rsid w:val="3E171CB9"/>
    <w:rsid w:val="3E1868B4"/>
    <w:rsid w:val="3E1A5306"/>
    <w:rsid w:val="3E295549"/>
    <w:rsid w:val="3E2B12C1"/>
    <w:rsid w:val="3E304B29"/>
    <w:rsid w:val="3E377251"/>
    <w:rsid w:val="3E377C66"/>
    <w:rsid w:val="3E42664B"/>
    <w:rsid w:val="3E4660FB"/>
    <w:rsid w:val="3E5A7334"/>
    <w:rsid w:val="3E5F0F6A"/>
    <w:rsid w:val="3E6A003B"/>
    <w:rsid w:val="3E6D7B2B"/>
    <w:rsid w:val="3E7569E0"/>
    <w:rsid w:val="3E7B5D6B"/>
    <w:rsid w:val="3E8135D7"/>
    <w:rsid w:val="3E843E66"/>
    <w:rsid w:val="3E860BED"/>
    <w:rsid w:val="3E886713"/>
    <w:rsid w:val="3E8F51FE"/>
    <w:rsid w:val="3E8F7AA2"/>
    <w:rsid w:val="3E907559"/>
    <w:rsid w:val="3E926F87"/>
    <w:rsid w:val="3E9A59DE"/>
    <w:rsid w:val="3EA80B63"/>
    <w:rsid w:val="3EAF4836"/>
    <w:rsid w:val="3EB210DD"/>
    <w:rsid w:val="3EBB0897"/>
    <w:rsid w:val="3EC33DFA"/>
    <w:rsid w:val="3ED25BE0"/>
    <w:rsid w:val="3ED71449"/>
    <w:rsid w:val="3ED90D1D"/>
    <w:rsid w:val="3EE33949"/>
    <w:rsid w:val="3EEA117C"/>
    <w:rsid w:val="3EED6576"/>
    <w:rsid w:val="3F0044FB"/>
    <w:rsid w:val="3F060E16"/>
    <w:rsid w:val="3F12422F"/>
    <w:rsid w:val="3F1B30E3"/>
    <w:rsid w:val="3F1D1096"/>
    <w:rsid w:val="3F283A52"/>
    <w:rsid w:val="3F2A1578"/>
    <w:rsid w:val="3F2F0234"/>
    <w:rsid w:val="3F566811"/>
    <w:rsid w:val="3F5A7356"/>
    <w:rsid w:val="3F6363FE"/>
    <w:rsid w:val="3F6727CC"/>
    <w:rsid w:val="3F6A5E19"/>
    <w:rsid w:val="3F756B8F"/>
    <w:rsid w:val="3F8213B4"/>
    <w:rsid w:val="3F8A2017"/>
    <w:rsid w:val="3F93536F"/>
    <w:rsid w:val="3F95482B"/>
    <w:rsid w:val="3F9B5FD2"/>
    <w:rsid w:val="3FD6525C"/>
    <w:rsid w:val="3FF426EA"/>
    <w:rsid w:val="400370E7"/>
    <w:rsid w:val="4019356B"/>
    <w:rsid w:val="403D49EA"/>
    <w:rsid w:val="40464190"/>
    <w:rsid w:val="40503261"/>
    <w:rsid w:val="40592157"/>
    <w:rsid w:val="406311E6"/>
    <w:rsid w:val="40640ABA"/>
    <w:rsid w:val="406E1CAE"/>
    <w:rsid w:val="40784565"/>
    <w:rsid w:val="407E7DCE"/>
    <w:rsid w:val="407F76A2"/>
    <w:rsid w:val="408C0409"/>
    <w:rsid w:val="408D1DBF"/>
    <w:rsid w:val="40956EC5"/>
    <w:rsid w:val="40A0133A"/>
    <w:rsid w:val="40A62E81"/>
    <w:rsid w:val="40AF442B"/>
    <w:rsid w:val="40BC26A4"/>
    <w:rsid w:val="40C31A53"/>
    <w:rsid w:val="40C477AB"/>
    <w:rsid w:val="40CB0B39"/>
    <w:rsid w:val="40D21EC7"/>
    <w:rsid w:val="40D774DE"/>
    <w:rsid w:val="40DC4AF4"/>
    <w:rsid w:val="40F938F8"/>
    <w:rsid w:val="40FF545D"/>
    <w:rsid w:val="410067C8"/>
    <w:rsid w:val="41175D1C"/>
    <w:rsid w:val="411B561D"/>
    <w:rsid w:val="412D5350"/>
    <w:rsid w:val="41562AF9"/>
    <w:rsid w:val="41597EF3"/>
    <w:rsid w:val="415D5C35"/>
    <w:rsid w:val="416F7716"/>
    <w:rsid w:val="41742F7F"/>
    <w:rsid w:val="41875561"/>
    <w:rsid w:val="418F0D2A"/>
    <w:rsid w:val="4193729E"/>
    <w:rsid w:val="4194717D"/>
    <w:rsid w:val="41984EBF"/>
    <w:rsid w:val="41A33A6C"/>
    <w:rsid w:val="41A53138"/>
    <w:rsid w:val="41A970CC"/>
    <w:rsid w:val="41BD66D4"/>
    <w:rsid w:val="41C55588"/>
    <w:rsid w:val="41CE2061"/>
    <w:rsid w:val="41D01505"/>
    <w:rsid w:val="41D34149"/>
    <w:rsid w:val="41EC520B"/>
    <w:rsid w:val="41F61BE6"/>
    <w:rsid w:val="41F67E38"/>
    <w:rsid w:val="42002A64"/>
    <w:rsid w:val="42132798"/>
    <w:rsid w:val="42220C2D"/>
    <w:rsid w:val="42360234"/>
    <w:rsid w:val="42417305"/>
    <w:rsid w:val="42442951"/>
    <w:rsid w:val="42474939"/>
    <w:rsid w:val="424A08CF"/>
    <w:rsid w:val="424C3C57"/>
    <w:rsid w:val="424E557E"/>
    <w:rsid w:val="42507548"/>
    <w:rsid w:val="42562684"/>
    <w:rsid w:val="425C3848"/>
    <w:rsid w:val="425F59DD"/>
    <w:rsid w:val="42611755"/>
    <w:rsid w:val="42613FF3"/>
    <w:rsid w:val="42660D96"/>
    <w:rsid w:val="426E3E72"/>
    <w:rsid w:val="428667D2"/>
    <w:rsid w:val="42884F34"/>
    <w:rsid w:val="428C098D"/>
    <w:rsid w:val="428E3C3D"/>
    <w:rsid w:val="42935686"/>
    <w:rsid w:val="429E4757"/>
    <w:rsid w:val="42A11B51"/>
    <w:rsid w:val="42B850ED"/>
    <w:rsid w:val="42BF022A"/>
    <w:rsid w:val="42C27D1A"/>
    <w:rsid w:val="42C41CE4"/>
    <w:rsid w:val="42CD1CE0"/>
    <w:rsid w:val="42CE4911"/>
    <w:rsid w:val="42DC702D"/>
    <w:rsid w:val="42E1381E"/>
    <w:rsid w:val="42ED6459"/>
    <w:rsid w:val="42F00D2B"/>
    <w:rsid w:val="42FE58DD"/>
    <w:rsid w:val="43014CE6"/>
    <w:rsid w:val="43170066"/>
    <w:rsid w:val="43174B3D"/>
    <w:rsid w:val="43302ED5"/>
    <w:rsid w:val="43342EA7"/>
    <w:rsid w:val="4339622E"/>
    <w:rsid w:val="434B790E"/>
    <w:rsid w:val="434C41B3"/>
    <w:rsid w:val="4360274F"/>
    <w:rsid w:val="436A4F74"/>
    <w:rsid w:val="437F3FBB"/>
    <w:rsid w:val="438576C5"/>
    <w:rsid w:val="43963680"/>
    <w:rsid w:val="43977AB6"/>
    <w:rsid w:val="43A318F9"/>
    <w:rsid w:val="43A3342B"/>
    <w:rsid w:val="43C26223"/>
    <w:rsid w:val="43C55D14"/>
    <w:rsid w:val="43C77C27"/>
    <w:rsid w:val="43D77EA0"/>
    <w:rsid w:val="43DB1093"/>
    <w:rsid w:val="43DB5537"/>
    <w:rsid w:val="43DE09EE"/>
    <w:rsid w:val="43E443EC"/>
    <w:rsid w:val="43EC504E"/>
    <w:rsid w:val="43F9776B"/>
    <w:rsid w:val="43FB1735"/>
    <w:rsid w:val="43FB34E3"/>
    <w:rsid w:val="43FD36FF"/>
    <w:rsid w:val="43FD725B"/>
    <w:rsid w:val="43FF144C"/>
    <w:rsid w:val="43FF32F9"/>
    <w:rsid w:val="44002FAD"/>
    <w:rsid w:val="440C56F0"/>
    <w:rsid w:val="44110F59"/>
    <w:rsid w:val="442737DC"/>
    <w:rsid w:val="44337121"/>
    <w:rsid w:val="44354C47"/>
    <w:rsid w:val="443B6D8D"/>
    <w:rsid w:val="44557097"/>
    <w:rsid w:val="44607A6E"/>
    <w:rsid w:val="446B516E"/>
    <w:rsid w:val="446E206F"/>
    <w:rsid w:val="447B63D2"/>
    <w:rsid w:val="447C2876"/>
    <w:rsid w:val="4488746D"/>
    <w:rsid w:val="448E4357"/>
    <w:rsid w:val="449101DD"/>
    <w:rsid w:val="449D0A3E"/>
    <w:rsid w:val="449F0313"/>
    <w:rsid w:val="44CC44F5"/>
    <w:rsid w:val="44D34460"/>
    <w:rsid w:val="44DA57EF"/>
    <w:rsid w:val="44DC1567"/>
    <w:rsid w:val="44DE1391"/>
    <w:rsid w:val="44DE2770"/>
    <w:rsid w:val="44E65F41"/>
    <w:rsid w:val="44EB1B03"/>
    <w:rsid w:val="44EE129A"/>
    <w:rsid w:val="44FA7C3F"/>
    <w:rsid w:val="451B225C"/>
    <w:rsid w:val="451C5E07"/>
    <w:rsid w:val="451E327D"/>
    <w:rsid w:val="452410C9"/>
    <w:rsid w:val="45294080"/>
    <w:rsid w:val="452E0BB8"/>
    <w:rsid w:val="45317DFB"/>
    <w:rsid w:val="45322F35"/>
    <w:rsid w:val="455235D7"/>
    <w:rsid w:val="456A6B72"/>
    <w:rsid w:val="456D3CE4"/>
    <w:rsid w:val="456D6663"/>
    <w:rsid w:val="456F4189"/>
    <w:rsid w:val="4574179F"/>
    <w:rsid w:val="45763666"/>
    <w:rsid w:val="4579042C"/>
    <w:rsid w:val="457B2B2E"/>
    <w:rsid w:val="457C68A6"/>
    <w:rsid w:val="457F0571"/>
    <w:rsid w:val="45851176"/>
    <w:rsid w:val="458D2861"/>
    <w:rsid w:val="458D460F"/>
    <w:rsid w:val="45941E41"/>
    <w:rsid w:val="459B31D0"/>
    <w:rsid w:val="45A35BE1"/>
    <w:rsid w:val="45A57BAB"/>
    <w:rsid w:val="45AD4CB1"/>
    <w:rsid w:val="45B55914"/>
    <w:rsid w:val="45B93656"/>
    <w:rsid w:val="45C63B94"/>
    <w:rsid w:val="45D64208"/>
    <w:rsid w:val="45DB537A"/>
    <w:rsid w:val="45E76415"/>
    <w:rsid w:val="45F4468E"/>
    <w:rsid w:val="45F75F2C"/>
    <w:rsid w:val="45FC3543"/>
    <w:rsid w:val="460A3EB2"/>
    <w:rsid w:val="460E7DA5"/>
    <w:rsid w:val="461B7E6D"/>
    <w:rsid w:val="46244F73"/>
    <w:rsid w:val="46276812"/>
    <w:rsid w:val="462F4D56"/>
    <w:rsid w:val="462F56C6"/>
    <w:rsid w:val="46333408"/>
    <w:rsid w:val="46386C71"/>
    <w:rsid w:val="463902F3"/>
    <w:rsid w:val="46422483"/>
    <w:rsid w:val="464B69A4"/>
    <w:rsid w:val="4659254A"/>
    <w:rsid w:val="465B0637"/>
    <w:rsid w:val="465E3F0D"/>
    <w:rsid w:val="465E7D59"/>
    <w:rsid w:val="466A16E6"/>
    <w:rsid w:val="466C691A"/>
    <w:rsid w:val="467632F5"/>
    <w:rsid w:val="468679DC"/>
    <w:rsid w:val="46893F2B"/>
    <w:rsid w:val="4698326B"/>
    <w:rsid w:val="46A460B4"/>
    <w:rsid w:val="46A829C6"/>
    <w:rsid w:val="46C44060"/>
    <w:rsid w:val="46C4686E"/>
    <w:rsid w:val="46CD560B"/>
    <w:rsid w:val="471430BE"/>
    <w:rsid w:val="471F573B"/>
    <w:rsid w:val="47226493"/>
    <w:rsid w:val="473311E6"/>
    <w:rsid w:val="4737009F"/>
    <w:rsid w:val="473A4323"/>
    <w:rsid w:val="47484C91"/>
    <w:rsid w:val="474D22A8"/>
    <w:rsid w:val="475A2C17"/>
    <w:rsid w:val="4760588E"/>
    <w:rsid w:val="477517FF"/>
    <w:rsid w:val="47797541"/>
    <w:rsid w:val="477B778F"/>
    <w:rsid w:val="477E6905"/>
    <w:rsid w:val="478203EC"/>
    <w:rsid w:val="478A52AA"/>
    <w:rsid w:val="478B1022"/>
    <w:rsid w:val="47A3011A"/>
    <w:rsid w:val="47A3636C"/>
    <w:rsid w:val="47A85730"/>
    <w:rsid w:val="47B025FA"/>
    <w:rsid w:val="47B16CDB"/>
    <w:rsid w:val="47B57E4D"/>
    <w:rsid w:val="47B73BC5"/>
    <w:rsid w:val="47BC567F"/>
    <w:rsid w:val="47CD163B"/>
    <w:rsid w:val="47E0136E"/>
    <w:rsid w:val="4809698F"/>
    <w:rsid w:val="480F57AF"/>
    <w:rsid w:val="4811697D"/>
    <w:rsid w:val="48174664"/>
    <w:rsid w:val="481A77BE"/>
    <w:rsid w:val="48273D34"/>
    <w:rsid w:val="48286871"/>
    <w:rsid w:val="482C45B3"/>
    <w:rsid w:val="4840005F"/>
    <w:rsid w:val="484F2050"/>
    <w:rsid w:val="484F3DFE"/>
    <w:rsid w:val="48592ECE"/>
    <w:rsid w:val="485D29BF"/>
    <w:rsid w:val="48783354"/>
    <w:rsid w:val="487A3E25"/>
    <w:rsid w:val="487D6BBD"/>
    <w:rsid w:val="488066AD"/>
    <w:rsid w:val="48831CF9"/>
    <w:rsid w:val="488B5503"/>
    <w:rsid w:val="48937E21"/>
    <w:rsid w:val="489A0361"/>
    <w:rsid w:val="489D4717"/>
    <w:rsid w:val="48AA54D8"/>
    <w:rsid w:val="48B16866"/>
    <w:rsid w:val="48B325DE"/>
    <w:rsid w:val="48B94FF3"/>
    <w:rsid w:val="48BF488B"/>
    <w:rsid w:val="48C26CC5"/>
    <w:rsid w:val="48C52312"/>
    <w:rsid w:val="48D662CD"/>
    <w:rsid w:val="48E37AAB"/>
    <w:rsid w:val="48EC5AF0"/>
    <w:rsid w:val="48EC789E"/>
    <w:rsid w:val="48FD4B4C"/>
    <w:rsid w:val="490502D8"/>
    <w:rsid w:val="490A68E0"/>
    <w:rsid w:val="490E3CB9"/>
    <w:rsid w:val="491055FE"/>
    <w:rsid w:val="491465B8"/>
    <w:rsid w:val="494B26E8"/>
    <w:rsid w:val="49520049"/>
    <w:rsid w:val="495777FB"/>
    <w:rsid w:val="495F5B3E"/>
    <w:rsid w:val="49675177"/>
    <w:rsid w:val="49690EEF"/>
    <w:rsid w:val="496F77D7"/>
    <w:rsid w:val="49746212"/>
    <w:rsid w:val="49747FC0"/>
    <w:rsid w:val="497654FD"/>
    <w:rsid w:val="499E328F"/>
    <w:rsid w:val="49A21159"/>
    <w:rsid w:val="49AD5280"/>
    <w:rsid w:val="49B22896"/>
    <w:rsid w:val="49B425CE"/>
    <w:rsid w:val="49B64211"/>
    <w:rsid w:val="49D97E23"/>
    <w:rsid w:val="49DC3DB7"/>
    <w:rsid w:val="49F6167F"/>
    <w:rsid w:val="49F92B01"/>
    <w:rsid w:val="49FD6207"/>
    <w:rsid w:val="49FE3D2D"/>
    <w:rsid w:val="4A064FA0"/>
    <w:rsid w:val="4A123335"/>
    <w:rsid w:val="4A16615C"/>
    <w:rsid w:val="4A1B043B"/>
    <w:rsid w:val="4A266DE0"/>
    <w:rsid w:val="4A3D1321"/>
    <w:rsid w:val="4A4424D7"/>
    <w:rsid w:val="4A4D25BF"/>
    <w:rsid w:val="4A510301"/>
    <w:rsid w:val="4A541B9F"/>
    <w:rsid w:val="4A58343D"/>
    <w:rsid w:val="4A600544"/>
    <w:rsid w:val="4A673681"/>
    <w:rsid w:val="4A6A3171"/>
    <w:rsid w:val="4A745D9D"/>
    <w:rsid w:val="4A820975"/>
    <w:rsid w:val="4A82495E"/>
    <w:rsid w:val="4A82670C"/>
    <w:rsid w:val="4AB50890"/>
    <w:rsid w:val="4AB82D0F"/>
    <w:rsid w:val="4AB83EDC"/>
    <w:rsid w:val="4AC32699"/>
    <w:rsid w:val="4ADD1B95"/>
    <w:rsid w:val="4AE41175"/>
    <w:rsid w:val="4AEB7664"/>
    <w:rsid w:val="4AEE5B50"/>
    <w:rsid w:val="4AFD7C19"/>
    <w:rsid w:val="4B013AD5"/>
    <w:rsid w:val="4B0567D1"/>
    <w:rsid w:val="4B06733D"/>
    <w:rsid w:val="4B094738"/>
    <w:rsid w:val="4B101F6A"/>
    <w:rsid w:val="4B211D22"/>
    <w:rsid w:val="4B2257F9"/>
    <w:rsid w:val="4B236AAE"/>
    <w:rsid w:val="4B2C6678"/>
    <w:rsid w:val="4B3043BA"/>
    <w:rsid w:val="4B313C8F"/>
    <w:rsid w:val="4B3B78E8"/>
    <w:rsid w:val="4B413ED2"/>
    <w:rsid w:val="4B46773A"/>
    <w:rsid w:val="4B5736F5"/>
    <w:rsid w:val="4B5D6832"/>
    <w:rsid w:val="4B5F6A4E"/>
    <w:rsid w:val="4B6017E5"/>
    <w:rsid w:val="4B6B53F2"/>
    <w:rsid w:val="4B6C4CC7"/>
    <w:rsid w:val="4B6F3EED"/>
    <w:rsid w:val="4B707271"/>
    <w:rsid w:val="4B7324F9"/>
    <w:rsid w:val="4B7726B3"/>
    <w:rsid w:val="4B8F095B"/>
    <w:rsid w:val="4B9739F7"/>
    <w:rsid w:val="4B9F509C"/>
    <w:rsid w:val="4BA91A77"/>
    <w:rsid w:val="4BB01057"/>
    <w:rsid w:val="4BB46D99"/>
    <w:rsid w:val="4BDC009E"/>
    <w:rsid w:val="4BE40D01"/>
    <w:rsid w:val="4BEE2503"/>
    <w:rsid w:val="4C0D0258"/>
    <w:rsid w:val="4C1B0BC7"/>
    <w:rsid w:val="4C1B2975"/>
    <w:rsid w:val="4C1F06D9"/>
    <w:rsid w:val="4C213D03"/>
    <w:rsid w:val="4C245A30"/>
    <w:rsid w:val="4C285091"/>
    <w:rsid w:val="4C384C9A"/>
    <w:rsid w:val="4C46376A"/>
    <w:rsid w:val="4C485734"/>
    <w:rsid w:val="4C4B0D80"/>
    <w:rsid w:val="4C975D73"/>
    <w:rsid w:val="4C991B05"/>
    <w:rsid w:val="4C9A4CB1"/>
    <w:rsid w:val="4C9B3AB5"/>
    <w:rsid w:val="4C9E7102"/>
    <w:rsid w:val="4CA24E44"/>
    <w:rsid w:val="4CA46E0E"/>
    <w:rsid w:val="4CA87F80"/>
    <w:rsid w:val="4CAF130F"/>
    <w:rsid w:val="4CB6685F"/>
    <w:rsid w:val="4CC367FE"/>
    <w:rsid w:val="4CD945DE"/>
    <w:rsid w:val="4CDF1BF4"/>
    <w:rsid w:val="4CEA2347"/>
    <w:rsid w:val="4CEF5BAF"/>
    <w:rsid w:val="4CF136D5"/>
    <w:rsid w:val="4CFF4044"/>
    <w:rsid w:val="4D01600E"/>
    <w:rsid w:val="4D0258E3"/>
    <w:rsid w:val="4D077F3C"/>
    <w:rsid w:val="4D082405"/>
    <w:rsid w:val="4D0E4287"/>
    <w:rsid w:val="4D123355"/>
    <w:rsid w:val="4D183358"/>
    <w:rsid w:val="4D1B0752"/>
    <w:rsid w:val="4D2770F7"/>
    <w:rsid w:val="4D2A3B31"/>
    <w:rsid w:val="4D312C52"/>
    <w:rsid w:val="4D3161C8"/>
    <w:rsid w:val="4D371A30"/>
    <w:rsid w:val="4D782049"/>
    <w:rsid w:val="4D7A7B6F"/>
    <w:rsid w:val="4D8C33FE"/>
    <w:rsid w:val="4D905305"/>
    <w:rsid w:val="4D964A72"/>
    <w:rsid w:val="4D9C1254"/>
    <w:rsid w:val="4DB43081"/>
    <w:rsid w:val="4DBD7A5B"/>
    <w:rsid w:val="4DC42B98"/>
    <w:rsid w:val="4DE65204"/>
    <w:rsid w:val="4DE86773"/>
    <w:rsid w:val="4DF07E31"/>
    <w:rsid w:val="4DF74D1B"/>
    <w:rsid w:val="4E0F02B7"/>
    <w:rsid w:val="4E200716"/>
    <w:rsid w:val="4E5B174E"/>
    <w:rsid w:val="4E5C7274"/>
    <w:rsid w:val="4E6A373F"/>
    <w:rsid w:val="4E793892"/>
    <w:rsid w:val="4E800872"/>
    <w:rsid w:val="4E802F63"/>
    <w:rsid w:val="4E8F764A"/>
    <w:rsid w:val="4E9764FE"/>
    <w:rsid w:val="4EAD187E"/>
    <w:rsid w:val="4EAF077C"/>
    <w:rsid w:val="4EB470B0"/>
    <w:rsid w:val="4EC372F3"/>
    <w:rsid w:val="4EC569ED"/>
    <w:rsid w:val="4EC76DE4"/>
    <w:rsid w:val="4ECC61A8"/>
    <w:rsid w:val="4ECC7CA4"/>
    <w:rsid w:val="4ED50EA1"/>
    <w:rsid w:val="4EE47996"/>
    <w:rsid w:val="4EEC050C"/>
    <w:rsid w:val="4EEE4370"/>
    <w:rsid w:val="4F073684"/>
    <w:rsid w:val="4F0771E0"/>
    <w:rsid w:val="4F0C2A48"/>
    <w:rsid w:val="4F104EC3"/>
    <w:rsid w:val="4F361873"/>
    <w:rsid w:val="4F4026F2"/>
    <w:rsid w:val="4F466757"/>
    <w:rsid w:val="4F47354A"/>
    <w:rsid w:val="4F532425"/>
    <w:rsid w:val="4F560168"/>
    <w:rsid w:val="4F732AC8"/>
    <w:rsid w:val="4F7F321A"/>
    <w:rsid w:val="4F8B6063"/>
    <w:rsid w:val="4F8D1C8E"/>
    <w:rsid w:val="4F8E345D"/>
    <w:rsid w:val="4F9071D6"/>
    <w:rsid w:val="4F911C54"/>
    <w:rsid w:val="4F950C90"/>
    <w:rsid w:val="4F9E5B85"/>
    <w:rsid w:val="4FB54E8E"/>
    <w:rsid w:val="4FBF7ABB"/>
    <w:rsid w:val="4FC9093A"/>
    <w:rsid w:val="4FCE7CFE"/>
    <w:rsid w:val="4FE37C4D"/>
    <w:rsid w:val="4FE625E0"/>
    <w:rsid w:val="4FEE214E"/>
    <w:rsid w:val="4FF35972"/>
    <w:rsid w:val="4FFF25AD"/>
    <w:rsid w:val="50011E81"/>
    <w:rsid w:val="501B6F55"/>
    <w:rsid w:val="501C4F0D"/>
    <w:rsid w:val="5021480F"/>
    <w:rsid w:val="50250266"/>
    <w:rsid w:val="50285660"/>
    <w:rsid w:val="502F2E92"/>
    <w:rsid w:val="50334005"/>
    <w:rsid w:val="50354221"/>
    <w:rsid w:val="50461F8A"/>
    <w:rsid w:val="504F52E3"/>
    <w:rsid w:val="504F7091"/>
    <w:rsid w:val="50566671"/>
    <w:rsid w:val="5058707D"/>
    <w:rsid w:val="505C355C"/>
    <w:rsid w:val="5060129E"/>
    <w:rsid w:val="506A211C"/>
    <w:rsid w:val="506F14E1"/>
    <w:rsid w:val="507C59AC"/>
    <w:rsid w:val="508C2093"/>
    <w:rsid w:val="509203FA"/>
    <w:rsid w:val="50962ECB"/>
    <w:rsid w:val="50A42E38"/>
    <w:rsid w:val="50A4577F"/>
    <w:rsid w:val="50A8054F"/>
    <w:rsid w:val="50B608C1"/>
    <w:rsid w:val="50B73D1F"/>
    <w:rsid w:val="50B74C36"/>
    <w:rsid w:val="50BC5E85"/>
    <w:rsid w:val="50BD5BC9"/>
    <w:rsid w:val="50C11EEE"/>
    <w:rsid w:val="50C3182D"/>
    <w:rsid w:val="50C57353"/>
    <w:rsid w:val="50DD469C"/>
    <w:rsid w:val="50E84DEF"/>
    <w:rsid w:val="50E97CFC"/>
    <w:rsid w:val="50EF3D93"/>
    <w:rsid w:val="50F639B0"/>
    <w:rsid w:val="50FA4028"/>
    <w:rsid w:val="51002139"/>
    <w:rsid w:val="510D65B7"/>
    <w:rsid w:val="511157AB"/>
    <w:rsid w:val="511856D5"/>
    <w:rsid w:val="51234079"/>
    <w:rsid w:val="5142540C"/>
    <w:rsid w:val="51477D68"/>
    <w:rsid w:val="51586419"/>
    <w:rsid w:val="515B1A65"/>
    <w:rsid w:val="516C77CE"/>
    <w:rsid w:val="51713037"/>
    <w:rsid w:val="51750D79"/>
    <w:rsid w:val="517A638F"/>
    <w:rsid w:val="51856AE2"/>
    <w:rsid w:val="51880306"/>
    <w:rsid w:val="518832C8"/>
    <w:rsid w:val="51986815"/>
    <w:rsid w:val="519A258E"/>
    <w:rsid w:val="519C4558"/>
    <w:rsid w:val="519D207E"/>
    <w:rsid w:val="519D3C50"/>
    <w:rsid w:val="51A0432A"/>
    <w:rsid w:val="51A86090"/>
    <w:rsid w:val="51B318A1"/>
    <w:rsid w:val="51B7313F"/>
    <w:rsid w:val="51B7396D"/>
    <w:rsid w:val="51B82A14"/>
    <w:rsid w:val="51BF3DA2"/>
    <w:rsid w:val="51C70EA9"/>
    <w:rsid w:val="51E23F34"/>
    <w:rsid w:val="51EE5302"/>
    <w:rsid w:val="51EE6435"/>
    <w:rsid w:val="51EF7FC0"/>
    <w:rsid w:val="51F003FF"/>
    <w:rsid w:val="51F223CA"/>
    <w:rsid w:val="51F53C68"/>
    <w:rsid w:val="51F7178E"/>
    <w:rsid w:val="51FE0D6E"/>
    <w:rsid w:val="52065E75"/>
    <w:rsid w:val="52132340"/>
    <w:rsid w:val="52287B99"/>
    <w:rsid w:val="522B58DB"/>
    <w:rsid w:val="522E4CC3"/>
    <w:rsid w:val="522F0FFC"/>
    <w:rsid w:val="52302EF2"/>
    <w:rsid w:val="5233653E"/>
    <w:rsid w:val="5244713B"/>
    <w:rsid w:val="524A3FB4"/>
    <w:rsid w:val="52554706"/>
    <w:rsid w:val="52615633"/>
    <w:rsid w:val="526F4DE4"/>
    <w:rsid w:val="5285403C"/>
    <w:rsid w:val="52977FD4"/>
    <w:rsid w:val="52A25790"/>
    <w:rsid w:val="52A96B6F"/>
    <w:rsid w:val="52B21B59"/>
    <w:rsid w:val="52B45975"/>
    <w:rsid w:val="52CC6B7E"/>
    <w:rsid w:val="52D01FDF"/>
    <w:rsid w:val="52D94AA4"/>
    <w:rsid w:val="52E2243E"/>
    <w:rsid w:val="52E33AC0"/>
    <w:rsid w:val="52E8557B"/>
    <w:rsid w:val="52EA3A62"/>
    <w:rsid w:val="52F12681"/>
    <w:rsid w:val="52F50BB8"/>
    <w:rsid w:val="530323B4"/>
    <w:rsid w:val="53083527"/>
    <w:rsid w:val="53097272"/>
    <w:rsid w:val="530C3017"/>
    <w:rsid w:val="531719BC"/>
    <w:rsid w:val="531E71EE"/>
    <w:rsid w:val="532E7431"/>
    <w:rsid w:val="5334256E"/>
    <w:rsid w:val="533E555E"/>
    <w:rsid w:val="53404D0D"/>
    <w:rsid w:val="53426A39"/>
    <w:rsid w:val="53430A03"/>
    <w:rsid w:val="534605A4"/>
    <w:rsid w:val="535350EA"/>
    <w:rsid w:val="53544462"/>
    <w:rsid w:val="535449BE"/>
    <w:rsid w:val="535A6478"/>
    <w:rsid w:val="53654E1D"/>
    <w:rsid w:val="537D3F15"/>
    <w:rsid w:val="537F7C8D"/>
    <w:rsid w:val="5397158E"/>
    <w:rsid w:val="53CE4770"/>
    <w:rsid w:val="53F817ED"/>
    <w:rsid w:val="53F87A3F"/>
    <w:rsid w:val="54013861"/>
    <w:rsid w:val="54176117"/>
    <w:rsid w:val="54226015"/>
    <w:rsid w:val="54262BDE"/>
    <w:rsid w:val="542645AC"/>
    <w:rsid w:val="543534D1"/>
    <w:rsid w:val="543F11CA"/>
    <w:rsid w:val="54452315"/>
    <w:rsid w:val="54484523"/>
    <w:rsid w:val="54487265"/>
    <w:rsid w:val="54492049"/>
    <w:rsid w:val="544D6070"/>
    <w:rsid w:val="544E58B1"/>
    <w:rsid w:val="54504349"/>
    <w:rsid w:val="54605E1E"/>
    <w:rsid w:val="54640C31"/>
    <w:rsid w:val="546D21DB"/>
    <w:rsid w:val="546E1AAF"/>
    <w:rsid w:val="547215A0"/>
    <w:rsid w:val="548C3B38"/>
    <w:rsid w:val="549459BA"/>
    <w:rsid w:val="54A35BFD"/>
    <w:rsid w:val="54B3506A"/>
    <w:rsid w:val="54B41BB8"/>
    <w:rsid w:val="54C618EB"/>
    <w:rsid w:val="54CA0D16"/>
    <w:rsid w:val="54CA13DC"/>
    <w:rsid w:val="54D45DB6"/>
    <w:rsid w:val="54D9161F"/>
    <w:rsid w:val="54D97871"/>
    <w:rsid w:val="54DD4057"/>
    <w:rsid w:val="54E3249D"/>
    <w:rsid w:val="54E7490F"/>
    <w:rsid w:val="54EE29FC"/>
    <w:rsid w:val="550764A4"/>
    <w:rsid w:val="550B2BF6"/>
    <w:rsid w:val="55214EB5"/>
    <w:rsid w:val="552D196B"/>
    <w:rsid w:val="55364EFD"/>
    <w:rsid w:val="55496F40"/>
    <w:rsid w:val="555132EC"/>
    <w:rsid w:val="55562C6F"/>
    <w:rsid w:val="55564A1D"/>
    <w:rsid w:val="555D4828"/>
    <w:rsid w:val="5560764A"/>
    <w:rsid w:val="55760C1C"/>
    <w:rsid w:val="55780E38"/>
    <w:rsid w:val="5579070C"/>
    <w:rsid w:val="557A4C8B"/>
    <w:rsid w:val="558931E1"/>
    <w:rsid w:val="558E065B"/>
    <w:rsid w:val="558F7F2F"/>
    <w:rsid w:val="55923347"/>
    <w:rsid w:val="55925180"/>
    <w:rsid w:val="55983B1B"/>
    <w:rsid w:val="55A734CB"/>
    <w:rsid w:val="55A8376B"/>
    <w:rsid w:val="55A90FF1"/>
    <w:rsid w:val="55AE2AAB"/>
    <w:rsid w:val="55B41744"/>
    <w:rsid w:val="55B55BE8"/>
    <w:rsid w:val="55BF6A67"/>
    <w:rsid w:val="55CA5266"/>
    <w:rsid w:val="55CC1183"/>
    <w:rsid w:val="55D41DE6"/>
    <w:rsid w:val="55DC29B6"/>
    <w:rsid w:val="55DD4241"/>
    <w:rsid w:val="55F10BEA"/>
    <w:rsid w:val="55F36710"/>
    <w:rsid w:val="55F66200"/>
    <w:rsid w:val="55FB55C5"/>
    <w:rsid w:val="5627460C"/>
    <w:rsid w:val="563C00B7"/>
    <w:rsid w:val="563D098A"/>
    <w:rsid w:val="5640122A"/>
    <w:rsid w:val="56464A92"/>
    <w:rsid w:val="56471638"/>
    <w:rsid w:val="564725B8"/>
    <w:rsid w:val="564C1E6A"/>
    <w:rsid w:val="566B6D1E"/>
    <w:rsid w:val="56737851"/>
    <w:rsid w:val="56A8574D"/>
    <w:rsid w:val="56AD4B11"/>
    <w:rsid w:val="56AD68BF"/>
    <w:rsid w:val="56B22127"/>
    <w:rsid w:val="56B440F1"/>
    <w:rsid w:val="56BA0FDC"/>
    <w:rsid w:val="56C854A7"/>
    <w:rsid w:val="56D4123E"/>
    <w:rsid w:val="56EA7B13"/>
    <w:rsid w:val="56F75D8C"/>
    <w:rsid w:val="57032983"/>
    <w:rsid w:val="57032A2C"/>
    <w:rsid w:val="570F30D6"/>
    <w:rsid w:val="570F5219"/>
    <w:rsid w:val="57144B90"/>
    <w:rsid w:val="571903F8"/>
    <w:rsid w:val="571A1A7B"/>
    <w:rsid w:val="57233025"/>
    <w:rsid w:val="5726041F"/>
    <w:rsid w:val="572F3778"/>
    <w:rsid w:val="57323268"/>
    <w:rsid w:val="573E39BB"/>
    <w:rsid w:val="574B60D8"/>
    <w:rsid w:val="575D12B5"/>
    <w:rsid w:val="57610A87"/>
    <w:rsid w:val="57790E97"/>
    <w:rsid w:val="577B1140"/>
    <w:rsid w:val="577B7F21"/>
    <w:rsid w:val="577E46FF"/>
    <w:rsid w:val="577E72C6"/>
    <w:rsid w:val="577F181B"/>
    <w:rsid w:val="57921984"/>
    <w:rsid w:val="579737F0"/>
    <w:rsid w:val="579E26AC"/>
    <w:rsid w:val="57A35F14"/>
    <w:rsid w:val="57AB7B30"/>
    <w:rsid w:val="57AD1A1A"/>
    <w:rsid w:val="57AF5251"/>
    <w:rsid w:val="57B123DF"/>
    <w:rsid w:val="57B26373"/>
    <w:rsid w:val="57B63F04"/>
    <w:rsid w:val="57C245EC"/>
    <w:rsid w:val="57CA41DF"/>
    <w:rsid w:val="57CD20C2"/>
    <w:rsid w:val="57CF6D09"/>
    <w:rsid w:val="57D675AB"/>
    <w:rsid w:val="57D73717"/>
    <w:rsid w:val="57D936E4"/>
    <w:rsid w:val="57D95FDD"/>
    <w:rsid w:val="57E5652D"/>
    <w:rsid w:val="57E97DCB"/>
    <w:rsid w:val="57EA58F1"/>
    <w:rsid w:val="5806097D"/>
    <w:rsid w:val="580A0767"/>
    <w:rsid w:val="582157B7"/>
    <w:rsid w:val="585F62DF"/>
    <w:rsid w:val="586438F5"/>
    <w:rsid w:val="586C4558"/>
    <w:rsid w:val="587B479B"/>
    <w:rsid w:val="588C15CC"/>
    <w:rsid w:val="58906498"/>
    <w:rsid w:val="58917D2F"/>
    <w:rsid w:val="58935F89"/>
    <w:rsid w:val="5894085C"/>
    <w:rsid w:val="5895585D"/>
    <w:rsid w:val="589C4E3D"/>
    <w:rsid w:val="58A02EDC"/>
    <w:rsid w:val="58AD0DF8"/>
    <w:rsid w:val="58AE4F0C"/>
    <w:rsid w:val="58B008E9"/>
    <w:rsid w:val="58B85899"/>
    <w:rsid w:val="58BD6B62"/>
    <w:rsid w:val="58BF0B2C"/>
    <w:rsid w:val="58BF6D7E"/>
    <w:rsid w:val="58CB127E"/>
    <w:rsid w:val="58CD4FF7"/>
    <w:rsid w:val="58D2068E"/>
    <w:rsid w:val="58DE2787"/>
    <w:rsid w:val="58E16CF4"/>
    <w:rsid w:val="58E363A9"/>
    <w:rsid w:val="58E6255C"/>
    <w:rsid w:val="59023F6F"/>
    <w:rsid w:val="59166304"/>
    <w:rsid w:val="59172716"/>
    <w:rsid w:val="592D0997"/>
    <w:rsid w:val="593212FE"/>
    <w:rsid w:val="59345076"/>
    <w:rsid w:val="593C03CE"/>
    <w:rsid w:val="593F3A1A"/>
    <w:rsid w:val="59540AAE"/>
    <w:rsid w:val="59590F80"/>
    <w:rsid w:val="595E1678"/>
    <w:rsid w:val="596040BD"/>
    <w:rsid w:val="59637709"/>
    <w:rsid w:val="5964591F"/>
    <w:rsid w:val="596D0588"/>
    <w:rsid w:val="596D5BD4"/>
    <w:rsid w:val="596F4300"/>
    <w:rsid w:val="597162CA"/>
    <w:rsid w:val="597A4A53"/>
    <w:rsid w:val="597E3DD8"/>
    <w:rsid w:val="598633F7"/>
    <w:rsid w:val="598853C1"/>
    <w:rsid w:val="598D0C2A"/>
    <w:rsid w:val="59945B14"/>
    <w:rsid w:val="599E2E37"/>
    <w:rsid w:val="59A10231"/>
    <w:rsid w:val="59A33FA9"/>
    <w:rsid w:val="59AD6BD6"/>
    <w:rsid w:val="59C56616"/>
    <w:rsid w:val="59D93E6F"/>
    <w:rsid w:val="59E44CEE"/>
    <w:rsid w:val="59E7033A"/>
    <w:rsid w:val="59EC5950"/>
    <w:rsid w:val="59EE16C8"/>
    <w:rsid w:val="59F80043"/>
    <w:rsid w:val="59FF38D6"/>
    <w:rsid w:val="5A0013FC"/>
    <w:rsid w:val="5A032C9A"/>
    <w:rsid w:val="5A04713E"/>
    <w:rsid w:val="5A056A12"/>
    <w:rsid w:val="5A09252F"/>
    <w:rsid w:val="5A0B2778"/>
    <w:rsid w:val="5A0E1D6B"/>
    <w:rsid w:val="5A1629CD"/>
    <w:rsid w:val="5A184997"/>
    <w:rsid w:val="5A1B6236"/>
    <w:rsid w:val="5A2A7C7B"/>
    <w:rsid w:val="5A2D426E"/>
    <w:rsid w:val="5A2F12D9"/>
    <w:rsid w:val="5A3E2560"/>
    <w:rsid w:val="5A492DA3"/>
    <w:rsid w:val="5A4F3AC1"/>
    <w:rsid w:val="5A581238"/>
    <w:rsid w:val="5A5D3B6E"/>
    <w:rsid w:val="5A5F25C6"/>
    <w:rsid w:val="5A5F6122"/>
    <w:rsid w:val="5A637A76"/>
    <w:rsid w:val="5A6D33BA"/>
    <w:rsid w:val="5A722590"/>
    <w:rsid w:val="5A783688"/>
    <w:rsid w:val="5A792B1F"/>
    <w:rsid w:val="5A874767"/>
    <w:rsid w:val="5A8950E2"/>
    <w:rsid w:val="5A955FE8"/>
    <w:rsid w:val="5A9C7376"/>
    <w:rsid w:val="5AA1498D"/>
    <w:rsid w:val="5AA17199"/>
    <w:rsid w:val="5AA85BE2"/>
    <w:rsid w:val="5AAD6F28"/>
    <w:rsid w:val="5AB0697E"/>
    <w:rsid w:val="5AD3266C"/>
    <w:rsid w:val="5AD63A24"/>
    <w:rsid w:val="5ADA39FB"/>
    <w:rsid w:val="5AE91E90"/>
    <w:rsid w:val="5AEE56F8"/>
    <w:rsid w:val="5B1016C6"/>
    <w:rsid w:val="5B21787C"/>
    <w:rsid w:val="5B296730"/>
    <w:rsid w:val="5B2E1A1D"/>
    <w:rsid w:val="5B410F66"/>
    <w:rsid w:val="5B445318"/>
    <w:rsid w:val="5B4F00D0"/>
    <w:rsid w:val="5B7200D7"/>
    <w:rsid w:val="5B7756EE"/>
    <w:rsid w:val="5B7C0F56"/>
    <w:rsid w:val="5B835E40"/>
    <w:rsid w:val="5B843A1C"/>
    <w:rsid w:val="5B871DD5"/>
    <w:rsid w:val="5B873E3F"/>
    <w:rsid w:val="5B9E0ECC"/>
    <w:rsid w:val="5BA1276A"/>
    <w:rsid w:val="5BAB5397"/>
    <w:rsid w:val="5BB701E0"/>
    <w:rsid w:val="5BB73D3C"/>
    <w:rsid w:val="5BC30933"/>
    <w:rsid w:val="5BD448EE"/>
    <w:rsid w:val="5BDC37A3"/>
    <w:rsid w:val="5BEF091F"/>
    <w:rsid w:val="5BF136F2"/>
    <w:rsid w:val="5BFC633D"/>
    <w:rsid w:val="5C02145B"/>
    <w:rsid w:val="5C02690E"/>
    <w:rsid w:val="5C074CC3"/>
    <w:rsid w:val="5C196DA7"/>
    <w:rsid w:val="5C272C70"/>
    <w:rsid w:val="5C2A048C"/>
    <w:rsid w:val="5C2D3FFE"/>
    <w:rsid w:val="5C3B3FE0"/>
    <w:rsid w:val="5C4F0418"/>
    <w:rsid w:val="5C5872CD"/>
    <w:rsid w:val="5C5D3B6B"/>
    <w:rsid w:val="5C602626"/>
    <w:rsid w:val="5C62014C"/>
    <w:rsid w:val="5C6914DA"/>
    <w:rsid w:val="5C7E485A"/>
    <w:rsid w:val="5C80234E"/>
    <w:rsid w:val="5C8A680C"/>
    <w:rsid w:val="5C904CB9"/>
    <w:rsid w:val="5C91458D"/>
    <w:rsid w:val="5C9F4EFC"/>
    <w:rsid w:val="5C9F6CAA"/>
    <w:rsid w:val="5CA42512"/>
    <w:rsid w:val="5CAC13C7"/>
    <w:rsid w:val="5CB309A7"/>
    <w:rsid w:val="5CB87D6C"/>
    <w:rsid w:val="5CC93D27"/>
    <w:rsid w:val="5CD01559"/>
    <w:rsid w:val="5CD5091E"/>
    <w:rsid w:val="5CDF354A"/>
    <w:rsid w:val="5CE45005"/>
    <w:rsid w:val="5CE46DB3"/>
    <w:rsid w:val="5CF214D0"/>
    <w:rsid w:val="5CF21808"/>
    <w:rsid w:val="5D0166FE"/>
    <w:rsid w:val="5D0C4701"/>
    <w:rsid w:val="5D0F0395"/>
    <w:rsid w:val="5D1551BE"/>
    <w:rsid w:val="5D1A0A26"/>
    <w:rsid w:val="5D1C02FB"/>
    <w:rsid w:val="5D221076"/>
    <w:rsid w:val="5D2378DB"/>
    <w:rsid w:val="5D30024A"/>
    <w:rsid w:val="5D397964"/>
    <w:rsid w:val="5D4B35B7"/>
    <w:rsid w:val="5D4C3B80"/>
    <w:rsid w:val="5D55380D"/>
    <w:rsid w:val="5D5A391C"/>
    <w:rsid w:val="5D5F10C0"/>
    <w:rsid w:val="5D600B2F"/>
    <w:rsid w:val="5D845EA0"/>
    <w:rsid w:val="5D891B7B"/>
    <w:rsid w:val="5D9A56C3"/>
    <w:rsid w:val="5D9B1B67"/>
    <w:rsid w:val="5DA622BA"/>
    <w:rsid w:val="5DAD38EE"/>
    <w:rsid w:val="5DBE9A2C"/>
    <w:rsid w:val="5DD11505"/>
    <w:rsid w:val="5DD40BD5"/>
    <w:rsid w:val="5DD961EC"/>
    <w:rsid w:val="5DEC2376"/>
    <w:rsid w:val="5DF23751"/>
    <w:rsid w:val="5DF70D68"/>
    <w:rsid w:val="5E006862"/>
    <w:rsid w:val="5E0207B9"/>
    <w:rsid w:val="5E1834A1"/>
    <w:rsid w:val="5E21105E"/>
    <w:rsid w:val="5E227B93"/>
    <w:rsid w:val="5E261785"/>
    <w:rsid w:val="5E317DD6"/>
    <w:rsid w:val="5E3B2A02"/>
    <w:rsid w:val="5E42664F"/>
    <w:rsid w:val="5E4A7017"/>
    <w:rsid w:val="5E552BBA"/>
    <w:rsid w:val="5E5B4E53"/>
    <w:rsid w:val="5E5E3A95"/>
    <w:rsid w:val="5E611C10"/>
    <w:rsid w:val="5E622685"/>
    <w:rsid w:val="5E652175"/>
    <w:rsid w:val="5E710B1A"/>
    <w:rsid w:val="5E7303EE"/>
    <w:rsid w:val="5E7A0F3F"/>
    <w:rsid w:val="5E916AC6"/>
    <w:rsid w:val="5E9842F9"/>
    <w:rsid w:val="5EA93E10"/>
    <w:rsid w:val="5EB34C8F"/>
    <w:rsid w:val="5ECE1AC8"/>
    <w:rsid w:val="5ED54C05"/>
    <w:rsid w:val="5EDF082A"/>
    <w:rsid w:val="5EFC7377"/>
    <w:rsid w:val="5F021772"/>
    <w:rsid w:val="5F06174D"/>
    <w:rsid w:val="5F092B01"/>
    <w:rsid w:val="5F3A3602"/>
    <w:rsid w:val="5F3B6A32"/>
    <w:rsid w:val="5F3D09FC"/>
    <w:rsid w:val="5F3F9AF8"/>
    <w:rsid w:val="5F41673E"/>
    <w:rsid w:val="5F4525C8"/>
    <w:rsid w:val="5F45733B"/>
    <w:rsid w:val="5F4F0E5B"/>
    <w:rsid w:val="5F6277C6"/>
    <w:rsid w:val="5F6D0B1D"/>
    <w:rsid w:val="5F773F0E"/>
    <w:rsid w:val="5F795ED8"/>
    <w:rsid w:val="5F8D0B82"/>
    <w:rsid w:val="5F906BA5"/>
    <w:rsid w:val="5FA34D03"/>
    <w:rsid w:val="5FB07420"/>
    <w:rsid w:val="5FC1162D"/>
    <w:rsid w:val="5FC133DB"/>
    <w:rsid w:val="5FC5111D"/>
    <w:rsid w:val="5FCC5339"/>
    <w:rsid w:val="5FCD7FD2"/>
    <w:rsid w:val="5FE34A5B"/>
    <w:rsid w:val="5FE62E42"/>
    <w:rsid w:val="5FEB0458"/>
    <w:rsid w:val="5FEC48FC"/>
    <w:rsid w:val="5FFE1E36"/>
    <w:rsid w:val="601C6864"/>
    <w:rsid w:val="602045A6"/>
    <w:rsid w:val="60232584"/>
    <w:rsid w:val="6024286D"/>
    <w:rsid w:val="602A2D2E"/>
    <w:rsid w:val="60365B77"/>
    <w:rsid w:val="603D7BC1"/>
    <w:rsid w:val="604310ED"/>
    <w:rsid w:val="6065020A"/>
    <w:rsid w:val="606D7301"/>
    <w:rsid w:val="607330CE"/>
    <w:rsid w:val="60786190"/>
    <w:rsid w:val="607D5554"/>
    <w:rsid w:val="60825176"/>
    <w:rsid w:val="608A7C71"/>
    <w:rsid w:val="609B59DA"/>
    <w:rsid w:val="609F2AC4"/>
    <w:rsid w:val="60A07495"/>
    <w:rsid w:val="60AD570E"/>
    <w:rsid w:val="60B3541A"/>
    <w:rsid w:val="60C90799"/>
    <w:rsid w:val="60D61108"/>
    <w:rsid w:val="60E64073"/>
    <w:rsid w:val="60FA2EE8"/>
    <w:rsid w:val="60FB46CB"/>
    <w:rsid w:val="61025A59"/>
    <w:rsid w:val="610538E1"/>
    <w:rsid w:val="61054A27"/>
    <w:rsid w:val="610712C2"/>
    <w:rsid w:val="610A52BC"/>
    <w:rsid w:val="610E2650"/>
    <w:rsid w:val="611D2366"/>
    <w:rsid w:val="61421856"/>
    <w:rsid w:val="614B5652"/>
    <w:rsid w:val="615227C4"/>
    <w:rsid w:val="615F10FE"/>
    <w:rsid w:val="61654E3F"/>
    <w:rsid w:val="61665FE8"/>
    <w:rsid w:val="61761FA3"/>
    <w:rsid w:val="6182292A"/>
    <w:rsid w:val="618648DC"/>
    <w:rsid w:val="61930DA7"/>
    <w:rsid w:val="619C3825"/>
    <w:rsid w:val="619F7F92"/>
    <w:rsid w:val="61A86601"/>
    <w:rsid w:val="61B03707"/>
    <w:rsid w:val="61B96A60"/>
    <w:rsid w:val="61BF394A"/>
    <w:rsid w:val="61C15914"/>
    <w:rsid w:val="61C176C2"/>
    <w:rsid w:val="61D5316E"/>
    <w:rsid w:val="61D76EE6"/>
    <w:rsid w:val="61DA0784"/>
    <w:rsid w:val="61DB6BD8"/>
    <w:rsid w:val="61E82EA1"/>
    <w:rsid w:val="61E96448"/>
    <w:rsid w:val="61F23D20"/>
    <w:rsid w:val="61F41846"/>
    <w:rsid w:val="61F94C26"/>
    <w:rsid w:val="61F96E5C"/>
    <w:rsid w:val="62000E56"/>
    <w:rsid w:val="62035F2D"/>
    <w:rsid w:val="620677CB"/>
    <w:rsid w:val="62075FE3"/>
    <w:rsid w:val="62175534"/>
    <w:rsid w:val="624F3E49"/>
    <w:rsid w:val="62632286"/>
    <w:rsid w:val="62683FE2"/>
    <w:rsid w:val="626C5880"/>
    <w:rsid w:val="627209BD"/>
    <w:rsid w:val="62791D4B"/>
    <w:rsid w:val="62885958"/>
    <w:rsid w:val="62922E0D"/>
    <w:rsid w:val="629372B1"/>
    <w:rsid w:val="629D3C8C"/>
    <w:rsid w:val="629E17B2"/>
    <w:rsid w:val="62A24FB1"/>
    <w:rsid w:val="62AC2121"/>
    <w:rsid w:val="62C751AC"/>
    <w:rsid w:val="62CA25A7"/>
    <w:rsid w:val="62D17DD9"/>
    <w:rsid w:val="62DE42A4"/>
    <w:rsid w:val="62E24D01"/>
    <w:rsid w:val="62EA2C49"/>
    <w:rsid w:val="62F40B65"/>
    <w:rsid w:val="62FC2CFE"/>
    <w:rsid w:val="63024505"/>
    <w:rsid w:val="631321A0"/>
    <w:rsid w:val="632E3727"/>
    <w:rsid w:val="635600A5"/>
    <w:rsid w:val="635B1DB5"/>
    <w:rsid w:val="635B58F5"/>
    <w:rsid w:val="636104DF"/>
    <w:rsid w:val="63711FED"/>
    <w:rsid w:val="63727074"/>
    <w:rsid w:val="637644DD"/>
    <w:rsid w:val="637864A7"/>
    <w:rsid w:val="63814E23"/>
    <w:rsid w:val="63880DDC"/>
    <w:rsid w:val="638D750D"/>
    <w:rsid w:val="63A86D8C"/>
    <w:rsid w:val="63AC6CC0"/>
    <w:rsid w:val="63AE3C76"/>
    <w:rsid w:val="63D01E3F"/>
    <w:rsid w:val="63D44FC5"/>
    <w:rsid w:val="63E43B3C"/>
    <w:rsid w:val="63E458EA"/>
    <w:rsid w:val="63E71813"/>
    <w:rsid w:val="63EC5347"/>
    <w:rsid w:val="63F41FD1"/>
    <w:rsid w:val="63F8233D"/>
    <w:rsid w:val="63F91396"/>
    <w:rsid w:val="64033FC2"/>
    <w:rsid w:val="64055776"/>
    <w:rsid w:val="64073B89"/>
    <w:rsid w:val="64137F7D"/>
    <w:rsid w:val="641E704E"/>
    <w:rsid w:val="641F6922"/>
    <w:rsid w:val="64240056"/>
    <w:rsid w:val="64243F39"/>
    <w:rsid w:val="642A77A1"/>
    <w:rsid w:val="642B3519"/>
    <w:rsid w:val="64300B2F"/>
    <w:rsid w:val="64346872"/>
    <w:rsid w:val="643B7C00"/>
    <w:rsid w:val="643E143A"/>
    <w:rsid w:val="643E324C"/>
    <w:rsid w:val="64462101"/>
    <w:rsid w:val="64491666"/>
    <w:rsid w:val="645757E3"/>
    <w:rsid w:val="64793590"/>
    <w:rsid w:val="647C1FC7"/>
    <w:rsid w:val="648B6EEF"/>
    <w:rsid w:val="649829A9"/>
    <w:rsid w:val="64A26AA5"/>
    <w:rsid w:val="64B60701"/>
    <w:rsid w:val="64C158BF"/>
    <w:rsid w:val="64CE2EAA"/>
    <w:rsid w:val="64D616D7"/>
    <w:rsid w:val="64D92F75"/>
    <w:rsid w:val="64DC3F47"/>
    <w:rsid w:val="64E536C8"/>
    <w:rsid w:val="64F32289"/>
    <w:rsid w:val="64F61D79"/>
    <w:rsid w:val="6509385A"/>
    <w:rsid w:val="65165F77"/>
    <w:rsid w:val="651D7306"/>
    <w:rsid w:val="652266CA"/>
    <w:rsid w:val="65332685"/>
    <w:rsid w:val="653C3090"/>
    <w:rsid w:val="654523B9"/>
    <w:rsid w:val="65613696"/>
    <w:rsid w:val="656211BC"/>
    <w:rsid w:val="65630A08"/>
    <w:rsid w:val="656B62C3"/>
    <w:rsid w:val="657038D9"/>
    <w:rsid w:val="65705687"/>
    <w:rsid w:val="65717652"/>
    <w:rsid w:val="65750EF0"/>
    <w:rsid w:val="65787230"/>
    <w:rsid w:val="65801643"/>
    <w:rsid w:val="658253BB"/>
    <w:rsid w:val="65854376"/>
    <w:rsid w:val="658767BE"/>
    <w:rsid w:val="65892531"/>
    <w:rsid w:val="65953340"/>
    <w:rsid w:val="659A1B58"/>
    <w:rsid w:val="65C23A09"/>
    <w:rsid w:val="65C6174B"/>
    <w:rsid w:val="65D57BE0"/>
    <w:rsid w:val="65D976D1"/>
    <w:rsid w:val="65E73470"/>
    <w:rsid w:val="65E91D22"/>
    <w:rsid w:val="65E9368C"/>
    <w:rsid w:val="65E971E8"/>
    <w:rsid w:val="65ED4F2A"/>
    <w:rsid w:val="65F22540"/>
    <w:rsid w:val="660022E7"/>
    <w:rsid w:val="6615587E"/>
    <w:rsid w:val="66195831"/>
    <w:rsid w:val="662E75B1"/>
    <w:rsid w:val="662F72F1"/>
    <w:rsid w:val="66303069"/>
    <w:rsid w:val="66320B8F"/>
    <w:rsid w:val="66342C2E"/>
    <w:rsid w:val="663E784C"/>
    <w:rsid w:val="66544FA9"/>
    <w:rsid w:val="66560D21"/>
    <w:rsid w:val="665E3732"/>
    <w:rsid w:val="66664CDC"/>
    <w:rsid w:val="66680A54"/>
    <w:rsid w:val="66713B33"/>
    <w:rsid w:val="668B64F1"/>
    <w:rsid w:val="668B6A45"/>
    <w:rsid w:val="669058B5"/>
    <w:rsid w:val="66A17AC3"/>
    <w:rsid w:val="66BB5028"/>
    <w:rsid w:val="66D32372"/>
    <w:rsid w:val="66E14363"/>
    <w:rsid w:val="66E300DB"/>
    <w:rsid w:val="66F9345B"/>
    <w:rsid w:val="67297ED0"/>
    <w:rsid w:val="672F3F24"/>
    <w:rsid w:val="673646AF"/>
    <w:rsid w:val="673E055F"/>
    <w:rsid w:val="673E5311"/>
    <w:rsid w:val="673F58BB"/>
    <w:rsid w:val="674D5668"/>
    <w:rsid w:val="67551CE3"/>
    <w:rsid w:val="675D60DF"/>
    <w:rsid w:val="676A25AA"/>
    <w:rsid w:val="676B07FC"/>
    <w:rsid w:val="677551D7"/>
    <w:rsid w:val="677671A1"/>
    <w:rsid w:val="6779459B"/>
    <w:rsid w:val="67892A30"/>
    <w:rsid w:val="679D028A"/>
    <w:rsid w:val="67A22552"/>
    <w:rsid w:val="67AF7FBD"/>
    <w:rsid w:val="67B22DCC"/>
    <w:rsid w:val="67B657F0"/>
    <w:rsid w:val="67BA708E"/>
    <w:rsid w:val="67BE71AA"/>
    <w:rsid w:val="67D6379C"/>
    <w:rsid w:val="67D90273"/>
    <w:rsid w:val="67DC3B26"/>
    <w:rsid w:val="67DE5875"/>
    <w:rsid w:val="67E265E5"/>
    <w:rsid w:val="67E55852"/>
    <w:rsid w:val="67EB1AB4"/>
    <w:rsid w:val="67FA1285"/>
    <w:rsid w:val="68012F0F"/>
    <w:rsid w:val="680D18B3"/>
    <w:rsid w:val="681542C4"/>
    <w:rsid w:val="68212C69"/>
    <w:rsid w:val="68551F4F"/>
    <w:rsid w:val="685B745D"/>
    <w:rsid w:val="686314D3"/>
    <w:rsid w:val="68724DA1"/>
    <w:rsid w:val="68757459"/>
    <w:rsid w:val="687C10C9"/>
    <w:rsid w:val="68840C16"/>
    <w:rsid w:val="68876EFB"/>
    <w:rsid w:val="68884654"/>
    <w:rsid w:val="688B0A2A"/>
    <w:rsid w:val="68980B98"/>
    <w:rsid w:val="689F444F"/>
    <w:rsid w:val="68B96DBB"/>
    <w:rsid w:val="68C06926"/>
    <w:rsid w:val="68C161FA"/>
    <w:rsid w:val="68CA2805"/>
    <w:rsid w:val="68CA7727"/>
    <w:rsid w:val="68D221B5"/>
    <w:rsid w:val="68DB3760"/>
    <w:rsid w:val="68DD74D8"/>
    <w:rsid w:val="68DE4FFE"/>
    <w:rsid w:val="68E24AEE"/>
    <w:rsid w:val="68E937A3"/>
    <w:rsid w:val="68EC771B"/>
    <w:rsid w:val="69006B8C"/>
    <w:rsid w:val="690F6F65"/>
    <w:rsid w:val="69125F45"/>
    <w:rsid w:val="69230C63"/>
    <w:rsid w:val="69256789"/>
    <w:rsid w:val="692D1AE1"/>
    <w:rsid w:val="693B7312"/>
    <w:rsid w:val="693E15D3"/>
    <w:rsid w:val="694110E9"/>
    <w:rsid w:val="694E2184"/>
    <w:rsid w:val="69513A22"/>
    <w:rsid w:val="69605A13"/>
    <w:rsid w:val="6962178B"/>
    <w:rsid w:val="69627681"/>
    <w:rsid w:val="696F5EF5"/>
    <w:rsid w:val="69731BEA"/>
    <w:rsid w:val="6977531D"/>
    <w:rsid w:val="699D6C67"/>
    <w:rsid w:val="69BF6BDD"/>
    <w:rsid w:val="69CC2BFF"/>
    <w:rsid w:val="69E403F2"/>
    <w:rsid w:val="69FA7C16"/>
    <w:rsid w:val="69FD55B8"/>
    <w:rsid w:val="6A026ACA"/>
    <w:rsid w:val="6A0B1C62"/>
    <w:rsid w:val="6A1707C7"/>
    <w:rsid w:val="6A1862EE"/>
    <w:rsid w:val="6A211646"/>
    <w:rsid w:val="6A2406C8"/>
    <w:rsid w:val="6A274783"/>
    <w:rsid w:val="6A303637"/>
    <w:rsid w:val="6A372C18"/>
    <w:rsid w:val="6A3749C6"/>
    <w:rsid w:val="6A4315BC"/>
    <w:rsid w:val="6A521800"/>
    <w:rsid w:val="6A527A52"/>
    <w:rsid w:val="6A5C442C"/>
    <w:rsid w:val="6A6432E1"/>
    <w:rsid w:val="6A771266"/>
    <w:rsid w:val="6A7774B8"/>
    <w:rsid w:val="6A7E0847"/>
    <w:rsid w:val="6A892D47"/>
    <w:rsid w:val="6A9A4F55"/>
    <w:rsid w:val="6AB204F0"/>
    <w:rsid w:val="6ABD7B87"/>
    <w:rsid w:val="6AD761A9"/>
    <w:rsid w:val="6ADA35A3"/>
    <w:rsid w:val="6ADE0BD1"/>
    <w:rsid w:val="6AE508C6"/>
    <w:rsid w:val="6AE96859"/>
    <w:rsid w:val="6AEA64A0"/>
    <w:rsid w:val="6AF42589"/>
    <w:rsid w:val="6AFC176B"/>
    <w:rsid w:val="6B147746"/>
    <w:rsid w:val="6B24787C"/>
    <w:rsid w:val="6B256F14"/>
    <w:rsid w:val="6B422A43"/>
    <w:rsid w:val="6B4A24D7"/>
    <w:rsid w:val="6B543355"/>
    <w:rsid w:val="6B573233"/>
    <w:rsid w:val="6B5B6274"/>
    <w:rsid w:val="6B5C045C"/>
    <w:rsid w:val="6B5E5F82"/>
    <w:rsid w:val="6B633598"/>
    <w:rsid w:val="6B6C069F"/>
    <w:rsid w:val="6B6C4B43"/>
    <w:rsid w:val="6B7439F8"/>
    <w:rsid w:val="6B827EC3"/>
    <w:rsid w:val="6B935D53"/>
    <w:rsid w:val="6BAD2A66"/>
    <w:rsid w:val="6BAE0CB8"/>
    <w:rsid w:val="6BB81B36"/>
    <w:rsid w:val="6BBC181C"/>
    <w:rsid w:val="6BF54B38"/>
    <w:rsid w:val="6BF568E7"/>
    <w:rsid w:val="6BF84629"/>
    <w:rsid w:val="6C07486C"/>
    <w:rsid w:val="6C196F71"/>
    <w:rsid w:val="6C226FCB"/>
    <w:rsid w:val="6C31226F"/>
    <w:rsid w:val="6C3A079D"/>
    <w:rsid w:val="6C552F0B"/>
    <w:rsid w:val="6C586E75"/>
    <w:rsid w:val="6C5C6966"/>
    <w:rsid w:val="6C5F0204"/>
    <w:rsid w:val="6C77554D"/>
    <w:rsid w:val="6C7A6DEC"/>
    <w:rsid w:val="6C841A18"/>
    <w:rsid w:val="6C8975E2"/>
    <w:rsid w:val="6C8C67B7"/>
    <w:rsid w:val="6C8E6D3B"/>
    <w:rsid w:val="6C9D744C"/>
    <w:rsid w:val="6C9E798C"/>
    <w:rsid w:val="6CA6266D"/>
    <w:rsid w:val="6CA67BE1"/>
    <w:rsid w:val="6CD877C3"/>
    <w:rsid w:val="6CDA788A"/>
    <w:rsid w:val="6CDE381E"/>
    <w:rsid w:val="6CF43042"/>
    <w:rsid w:val="6CFA617E"/>
    <w:rsid w:val="6CFC5A53"/>
    <w:rsid w:val="6D147240"/>
    <w:rsid w:val="6D167928"/>
    <w:rsid w:val="6D26299B"/>
    <w:rsid w:val="6D371181"/>
    <w:rsid w:val="6D3B47CD"/>
    <w:rsid w:val="6D4262B1"/>
    <w:rsid w:val="6D4772EC"/>
    <w:rsid w:val="6D572E2F"/>
    <w:rsid w:val="6D5B09CB"/>
    <w:rsid w:val="6D604233"/>
    <w:rsid w:val="6D631F76"/>
    <w:rsid w:val="6D6C0E2A"/>
    <w:rsid w:val="6D7970A3"/>
    <w:rsid w:val="6D7B72BF"/>
    <w:rsid w:val="6D8E4F15"/>
    <w:rsid w:val="6D8F2D6B"/>
    <w:rsid w:val="6D9078AF"/>
    <w:rsid w:val="6D97577B"/>
    <w:rsid w:val="6D9D5488"/>
    <w:rsid w:val="6DAA3701"/>
    <w:rsid w:val="6DAA3FEF"/>
    <w:rsid w:val="6DB620A5"/>
    <w:rsid w:val="6DB66549"/>
    <w:rsid w:val="6DBD3434"/>
    <w:rsid w:val="6DBE71AC"/>
    <w:rsid w:val="6DC0172B"/>
    <w:rsid w:val="6DCA5B51"/>
    <w:rsid w:val="6DCB690C"/>
    <w:rsid w:val="6DD41A5B"/>
    <w:rsid w:val="6DD54C21"/>
    <w:rsid w:val="6DDEB12A"/>
    <w:rsid w:val="6DEC1F6B"/>
    <w:rsid w:val="6DF43C2E"/>
    <w:rsid w:val="6DF51CA3"/>
    <w:rsid w:val="6DFB21AE"/>
    <w:rsid w:val="6E192634"/>
    <w:rsid w:val="6E201C15"/>
    <w:rsid w:val="6E2E003F"/>
    <w:rsid w:val="6E3B7CCF"/>
    <w:rsid w:val="6E3D27C7"/>
    <w:rsid w:val="6E5E537C"/>
    <w:rsid w:val="6E645FA5"/>
    <w:rsid w:val="6E66587A"/>
    <w:rsid w:val="6E7066F8"/>
    <w:rsid w:val="6E7206C2"/>
    <w:rsid w:val="6E7219BF"/>
    <w:rsid w:val="6E753D0F"/>
    <w:rsid w:val="6E7B6E4B"/>
    <w:rsid w:val="6E8335BD"/>
    <w:rsid w:val="6E8E12EF"/>
    <w:rsid w:val="6E9660CE"/>
    <w:rsid w:val="6E972936"/>
    <w:rsid w:val="6EA15191"/>
    <w:rsid w:val="6EA63EC8"/>
    <w:rsid w:val="6EA840E4"/>
    <w:rsid w:val="6EBD7464"/>
    <w:rsid w:val="6EC30F1E"/>
    <w:rsid w:val="6EC802E2"/>
    <w:rsid w:val="6ECC76A7"/>
    <w:rsid w:val="6ED446C5"/>
    <w:rsid w:val="6EF015E7"/>
    <w:rsid w:val="6EF47329"/>
    <w:rsid w:val="6F2A7D94"/>
    <w:rsid w:val="6F2D45E9"/>
    <w:rsid w:val="6F307C36"/>
    <w:rsid w:val="6F4162E7"/>
    <w:rsid w:val="6F547DC8"/>
    <w:rsid w:val="6F5E0C47"/>
    <w:rsid w:val="6F6049BF"/>
    <w:rsid w:val="6F6D0E8A"/>
    <w:rsid w:val="6F810491"/>
    <w:rsid w:val="6F8331F1"/>
    <w:rsid w:val="6F8A5598"/>
    <w:rsid w:val="6F926B42"/>
    <w:rsid w:val="6F9B77A5"/>
    <w:rsid w:val="6FAE1A09"/>
    <w:rsid w:val="6FB22D40"/>
    <w:rsid w:val="6FBE7937"/>
    <w:rsid w:val="6FC82564"/>
    <w:rsid w:val="6FD75BF8"/>
    <w:rsid w:val="6FFB0243"/>
    <w:rsid w:val="700F0193"/>
    <w:rsid w:val="701557A9"/>
    <w:rsid w:val="702459EC"/>
    <w:rsid w:val="70291255"/>
    <w:rsid w:val="702A0B29"/>
    <w:rsid w:val="702F034C"/>
    <w:rsid w:val="702F7EED"/>
    <w:rsid w:val="703D260A"/>
    <w:rsid w:val="70495453"/>
    <w:rsid w:val="706E4EB9"/>
    <w:rsid w:val="706E6C67"/>
    <w:rsid w:val="707723D0"/>
    <w:rsid w:val="707D50FC"/>
    <w:rsid w:val="70877D29"/>
    <w:rsid w:val="70985051"/>
    <w:rsid w:val="70A26911"/>
    <w:rsid w:val="70A44806"/>
    <w:rsid w:val="70AB7EBB"/>
    <w:rsid w:val="70C44AD9"/>
    <w:rsid w:val="70D156FF"/>
    <w:rsid w:val="70DA42FD"/>
    <w:rsid w:val="70DC0075"/>
    <w:rsid w:val="70E91835"/>
    <w:rsid w:val="70F01D72"/>
    <w:rsid w:val="70F5661B"/>
    <w:rsid w:val="710B2708"/>
    <w:rsid w:val="7115622D"/>
    <w:rsid w:val="71166A31"/>
    <w:rsid w:val="711F61B4"/>
    <w:rsid w:val="71267542"/>
    <w:rsid w:val="713003C1"/>
    <w:rsid w:val="71360107"/>
    <w:rsid w:val="7139702E"/>
    <w:rsid w:val="713A2FED"/>
    <w:rsid w:val="713B688E"/>
    <w:rsid w:val="714A1482"/>
    <w:rsid w:val="716B13F9"/>
    <w:rsid w:val="71771B4C"/>
    <w:rsid w:val="71854F84"/>
    <w:rsid w:val="71881FAB"/>
    <w:rsid w:val="718C6684"/>
    <w:rsid w:val="71973F9C"/>
    <w:rsid w:val="71A212BE"/>
    <w:rsid w:val="71AF7537"/>
    <w:rsid w:val="71B608C6"/>
    <w:rsid w:val="71D43752"/>
    <w:rsid w:val="71DC40A5"/>
    <w:rsid w:val="71F1796A"/>
    <w:rsid w:val="71F717C2"/>
    <w:rsid w:val="71F820D6"/>
    <w:rsid w:val="72071122"/>
    <w:rsid w:val="72086C48"/>
    <w:rsid w:val="720C498A"/>
    <w:rsid w:val="72154626"/>
    <w:rsid w:val="72165809"/>
    <w:rsid w:val="72190E55"/>
    <w:rsid w:val="72262B5D"/>
    <w:rsid w:val="72283FF7"/>
    <w:rsid w:val="722E7212"/>
    <w:rsid w:val="723A0474"/>
    <w:rsid w:val="723F6B0D"/>
    <w:rsid w:val="72447E14"/>
    <w:rsid w:val="7251239D"/>
    <w:rsid w:val="725400DF"/>
    <w:rsid w:val="72565C05"/>
    <w:rsid w:val="725923E4"/>
    <w:rsid w:val="725974A3"/>
    <w:rsid w:val="726C5429"/>
    <w:rsid w:val="7278201F"/>
    <w:rsid w:val="728409C4"/>
    <w:rsid w:val="72864BF7"/>
    <w:rsid w:val="72867687"/>
    <w:rsid w:val="729023FC"/>
    <w:rsid w:val="729A3D44"/>
    <w:rsid w:val="72A03324"/>
    <w:rsid w:val="72A70B9A"/>
    <w:rsid w:val="72B62B48"/>
    <w:rsid w:val="72BB1F0C"/>
    <w:rsid w:val="732B0E40"/>
    <w:rsid w:val="735A7977"/>
    <w:rsid w:val="73612AB3"/>
    <w:rsid w:val="736B1B84"/>
    <w:rsid w:val="737A5923"/>
    <w:rsid w:val="737A6934"/>
    <w:rsid w:val="737D5303"/>
    <w:rsid w:val="739A54A6"/>
    <w:rsid w:val="73A34E7A"/>
    <w:rsid w:val="73B923F8"/>
    <w:rsid w:val="73C0646E"/>
    <w:rsid w:val="73C6500C"/>
    <w:rsid w:val="73D239B1"/>
    <w:rsid w:val="73E84D22"/>
    <w:rsid w:val="73E85147"/>
    <w:rsid w:val="73F751C6"/>
    <w:rsid w:val="741B0EB4"/>
    <w:rsid w:val="742222F5"/>
    <w:rsid w:val="742A559B"/>
    <w:rsid w:val="74343ADB"/>
    <w:rsid w:val="74387CB8"/>
    <w:rsid w:val="743B50B2"/>
    <w:rsid w:val="74474F84"/>
    <w:rsid w:val="74476126"/>
    <w:rsid w:val="7456013E"/>
    <w:rsid w:val="746005C0"/>
    <w:rsid w:val="74706664"/>
    <w:rsid w:val="747F3682"/>
    <w:rsid w:val="748A428C"/>
    <w:rsid w:val="748F53FE"/>
    <w:rsid w:val="749C4185"/>
    <w:rsid w:val="74AE3AD6"/>
    <w:rsid w:val="74B135C7"/>
    <w:rsid w:val="74B3733F"/>
    <w:rsid w:val="74BA57B7"/>
    <w:rsid w:val="74D472B5"/>
    <w:rsid w:val="74D6127F"/>
    <w:rsid w:val="74DA48CB"/>
    <w:rsid w:val="74E53270"/>
    <w:rsid w:val="74EA0887"/>
    <w:rsid w:val="74F3598D"/>
    <w:rsid w:val="74F811F5"/>
    <w:rsid w:val="74FA4F6E"/>
    <w:rsid w:val="74FF07D6"/>
    <w:rsid w:val="75067759"/>
    <w:rsid w:val="7507768A"/>
    <w:rsid w:val="750E70AC"/>
    <w:rsid w:val="751853F4"/>
    <w:rsid w:val="75287D2D"/>
    <w:rsid w:val="752E6DCD"/>
    <w:rsid w:val="75371D1E"/>
    <w:rsid w:val="75410DEE"/>
    <w:rsid w:val="75483F2B"/>
    <w:rsid w:val="7551380D"/>
    <w:rsid w:val="755F1275"/>
    <w:rsid w:val="75600BE5"/>
    <w:rsid w:val="7564475C"/>
    <w:rsid w:val="756F7E9F"/>
    <w:rsid w:val="7583797F"/>
    <w:rsid w:val="75932CCC"/>
    <w:rsid w:val="75961B1D"/>
    <w:rsid w:val="75A50913"/>
    <w:rsid w:val="75B25848"/>
    <w:rsid w:val="75BDC257"/>
    <w:rsid w:val="75C64E50"/>
    <w:rsid w:val="75C80BC8"/>
    <w:rsid w:val="75C96EC7"/>
    <w:rsid w:val="75D20F1D"/>
    <w:rsid w:val="75DA2C18"/>
    <w:rsid w:val="75DF4163"/>
    <w:rsid w:val="75E11C8A"/>
    <w:rsid w:val="75E55DBE"/>
    <w:rsid w:val="75EB0D5A"/>
    <w:rsid w:val="75EB48B6"/>
    <w:rsid w:val="75EF43A6"/>
    <w:rsid w:val="75F54412"/>
    <w:rsid w:val="75FE283B"/>
    <w:rsid w:val="760A5684"/>
    <w:rsid w:val="760C31AA"/>
    <w:rsid w:val="761D08E0"/>
    <w:rsid w:val="762A1882"/>
    <w:rsid w:val="765D347C"/>
    <w:rsid w:val="766703E1"/>
    <w:rsid w:val="767825EE"/>
    <w:rsid w:val="76826699"/>
    <w:rsid w:val="76856EE4"/>
    <w:rsid w:val="76C03F95"/>
    <w:rsid w:val="76C70E7F"/>
    <w:rsid w:val="76C87133"/>
    <w:rsid w:val="76CC0B8C"/>
    <w:rsid w:val="76CD08D5"/>
    <w:rsid w:val="76D33CC8"/>
    <w:rsid w:val="76DB4B92"/>
    <w:rsid w:val="76DD06A3"/>
    <w:rsid w:val="76DD4B47"/>
    <w:rsid w:val="76E557A9"/>
    <w:rsid w:val="77052AA4"/>
    <w:rsid w:val="7706409E"/>
    <w:rsid w:val="77136511"/>
    <w:rsid w:val="771A18F7"/>
    <w:rsid w:val="771B5849"/>
    <w:rsid w:val="771D4568"/>
    <w:rsid w:val="771D7139"/>
    <w:rsid w:val="77225C02"/>
    <w:rsid w:val="77297D8C"/>
    <w:rsid w:val="77302EC9"/>
    <w:rsid w:val="77340A39"/>
    <w:rsid w:val="77351FD0"/>
    <w:rsid w:val="77387FCF"/>
    <w:rsid w:val="773B361B"/>
    <w:rsid w:val="773F310C"/>
    <w:rsid w:val="77472422"/>
    <w:rsid w:val="77512E3F"/>
    <w:rsid w:val="777803CC"/>
    <w:rsid w:val="777C4360"/>
    <w:rsid w:val="777F31F2"/>
    <w:rsid w:val="778139C7"/>
    <w:rsid w:val="7782124A"/>
    <w:rsid w:val="779276DF"/>
    <w:rsid w:val="77974CF6"/>
    <w:rsid w:val="77A45665"/>
    <w:rsid w:val="77AB254F"/>
    <w:rsid w:val="77C95C59"/>
    <w:rsid w:val="77D1700D"/>
    <w:rsid w:val="77D47CF8"/>
    <w:rsid w:val="77E36F02"/>
    <w:rsid w:val="77EC04CC"/>
    <w:rsid w:val="77FC22D2"/>
    <w:rsid w:val="77FF289B"/>
    <w:rsid w:val="78016613"/>
    <w:rsid w:val="78034139"/>
    <w:rsid w:val="781F4CEB"/>
    <w:rsid w:val="78267E28"/>
    <w:rsid w:val="78306EF8"/>
    <w:rsid w:val="783C764B"/>
    <w:rsid w:val="785901FD"/>
    <w:rsid w:val="78670B6C"/>
    <w:rsid w:val="786F17CF"/>
    <w:rsid w:val="78771DBC"/>
    <w:rsid w:val="78775729"/>
    <w:rsid w:val="78850FF2"/>
    <w:rsid w:val="7887627C"/>
    <w:rsid w:val="78972AD3"/>
    <w:rsid w:val="78A42DB0"/>
    <w:rsid w:val="78A656AB"/>
    <w:rsid w:val="78A7540C"/>
    <w:rsid w:val="78B2245C"/>
    <w:rsid w:val="78BE2756"/>
    <w:rsid w:val="78C80EDF"/>
    <w:rsid w:val="78E172CC"/>
    <w:rsid w:val="78E21FA1"/>
    <w:rsid w:val="78EA1D1F"/>
    <w:rsid w:val="78F32400"/>
    <w:rsid w:val="78F817C4"/>
    <w:rsid w:val="79004B1D"/>
    <w:rsid w:val="7904172F"/>
    <w:rsid w:val="790F7E27"/>
    <w:rsid w:val="79112886"/>
    <w:rsid w:val="79132AA2"/>
    <w:rsid w:val="79202AC9"/>
    <w:rsid w:val="79227CA0"/>
    <w:rsid w:val="792720A9"/>
    <w:rsid w:val="792A231A"/>
    <w:rsid w:val="79314BC4"/>
    <w:rsid w:val="79316829"/>
    <w:rsid w:val="793547C6"/>
    <w:rsid w:val="79393B8B"/>
    <w:rsid w:val="793A002E"/>
    <w:rsid w:val="795B7FA5"/>
    <w:rsid w:val="795C61F7"/>
    <w:rsid w:val="795F14E6"/>
    <w:rsid w:val="7961380D"/>
    <w:rsid w:val="79690914"/>
    <w:rsid w:val="796C52FC"/>
    <w:rsid w:val="79754594"/>
    <w:rsid w:val="797E66A9"/>
    <w:rsid w:val="798518A4"/>
    <w:rsid w:val="79876FEC"/>
    <w:rsid w:val="7987746E"/>
    <w:rsid w:val="799040F2"/>
    <w:rsid w:val="799139C7"/>
    <w:rsid w:val="79982FA7"/>
    <w:rsid w:val="799F7E92"/>
    <w:rsid w:val="79A47B9E"/>
    <w:rsid w:val="79A74F98"/>
    <w:rsid w:val="79A97383"/>
    <w:rsid w:val="79BD1E6F"/>
    <w:rsid w:val="79DA711C"/>
    <w:rsid w:val="79E27E8B"/>
    <w:rsid w:val="79E354B7"/>
    <w:rsid w:val="79E61F64"/>
    <w:rsid w:val="79F20909"/>
    <w:rsid w:val="79F301DD"/>
    <w:rsid w:val="79F850CE"/>
    <w:rsid w:val="79FD443C"/>
    <w:rsid w:val="79FF6B82"/>
    <w:rsid w:val="7A067F11"/>
    <w:rsid w:val="7A1D1975"/>
    <w:rsid w:val="7A291E51"/>
    <w:rsid w:val="7A2E1215"/>
    <w:rsid w:val="7A340F22"/>
    <w:rsid w:val="7A3E5150"/>
    <w:rsid w:val="7A4670D6"/>
    <w:rsid w:val="7A534B63"/>
    <w:rsid w:val="7A603AC5"/>
    <w:rsid w:val="7A615382"/>
    <w:rsid w:val="7A61783D"/>
    <w:rsid w:val="7A67303B"/>
    <w:rsid w:val="7A682979"/>
    <w:rsid w:val="7A6A4943"/>
    <w:rsid w:val="7A7A445B"/>
    <w:rsid w:val="7A911ED0"/>
    <w:rsid w:val="7A9B4AFD"/>
    <w:rsid w:val="7AA66192"/>
    <w:rsid w:val="7AAB1D04"/>
    <w:rsid w:val="7AAB2866"/>
    <w:rsid w:val="7AAC0AB8"/>
    <w:rsid w:val="7AB12572"/>
    <w:rsid w:val="7ABA4368"/>
    <w:rsid w:val="7AD05746"/>
    <w:rsid w:val="7AD41DBD"/>
    <w:rsid w:val="7ADE0E8D"/>
    <w:rsid w:val="7AE77D42"/>
    <w:rsid w:val="7AED2E7F"/>
    <w:rsid w:val="7AF366E7"/>
    <w:rsid w:val="7AF81F4F"/>
    <w:rsid w:val="7AFD7566"/>
    <w:rsid w:val="7B087CB8"/>
    <w:rsid w:val="7B0A57DF"/>
    <w:rsid w:val="7B0E3521"/>
    <w:rsid w:val="7B1B3E90"/>
    <w:rsid w:val="7B1E74DC"/>
    <w:rsid w:val="7B2014A6"/>
    <w:rsid w:val="7B257FFD"/>
    <w:rsid w:val="7B2965AD"/>
    <w:rsid w:val="7B334D35"/>
    <w:rsid w:val="7B343476"/>
    <w:rsid w:val="7B3929B0"/>
    <w:rsid w:val="7B3D6DA0"/>
    <w:rsid w:val="7B42766E"/>
    <w:rsid w:val="7B5A2978"/>
    <w:rsid w:val="7B5A7E4C"/>
    <w:rsid w:val="7B667AF9"/>
    <w:rsid w:val="7B6E1256"/>
    <w:rsid w:val="7B711D02"/>
    <w:rsid w:val="7B7468F8"/>
    <w:rsid w:val="7B75029D"/>
    <w:rsid w:val="7B7D4202"/>
    <w:rsid w:val="7B8B4B71"/>
    <w:rsid w:val="7B982D4D"/>
    <w:rsid w:val="7B9A6B62"/>
    <w:rsid w:val="7B9C6C1D"/>
    <w:rsid w:val="7BA7127F"/>
    <w:rsid w:val="7BAC4AE8"/>
    <w:rsid w:val="7BB340C8"/>
    <w:rsid w:val="7BD04C7A"/>
    <w:rsid w:val="7BE40725"/>
    <w:rsid w:val="7BEE0103"/>
    <w:rsid w:val="7BF24BF0"/>
    <w:rsid w:val="7BF85F7F"/>
    <w:rsid w:val="7C014E34"/>
    <w:rsid w:val="7C0A0FE4"/>
    <w:rsid w:val="7C1903CF"/>
    <w:rsid w:val="7C211032"/>
    <w:rsid w:val="7C2154D6"/>
    <w:rsid w:val="7C254906"/>
    <w:rsid w:val="7C2A25DC"/>
    <w:rsid w:val="7C2B3C5E"/>
    <w:rsid w:val="7C2F624D"/>
    <w:rsid w:val="7C321491"/>
    <w:rsid w:val="7C330D65"/>
    <w:rsid w:val="7C4371FA"/>
    <w:rsid w:val="7C572CA5"/>
    <w:rsid w:val="7C590818"/>
    <w:rsid w:val="7C5C02BC"/>
    <w:rsid w:val="7C701FB9"/>
    <w:rsid w:val="7C7C10F6"/>
    <w:rsid w:val="7C853BEA"/>
    <w:rsid w:val="7C881368"/>
    <w:rsid w:val="7C975798"/>
    <w:rsid w:val="7C9E6B26"/>
    <w:rsid w:val="7CA0464C"/>
    <w:rsid w:val="7CA37C99"/>
    <w:rsid w:val="7CA53A11"/>
    <w:rsid w:val="7CA67789"/>
    <w:rsid w:val="7CC04CEF"/>
    <w:rsid w:val="7CD267D0"/>
    <w:rsid w:val="7CD442F6"/>
    <w:rsid w:val="7CE27788"/>
    <w:rsid w:val="7CF20C20"/>
    <w:rsid w:val="7D0C1CE2"/>
    <w:rsid w:val="7D0C32F1"/>
    <w:rsid w:val="7D0F408D"/>
    <w:rsid w:val="7D252DA4"/>
    <w:rsid w:val="7D2A660C"/>
    <w:rsid w:val="7D2E7EAA"/>
    <w:rsid w:val="7D2F59D0"/>
    <w:rsid w:val="7D3140B5"/>
    <w:rsid w:val="7D342FE7"/>
    <w:rsid w:val="7D344D95"/>
    <w:rsid w:val="7D360B0D"/>
    <w:rsid w:val="7D366D5F"/>
    <w:rsid w:val="7D382AD7"/>
    <w:rsid w:val="7D3B4375"/>
    <w:rsid w:val="7D4274B2"/>
    <w:rsid w:val="7D491C6C"/>
    <w:rsid w:val="7D5429C0"/>
    <w:rsid w:val="7D612E2E"/>
    <w:rsid w:val="7D641299"/>
    <w:rsid w:val="7D6E6D43"/>
    <w:rsid w:val="7D7635FF"/>
    <w:rsid w:val="7D796C4C"/>
    <w:rsid w:val="7D7B6E68"/>
    <w:rsid w:val="7D853842"/>
    <w:rsid w:val="7D997807"/>
    <w:rsid w:val="7DB3215D"/>
    <w:rsid w:val="7DB57A34"/>
    <w:rsid w:val="7DD32800"/>
    <w:rsid w:val="7DD520D4"/>
    <w:rsid w:val="7DD86F60"/>
    <w:rsid w:val="7DE44A0D"/>
    <w:rsid w:val="7DE60973"/>
    <w:rsid w:val="7DE844FD"/>
    <w:rsid w:val="7DEF0916"/>
    <w:rsid w:val="7DF54524"/>
    <w:rsid w:val="7DFD162B"/>
    <w:rsid w:val="7E0155BF"/>
    <w:rsid w:val="7E1075B0"/>
    <w:rsid w:val="7E1352F2"/>
    <w:rsid w:val="7E1E5218"/>
    <w:rsid w:val="7E505BFE"/>
    <w:rsid w:val="7E633B84"/>
    <w:rsid w:val="7E857F9E"/>
    <w:rsid w:val="7E9A4E1F"/>
    <w:rsid w:val="7E9B156F"/>
    <w:rsid w:val="7E9E4BBC"/>
    <w:rsid w:val="7EA7723A"/>
    <w:rsid w:val="7EB4618D"/>
    <w:rsid w:val="7EC32874"/>
    <w:rsid w:val="7EC806B7"/>
    <w:rsid w:val="7EC860DC"/>
    <w:rsid w:val="7EE051D4"/>
    <w:rsid w:val="7EE10F4C"/>
    <w:rsid w:val="7EE14BCC"/>
    <w:rsid w:val="7EF56FBB"/>
    <w:rsid w:val="7F032C71"/>
    <w:rsid w:val="7F0709B3"/>
    <w:rsid w:val="7F0768EB"/>
    <w:rsid w:val="7F143BEC"/>
    <w:rsid w:val="7F1C3F56"/>
    <w:rsid w:val="7F1C462C"/>
    <w:rsid w:val="7F1E3F4E"/>
    <w:rsid w:val="7F250E39"/>
    <w:rsid w:val="7F2C0419"/>
    <w:rsid w:val="7F2C666B"/>
    <w:rsid w:val="7F3177DE"/>
    <w:rsid w:val="7F323E00"/>
    <w:rsid w:val="7F3379FA"/>
    <w:rsid w:val="7F345520"/>
    <w:rsid w:val="7F385010"/>
    <w:rsid w:val="7F3F1880"/>
    <w:rsid w:val="7F435763"/>
    <w:rsid w:val="7F475253"/>
    <w:rsid w:val="7F5160D2"/>
    <w:rsid w:val="7F5D4A77"/>
    <w:rsid w:val="7F5E438C"/>
    <w:rsid w:val="7F671451"/>
    <w:rsid w:val="7F6C2F0C"/>
    <w:rsid w:val="7F715AF2"/>
    <w:rsid w:val="7F886E69"/>
    <w:rsid w:val="7F902C16"/>
    <w:rsid w:val="7F961E7F"/>
    <w:rsid w:val="7F98785D"/>
    <w:rsid w:val="7F9C6C20"/>
    <w:rsid w:val="7FB421BD"/>
    <w:rsid w:val="7FBF128D"/>
    <w:rsid w:val="7FBF303C"/>
    <w:rsid w:val="7FC93EBA"/>
    <w:rsid w:val="7FD05249"/>
    <w:rsid w:val="7FDD34C2"/>
    <w:rsid w:val="7FE72592"/>
    <w:rsid w:val="BB7FA927"/>
    <w:rsid w:val="BFFF7599"/>
    <w:rsid w:val="EFFADD25"/>
    <w:rsid w:val="F5FFD31F"/>
    <w:rsid w:val="F7DFAE55"/>
    <w:rsid w:val="FFCF1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4"/>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3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304"/>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60"/>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7"/>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9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3">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next w:val="1"/>
    <w:link w:val="205"/>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41"/>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14"/>
    <w:qFormat/>
    <w:uiPriority w:val="0"/>
    <w:pPr>
      <w:shd w:val="clear" w:color="auto" w:fill="000080"/>
    </w:pPr>
  </w:style>
  <w:style w:type="paragraph" w:styleId="19">
    <w:name w:val="annotation text"/>
    <w:basedOn w:val="1"/>
    <w:link w:val="354"/>
    <w:autoRedefine/>
    <w:qFormat/>
    <w:uiPriority w:val="99"/>
    <w:pPr>
      <w:jc w:val="left"/>
    </w:pPr>
  </w:style>
  <w:style w:type="paragraph" w:styleId="20">
    <w:name w:val="Salutation"/>
    <w:basedOn w:val="1"/>
    <w:next w:val="1"/>
    <w:link w:val="309"/>
    <w:qFormat/>
    <w:uiPriority w:val="0"/>
    <w:rPr>
      <w:rFonts w:ascii="仿宋_GB2312" w:eastAsia="仿宋_GB2312"/>
      <w:sz w:val="28"/>
      <w:szCs w:val="20"/>
    </w:rPr>
  </w:style>
  <w:style w:type="paragraph" w:styleId="21">
    <w:name w:val="Body Text 3"/>
    <w:basedOn w:val="1"/>
    <w:link w:val="340"/>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7"/>
    <w:qFormat/>
    <w:uiPriority w:val="0"/>
    <w:pPr>
      <w:autoSpaceDE w:val="0"/>
      <w:autoSpaceDN w:val="0"/>
      <w:spacing w:line="360" w:lineRule="auto"/>
    </w:pPr>
    <w:rPr>
      <w:rFonts w:ascii="宋体" w:hAnsi="Arial" w:cs="Arial"/>
      <w:snapToGrid w:val="0"/>
      <w:sz w:val="24"/>
      <w:szCs w:val="21"/>
      <w:lang w:val="zh-CN"/>
    </w:rPr>
  </w:style>
  <w:style w:type="paragraph" w:customStyle="1" w:styleId="2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5">
    <w:name w:val="Body Text Indent"/>
    <w:basedOn w:val="1"/>
    <w:next w:val="15"/>
    <w:link w:val="276"/>
    <w:autoRedefine/>
    <w:qFormat/>
    <w:uiPriority w:val="0"/>
    <w:pPr>
      <w:spacing w:line="480" w:lineRule="exact"/>
      <w:ind w:firstLine="480" w:firstLineChars="200"/>
    </w:pPr>
    <w:rPr>
      <w:rFonts w:ascii="宋体" w:hAnsi="宋体"/>
      <w:sz w:val="24"/>
    </w:rPr>
  </w:style>
  <w:style w:type="paragraph" w:styleId="26">
    <w:name w:val="List Number 3"/>
    <w:basedOn w:val="1"/>
    <w:autoRedefine/>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31"/>
    <w:autoRedefine/>
    <w:qFormat/>
    <w:uiPriority w:val="0"/>
    <w:pPr>
      <w:widowControl/>
      <w:adjustRightInd/>
      <w:ind w:firstLine="200" w:firstLineChars="200"/>
      <w:jc w:val="left"/>
    </w:pPr>
    <w:rPr>
      <w:rFonts w:ascii="宋体" w:hAnsi="宋体"/>
      <w:i/>
      <w:iCs/>
      <w:kern w:val="0"/>
      <w:sz w:val="24"/>
    </w:rPr>
  </w:style>
  <w:style w:type="paragraph" w:styleId="31">
    <w:name w:val="index 4"/>
    <w:basedOn w:val="1"/>
    <w:next w:val="1"/>
    <w:unhideWhenUsed/>
    <w:qFormat/>
    <w:uiPriority w:val="99"/>
    <w:pPr>
      <w:ind w:left="600" w:leftChars="600"/>
    </w:pPr>
    <w:rPr>
      <w:rFonts w:ascii="Calibri" w:hAnsi="Calibri"/>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8"/>
    <w:autoRedefine/>
    <w:qFormat/>
    <w:uiPriority w:val="0"/>
    <w:rPr>
      <w:rFonts w:ascii="宋体" w:hAnsi="Courier New" w:cs="Arial"/>
      <w:snapToGrid w:val="0"/>
      <w:szCs w:val="21"/>
    </w:rPr>
  </w:style>
  <w:style w:type="paragraph" w:styleId="35">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autoRedefine/>
    <w:qFormat/>
    <w:uiPriority w:val="0"/>
    <w:pPr>
      <w:ind w:left="2940" w:leftChars="1400"/>
    </w:pPr>
  </w:style>
  <w:style w:type="paragraph" w:styleId="37">
    <w:name w:val="Date"/>
    <w:basedOn w:val="1"/>
    <w:next w:val="1"/>
    <w:link w:val="193"/>
    <w:qFormat/>
    <w:uiPriority w:val="0"/>
    <w:pPr>
      <w:ind w:left="100" w:leftChars="2500"/>
    </w:pPr>
    <w:rPr>
      <w:rFonts w:ascii="宋体"/>
      <w:sz w:val="24"/>
      <w:szCs w:val="21"/>
      <w:lang w:val="zh-CN"/>
    </w:rPr>
  </w:style>
  <w:style w:type="paragraph" w:styleId="38">
    <w:name w:val="Body Text Indent 2"/>
    <w:basedOn w:val="1"/>
    <w:link w:val="318"/>
    <w:autoRedefine/>
    <w:qFormat/>
    <w:uiPriority w:val="0"/>
    <w:pPr>
      <w:spacing w:line="360" w:lineRule="auto"/>
      <w:ind w:firstLine="601"/>
      <w:textAlignment w:val="baseline"/>
    </w:pPr>
    <w:rPr>
      <w:rFonts w:ascii="宋体"/>
      <w:kern w:val="0"/>
      <w:sz w:val="28"/>
      <w:szCs w:val="20"/>
    </w:rPr>
  </w:style>
  <w:style w:type="paragraph" w:styleId="39">
    <w:name w:val="endnote text"/>
    <w:basedOn w:val="1"/>
    <w:link w:val="937"/>
    <w:autoRedefine/>
    <w:qFormat/>
    <w:uiPriority w:val="0"/>
    <w:rPr>
      <w:lang w:val="zh-CN"/>
    </w:rPr>
  </w:style>
  <w:style w:type="paragraph" w:styleId="40">
    <w:name w:val="Balloon Text"/>
    <w:basedOn w:val="1"/>
    <w:link w:val="200"/>
    <w:autoRedefine/>
    <w:qFormat/>
    <w:uiPriority w:val="0"/>
    <w:rPr>
      <w:sz w:val="18"/>
      <w:szCs w:val="18"/>
    </w:rPr>
  </w:style>
  <w:style w:type="paragraph" w:styleId="41">
    <w:name w:val="footer"/>
    <w:basedOn w:val="1"/>
    <w:link w:val="391"/>
    <w:autoRedefine/>
    <w:qFormat/>
    <w:uiPriority w:val="99"/>
    <w:pPr>
      <w:tabs>
        <w:tab w:val="center" w:pos="4153"/>
        <w:tab w:val="right" w:pos="8306"/>
      </w:tabs>
      <w:snapToGrid w:val="0"/>
      <w:jc w:val="left"/>
    </w:pPr>
    <w:rPr>
      <w:sz w:val="18"/>
      <w:szCs w:val="18"/>
    </w:rPr>
  </w:style>
  <w:style w:type="paragraph" w:styleId="42">
    <w:name w:val="header"/>
    <w:basedOn w:val="1"/>
    <w:link w:val="400"/>
    <w:autoRedefine/>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55"/>
    <w:autoRedefine/>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autoRedefine/>
    <w:qFormat/>
    <w:uiPriority w:val="0"/>
  </w:style>
  <w:style w:type="paragraph" w:styleId="45">
    <w:name w:val="toc 4"/>
    <w:basedOn w:val="1"/>
    <w:next w:val="1"/>
    <w:autoRedefine/>
    <w:qFormat/>
    <w:uiPriority w:val="0"/>
    <w:pPr>
      <w:ind w:left="1260" w:leftChars="600"/>
    </w:pPr>
  </w:style>
  <w:style w:type="paragraph" w:styleId="46">
    <w:name w:val="index heading"/>
    <w:basedOn w:val="1"/>
    <w:next w:val="47"/>
    <w:autoRedefine/>
    <w:qFormat/>
    <w:uiPriority w:val="0"/>
    <w:pPr>
      <w:adjustRightInd/>
      <w:ind w:firstLine="200" w:firstLineChars="200"/>
    </w:pPr>
  </w:style>
  <w:style w:type="paragraph" w:styleId="47">
    <w:name w:val="index 1"/>
    <w:basedOn w:val="1"/>
    <w:next w:val="1"/>
    <w:autoRedefine/>
    <w:qFormat/>
    <w:uiPriority w:val="0"/>
    <w:pPr>
      <w:adjustRightInd/>
      <w:spacing w:line="360" w:lineRule="auto"/>
      <w:ind w:firstLine="200" w:firstLineChars="200"/>
      <w:jc w:val="center"/>
    </w:pPr>
    <w:rPr>
      <w:sz w:val="24"/>
      <w:szCs w:val="20"/>
    </w:rPr>
  </w:style>
  <w:style w:type="paragraph" w:styleId="48">
    <w:name w:val="Subtitle"/>
    <w:link w:val="146"/>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autoRedefine/>
    <w:qFormat/>
    <w:uiPriority w:val="0"/>
    <w:pPr>
      <w:tabs>
        <w:tab w:val="left" w:pos="902"/>
      </w:tabs>
      <w:adjustRightInd/>
      <w:spacing w:line="400" w:lineRule="exact"/>
      <w:ind w:left="902" w:hanging="420"/>
    </w:pPr>
    <w:rPr>
      <w:sz w:val="24"/>
      <w:szCs w:val="20"/>
    </w:rPr>
  </w:style>
  <w:style w:type="paragraph" w:styleId="50">
    <w:name w:val="List"/>
    <w:basedOn w:val="1"/>
    <w:autoRedefine/>
    <w:qFormat/>
    <w:uiPriority w:val="0"/>
    <w:pPr>
      <w:ind w:left="200" w:hanging="200" w:hangingChars="200"/>
    </w:pPr>
  </w:style>
  <w:style w:type="paragraph" w:styleId="51">
    <w:name w:val="footnote text"/>
    <w:basedOn w:val="1"/>
    <w:link w:val="320"/>
    <w:autoRedefine/>
    <w:qFormat/>
    <w:uiPriority w:val="0"/>
    <w:pPr>
      <w:adjustRightInd/>
      <w:spacing w:before="60" w:after="60" w:line="300" w:lineRule="exact"/>
    </w:pPr>
    <w:rPr>
      <w:rFonts w:ascii="Calibri"/>
      <w:color w:val="0000FF"/>
      <w:kern w:val="0"/>
    </w:rPr>
  </w:style>
  <w:style w:type="paragraph" w:styleId="52">
    <w:name w:val="toc 6"/>
    <w:basedOn w:val="1"/>
    <w:next w:val="1"/>
    <w:autoRedefine/>
    <w:qFormat/>
    <w:uiPriority w:val="0"/>
    <w:pPr>
      <w:ind w:left="2100" w:leftChars="1000"/>
    </w:pPr>
  </w:style>
  <w:style w:type="paragraph" w:styleId="53">
    <w:name w:val="List 5"/>
    <w:basedOn w:val="1"/>
    <w:autoRedefine/>
    <w:qFormat/>
    <w:uiPriority w:val="0"/>
    <w:pPr>
      <w:adjustRightInd/>
      <w:ind w:left="100" w:leftChars="800" w:hanging="200" w:hangingChars="200"/>
    </w:pPr>
  </w:style>
  <w:style w:type="paragraph" w:styleId="54">
    <w:name w:val="Body Text Indent 3"/>
    <w:basedOn w:val="1"/>
    <w:link w:val="383"/>
    <w:autoRedefine/>
    <w:qFormat/>
    <w:uiPriority w:val="0"/>
    <w:pPr>
      <w:spacing w:line="360" w:lineRule="auto"/>
      <w:ind w:firstLine="420"/>
    </w:pPr>
    <w:rPr>
      <w:sz w:val="24"/>
      <w:szCs w:val="20"/>
    </w:rPr>
  </w:style>
  <w:style w:type="paragraph" w:styleId="55">
    <w:name w:val="toc 2"/>
    <w:basedOn w:val="1"/>
    <w:next w:val="1"/>
    <w:autoRedefine/>
    <w:qFormat/>
    <w:uiPriority w:val="0"/>
    <w:pPr>
      <w:ind w:left="420" w:leftChars="200"/>
    </w:pPr>
  </w:style>
  <w:style w:type="paragraph" w:styleId="56">
    <w:name w:val="toc 9"/>
    <w:basedOn w:val="1"/>
    <w:next w:val="1"/>
    <w:autoRedefine/>
    <w:qFormat/>
    <w:uiPriority w:val="0"/>
    <w:pPr>
      <w:ind w:left="3360" w:leftChars="1600"/>
    </w:pPr>
  </w:style>
  <w:style w:type="paragraph" w:styleId="57">
    <w:name w:val="Body Text 2"/>
    <w:basedOn w:val="1"/>
    <w:link w:val="312"/>
    <w:autoRedefine/>
    <w:qFormat/>
    <w:uiPriority w:val="0"/>
    <w:pPr>
      <w:spacing w:after="120" w:line="480" w:lineRule="auto"/>
    </w:pPr>
  </w:style>
  <w:style w:type="paragraph" w:styleId="58">
    <w:name w:val="HTML Preformatted"/>
    <w:basedOn w:val="1"/>
    <w:link w:val="31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97"/>
    <w:autoRedefine/>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109"/>
    <w:autoRedefine/>
    <w:qFormat/>
    <w:uiPriority w:val="0"/>
    <w:rPr>
      <w:b/>
      <w:bCs/>
    </w:rPr>
  </w:style>
  <w:style w:type="paragraph" w:styleId="62">
    <w:name w:val="Body Text First Indent"/>
    <w:basedOn w:val="23"/>
    <w:next w:val="1"/>
    <w:link w:val="331"/>
    <w:autoRedefine/>
    <w:qFormat/>
    <w:uiPriority w:val="0"/>
    <w:pPr>
      <w:ind w:firstLine="420"/>
    </w:pPr>
    <w:rPr>
      <w:rFonts w:hAnsi="Calibri" w:cs="Times New Roman"/>
      <w:snapToGrid/>
      <w:szCs w:val="20"/>
    </w:rPr>
  </w:style>
  <w:style w:type="paragraph" w:styleId="63">
    <w:name w:val="Body Text First Indent 2"/>
    <w:basedOn w:val="25"/>
    <w:next w:val="1"/>
    <w:link w:val="134"/>
    <w:autoRedefine/>
    <w:qFormat/>
    <w:uiPriority w:val="0"/>
    <w:pPr>
      <w:adjustRightInd/>
      <w:spacing w:after="120" w:line="240" w:lineRule="auto"/>
      <w:ind w:left="420" w:leftChars="200" w:firstLine="210"/>
    </w:pPr>
    <w:rPr>
      <w:sz w:val="21"/>
    </w:rPr>
  </w:style>
  <w:style w:type="table" w:styleId="65">
    <w:name w:val="Table Grid"/>
    <w:basedOn w:val="6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autoRedefine/>
    <w:qFormat/>
    <w:uiPriority w:val="22"/>
    <w:rPr>
      <w:b/>
      <w:bCs/>
    </w:rPr>
  </w:style>
  <w:style w:type="character" w:styleId="73">
    <w:name w:val="endnote reference"/>
    <w:autoRedefine/>
    <w:qFormat/>
    <w:uiPriority w:val="0"/>
    <w:rPr>
      <w:vertAlign w:val="superscript"/>
    </w:rPr>
  </w:style>
  <w:style w:type="character" w:styleId="74">
    <w:name w:val="page number"/>
    <w:basedOn w:val="71"/>
    <w:autoRedefine/>
    <w:qFormat/>
    <w:uiPriority w:val="0"/>
    <w:rPr>
      <w:rFonts w:ascii="Arial" w:hAnsi="Arial" w:eastAsia="黑体" w:cs="Arial"/>
      <w:snapToGrid w:val="0"/>
      <w:kern w:val="0"/>
      <w:szCs w:val="21"/>
    </w:rPr>
  </w:style>
  <w:style w:type="character" w:styleId="75">
    <w:name w:val="FollowedHyperlink"/>
    <w:autoRedefine/>
    <w:qFormat/>
    <w:uiPriority w:val="99"/>
    <w:rPr>
      <w:rFonts w:ascii="Arial" w:hAnsi="Arial" w:eastAsia="黑体" w:cs="Arial"/>
      <w:snapToGrid w:val="0"/>
      <w:color w:val="000000"/>
      <w:kern w:val="0"/>
      <w:sz w:val="18"/>
      <w:szCs w:val="18"/>
      <w:u w:val="none"/>
    </w:rPr>
  </w:style>
  <w:style w:type="character" w:styleId="76">
    <w:name w:val="Emphasis"/>
    <w:autoRedefine/>
    <w:qFormat/>
    <w:uiPriority w:val="20"/>
    <w:rPr>
      <w:color w:val="CC0033"/>
    </w:rPr>
  </w:style>
  <w:style w:type="character" w:styleId="77">
    <w:name w:val="line number"/>
    <w:basedOn w:val="71"/>
    <w:autoRedefine/>
    <w:qFormat/>
    <w:uiPriority w:val="0"/>
    <w:rPr>
      <w:rFonts w:ascii="Arial" w:hAnsi="Arial" w:eastAsia="黑体" w:cs="Arial"/>
      <w:snapToGrid w:val="0"/>
      <w:kern w:val="0"/>
      <w:szCs w:val="21"/>
    </w:rPr>
  </w:style>
  <w:style w:type="character" w:styleId="78">
    <w:name w:val="Hyperlink"/>
    <w:autoRedefine/>
    <w:qFormat/>
    <w:uiPriority w:val="99"/>
    <w:rPr>
      <w:rFonts w:ascii="Arial" w:hAnsi="Arial" w:eastAsia="黑体" w:cs="Arial"/>
      <w:snapToGrid w:val="0"/>
      <w:color w:val="000000"/>
      <w:kern w:val="0"/>
      <w:sz w:val="18"/>
      <w:szCs w:val="18"/>
      <w:u w:val="none"/>
    </w:rPr>
  </w:style>
  <w:style w:type="character" w:styleId="79">
    <w:name w:val="HTML Code"/>
    <w:autoRedefine/>
    <w:qFormat/>
    <w:uiPriority w:val="0"/>
    <w:rPr>
      <w:rFonts w:ascii="黑体" w:hAnsi="Courier New" w:eastAsia="黑体" w:cs="楷体_GB2312"/>
      <w:sz w:val="20"/>
      <w:szCs w:val="20"/>
    </w:rPr>
  </w:style>
  <w:style w:type="character" w:styleId="80">
    <w:name w:val="annotation reference"/>
    <w:autoRedefine/>
    <w:qFormat/>
    <w:uiPriority w:val="99"/>
    <w:rPr>
      <w:sz w:val="21"/>
      <w:szCs w:val="21"/>
    </w:rPr>
  </w:style>
  <w:style w:type="character" w:styleId="81">
    <w:name w:val="footnote reference"/>
    <w:autoRedefine/>
    <w:qFormat/>
    <w:uiPriority w:val="99"/>
    <w:rPr>
      <w:rFonts w:cs="Times New Roman"/>
      <w:vertAlign w:val="superscript"/>
    </w:rPr>
  </w:style>
  <w:style w:type="character" w:styleId="82">
    <w:name w:val="HTML Sample"/>
    <w:basedOn w:val="71"/>
    <w:autoRedefine/>
    <w:qFormat/>
    <w:uiPriority w:val="0"/>
    <w:rPr>
      <w:rFonts w:ascii="Courier New" w:hAnsi="Courier New"/>
    </w:rPr>
  </w:style>
  <w:style w:type="paragraph" w:customStyle="1" w:styleId="83">
    <w:name w:val="表格文字"/>
    <w:basedOn w:val="34"/>
    <w:next w:val="23"/>
    <w:autoRedefine/>
    <w:qFormat/>
    <w:uiPriority w:val="0"/>
    <w:pPr>
      <w:adjustRightInd/>
      <w:ind w:firstLine="200" w:firstLineChars="200"/>
    </w:pPr>
    <w:rPr>
      <w:rFonts w:ascii="Arial" w:hAnsi="Arial"/>
      <w:spacing w:val="-5"/>
      <w:kern w:val="0"/>
      <w:sz w:val="24"/>
      <w:szCs w:val="20"/>
    </w:rPr>
  </w:style>
  <w:style w:type="character" w:customStyle="1" w:styleId="84">
    <w:name w:val="标题 2 字符"/>
    <w:autoRedefine/>
    <w:qFormat/>
    <w:uiPriority w:val="1"/>
    <w:rPr>
      <w:rFonts w:ascii="仿宋_GB2312" w:hAnsi="Times New Roman" w:eastAsia="仿宋_GB2312" w:cs="Times New Roman"/>
      <w:b/>
      <w:kern w:val="2"/>
      <w:sz w:val="24"/>
      <w:lang w:val="zh-CN"/>
    </w:rPr>
  </w:style>
  <w:style w:type="character" w:customStyle="1" w:styleId="85">
    <w:name w:val="正文缩进 字符"/>
    <w:autoRedefine/>
    <w:qFormat/>
    <w:uiPriority w:val="0"/>
    <w:rPr>
      <w:rFonts w:ascii="宋体" w:eastAsia="宋体"/>
      <w:snapToGrid w:val="0"/>
      <w:color w:val="000000"/>
      <w:kern w:val="28"/>
      <w:sz w:val="28"/>
      <w:lang w:val="en-US" w:eastAsia="zh-CN" w:bidi="ar-SA"/>
    </w:rPr>
  </w:style>
  <w:style w:type="character" w:customStyle="1" w:styleId="86">
    <w:name w:val="正文文本 Char"/>
    <w:autoRedefine/>
    <w:qFormat/>
    <w:uiPriority w:val="0"/>
    <w:rPr>
      <w:rFonts w:eastAsia="宋体"/>
      <w:kern w:val="2"/>
      <w:sz w:val="24"/>
      <w:szCs w:val="24"/>
      <w:lang w:val="en-US" w:eastAsia="zh-CN" w:bidi="ar-SA"/>
    </w:rPr>
  </w:style>
  <w:style w:type="character" w:customStyle="1" w:styleId="87">
    <w:name w:val="标题 4 字符"/>
    <w:autoRedefine/>
    <w:qFormat/>
    <w:uiPriority w:val="9"/>
    <w:rPr>
      <w:rFonts w:ascii="等线 Light" w:hAnsi="等线 Light" w:eastAsia="等线 Light" w:cs="Times New Roman"/>
      <w:b/>
      <w:bCs/>
      <w:snapToGrid w:val="0"/>
      <w:kern w:val="0"/>
      <w:sz w:val="28"/>
      <w:szCs w:val="28"/>
    </w:rPr>
  </w:style>
  <w:style w:type="paragraph" w:customStyle="1" w:styleId="88">
    <w:name w:val="样式6"/>
    <w:basedOn w:val="34"/>
    <w:next w:val="23"/>
    <w:autoRedefine/>
    <w:qFormat/>
    <w:uiPriority w:val="0"/>
    <w:pPr>
      <w:spacing w:line="460" w:lineRule="exact"/>
      <w:outlineLvl w:val="2"/>
    </w:pPr>
    <w:rPr>
      <w:rFonts w:ascii="仿宋_GB2312" w:hAnsi="宋体" w:eastAsia="仿宋_GB2312"/>
      <w:b/>
      <w:bCs/>
      <w:sz w:val="24"/>
      <w:szCs w:val="24"/>
    </w:rPr>
  </w:style>
  <w:style w:type="character" w:customStyle="1" w:styleId="89">
    <w:name w:val="标题 1 字符"/>
    <w:autoRedefine/>
    <w:qFormat/>
    <w:uiPriority w:val="9"/>
    <w:rPr>
      <w:rFonts w:ascii="Arial" w:hAnsi="Arial" w:eastAsia="黑体" w:cs="Arial"/>
      <w:b/>
      <w:bCs/>
      <w:snapToGrid w:val="0"/>
      <w:kern w:val="44"/>
      <w:sz w:val="44"/>
      <w:szCs w:val="44"/>
    </w:rPr>
  </w:style>
  <w:style w:type="paragraph" w:customStyle="1" w:styleId="90">
    <w:name w:val="Default"/>
    <w:next w:val="91"/>
    <w:link w:val="24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3">
    <w:name w:val="正文空2字"/>
    <w:basedOn w:val="94"/>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4">
    <w:name w:val="左对齐正文"/>
    <w:autoRedefine/>
    <w:qFormat/>
    <w:uiPriority w:val="99"/>
    <w:rPr>
      <w:rFonts w:ascii="Calibri" w:hAnsi="Calibri" w:eastAsia="仿宋_GB2312" w:cs="Calibri"/>
      <w:kern w:val="2"/>
      <w:sz w:val="32"/>
      <w:szCs w:val="32"/>
      <w:lang w:val="en-US" w:eastAsia="zh-CN" w:bidi="ar-SA"/>
    </w:rPr>
  </w:style>
  <w:style w:type="character" w:customStyle="1" w:styleId="95">
    <w:name w:val="表格非标题文字 Char"/>
    <w:link w:val="96"/>
    <w:qFormat/>
    <w:uiPriority w:val="0"/>
    <w:rPr>
      <w:rFonts w:ascii="Futura Bk" w:hAnsi="Futura Bk"/>
      <w:kern w:val="2"/>
      <w:sz w:val="18"/>
      <w:szCs w:val="21"/>
      <w:lang w:val="en-US" w:eastAsia="zh-CN" w:bidi="ar-SA"/>
    </w:rPr>
  </w:style>
  <w:style w:type="paragraph" w:customStyle="1" w:styleId="96">
    <w:name w:val="表格非标题文字"/>
    <w:link w:val="95"/>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
    <w:name w:val="*正文 Char"/>
    <w:link w:val="98"/>
    <w:qFormat/>
    <w:locked/>
    <w:uiPriority w:val="0"/>
    <w:rPr>
      <w:rFonts w:ascii="宋体" w:hAnsi="宋体"/>
      <w:sz w:val="24"/>
    </w:rPr>
  </w:style>
  <w:style w:type="paragraph" w:customStyle="1" w:styleId="98">
    <w:name w:val="*正文"/>
    <w:basedOn w:val="1"/>
    <w:next w:val="1"/>
    <w:link w:val="97"/>
    <w:qFormat/>
    <w:uiPriority w:val="0"/>
    <w:pPr>
      <w:snapToGrid w:val="0"/>
      <w:spacing w:line="360" w:lineRule="auto"/>
      <w:ind w:firstLine="482"/>
      <w:jc w:val="left"/>
    </w:pPr>
    <w:rPr>
      <w:rFonts w:ascii="宋体" w:hAnsi="宋体"/>
      <w:kern w:val="0"/>
      <w:sz w:val="24"/>
      <w:szCs w:val="20"/>
    </w:rPr>
  </w:style>
  <w:style w:type="character" w:customStyle="1" w:styleId="99">
    <w:name w:val="Char Char71"/>
    <w:autoRedefine/>
    <w:semiHidden/>
    <w:qFormat/>
    <w:uiPriority w:val="0"/>
    <w:rPr>
      <w:rFonts w:eastAsia="宋体"/>
      <w:kern w:val="2"/>
      <w:sz w:val="21"/>
      <w:szCs w:val="24"/>
      <w:lang w:val="en-US" w:eastAsia="zh-CN" w:bidi="ar-SA"/>
    </w:rPr>
  </w:style>
  <w:style w:type="character" w:customStyle="1" w:styleId="100">
    <w:name w:val="Char Char6"/>
    <w:autoRedefine/>
    <w:qFormat/>
    <w:uiPriority w:val="0"/>
    <w:rPr>
      <w:rFonts w:eastAsia="宋体"/>
      <w:kern w:val="2"/>
      <w:sz w:val="21"/>
      <w:szCs w:val="24"/>
      <w:lang w:val="en-US" w:eastAsia="zh-CN" w:bidi="ar-SA"/>
    </w:rPr>
  </w:style>
  <w:style w:type="character" w:customStyle="1" w:styleId="101">
    <w:name w:val="正文缩进 Char"/>
    <w:qFormat/>
    <w:uiPriority w:val="0"/>
    <w:rPr>
      <w:rFonts w:eastAsia="宋体"/>
      <w:kern w:val="2"/>
      <w:sz w:val="21"/>
      <w:lang w:val="en-US" w:eastAsia="zh-CN"/>
    </w:rPr>
  </w:style>
  <w:style w:type="character" w:customStyle="1" w:styleId="102">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103">
    <w:name w:val="Char Char28"/>
    <w:qFormat/>
    <w:uiPriority w:val="6"/>
    <w:rPr>
      <w:rFonts w:ascii="仿宋_GB2312" w:hAnsi="仿宋_GB2312" w:eastAsia="仿宋_GB2312"/>
      <w:kern w:val="1"/>
      <w:sz w:val="28"/>
    </w:rPr>
  </w:style>
  <w:style w:type="character" w:customStyle="1" w:styleId="104">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105">
    <w:name w:val="Heading 1 Char"/>
    <w:autoRedefine/>
    <w:qFormat/>
    <w:uiPriority w:val="6"/>
    <w:rPr>
      <w:rFonts w:ascii="Times New Roman" w:hAnsi="Times New Roman" w:eastAsia="黑体" w:cs="Times New Roman"/>
      <w:b/>
      <w:kern w:val="0"/>
      <w:sz w:val="24"/>
      <w:szCs w:val="24"/>
    </w:rPr>
  </w:style>
  <w:style w:type="character" w:customStyle="1" w:styleId="106">
    <w:name w:val="U_正文 Char"/>
    <w:link w:val="107"/>
    <w:autoRedefine/>
    <w:qFormat/>
    <w:uiPriority w:val="0"/>
    <w:rPr>
      <w:sz w:val="24"/>
      <w:szCs w:val="24"/>
    </w:rPr>
  </w:style>
  <w:style w:type="paragraph" w:customStyle="1" w:styleId="107">
    <w:name w:val="U_正文"/>
    <w:basedOn w:val="1"/>
    <w:link w:val="106"/>
    <w:qFormat/>
    <w:uiPriority w:val="0"/>
    <w:pPr>
      <w:adjustRightInd/>
      <w:spacing w:beforeLines="20" w:afterLines="20" w:line="300" w:lineRule="auto"/>
      <w:ind w:firstLine="200" w:firstLineChars="200"/>
    </w:pPr>
    <w:rPr>
      <w:kern w:val="0"/>
      <w:sz w:val="24"/>
    </w:rPr>
  </w:style>
  <w:style w:type="character" w:customStyle="1" w:styleId="108">
    <w:name w:val="HTML 地址 Char1"/>
    <w:autoRedefine/>
    <w:qFormat/>
    <w:uiPriority w:val="0"/>
    <w:rPr>
      <w:rFonts w:ascii="Times New Roman" w:hAnsi="Times New Roman" w:eastAsia="宋体" w:cs="Times New Roman"/>
      <w:i/>
      <w:iCs/>
      <w:szCs w:val="24"/>
    </w:rPr>
  </w:style>
  <w:style w:type="character" w:customStyle="1" w:styleId="109">
    <w:name w:val="批注主题 字符"/>
    <w:link w:val="61"/>
    <w:qFormat/>
    <w:uiPriority w:val="0"/>
    <w:rPr>
      <w:b/>
      <w:bCs/>
      <w:kern w:val="2"/>
      <w:sz w:val="21"/>
      <w:szCs w:val="24"/>
    </w:rPr>
  </w:style>
  <w:style w:type="character" w:customStyle="1" w:styleId="110">
    <w:name w:val="Char Char51"/>
    <w:autoRedefine/>
    <w:qFormat/>
    <w:uiPriority w:val="0"/>
    <w:rPr>
      <w:rFonts w:ascii="宋体" w:hAnsi="Courier New" w:eastAsia="宋体"/>
      <w:kern w:val="2"/>
      <w:sz w:val="21"/>
      <w:lang w:val="en-US" w:eastAsia="zh-CN"/>
    </w:rPr>
  </w:style>
  <w:style w:type="character" w:customStyle="1" w:styleId="111">
    <w:name w:val="表正文 Char"/>
    <w:qFormat/>
    <w:uiPriority w:val="0"/>
    <w:rPr>
      <w:rFonts w:ascii="宋体" w:eastAsia="宋体"/>
      <w:snapToGrid w:val="0"/>
      <w:color w:val="000000"/>
      <w:kern w:val="28"/>
      <w:sz w:val="28"/>
      <w:lang w:val="en-US" w:eastAsia="zh-CN" w:bidi="ar-SA"/>
    </w:rPr>
  </w:style>
  <w:style w:type="character" w:customStyle="1" w:styleId="112">
    <w:name w:val="Char Char34"/>
    <w:qFormat/>
    <w:uiPriority w:val="6"/>
    <w:rPr>
      <w:b/>
      <w:kern w:val="1"/>
      <w:sz w:val="28"/>
      <w:szCs w:val="28"/>
    </w:rPr>
  </w:style>
  <w:style w:type="character" w:customStyle="1" w:styleId="113">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14">
    <w:name w:val="哈哈正文 Char"/>
    <w:link w:val="115"/>
    <w:autoRedefine/>
    <w:qFormat/>
    <w:uiPriority w:val="0"/>
    <w:rPr>
      <w:rFonts w:ascii="宋体" w:hAnsi="宋体" w:eastAsia="宋体"/>
      <w:kern w:val="2"/>
      <w:sz w:val="24"/>
      <w:lang w:bidi="ar-SA"/>
    </w:rPr>
  </w:style>
  <w:style w:type="paragraph" w:customStyle="1" w:styleId="115">
    <w:name w:val="哈哈正文"/>
    <w:basedOn w:val="1"/>
    <w:link w:val="114"/>
    <w:qFormat/>
    <w:uiPriority w:val="0"/>
    <w:pPr>
      <w:adjustRightInd/>
      <w:spacing w:line="360" w:lineRule="auto"/>
      <w:ind w:firstLine="200" w:firstLineChars="200"/>
    </w:pPr>
    <w:rPr>
      <w:rFonts w:ascii="宋体" w:hAnsi="宋体"/>
      <w:sz w:val="24"/>
      <w:szCs w:val="20"/>
    </w:rPr>
  </w:style>
  <w:style w:type="character" w:customStyle="1" w:styleId="116">
    <w:name w:val="未处理的提及1"/>
    <w:autoRedefine/>
    <w:qFormat/>
    <w:uiPriority w:val="0"/>
    <w:rPr>
      <w:color w:val="808080"/>
      <w:shd w:val="clear" w:color="auto" w:fill="E6E6E6"/>
    </w:rPr>
  </w:style>
  <w:style w:type="character" w:customStyle="1" w:styleId="117">
    <w:name w:val="txt"/>
    <w:autoRedefine/>
    <w:qFormat/>
    <w:uiPriority w:val="0"/>
    <w:rPr>
      <w:rFonts w:ascii="仿宋_GB2312" w:eastAsia="微软雅黑"/>
      <w:b/>
      <w:kern w:val="2"/>
      <w:sz w:val="32"/>
      <w:szCs w:val="32"/>
      <w:lang w:val="en-US" w:eastAsia="zh-CN" w:bidi="ar-SA"/>
    </w:rPr>
  </w:style>
  <w:style w:type="character" w:customStyle="1" w:styleId="118">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9">
    <w:name w:val="Char Char32"/>
    <w:qFormat/>
    <w:uiPriority w:val="6"/>
    <w:rPr>
      <w:b/>
      <w:kern w:val="1"/>
      <w:sz w:val="24"/>
      <w:szCs w:val="24"/>
    </w:rPr>
  </w:style>
  <w:style w:type="character" w:customStyle="1" w:styleId="120">
    <w:name w:val="PI Char1"/>
    <w:autoRedefine/>
    <w:qFormat/>
    <w:uiPriority w:val="0"/>
    <w:rPr>
      <w:rFonts w:ascii="宋体" w:hAnsi="宋体"/>
      <w:kern w:val="2"/>
      <w:sz w:val="24"/>
      <w:szCs w:val="24"/>
    </w:rPr>
  </w:style>
  <w:style w:type="character" w:customStyle="1" w:styleId="121">
    <w:name w:val="tw4winTerm"/>
    <w:autoRedefine/>
    <w:qFormat/>
    <w:uiPriority w:val="0"/>
    <w:rPr>
      <w:color w:val="0000FF"/>
    </w:rPr>
  </w:style>
  <w:style w:type="character" w:customStyle="1" w:styleId="122">
    <w:name w:val="Footer Char"/>
    <w:autoRedefine/>
    <w:qFormat/>
    <w:locked/>
    <w:uiPriority w:val="0"/>
    <w:rPr>
      <w:rFonts w:eastAsia="宋体"/>
      <w:kern w:val="2"/>
      <w:sz w:val="18"/>
      <w:lang w:val="en-US" w:eastAsia="zh-CN" w:bidi="ar-SA"/>
    </w:rPr>
  </w:style>
  <w:style w:type="character" w:customStyle="1" w:styleId="123">
    <w:name w:val="普通文字 Char Char1"/>
    <w:autoRedefine/>
    <w:qFormat/>
    <w:uiPriority w:val="0"/>
    <w:rPr>
      <w:rFonts w:ascii="宋体" w:hAnsi="Courier New"/>
      <w:kern w:val="2"/>
      <w:sz w:val="21"/>
    </w:rPr>
  </w:style>
  <w:style w:type="character" w:customStyle="1" w:styleId="124">
    <w:name w:val="Char Char101"/>
    <w:qFormat/>
    <w:uiPriority w:val="6"/>
    <w:rPr>
      <w:rFonts w:ascii="宋体" w:hAnsi="宋体"/>
      <w:kern w:val="2"/>
      <w:sz w:val="21"/>
      <w:szCs w:val="24"/>
      <w:lang w:val="en-US" w:eastAsia="zh-CN"/>
    </w:rPr>
  </w:style>
  <w:style w:type="character" w:customStyle="1" w:styleId="125">
    <w:name w:val="标题 4 Char"/>
    <w:autoRedefine/>
    <w:qFormat/>
    <w:uiPriority w:val="0"/>
    <w:rPr>
      <w:rFonts w:ascii="Arial" w:hAnsi="Arial" w:eastAsia="黑体"/>
      <w:b/>
      <w:kern w:val="2"/>
      <w:sz w:val="28"/>
    </w:rPr>
  </w:style>
  <w:style w:type="character" w:customStyle="1" w:styleId="126">
    <w:name w:val="链接"/>
    <w:autoRedefine/>
    <w:qFormat/>
    <w:uiPriority w:val="0"/>
    <w:rPr>
      <w:color w:val="0000FF"/>
      <w:sz w:val="21"/>
      <w:szCs w:val="21"/>
      <w:u w:val="single"/>
    </w:rPr>
  </w:style>
  <w:style w:type="character" w:customStyle="1" w:styleId="127">
    <w:name w:val="h4 Char"/>
    <w:qFormat/>
    <w:uiPriority w:val="0"/>
    <w:rPr>
      <w:rFonts w:ascii="Arial" w:hAnsi="Arial" w:eastAsia="黑体"/>
      <w:b/>
      <w:bCs/>
      <w:kern w:val="2"/>
      <w:sz w:val="28"/>
      <w:szCs w:val="28"/>
      <w:lang w:val="zh-CN" w:eastAsia="zh-CN" w:bidi="ar-SA"/>
    </w:rPr>
  </w:style>
  <w:style w:type="character" w:customStyle="1" w:styleId="128">
    <w:name w:val="5正文 Char"/>
    <w:link w:val="129"/>
    <w:autoRedefine/>
    <w:qFormat/>
    <w:uiPriority w:val="0"/>
    <w:rPr>
      <w:rFonts w:ascii="仿宋_GB2312" w:hAnsi="微软雅黑" w:eastAsia="仿宋_GB2312"/>
      <w:sz w:val="28"/>
      <w:szCs w:val="21"/>
    </w:rPr>
  </w:style>
  <w:style w:type="paragraph" w:customStyle="1" w:styleId="129">
    <w:name w:val="5正文"/>
    <w:basedOn w:val="1"/>
    <w:link w:val="128"/>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30">
    <w:name w:val="标题 3 字符"/>
    <w:qFormat/>
    <w:uiPriority w:val="9"/>
    <w:rPr>
      <w:b/>
      <w:bCs/>
      <w:kern w:val="2"/>
      <w:sz w:val="32"/>
      <w:szCs w:val="32"/>
    </w:rPr>
  </w:style>
  <w:style w:type="character" w:customStyle="1" w:styleId="131">
    <w:name w:val="样式6 Char"/>
    <w:autoRedefine/>
    <w:qFormat/>
    <w:uiPriority w:val="0"/>
    <w:rPr>
      <w:rFonts w:ascii="仿宋_GB2312" w:hAnsi="宋体" w:eastAsia="仿宋_GB2312"/>
      <w:b/>
      <w:bCs/>
      <w:kern w:val="2"/>
      <w:sz w:val="24"/>
      <w:szCs w:val="24"/>
      <w:lang w:val="en-US" w:eastAsia="zh-CN" w:bidi="ar-SA"/>
    </w:rPr>
  </w:style>
  <w:style w:type="character" w:customStyle="1" w:styleId="132">
    <w:name w:val="Char Char14"/>
    <w:autoRedefine/>
    <w:qFormat/>
    <w:uiPriority w:val="6"/>
    <w:rPr>
      <w:rFonts w:ascii="黑体" w:hAnsi="黑体" w:eastAsia="黑体"/>
    </w:rPr>
  </w:style>
  <w:style w:type="character" w:customStyle="1" w:styleId="133">
    <w:name w:val="Heading 2 Hidden Char"/>
    <w:autoRedefine/>
    <w:qFormat/>
    <w:uiPriority w:val="0"/>
    <w:rPr>
      <w:rFonts w:ascii="仿宋_GB2312" w:eastAsia="仿宋_GB2312"/>
      <w:b/>
      <w:bCs/>
      <w:kern w:val="2"/>
      <w:sz w:val="24"/>
      <w:szCs w:val="24"/>
      <w:lang w:val="zh-CN" w:eastAsia="zh-CN" w:bidi="ar-SA"/>
    </w:rPr>
  </w:style>
  <w:style w:type="character" w:customStyle="1" w:styleId="134">
    <w:name w:val="正文文本首行缩进 2 字符"/>
    <w:link w:val="63"/>
    <w:qFormat/>
    <w:uiPriority w:val="0"/>
    <w:rPr>
      <w:rFonts w:ascii="宋体" w:hAnsi="宋体"/>
      <w:kern w:val="2"/>
      <w:sz w:val="21"/>
      <w:szCs w:val="24"/>
    </w:rPr>
  </w:style>
  <w:style w:type="character" w:customStyle="1" w:styleId="135">
    <w:name w:val="font11"/>
    <w:autoRedefine/>
    <w:qFormat/>
    <w:uiPriority w:val="0"/>
    <w:rPr>
      <w:rFonts w:hint="default" w:ascii="Times New Roman" w:hAnsi="Times New Roman" w:cs="Times New Roman"/>
      <w:color w:val="000000"/>
      <w:sz w:val="22"/>
      <w:szCs w:val="22"/>
      <w:u w:val="none"/>
    </w:rPr>
  </w:style>
  <w:style w:type="character" w:customStyle="1" w:styleId="136">
    <w:name w:val="表正文 Char1"/>
    <w:autoRedefine/>
    <w:qFormat/>
    <w:uiPriority w:val="0"/>
    <w:rPr>
      <w:rFonts w:ascii="宋体" w:eastAsia="宋体"/>
      <w:snapToGrid w:val="0"/>
      <w:color w:val="000000"/>
      <w:kern w:val="28"/>
      <w:sz w:val="28"/>
    </w:rPr>
  </w:style>
  <w:style w:type="character" w:customStyle="1" w:styleId="137">
    <w:name w:val="blue1"/>
    <w:basedOn w:val="71"/>
    <w:qFormat/>
    <w:uiPriority w:val="0"/>
    <w:rPr>
      <w:rFonts w:ascii="Arial" w:hAnsi="Arial" w:eastAsia="黑体" w:cs="Arial"/>
      <w:snapToGrid w:val="0"/>
      <w:kern w:val="0"/>
      <w:szCs w:val="21"/>
    </w:rPr>
  </w:style>
  <w:style w:type="character" w:customStyle="1" w:styleId="138">
    <w:name w:val="纯文本 字符1"/>
    <w:link w:val="34"/>
    <w:autoRedefine/>
    <w:qFormat/>
    <w:uiPriority w:val="0"/>
    <w:rPr>
      <w:rFonts w:ascii="宋体" w:hAnsi="Courier New" w:eastAsia="宋体" w:cs="Arial"/>
      <w:snapToGrid w:val="0"/>
      <w:kern w:val="2"/>
      <w:sz w:val="21"/>
      <w:szCs w:val="21"/>
      <w:lang w:val="en-US" w:eastAsia="zh-CN" w:bidi="ar-SA"/>
    </w:rPr>
  </w:style>
  <w:style w:type="character" w:customStyle="1" w:styleId="139">
    <w:name w:val="标书1 Char"/>
    <w:autoRedefine/>
    <w:qFormat/>
    <w:uiPriority w:val="0"/>
    <w:rPr>
      <w:rFonts w:eastAsia="宋体"/>
      <w:b/>
      <w:bCs/>
      <w:kern w:val="44"/>
      <w:sz w:val="44"/>
      <w:szCs w:val="44"/>
      <w:lang w:val="en-US" w:eastAsia="zh-CN" w:bidi="ar-SA"/>
    </w:rPr>
  </w:style>
  <w:style w:type="character" w:customStyle="1" w:styleId="140">
    <w:name w:val="样式5 Char"/>
    <w:autoRedefine/>
    <w:qFormat/>
    <w:uiPriority w:val="0"/>
    <w:rPr>
      <w:rFonts w:ascii="仿宋_GB2312" w:hAnsi="仿宋" w:eastAsia="仿宋_GB2312"/>
      <w:kern w:val="2"/>
      <w:sz w:val="24"/>
      <w:szCs w:val="24"/>
    </w:rPr>
  </w:style>
  <w:style w:type="character" w:customStyle="1" w:styleId="141">
    <w:name w:val="样式4 Char"/>
    <w:qFormat/>
    <w:uiPriority w:val="0"/>
    <w:rPr>
      <w:rFonts w:ascii="仿宋_GB2312" w:hAnsi="仿宋" w:eastAsia="仿宋_GB2312"/>
      <w:b/>
      <w:kern w:val="2"/>
      <w:sz w:val="32"/>
      <w:szCs w:val="32"/>
      <w:lang w:bidi="ar-SA"/>
    </w:rPr>
  </w:style>
  <w:style w:type="character" w:customStyle="1" w:styleId="142">
    <w:name w:val="插图说明 Char"/>
    <w:autoRedefine/>
    <w:qFormat/>
    <w:uiPriority w:val="0"/>
    <w:rPr>
      <w:rFonts w:eastAsia="黑体"/>
      <w:sz w:val="24"/>
      <w:lang w:val="en-US" w:eastAsia="zh-CN"/>
    </w:rPr>
  </w:style>
  <w:style w:type="character" w:customStyle="1" w:styleId="143">
    <w:name w:val="正文2 Char Char"/>
    <w:link w:val="144"/>
    <w:autoRedefine/>
    <w:qFormat/>
    <w:uiPriority w:val="0"/>
    <w:rPr>
      <w:rFonts w:eastAsia="宋体"/>
      <w:kern w:val="2"/>
      <w:sz w:val="24"/>
      <w:lang w:val="en-US" w:eastAsia="zh-CN" w:bidi="ar-SA"/>
    </w:rPr>
  </w:style>
  <w:style w:type="paragraph" w:customStyle="1" w:styleId="144">
    <w:name w:val="正文2"/>
    <w:basedOn w:val="1"/>
    <w:link w:val="143"/>
    <w:qFormat/>
    <w:uiPriority w:val="0"/>
    <w:pPr>
      <w:spacing w:before="156" w:line="360" w:lineRule="auto"/>
      <w:ind w:firstLine="510" w:firstLineChars="200"/>
    </w:pPr>
    <w:rPr>
      <w:sz w:val="24"/>
      <w:szCs w:val="20"/>
    </w:rPr>
  </w:style>
  <w:style w:type="character" w:customStyle="1" w:styleId="145">
    <w:name w:val="Char Char24"/>
    <w:qFormat/>
    <w:uiPriority w:val="6"/>
    <w:rPr>
      <w:kern w:val="1"/>
      <w:sz w:val="21"/>
    </w:rPr>
  </w:style>
  <w:style w:type="character" w:customStyle="1" w:styleId="146">
    <w:name w:val="副标题 字符"/>
    <w:link w:val="48"/>
    <w:qFormat/>
    <w:uiPriority w:val="0"/>
    <w:rPr>
      <w:rFonts w:ascii="Arial" w:hAnsi="Arial" w:eastAsia="隶书"/>
      <w:b/>
      <w:bCs/>
      <w:kern w:val="28"/>
      <w:sz w:val="44"/>
      <w:szCs w:val="32"/>
      <w:lang w:val="en-US" w:eastAsia="zh-CN" w:bidi="ar-SA"/>
    </w:rPr>
  </w:style>
  <w:style w:type="character" w:customStyle="1" w:styleId="147">
    <w:name w:val="普通文字 Char1 Char"/>
    <w:autoRedefine/>
    <w:qFormat/>
    <w:uiPriority w:val="0"/>
    <w:rPr>
      <w:rFonts w:ascii="宋体" w:hAnsi="Courier New" w:eastAsia="宋体"/>
      <w:kern w:val="2"/>
      <w:sz w:val="21"/>
      <w:szCs w:val="24"/>
      <w:lang w:val="en-US" w:eastAsia="zh-CN" w:bidi="ar-SA"/>
    </w:rPr>
  </w:style>
  <w:style w:type="character" w:customStyle="1" w:styleId="148">
    <w:name w:val="h3 Char1"/>
    <w:autoRedefine/>
    <w:qFormat/>
    <w:uiPriority w:val="0"/>
    <w:rPr>
      <w:rFonts w:eastAsia="宋体"/>
      <w:b/>
      <w:bCs/>
      <w:kern w:val="2"/>
      <w:sz w:val="32"/>
      <w:szCs w:val="32"/>
      <w:lang w:bidi="ar-SA"/>
    </w:rPr>
  </w:style>
  <w:style w:type="character" w:customStyle="1" w:styleId="149">
    <w:name w:val="标题 Char1"/>
    <w:qFormat/>
    <w:uiPriority w:val="0"/>
    <w:rPr>
      <w:rFonts w:ascii="Cambria" w:hAnsi="Cambria" w:eastAsia="宋体" w:cs="Times New Roman"/>
      <w:b/>
      <w:bCs/>
      <w:sz w:val="32"/>
      <w:szCs w:val="32"/>
      <w:lang w:bidi="ar-SA"/>
    </w:rPr>
  </w:style>
  <w:style w:type="character" w:customStyle="1" w:styleId="150">
    <w:name w:val="gf正文1 Char"/>
    <w:autoRedefine/>
    <w:qFormat/>
    <w:uiPriority w:val="0"/>
    <w:rPr>
      <w:rFonts w:ascii="宋体" w:hAnsi="宋体" w:eastAsia="宋体" w:cs="宋体"/>
      <w:kern w:val="2"/>
      <w:sz w:val="24"/>
      <w:szCs w:val="24"/>
      <w:lang w:val="en-US" w:eastAsia="zh-CN" w:bidi="ar-SA"/>
    </w:rPr>
  </w:style>
  <w:style w:type="character" w:customStyle="1" w:styleId="151">
    <w:name w:val="正文文本缩进 Char1"/>
    <w:autoRedefine/>
    <w:qFormat/>
    <w:uiPriority w:val="0"/>
    <w:rPr>
      <w:rFonts w:ascii="Calibri" w:hAnsi="Calibri"/>
      <w:sz w:val="28"/>
    </w:rPr>
  </w:style>
  <w:style w:type="character" w:customStyle="1" w:styleId="152">
    <w:name w:val="No Spacing Char"/>
    <w:link w:val="153"/>
    <w:qFormat/>
    <w:uiPriority w:val="1"/>
    <w:rPr>
      <w:sz w:val="22"/>
      <w:szCs w:val="22"/>
      <w:lang w:val="en-US" w:eastAsia="zh-CN" w:bidi="ar-SA"/>
    </w:rPr>
  </w:style>
  <w:style w:type="paragraph" w:customStyle="1" w:styleId="153">
    <w:name w:val="无间隔1"/>
    <w:link w:val="152"/>
    <w:qFormat/>
    <w:uiPriority w:val="1"/>
    <w:rPr>
      <w:rFonts w:ascii="Times New Roman" w:hAnsi="Times New Roman" w:eastAsia="宋体" w:cs="Times New Roman"/>
      <w:sz w:val="22"/>
      <w:szCs w:val="22"/>
      <w:lang w:val="en-US" w:eastAsia="zh-CN" w:bidi="ar-SA"/>
    </w:rPr>
  </w:style>
  <w:style w:type="character" w:customStyle="1" w:styleId="154">
    <w:name w:val="样式7 Char"/>
    <w:autoRedefine/>
    <w:qFormat/>
    <w:uiPriority w:val="0"/>
    <w:rPr>
      <w:rFonts w:ascii="仿宋_GB2312" w:hAnsi="仿宋" w:eastAsia="仿宋_GB2312"/>
      <w:b/>
      <w:kern w:val="2"/>
      <w:sz w:val="24"/>
      <w:szCs w:val="24"/>
    </w:rPr>
  </w:style>
  <w:style w:type="character" w:customStyle="1" w:styleId="155">
    <w:name w:val="font12gray1"/>
    <w:qFormat/>
    <w:uiPriority w:val="0"/>
    <w:rPr>
      <w:rFonts w:ascii="仿宋_GB2312" w:eastAsia="微软雅黑"/>
      <w:b/>
      <w:spacing w:val="300"/>
      <w:kern w:val="2"/>
      <w:sz w:val="18"/>
      <w:szCs w:val="18"/>
      <w:lang w:val="en-US" w:eastAsia="zh-CN" w:bidi="ar-SA"/>
    </w:rPr>
  </w:style>
  <w:style w:type="character" w:customStyle="1" w:styleId="156">
    <w:name w:val="Char Char7"/>
    <w:autoRedefine/>
    <w:semiHidden/>
    <w:qFormat/>
    <w:uiPriority w:val="0"/>
    <w:rPr>
      <w:rFonts w:eastAsia="宋体"/>
      <w:kern w:val="2"/>
      <w:sz w:val="21"/>
      <w:szCs w:val="24"/>
      <w:lang w:val="en-US" w:eastAsia="zh-CN" w:bidi="ar-SA"/>
    </w:rPr>
  </w:style>
  <w:style w:type="character" w:customStyle="1" w:styleId="157">
    <w:name w:val="表名 Char"/>
    <w:qFormat/>
    <w:uiPriority w:val="0"/>
    <w:rPr>
      <w:rFonts w:eastAsia="宋体"/>
      <w:b/>
      <w:bCs/>
      <w:kern w:val="2"/>
      <w:sz w:val="24"/>
      <w:szCs w:val="24"/>
      <w:lang w:val="en-US" w:eastAsia="zh-CN" w:bidi="ar-SA"/>
    </w:rPr>
  </w:style>
  <w:style w:type="character" w:customStyle="1" w:styleId="158">
    <w:name w:val="Document Map Char"/>
    <w:qFormat/>
    <w:locked/>
    <w:uiPriority w:val="0"/>
    <w:rPr>
      <w:rFonts w:eastAsia="宋体"/>
      <w:kern w:val="2"/>
      <w:sz w:val="21"/>
      <w:szCs w:val="24"/>
      <w:lang w:val="en-US" w:eastAsia="zh-CN" w:bidi="ar-SA"/>
    </w:rPr>
  </w:style>
  <w:style w:type="character" w:customStyle="1" w:styleId="159">
    <w:name w:val="font41"/>
    <w:autoRedefine/>
    <w:qFormat/>
    <w:uiPriority w:val="0"/>
    <w:rPr>
      <w:rFonts w:hint="eastAsia" w:ascii="仿宋_GB2312" w:eastAsia="仿宋_GB2312" w:cs="仿宋_GB2312"/>
      <w:color w:val="000000"/>
      <w:sz w:val="22"/>
      <w:szCs w:val="22"/>
      <w:u w:val="none"/>
    </w:rPr>
  </w:style>
  <w:style w:type="character" w:customStyle="1" w:styleId="160">
    <w:name w:val="标题 6 字符"/>
    <w:link w:val="7"/>
    <w:qFormat/>
    <w:uiPriority w:val="0"/>
    <w:rPr>
      <w:rFonts w:ascii="Arial" w:hAnsi="Arial" w:eastAsia="黑体"/>
      <w:b/>
      <w:bCs/>
      <w:kern w:val="2"/>
      <w:sz w:val="24"/>
      <w:szCs w:val="24"/>
    </w:rPr>
  </w:style>
  <w:style w:type="character" w:customStyle="1" w:styleId="161">
    <w:name w:val="纯文本 Char_0"/>
    <w:link w:val="162"/>
    <w:autoRedefine/>
    <w:qFormat/>
    <w:uiPriority w:val="0"/>
    <w:rPr>
      <w:rFonts w:ascii="宋体" w:hAnsi="Courier New"/>
      <w:kern w:val="2"/>
      <w:sz w:val="21"/>
      <w:szCs w:val="21"/>
      <w:lang w:val="en-US" w:eastAsia="zh-CN"/>
    </w:rPr>
  </w:style>
  <w:style w:type="paragraph" w:customStyle="1" w:styleId="162">
    <w:name w:val="纯文本_0_0"/>
    <w:basedOn w:val="163"/>
    <w:link w:val="161"/>
    <w:autoRedefine/>
    <w:qFormat/>
    <w:uiPriority w:val="0"/>
    <w:rPr>
      <w:rFonts w:ascii="宋体" w:hAnsi="Courier New"/>
      <w:szCs w:val="21"/>
    </w:rPr>
  </w:style>
  <w:style w:type="paragraph" w:customStyle="1" w:styleId="16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Balloon Text Char"/>
    <w:autoRedefine/>
    <w:qFormat/>
    <w:locked/>
    <w:uiPriority w:val="0"/>
    <w:rPr>
      <w:rFonts w:eastAsia="宋体"/>
      <w:kern w:val="2"/>
      <w:sz w:val="18"/>
      <w:szCs w:val="18"/>
      <w:lang w:val="en-US" w:eastAsia="zh-CN" w:bidi="ar-SA"/>
    </w:rPr>
  </w:style>
  <w:style w:type="character" w:customStyle="1" w:styleId="165">
    <w:name w:val="正文 项目2 Char"/>
    <w:basedOn w:val="166"/>
    <w:autoRedefine/>
    <w:qFormat/>
    <w:uiPriority w:val="0"/>
    <w:rPr>
      <w:rFonts w:ascii="仿宋_GB2312" w:hAnsi="仿宋_GB2312" w:eastAsia="仿宋_GB2312"/>
      <w:kern w:val="2"/>
      <w:sz w:val="24"/>
      <w:lang w:bidi="ar-SA"/>
    </w:rPr>
  </w:style>
  <w:style w:type="character" w:customStyle="1" w:styleId="166">
    <w:name w:val="正文 项目 Char"/>
    <w:qFormat/>
    <w:uiPriority w:val="0"/>
    <w:rPr>
      <w:rFonts w:ascii="仿宋_GB2312" w:hAnsi="仿宋_GB2312" w:eastAsia="仿宋_GB2312"/>
      <w:kern w:val="2"/>
      <w:sz w:val="24"/>
      <w:lang w:bidi="ar-SA"/>
    </w:rPr>
  </w:style>
  <w:style w:type="character" w:customStyle="1" w:styleId="167">
    <w:name w:val="h Char Char1"/>
    <w:qFormat/>
    <w:uiPriority w:val="0"/>
    <w:rPr>
      <w:rFonts w:eastAsia="宋体"/>
      <w:kern w:val="2"/>
      <w:sz w:val="18"/>
      <w:szCs w:val="18"/>
      <w:lang w:val="en-US" w:eastAsia="zh-CN" w:bidi="ar-SA"/>
    </w:rPr>
  </w:style>
  <w:style w:type="character" w:customStyle="1" w:styleId="168">
    <w:name w:val="Char Char27"/>
    <w:qFormat/>
    <w:uiPriority w:val="6"/>
    <w:rPr>
      <w:rFonts w:ascii="宋体" w:hAnsi="宋体" w:eastAsia="宋体"/>
      <w:color w:val="000000"/>
      <w:kern w:val="1"/>
      <w:sz w:val="28"/>
      <w:lang w:val="en-US" w:eastAsia="zh-CN" w:bidi="ar-SA"/>
    </w:rPr>
  </w:style>
  <w:style w:type="character" w:customStyle="1" w:styleId="169">
    <w:name w:val="px14"/>
    <w:autoRedefine/>
    <w:qFormat/>
    <w:uiPriority w:val="0"/>
    <w:rPr>
      <w:rFonts w:ascii="仿宋_GB2312" w:eastAsia="微软雅黑" w:cs="Times New Roman"/>
      <w:b/>
      <w:kern w:val="2"/>
      <w:sz w:val="32"/>
      <w:szCs w:val="32"/>
      <w:lang w:val="en-US" w:eastAsia="zh-CN" w:bidi="ar-SA"/>
    </w:rPr>
  </w:style>
  <w:style w:type="character" w:customStyle="1" w:styleId="170">
    <w:name w:val="HTML 预设格式 Char1"/>
    <w:autoRedefine/>
    <w:qFormat/>
    <w:uiPriority w:val="0"/>
    <w:rPr>
      <w:rFonts w:ascii="Courier New" w:hAnsi="Courier New" w:eastAsia="宋体" w:cs="Courier New"/>
      <w:sz w:val="20"/>
      <w:szCs w:val="20"/>
    </w:rPr>
  </w:style>
  <w:style w:type="character" w:customStyle="1" w:styleId="171">
    <w:name w:val="普通文字 Char1"/>
    <w:qFormat/>
    <w:uiPriority w:val="0"/>
    <w:rPr>
      <w:rFonts w:ascii="宋体" w:hAnsi="Courier New" w:eastAsia="宋体"/>
      <w:kern w:val="2"/>
      <w:sz w:val="21"/>
      <w:lang w:val="en-US" w:eastAsia="zh-CN"/>
    </w:rPr>
  </w:style>
  <w:style w:type="character" w:customStyle="1" w:styleId="172">
    <w:name w:val="hei16b1"/>
    <w:autoRedefine/>
    <w:qFormat/>
    <w:uiPriority w:val="0"/>
    <w:rPr>
      <w:rFonts w:hint="default" w:ascii="Arial" w:hAnsi="Arial" w:cs="Arial"/>
      <w:b/>
      <w:bCs/>
      <w:color w:val="000000"/>
      <w:sz w:val="24"/>
      <w:szCs w:val="24"/>
    </w:rPr>
  </w:style>
  <w:style w:type="character" w:customStyle="1" w:styleId="173">
    <w:name w:val="正文（绿盟科技） Char"/>
    <w:link w:val="174"/>
    <w:autoRedefine/>
    <w:qFormat/>
    <w:uiPriority w:val="0"/>
    <w:rPr>
      <w:rFonts w:ascii="Arial" w:hAnsi="Arial"/>
      <w:sz w:val="21"/>
      <w:szCs w:val="21"/>
    </w:rPr>
  </w:style>
  <w:style w:type="paragraph" w:customStyle="1" w:styleId="174">
    <w:name w:val="正文（绿盟科技）"/>
    <w:link w:val="173"/>
    <w:qFormat/>
    <w:uiPriority w:val="0"/>
    <w:pPr>
      <w:spacing w:line="300" w:lineRule="auto"/>
    </w:pPr>
    <w:rPr>
      <w:rFonts w:ascii="Arial" w:hAnsi="Arial" w:eastAsia="宋体" w:cs="Times New Roman"/>
      <w:sz w:val="21"/>
      <w:szCs w:val="21"/>
      <w:lang w:val="en-US" w:eastAsia="zh-CN" w:bidi="ar-SA"/>
    </w:rPr>
  </w:style>
  <w:style w:type="character" w:customStyle="1" w:styleId="175">
    <w:name w:val="Char Char19"/>
    <w:autoRedefine/>
    <w:qFormat/>
    <w:uiPriority w:val="6"/>
    <w:rPr>
      <w:rFonts w:ascii="宋体" w:hAnsi="宋体"/>
      <w:i/>
      <w:sz w:val="24"/>
      <w:szCs w:val="24"/>
    </w:rPr>
  </w:style>
  <w:style w:type="character" w:customStyle="1" w:styleId="176">
    <w:name w:val="页脚 Char"/>
    <w:autoRedefine/>
    <w:qFormat/>
    <w:uiPriority w:val="0"/>
    <w:rPr>
      <w:rFonts w:eastAsia="仿宋_GB2312"/>
      <w:kern w:val="2"/>
      <w:sz w:val="18"/>
      <w:lang w:val="en-US" w:eastAsia="zh-CN"/>
    </w:rPr>
  </w:style>
  <w:style w:type="character" w:customStyle="1" w:styleId="177">
    <w:name w:val="批注主题 Char"/>
    <w:qFormat/>
    <w:uiPriority w:val="0"/>
    <w:rPr>
      <w:rFonts w:eastAsia="宋体"/>
      <w:b/>
      <w:bCs/>
      <w:kern w:val="2"/>
      <w:sz w:val="21"/>
      <w:szCs w:val="24"/>
      <w:lang w:val="en-US" w:eastAsia="zh-CN" w:bidi="ar-SA"/>
    </w:rPr>
  </w:style>
  <w:style w:type="character" w:customStyle="1" w:styleId="178">
    <w:name w:val="Comment Text Char"/>
    <w:autoRedefine/>
    <w:qFormat/>
    <w:locked/>
    <w:uiPriority w:val="0"/>
    <w:rPr>
      <w:rFonts w:ascii="宋体" w:hAnsi="宋体" w:eastAsia="宋体"/>
      <w:kern w:val="2"/>
      <w:sz w:val="24"/>
      <w:lang w:val="en-US" w:eastAsia="zh-CN" w:bidi="ar-SA"/>
    </w:rPr>
  </w:style>
  <w:style w:type="character" w:customStyle="1" w:styleId="179">
    <w:name w:val="Char Char72"/>
    <w:qFormat/>
    <w:uiPriority w:val="0"/>
    <w:rPr>
      <w:rFonts w:eastAsia="宋体"/>
      <w:kern w:val="2"/>
      <w:sz w:val="21"/>
      <w:szCs w:val="24"/>
      <w:lang w:val="en-US" w:eastAsia="zh-CN" w:bidi="ar-SA"/>
    </w:rPr>
  </w:style>
  <w:style w:type="character" w:customStyle="1" w:styleId="180">
    <w:name w:val="正文文本缩进 Char2"/>
    <w:autoRedefine/>
    <w:qFormat/>
    <w:uiPriority w:val="0"/>
    <w:rPr>
      <w:rFonts w:ascii="Times New Roman" w:hAnsi="Times New Roman" w:eastAsia="宋体" w:cs="Times New Roman"/>
      <w:snapToGrid w:val="0"/>
      <w:kern w:val="0"/>
      <w:szCs w:val="24"/>
    </w:rPr>
  </w:style>
  <w:style w:type="character" w:customStyle="1" w:styleId="181">
    <w:name w:val="样式2 Char"/>
    <w:qFormat/>
    <w:uiPriority w:val="0"/>
    <w:rPr>
      <w:rFonts w:ascii="仿宋_GB2312" w:hAnsi="仿宋" w:eastAsia="仿宋_GB2312" w:cs="仿宋_GB2312"/>
      <w:b/>
      <w:bCs/>
      <w:sz w:val="32"/>
      <w:szCs w:val="30"/>
      <w:lang w:val="zh-CN"/>
    </w:rPr>
  </w:style>
  <w:style w:type="character" w:customStyle="1" w:styleId="182">
    <w:name w:val="表格名称[858D7CFB-ED40-4347-BF05-701D383B685F]"/>
    <w:link w:val="183"/>
    <w:autoRedefine/>
    <w:qFormat/>
    <w:uiPriority w:val="0"/>
    <w:rPr>
      <w:sz w:val="32"/>
    </w:rPr>
  </w:style>
  <w:style w:type="paragraph" w:customStyle="1" w:styleId="183">
    <w:name w:val="表格名称"/>
    <w:basedOn w:val="3"/>
    <w:link w:val="182"/>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84">
    <w:name w:val="Char Char4"/>
    <w:autoRedefine/>
    <w:qFormat/>
    <w:uiPriority w:val="0"/>
    <w:rPr>
      <w:rFonts w:eastAsia="宋体"/>
      <w:b/>
      <w:sz w:val="24"/>
      <w:lang w:val="en-GB" w:eastAsia="zh-CN" w:bidi="ar-SA"/>
    </w:rPr>
  </w:style>
  <w:style w:type="character" w:customStyle="1" w:styleId="185">
    <w:name w:val="c7 style3"/>
    <w:autoRedefine/>
    <w:qFormat/>
    <w:uiPriority w:val="0"/>
  </w:style>
  <w:style w:type="character" w:customStyle="1" w:styleId="186">
    <w:name w:val="正文文本 3 Char1"/>
    <w:autoRedefine/>
    <w:semiHidden/>
    <w:qFormat/>
    <w:uiPriority w:val="99"/>
    <w:rPr>
      <w:rFonts w:ascii="Times New Roman" w:hAnsi="Times New Roman" w:eastAsia="宋体" w:cs="Times New Roman"/>
      <w:sz w:val="16"/>
      <w:szCs w:val="16"/>
    </w:rPr>
  </w:style>
  <w:style w:type="character" w:customStyle="1" w:styleId="187">
    <w:name w:val="tw4winInternal"/>
    <w:qFormat/>
    <w:uiPriority w:val="0"/>
    <w:rPr>
      <w:rFonts w:ascii="Courier New" w:hAnsi="Courier New" w:cs="Courier New"/>
      <w:color w:val="FF0000"/>
      <w:lang w:val="en-US" w:eastAsia="zh-CN"/>
    </w:rPr>
  </w:style>
  <w:style w:type="character" w:customStyle="1" w:styleId="188">
    <w:name w:val="Char Char10"/>
    <w:semiHidden/>
    <w:qFormat/>
    <w:uiPriority w:val="0"/>
    <w:rPr>
      <w:rFonts w:ascii="宋体" w:hAnsi="宋体"/>
      <w:kern w:val="2"/>
      <w:sz w:val="21"/>
      <w:szCs w:val="24"/>
      <w:lang w:val="en-US" w:eastAsia="zh-CN"/>
    </w:rPr>
  </w:style>
  <w:style w:type="character" w:customStyle="1" w:styleId="189">
    <w:name w:val="shadow11"/>
    <w:qFormat/>
    <w:uiPriority w:val="0"/>
    <w:rPr>
      <w:color w:val="000000"/>
      <w:sz w:val="21"/>
    </w:rPr>
  </w:style>
  <w:style w:type="character" w:customStyle="1" w:styleId="190">
    <w:name w:val="正文非缩进 Char3"/>
    <w:qFormat/>
    <w:uiPriority w:val="0"/>
    <w:rPr>
      <w:rFonts w:ascii="宋体" w:eastAsia="宋体"/>
      <w:snapToGrid w:val="0"/>
      <w:color w:val="000000"/>
      <w:kern w:val="28"/>
      <w:sz w:val="28"/>
      <w:lang w:val="en-US" w:eastAsia="zh-CN" w:bidi="ar-SA"/>
    </w:rPr>
  </w:style>
  <w:style w:type="character" w:customStyle="1" w:styleId="191">
    <w:name w:val="Char Char"/>
    <w:autoRedefine/>
    <w:qFormat/>
    <w:uiPriority w:val="0"/>
    <w:rPr>
      <w:rFonts w:ascii="宋体" w:hAnsi="Courier New" w:eastAsia="宋体"/>
      <w:kern w:val="2"/>
      <w:sz w:val="21"/>
      <w:lang w:val="en-US" w:eastAsia="zh-CN" w:bidi="ar-SA"/>
    </w:rPr>
  </w:style>
  <w:style w:type="character" w:customStyle="1" w:styleId="192">
    <w:name w:val="签名 Char1"/>
    <w:autoRedefine/>
    <w:qFormat/>
    <w:uiPriority w:val="0"/>
    <w:rPr>
      <w:rFonts w:ascii="Times New Roman" w:hAnsi="Times New Roman" w:eastAsia="宋体" w:cs="Times New Roman"/>
      <w:szCs w:val="24"/>
    </w:rPr>
  </w:style>
  <w:style w:type="character" w:customStyle="1" w:styleId="193">
    <w:name w:val="日期 字符"/>
    <w:link w:val="37"/>
    <w:qFormat/>
    <w:uiPriority w:val="0"/>
    <w:rPr>
      <w:rFonts w:ascii="宋体"/>
      <w:kern w:val="2"/>
      <w:sz w:val="24"/>
      <w:szCs w:val="21"/>
      <w:lang w:val="zh-CN"/>
    </w:rPr>
  </w:style>
  <w:style w:type="character" w:customStyle="1" w:styleId="194">
    <w:name w:val="标题 9 字符"/>
    <w:link w:val="10"/>
    <w:autoRedefine/>
    <w:qFormat/>
    <w:uiPriority w:val="0"/>
    <w:rPr>
      <w:rFonts w:ascii="Arial" w:hAnsi="Arial" w:eastAsia="黑体"/>
      <w:kern w:val="2"/>
      <w:sz w:val="21"/>
      <w:szCs w:val="21"/>
    </w:rPr>
  </w:style>
  <w:style w:type="character" w:customStyle="1" w:styleId="195">
    <w:name w:val="Char Char18"/>
    <w:autoRedefine/>
    <w:qFormat/>
    <w:uiPriority w:val="6"/>
    <w:rPr>
      <w:rFonts w:ascii="宋体" w:hAnsi="宋体"/>
      <w:sz w:val="28"/>
    </w:rPr>
  </w:style>
  <w:style w:type="character" w:customStyle="1" w:styleId="196">
    <w:name w:val="批注文字 Char"/>
    <w:autoRedefine/>
    <w:qFormat/>
    <w:uiPriority w:val="0"/>
    <w:rPr>
      <w:kern w:val="2"/>
      <w:sz w:val="21"/>
      <w:szCs w:val="24"/>
    </w:rPr>
  </w:style>
  <w:style w:type="character" w:customStyle="1" w:styleId="197">
    <w:name w:val="Char Char22"/>
    <w:autoRedefine/>
    <w:qFormat/>
    <w:uiPriority w:val="6"/>
    <w:rPr>
      <w:rFonts w:ascii="宋体" w:hAnsi="宋体"/>
      <w:kern w:val="1"/>
      <w:sz w:val="24"/>
      <w:szCs w:val="24"/>
    </w:rPr>
  </w:style>
  <w:style w:type="character" w:customStyle="1" w:styleId="198">
    <w:name w:val="pt141"/>
    <w:autoRedefine/>
    <w:qFormat/>
    <w:uiPriority w:val="0"/>
    <w:rPr>
      <w:color w:val="330066"/>
      <w:sz w:val="22"/>
      <w:szCs w:val="22"/>
    </w:rPr>
  </w:style>
  <w:style w:type="character" w:customStyle="1" w:styleId="199">
    <w:name w:val="正文文本缩进 2 Char1"/>
    <w:semiHidden/>
    <w:qFormat/>
    <w:uiPriority w:val="99"/>
    <w:rPr>
      <w:rFonts w:ascii="Times New Roman" w:hAnsi="Times New Roman" w:eastAsia="宋体" w:cs="Times New Roman"/>
      <w:szCs w:val="24"/>
    </w:rPr>
  </w:style>
  <w:style w:type="character" w:customStyle="1" w:styleId="200">
    <w:name w:val="批注框文本 字符1"/>
    <w:link w:val="40"/>
    <w:qFormat/>
    <w:uiPriority w:val="0"/>
    <w:rPr>
      <w:kern w:val="2"/>
      <w:sz w:val="18"/>
      <w:szCs w:val="18"/>
    </w:rPr>
  </w:style>
  <w:style w:type="character" w:customStyle="1" w:styleId="201">
    <w:name w:val="Char Char611"/>
    <w:qFormat/>
    <w:uiPriority w:val="0"/>
    <w:rPr>
      <w:rFonts w:eastAsia="宋体"/>
      <w:kern w:val="2"/>
      <w:sz w:val="21"/>
      <w:szCs w:val="24"/>
      <w:lang w:val="en-US" w:eastAsia="zh-CN" w:bidi="ar-SA"/>
    </w:rPr>
  </w:style>
  <w:style w:type="character" w:customStyle="1" w:styleId="202">
    <w:name w:val="highlight1"/>
    <w:autoRedefine/>
    <w:qFormat/>
    <w:uiPriority w:val="0"/>
    <w:rPr>
      <w:rFonts w:ascii="仿宋_GB2312" w:eastAsia="微软雅黑"/>
      <w:b/>
      <w:kern w:val="2"/>
      <w:sz w:val="23"/>
      <w:szCs w:val="23"/>
      <w:lang w:val="en-US" w:eastAsia="zh-CN" w:bidi="ar-SA"/>
    </w:rPr>
  </w:style>
  <w:style w:type="character" w:customStyle="1" w:styleId="203">
    <w:name w:val="my正文 Char"/>
    <w:link w:val="204"/>
    <w:autoRedefine/>
    <w:qFormat/>
    <w:locked/>
    <w:uiPriority w:val="0"/>
    <w:rPr>
      <w:rFonts w:ascii="Tahoma" w:hAnsi="Tahoma"/>
      <w:sz w:val="24"/>
      <w:szCs w:val="24"/>
    </w:rPr>
  </w:style>
  <w:style w:type="paragraph" w:customStyle="1" w:styleId="204">
    <w:name w:val="my正文"/>
    <w:basedOn w:val="1"/>
    <w:link w:val="203"/>
    <w:qFormat/>
    <w:uiPriority w:val="0"/>
    <w:pPr>
      <w:adjustRightInd/>
      <w:spacing w:line="360" w:lineRule="auto"/>
      <w:ind w:firstLine="480" w:firstLineChars="200"/>
    </w:pPr>
    <w:rPr>
      <w:rFonts w:ascii="Tahoma" w:hAnsi="Tahoma"/>
      <w:kern w:val="0"/>
      <w:sz w:val="24"/>
    </w:rPr>
  </w:style>
  <w:style w:type="character" w:customStyle="1" w:styleId="205">
    <w:name w:val="正文缩进 字符2"/>
    <w:link w:val="15"/>
    <w:autoRedefine/>
    <w:qFormat/>
    <w:uiPriority w:val="0"/>
    <w:rPr>
      <w:rFonts w:ascii="宋体" w:eastAsia="宋体"/>
      <w:snapToGrid w:val="0"/>
      <w:color w:val="000000"/>
      <w:kern w:val="28"/>
      <w:sz w:val="28"/>
      <w:lang w:val="en-US" w:eastAsia="zh-CN" w:bidi="ar-SA"/>
    </w:rPr>
  </w:style>
  <w:style w:type="character" w:customStyle="1" w:styleId="206">
    <w:name w:val="Used by Word for text of Help footnotes Char Char1"/>
    <w:autoRedefine/>
    <w:qFormat/>
    <w:uiPriority w:val="0"/>
    <w:rPr>
      <w:color w:val="0000FF"/>
      <w:sz w:val="21"/>
    </w:rPr>
  </w:style>
  <w:style w:type="character" w:customStyle="1" w:styleId="207">
    <w:name w:val="页眉 Char"/>
    <w:autoRedefine/>
    <w:qFormat/>
    <w:uiPriority w:val="0"/>
    <w:rPr>
      <w:rFonts w:eastAsia="仿宋_GB2312"/>
      <w:kern w:val="2"/>
      <w:sz w:val="18"/>
      <w:lang w:val="en-US" w:eastAsia="zh-CN"/>
    </w:rPr>
  </w:style>
  <w:style w:type="character" w:customStyle="1" w:styleId="208">
    <w:name w:val="FA正文 Char Char"/>
    <w:autoRedefine/>
    <w:qFormat/>
    <w:uiPriority w:val="0"/>
    <w:rPr>
      <w:rFonts w:hAnsi="宋体"/>
      <w:kern w:val="2"/>
      <w:sz w:val="24"/>
      <w:lang w:bidi="ar-SA"/>
    </w:rPr>
  </w:style>
  <w:style w:type="character" w:customStyle="1" w:styleId="209">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10">
    <w:name w:val="3级 Char"/>
    <w:link w:val="211"/>
    <w:autoRedefine/>
    <w:qFormat/>
    <w:uiPriority w:val="0"/>
    <w:rPr>
      <w:rFonts w:ascii="宋体" w:hAnsi="宋体"/>
      <w:b/>
      <w:bCs/>
      <w:snapToGrid/>
      <w:sz w:val="28"/>
    </w:rPr>
  </w:style>
  <w:style w:type="paragraph" w:customStyle="1" w:styleId="211">
    <w:name w:val="3级"/>
    <w:basedOn w:val="212"/>
    <w:link w:val="210"/>
    <w:qFormat/>
    <w:uiPriority w:val="0"/>
    <w:pPr>
      <w:ind w:left="0" w:right="466" w:firstLine="288"/>
    </w:pPr>
    <w:rPr>
      <w:rFonts w:hAnsi="宋体"/>
      <w:snapToGrid/>
    </w:rPr>
  </w:style>
  <w:style w:type="paragraph" w:customStyle="1" w:styleId="212">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13">
    <w:name w:val="myp11"/>
    <w:qFormat/>
    <w:uiPriority w:val="0"/>
    <w:rPr>
      <w:rFonts w:ascii="仿宋_GB2312" w:eastAsia="微软雅黑"/>
      <w:b/>
      <w:kern w:val="2"/>
      <w:sz w:val="32"/>
      <w:szCs w:val="32"/>
      <w:lang w:val="en-US" w:eastAsia="zh-CN" w:bidi="ar-SA"/>
    </w:rPr>
  </w:style>
  <w:style w:type="character" w:customStyle="1" w:styleId="214">
    <w:name w:val="文档结构图 字符"/>
    <w:link w:val="18"/>
    <w:autoRedefine/>
    <w:qFormat/>
    <w:uiPriority w:val="0"/>
    <w:rPr>
      <w:kern w:val="2"/>
      <w:sz w:val="21"/>
      <w:szCs w:val="24"/>
      <w:shd w:val="clear" w:color="auto" w:fill="000080"/>
    </w:rPr>
  </w:style>
  <w:style w:type="character" w:customStyle="1" w:styleId="215">
    <w:name w:val="H6 Char"/>
    <w:autoRedefine/>
    <w:qFormat/>
    <w:uiPriority w:val="0"/>
    <w:rPr>
      <w:rFonts w:ascii="Arial" w:hAnsi="Arial" w:eastAsia="黑体"/>
      <w:b/>
      <w:bCs/>
      <w:kern w:val="2"/>
      <w:sz w:val="24"/>
      <w:szCs w:val="24"/>
    </w:rPr>
  </w:style>
  <w:style w:type="character" w:customStyle="1" w:styleId="216">
    <w:name w:val="Char Char91"/>
    <w:qFormat/>
    <w:uiPriority w:val="0"/>
    <w:rPr>
      <w:rFonts w:eastAsia="宋体"/>
      <w:kern w:val="2"/>
      <w:sz w:val="18"/>
      <w:szCs w:val="18"/>
      <w:lang w:val="en-US" w:eastAsia="zh-CN" w:bidi="ar-SA"/>
    </w:rPr>
  </w:style>
  <w:style w:type="character" w:customStyle="1" w:styleId="217">
    <w:name w:val="副标题 Char1"/>
    <w:autoRedefine/>
    <w:qFormat/>
    <w:uiPriority w:val="0"/>
    <w:rPr>
      <w:rFonts w:ascii="Cambria" w:hAnsi="Cambria" w:eastAsia="宋体" w:cs="Times New Roman"/>
      <w:b/>
      <w:bCs/>
      <w:snapToGrid w:val="0"/>
      <w:kern w:val="28"/>
      <w:sz w:val="32"/>
      <w:szCs w:val="32"/>
    </w:rPr>
  </w:style>
  <w:style w:type="character" w:customStyle="1" w:styleId="218">
    <w:name w:val="font61"/>
    <w:autoRedefine/>
    <w:qFormat/>
    <w:uiPriority w:val="0"/>
    <w:rPr>
      <w:rFonts w:hint="eastAsia" w:ascii="仿宋" w:hAnsi="仿宋" w:eastAsia="仿宋" w:cs="仿宋"/>
      <w:color w:val="000000"/>
      <w:sz w:val="20"/>
      <w:szCs w:val="20"/>
      <w:u w:val="none"/>
    </w:rPr>
  </w:style>
  <w:style w:type="character" w:customStyle="1" w:styleId="219">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20">
    <w:name w:val="Char Char211"/>
    <w:autoRedefine/>
    <w:qFormat/>
    <w:uiPriority w:val="0"/>
    <w:rPr>
      <w:rFonts w:eastAsia="宋体"/>
      <w:b/>
      <w:bCs/>
      <w:kern w:val="2"/>
      <w:sz w:val="21"/>
      <w:szCs w:val="24"/>
      <w:lang w:val="en-US" w:eastAsia="zh-CN" w:bidi="ar-SA"/>
    </w:rPr>
  </w:style>
  <w:style w:type="character" w:customStyle="1" w:styleId="221">
    <w:name w:val="标题 2 Char"/>
    <w:autoRedefine/>
    <w:qFormat/>
    <w:uiPriority w:val="0"/>
    <w:rPr>
      <w:rFonts w:ascii="Arial" w:hAnsi="Arial" w:eastAsia="黑体"/>
      <w:b/>
      <w:kern w:val="2"/>
      <w:sz w:val="32"/>
      <w:lang w:val="en-US" w:eastAsia="zh-CN"/>
    </w:rPr>
  </w:style>
  <w:style w:type="character" w:customStyle="1" w:styleId="222">
    <w:name w:val="maywed421"/>
    <w:qFormat/>
    <w:uiPriority w:val="0"/>
    <w:rPr>
      <w:color w:val="366FB6"/>
      <w:u w:val="none"/>
    </w:rPr>
  </w:style>
  <w:style w:type="character" w:customStyle="1" w:styleId="223">
    <w:name w:val="正文文本缩进 Char"/>
    <w:qFormat/>
    <w:uiPriority w:val="0"/>
    <w:rPr>
      <w:rFonts w:ascii="宋体" w:hAnsi="宋体"/>
      <w:kern w:val="2"/>
      <w:sz w:val="24"/>
      <w:szCs w:val="24"/>
    </w:rPr>
  </w:style>
  <w:style w:type="character" w:customStyle="1" w:styleId="224">
    <w:name w:val="Char Char102"/>
    <w:autoRedefine/>
    <w:semiHidden/>
    <w:qFormat/>
    <w:uiPriority w:val="0"/>
    <w:rPr>
      <w:rFonts w:ascii="宋体" w:hAnsi="宋体"/>
      <w:kern w:val="2"/>
      <w:sz w:val="21"/>
      <w:szCs w:val="24"/>
      <w:lang w:val="en-US" w:eastAsia="zh-CN"/>
    </w:rPr>
  </w:style>
  <w:style w:type="character" w:customStyle="1" w:styleId="225">
    <w:name w:val="页眉 Char1"/>
    <w:autoRedefine/>
    <w:qFormat/>
    <w:uiPriority w:val="0"/>
    <w:rPr>
      <w:rFonts w:eastAsia="宋体"/>
      <w:kern w:val="2"/>
      <w:sz w:val="18"/>
      <w:szCs w:val="18"/>
      <w:lang w:val="en-US" w:eastAsia="zh-CN" w:bidi="ar-SA"/>
    </w:rPr>
  </w:style>
  <w:style w:type="character" w:customStyle="1" w:styleId="226">
    <w:name w:val="md"/>
    <w:basedOn w:val="71"/>
    <w:autoRedefine/>
    <w:qFormat/>
    <w:uiPriority w:val="0"/>
    <w:rPr>
      <w:rFonts w:ascii="Arial" w:hAnsi="Arial" w:eastAsia="黑体" w:cs="Arial"/>
      <w:snapToGrid w:val="0"/>
      <w:kern w:val="0"/>
      <w:szCs w:val="21"/>
    </w:rPr>
  </w:style>
  <w:style w:type="character" w:customStyle="1" w:styleId="227">
    <w:name w:val="big1"/>
    <w:autoRedefine/>
    <w:qFormat/>
    <w:uiPriority w:val="0"/>
    <w:rPr>
      <w:rFonts w:hint="eastAsia" w:ascii="宋体" w:hAnsi="宋体" w:eastAsia="宋体"/>
      <w:color w:val="333333"/>
      <w:sz w:val="22"/>
      <w:szCs w:val="22"/>
    </w:rPr>
  </w:style>
  <w:style w:type="character" w:customStyle="1" w:styleId="228">
    <w:name w:val="Char Char311"/>
    <w:autoRedefine/>
    <w:qFormat/>
    <w:uiPriority w:val="0"/>
    <w:rPr>
      <w:rFonts w:eastAsia="宋体"/>
      <w:kern w:val="2"/>
      <w:sz w:val="21"/>
      <w:szCs w:val="24"/>
      <w:lang w:val="en-US" w:eastAsia="zh-CN" w:bidi="ar-SA"/>
    </w:rPr>
  </w:style>
  <w:style w:type="character" w:customStyle="1" w:styleId="229">
    <w:name w:val="Char Char81"/>
    <w:autoRedefine/>
    <w:qFormat/>
    <w:uiPriority w:val="6"/>
    <w:rPr>
      <w:rFonts w:eastAsia="宋体"/>
      <w:b/>
      <w:sz w:val="24"/>
      <w:lang w:val="en-GB" w:eastAsia="zh-CN"/>
    </w:rPr>
  </w:style>
  <w:style w:type="character" w:customStyle="1" w:styleId="230">
    <w:name w:val="样式3 Char"/>
    <w:basedOn w:val="181"/>
    <w:autoRedefine/>
    <w:qFormat/>
    <w:uiPriority w:val="0"/>
    <w:rPr>
      <w:rFonts w:ascii="仿宋_GB2312" w:hAnsi="仿宋" w:eastAsia="仿宋_GB2312" w:cs="仿宋_GB2312"/>
      <w:sz w:val="32"/>
      <w:szCs w:val="30"/>
      <w:lang w:val="zh-CN"/>
    </w:rPr>
  </w:style>
  <w:style w:type="character" w:customStyle="1" w:styleId="231">
    <w:name w:val="HTML 地址 字符"/>
    <w:link w:val="30"/>
    <w:autoRedefine/>
    <w:qFormat/>
    <w:uiPriority w:val="0"/>
    <w:rPr>
      <w:rFonts w:ascii="宋体" w:hAnsi="宋体"/>
      <w:i/>
      <w:iCs/>
      <w:sz w:val="24"/>
      <w:szCs w:val="24"/>
    </w:rPr>
  </w:style>
  <w:style w:type="character" w:customStyle="1" w:styleId="232">
    <w:name w:val="正文首行缩进 2 Char1"/>
    <w:autoRedefine/>
    <w:qFormat/>
    <w:uiPriority w:val="0"/>
    <w:rPr>
      <w:rFonts w:ascii="Times New Roman" w:hAnsi="Times New Roman" w:eastAsia="宋体" w:cs="Times New Roman"/>
      <w:kern w:val="2"/>
      <w:sz w:val="24"/>
      <w:szCs w:val="24"/>
    </w:rPr>
  </w:style>
  <w:style w:type="character" w:customStyle="1" w:styleId="233">
    <w:name w:val="副标题 Char2"/>
    <w:autoRedefine/>
    <w:qFormat/>
    <w:uiPriority w:val="0"/>
    <w:rPr>
      <w:rFonts w:ascii="Cambria" w:hAnsi="Cambria" w:eastAsia="宋体" w:cs="Times New Roman"/>
      <w:b/>
      <w:bCs/>
      <w:snapToGrid w:val="0"/>
      <w:kern w:val="28"/>
      <w:sz w:val="32"/>
      <w:szCs w:val="32"/>
    </w:rPr>
  </w:style>
  <w:style w:type="character" w:customStyle="1" w:styleId="234">
    <w:name w:val="标题4-dyf Char"/>
    <w:link w:val="235"/>
    <w:autoRedefine/>
    <w:qFormat/>
    <w:uiPriority w:val="0"/>
    <w:rPr>
      <w:rFonts w:ascii="Cambria" w:hAnsi="Cambria"/>
      <w:b/>
      <w:bCs/>
      <w:color w:val="000000"/>
      <w:kern w:val="2"/>
      <w:sz w:val="21"/>
      <w:szCs w:val="21"/>
    </w:rPr>
  </w:style>
  <w:style w:type="paragraph" w:customStyle="1" w:styleId="235">
    <w:name w:val="标题4-dyf"/>
    <w:basedOn w:val="5"/>
    <w:link w:val="234"/>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6">
    <w:name w:val="dectext1"/>
    <w:autoRedefine/>
    <w:qFormat/>
    <w:uiPriority w:val="0"/>
    <w:rPr>
      <w:rFonts w:ascii="宋体" w:hAnsi="宋体" w:eastAsia="宋体"/>
      <w:color w:val="333333"/>
      <w:sz w:val="21"/>
      <w:szCs w:val="21"/>
      <w:u w:val="none"/>
    </w:rPr>
  </w:style>
  <w:style w:type="character" w:customStyle="1" w:styleId="237">
    <w:name w:val="冯 Char"/>
    <w:link w:val="238"/>
    <w:autoRedefine/>
    <w:qFormat/>
    <w:uiPriority w:val="0"/>
    <w:rPr>
      <w:rFonts w:ascii="宋体" w:hAnsi="宋体"/>
      <w:color w:val="000000"/>
      <w:sz w:val="24"/>
      <w:szCs w:val="24"/>
    </w:rPr>
  </w:style>
  <w:style w:type="paragraph" w:customStyle="1" w:styleId="238">
    <w:name w:val="冯"/>
    <w:basedOn w:val="1"/>
    <w:link w:val="237"/>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9">
    <w:name w:val="Header Char"/>
    <w:autoRedefine/>
    <w:qFormat/>
    <w:locked/>
    <w:uiPriority w:val="0"/>
    <w:rPr>
      <w:rFonts w:eastAsia="宋体"/>
      <w:kern w:val="2"/>
      <w:sz w:val="18"/>
      <w:szCs w:val="18"/>
      <w:lang w:val="en-US" w:eastAsia="zh-CN" w:bidi="ar-SA"/>
    </w:rPr>
  </w:style>
  <w:style w:type="character" w:customStyle="1" w:styleId="240">
    <w:name w:val="Char Char12"/>
    <w:autoRedefine/>
    <w:qFormat/>
    <w:uiPriority w:val="0"/>
    <w:rPr>
      <w:rFonts w:ascii="仿宋_GB2312" w:eastAsia="仿宋_GB2312"/>
      <w:b/>
      <w:bCs/>
      <w:kern w:val="2"/>
      <w:sz w:val="24"/>
      <w:szCs w:val="24"/>
      <w:lang w:val="zh-CN" w:eastAsia="zh-CN" w:bidi="ar-SA"/>
    </w:rPr>
  </w:style>
  <w:style w:type="character" w:customStyle="1" w:styleId="241">
    <w:name w:val="题注 字符"/>
    <w:link w:val="16"/>
    <w:autoRedefine/>
    <w:qFormat/>
    <w:uiPriority w:val="0"/>
    <w:rPr>
      <w:b/>
      <w:kern w:val="2"/>
      <w:sz w:val="28"/>
    </w:rPr>
  </w:style>
  <w:style w:type="character" w:customStyle="1" w:styleId="242">
    <w:name w:val="普通文字 Char3"/>
    <w:autoRedefine/>
    <w:qFormat/>
    <w:uiPriority w:val="0"/>
    <w:rPr>
      <w:rFonts w:ascii="宋体" w:hAnsi="Courier New" w:eastAsia="宋体"/>
      <w:kern w:val="2"/>
      <w:sz w:val="21"/>
      <w:lang w:val="en-US" w:eastAsia="zh-CN" w:bidi="ar-SA"/>
    </w:rPr>
  </w:style>
  <w:style w:type="character" w:customStyle="1" w:styleId="243">
    <w:name w:val="公文正文 Char"/>
    <w:autoRedefine/>
    <w:qFormat/>
    <w:uiPriority w:val="0"/>
    <w:rPr>
      <w:rFonts w:ascii="仿宋_GB2312" w:eastAsia="仿宋_GB2312"/>
      <w:kern w:val="2"/>
      <w:sz w:val="24"/>
      <w:szCs w:val="24"/>
      <w:lang w:val="en-US" w:eastAsia="zh-CN" w:bidi="ar-SA"/>
    </w:rPr>
  </w:style>
  <w:style w:type="character" w:customStyle="1" w:styleId="244">
    <w:name w:val="正文首行缩进 Char Char Char Char Char"/>
    <w:autoRedefine/>
    <w:qFormat/>
    <w:uiPriority w:val="0"/>
    <w:rPr>
      <w:rFonts w:ascii="宋体"/>
      <w:kern w:val="2"/>
      <w:sz w:val="24"/>
      <w:lang w:val="zh-CN"/>
    </w:rPr>
  </w:style>
  <w:style w:type="character" w:customStyle="1" w:styleId="245">
    <w:name w:val="PI Char"/>
    <w:autoRedefine/>
    <w:qFormat/>
    <w:uiPriority w:val="0"/>
    <w:rPr>
      <w:rFonts w:ascii="宋体" w:hAnsi="宋体" w:eastAsia="宋体"/>
      <w:kern w:val="2"/>
      <w:sz w:val="24"/>
      <w:szCs w:val="24"/>
      <w:lang w:val="en-US" w:eastAsia="zh-CN" w:bidi="ar-SA"/>
    </w:rPr>
  </w:style>
  <w:style w:type="character" w:customStyle="1" w:styleId="246">
    <w:name w:val="Default Char"/>
    <w:link w:val="90"/>
    <w:autoRedefine/>
    <w:qFormat/>
    <w:uiPriority w:val="0"/>
    <w:rPr>
      <w:rFonts w:ascii="仿宋_GB2312" w:eastAsia="仿宋_GB2312" w:cs="仿宋_GB2312"/>
      <w:color w:val="000000"/>
      <w:sz w:val="24"/>
      <w:szCs w:val="24"/>
      <w:lang w:val="en-US" w:eastAsia="zh-CN" w:bidi="ar-SA"/>
    </w:rPr>
  </w:style>
  <w:style w:type="character" w:customStyle="1" w:styleId="247">
    <w:name w:val="style91"/>
    <w:autoRedefine/>
    <w:qFormat/>
    <w:uiPriority w:val="0"/>
    <w:rPr>
      <w:color w:val="333333"/>
    </w:rPr>
  </w:style>
  <w:style w:type="character" w:customStyle="1" w:styleId="248">
    <w:name w:val="列出段落 Char2"/>
    <w:autoRedefine/>
    <w:qFormat/>
    <w:uiPriority w:val="34"/>
    <w:rPr>
      <w:rFonts w:ascii="Calibri" w:hAnsi="Calibri"/>
      <w:kern w:val="2"/>
      <w:sz w:val="28"/>
    </w:rPr>
  </w:style>
  <w:style w:type="character" w:customStyle="1" w:styleId="249">
    <w:name w:val="mdeck"/>
    <w:autoRedefine/>
    <w:qFormat/>
    <w:uiPriority w:val="0"/>
    <w:rPr>
      <w:rFonts w:ascii="仿宋_GB2312" w:eastAsia="微软雅黑"/>
      <w:b/>
      <w:kern w:val="2"/>
      <w:sz w:val="32"/>
      <w:szCs w:val="32"/>
      <w:lang w:val="en-US" w:eastAsia="zh-CN" w:bidi="ar-SA"/>
    </w:rPr>
  </w:style>
  <w:style w:type="character" w:customStyle="1" w:styleId="250">
    <w:name w:val="unnamed11"/>
    <w:autoRedefine/>
    <w:qFormat/>
    <w:uiPriority w:val="0"/>
    <w:rPr>
      <w:sz w:val="20"/>
      <w:szCs w:val="20"/>
    </w:rPr>
  </w:style>
  <w:style w:type="character" w:customStyle="1" w:styleId="251">
    <w:name w:val="正文文本 Char2"/>
    <w:autoRedefine/>
    <w:semiHidden/>
    <w:qFormat/>
    <w:uiPriority w:val="99"/>
    <w:rPr>
      <w:rFonts w:ascii="Times New Roman" w:hAnsi="Times New Roman" w:eastAsia="宋体" w:cs="Times New Roman"/>
      <w:snapToGrid w:val="0"/>
      <w:kern w:val="0"/>
      <w:szCs w:val="24"/>
    </w:rPr>
  </w:style>
  <w:style w:type="character" w:customStyle="1" w:styleId="252">
    <w:name w:val="标书正文格式 Char"/>
    <w:autoRedefine/>
    <w:qFormat/>
    <w:uiPriority w:val="0"/>
    <w:rPr>
      <w:rFonts w:eastAsia="楷体_GB2312"/>
      <w:kern w:val="2"/>
      <w:sz w:val="24"/>
      <w:szCs w:val="24"/>
      <w:lang w:bidi="ar-SA"/>
    </w:rPr>
  </w:style>
  <w:style w:type="character" w:customStyle="1" w:styleId="253">
    <w:name w:val="Char Char11"/>
    <w:autoRedefine/>
    <w:qFormat/>
    <w:locked/>
    <w:uiPriority w:val="0"/>
    <w:rPr>
      <w:rFonts w:ascii="宋体" w:hAnsi="宋体" w:eastAsia="宋体"/>
      <w:b/>
      <w:kern w:val="2"/>
      <w:sz w:val="24"/>
      <w:szCs w:val="24"/>
      <w:lang w:val="en-US" w:eastAsia="zh-CN" w:bidi="ar-SA"/>
    </w:rPr>
  </w:style>
  <w:style w:type="character" w:customStyle="1" w:styleId="254">
    <w:name w:val="ca-131"/>
    <w:autoRedefine/>
    <w:qFormat/>
    <w:uiPriority w:val="0"/>
    <w:rPr>
      <w:rFonts w:hint="eastAsia" w:ascii="仿宋_GB2312" w:eastAsia="仿宋_GB2312"/>
      <w:b/>
      <w:bCs/>
      <w:color w:val="000000"/>
      <w:spacing w:val="-20"/>
      <w:sz w:val="24"/>
      <w:szCs w:val="24"/>
    </w:rPr>
  </w:style>
  <w:style w:type="character" w:customStyle="1" w:styleId="255">
    <w:name w:val="tw4winMark"/>
    <w:autoRedefine/>
    <w:qFormat/>
    <w:uiPriority w:val="0"/>
    <w:rPr>
      <w:rFonts w:ascii="Courier New" w:hAnsi="Courier New" w:cs="Courier New"/>
      <w:vanish/>
      <w:color w:val="800080"/>
      <w:sz w:val="24"/>
      <w:szCs w:val="24"/>
      <w:vertAlign w:val="subscript"/>
    </w:rPr>
  </w:style>
  <w:style w:type="character" w:customStyle="1" w:styleId="256">
    <w:name w:val="正文样式 Char"/>
    <w:link w:val="257"/>
    <w:autoRedefine/>
    <w:qFormat/>
    <w:uiPriority w:val="0"/>
    <w:rPr>
      <w:rFonts w:ascii="Calibri" w:hAnsi="Calibri"/>
      <w:sz w:val="24"/>
      <w:szCs w:val="24"/>
    </w:rPr>
  </w:style>
  <w:style w:type="paragraph" w:customStyle="1" w:styleId="257">
    <w:name w:val="正文样式"/>
    <w:basedOn w:val="1"/>
    <w:link w:val="256"/>
    <w:qFormat/>
    <w:uiPriority w:val="0"/>
    <w:pPr>
      <w:adjustRightInd/>
      <w:spacing w:line="360" w:lineRule="auto"/>
      <w:ind w:firstLine="480" w:firstLineChars="200"/>
    </w:pPr>
    <w:rPr>
      <w:kern w:val="0"/>
      <w:sz w:val="24"/>
    </w:rPr>
  </w:style>
  <w:style w:type="character" w:customStyle="1" w:styleId="258">
    <w:name w:val="表正文 Char3"/>
    <w:autoRedefine/>
    <w:qFormat/>
    <w:uiPriority w:val="0"/>
    <w:rPr>
      <w:rFonts w:eastAsia="宋体"/>
    </w:rPr>
  </w:style>
  <w:style w:type="character" w:customStyle="1" w:styleId="259">
    <w:name w:val="H5 Char"/>
    <w:autoRedefine/>
    <w:qFormat/>
    <w:uiPriority w:val="0"/>
    <w:rPr>
      <w:b/>
      <w:bCs/>
      <w:kern w:val="2"/>
      <w:sz w:val="28"/>
      <w:szCs w:val="28"/>
    </w:rPr>
  </w:style>
  <w:style w:type="character" w:customStyle="1" w:styleId="260">
    <w:name w:val="Char Char3"/>
    <w:autoRedefine/>
    <w:qFormat/>
    <w:uiPriority w:val="0"/>
    <w:rPr>
      <w:rFonts w:eastAsia="宋体"/>
      <w:kern w:val="2"/>
      <w:sz w:val="21"/>
      <w:szCs w:val="24"/>
      <w:lang w:val="en-US" w:eastAsia="zh-CN" w:bidi="ar-SA"/>
    </w:rPr>
  </w:style>
  <w:style w:type="character" w:customStyle="1" w:styleId="261">
    <w:name w:val="正文 编号 Char"/>
    <w:qFormat/>
    <w:uiPriority w:val="0"/>
    <w:rPr>
      <w:rFonts w:ascii="仿宋_GB2312" w:hAnsi="仿宋_GB2312" w:eastAsia="仿宋_GB2312"/>
      <w:kern w:val="2"/>
      <w:sz w:val="24"/>
      <w:lang w:bidi="ar-SA"/>
    </w:rPr>
  </w:style>
  <w:style w:type="character" w:customStyle="1" w:styleId="262">
    <w:name w:val="question-title2"/>
    <w:autoRedefine/>
    <w:qFormat/>
    <w:uiPriority w:val="6"/>
    <w:rPr>
      <w:rFonts w:ascii="Arial" w:hAnsi="Arial" w:eastAsia="黑体" w:cs="Arial"/>
      <w:snapToGrid w:val="0"/>
      <w:kern w:val="0"/>
      <w:szCs w:val="21"/>
    </w:rPr>
  </w:style>
  <w:style w:type="character" w:customStyle="1" w:styleId="263">
    <w:name w:val="gf正文1 Char Char"/>
    <w:link w:val="264"/>
    <w:autoRedefine/>
    <w:qFormat/>
    <w:uiPriority w:val="0"/>
    <w:rPr>
      <w:rFonts w:ascii="宋体" w:hAnsi="宋体" w:cs="宋体"/>
      <w:kern w:val="2"/>
      <w:sz w:val="24"/>
      <w:szCs w:val="24"/>
    </w:rPr>
  </w:style>
  <w:style w:type="paragraph" w:customStyle="1" w:styleId="264">
    <w:name w:val="gf正文1"/>
    <w:basedOn w:val="1"/>
    <w:link w:val="263"/>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5">
    <w:name w:val="Char Char15"/>
    <w:autoRedefine/>
    <w:qFormat/>
    <w:uiPriority w:val="6"/>
    <w:rPr>
      <w:rFonts w:ascii="宋体" w:hAnsi="宋体"/>
      <w:kern w:val="1"/>
      <w:sz w:val="21"/>
    </w:rPr>
  </w:style>
  <w:style w:type="character" w:customStyle="1" w:styleId="266">
    <w:name w:val="正文缩进 Char3"/>
    <w:autoRedefine/>
    <w:qFormat/>
    <w:uiPriority w:val="0"/>
    <w:rPr>
      <w:rFonts w:ascii="宋体" w:eastAsia="宋体"/>
      <w:snapToGrid w:val="0"/>
      <w:color w:val="000000"/>
      <w:kern w:val="28"/>
      <w:sz w:val="28"/>
      <w:lang w:val="en-US" w:eastAsia="zh-CN" w:bidi="ar-SA"/>
    </w:rPr>
  </w:style>
  <w:style w:type="character" w:customStyle="1" w:styleId="267">
    <w:name w:val="列出段落 Char1"/>
    <w:link w:val="268"/>
    <w:autoRedefine/>
    <w:qFormat/>
    <w:uiPriority w:val="0"/>
    <w:rPr>
      <w:rFonts w:ascii="Calibri" w:hAnsi="Calibri"/>
      <w:sz w:val="24"/>
      <w:lang w:eastAsia="en-US"/>
    </w:rPr>
  </w:style>
  <w:style w:type="paragraph" w:customStyle="1" w:styleId="268">
    <w:name w:val="列表1"/>
    <w:basedOn w:val="1"/>
    <w:next w:val="269"/>
    <w:link w:val="26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9">
    <w:name w:val="List Paragraph11"/>
    <w:basedOn w:val="1"/>
    <w:autoRedefine/>
    <w:qFormat/>
    <w:uiPriority w:val="34"/>
    <w:pPr>
      <w:spacing w:line="360" w:lineRule="auto"/>
      <w:ind w:firstLine="200" w:firstLineChars="200"/>
    </w:pPr>
    <w:rPr>
      <w:rFonts w:eastAsia="楷体_GB2312" w:cs="Lucida Sans"/>
      <w:sz w:val="24"/>
    </w:rPr>
  </w:style>
  <w:style w:type="character" w:customStyle="1" w:styleId="270">
    <w:name w:val="Char Char8"/>
    <w:qFormat/>
    <w:uiPriority w:val="0"/>
    <w:rPr>
      <w:rFonts w:eastAsia="宋体"/>
      <w:b/>
      <w:sz w:val="24"/>
      <w:lang w:val="en-GB" w:eastAsia="zh-CN"/>
    </w:rPr>
  </w:style>
  <w:style w:type="character" w:customStyle="1" w:styleId="271">
    <w:name w:val="Normal Indent Char Char"/>
    <w:qFormat/>
    <w:uiPriority w:val="0"/>
    <w:rPr>
      <w:rFonts w:eastAsia="宋体"/>
      <w:kern w:val="2"/>
      <w:sz w:val="21"/>
      <w:lang w:val="en-US" w:eastAsia="zh-CN" w:bidi="ar-SA"/>
    </w:rPr>
  </w:style>
  <w:style w:type="character" w:customStyle="1" w:styleId="272">
    <w:name w:val="列表段落 字符"/>
    <w:autoRedefine/>
    <w:qFormat/>
    <w:uiPriority w:val="99"/>
  </w:style>
  <w:style w:type="character" w:customStyle="1" w:styleId="273">
    <w:name w:val="Ò³Ã¼ Char Char1"/>
    <w:qFormat/>
    <w:uiPriority w:val="0"/>
    <w:rPr>
      <w:rFonts w:eastAsia="宋体"/>
      <w:kern w:val="2"/>
      <w:sz w:val="18"/>
      <w:szCs w:val="18"/>
      <w:lang w:val="en-US" w:eastAsia="zh-CN" w:bidi="ar-SA"/>
    </w:rPr>
  </w:style>
  <w:style w:type="character" w:customStyle="1" w:styleId="274">
    <w:name w:val="方案正文 Char"/>
    <w:autoRedefine/>
    <w:qFormat/>
    <w:uiPriority w:val="0"/>
    <w:rPr>
      <w:rFonts w:ascii="仿宋_GB2312" w:eastAsia="仿宋_GB2312"/>
      <w:b/>
      <w:color w:val="000000"/>
      <w:kern w:val="2"/>
      <w:sz w:val="24"/>
      <w:lang w:val="en-US" w:eastAsia="zh-CN" w:bidi="ar-SA"/>
    </w:rPr>
  </w:style>
  <w:style w:type="character" w:customStyle="1" w:styleId="275">
    <w:name w:val="Char Char30"/>
    <w:autoRedefine/>
    <w:qFormat/>
    <w:uiPriority w:val="6"/>
    <w:rPr>
      <w:rFonts w:ascii="Arial" w:hAnsi="Arial" w:eastAsia="黑体"/>
      <w:kern w:val="1"/>
      <w:sz w:val="21"/>
      <w:szCs w:val="21"/>
    </w:rPr>
  </w:style>
  <w:style w:type="character" w:customStyle="1" w:styleId="276">
    <w:name w:val="正文文本缩进 字符1"/>
    <w:link w:val="25"/>
    <w:autoRedefine/>
    <w:qFormat/>
    <w:uiPriority w:val="0"/>
    <w:rPr>
      <w:rFonts w:ascii="宋体" w:hAnsi="宋体"/>
      <w:kern w:val="2"/>
      <w:sz w:val="24"/>
      <w:szCs w:val="24"/>
    </w:rPr>
  </w:style>
  <w:style w:type="character" w:customStyle="1" w:styleId="277">
    <w:name w:val="font01"/>
    <w:autoRedefine/>
    <w:qFormat/>
    <w:uiPriority w:val="0"/>
    <w:rPr>
      <w:rFonts w:hint="eastAsia" w:ascii="微软雅黑" w:hAnsi="微软雅黑" w:eastAsia="微软雅黑" w:cs="微软雅黑"/>
      <w:color w:val="000000"/>
      <w:sz w:val="20"/>
      <w:szCs w:val="20"/>
      <w:u w:val="none"/>
    </w:rPr>
  </w:style>
  <w:style w:type="character" w:customStyle="1" w:styleId="278">
    <w:name w:val="Char Char20"/>
    <w:autoRedefine/>
    <w:qFormat/>
    <w:uiPriority w:val="6"/>
    <w:rPr>
      <w:kern w:val="1"/>
      <w:sz w:val="24"/>
    </w:rPr>
  </w:style>
  <w:style w:type="character" w:customStyle="1" w:styleId="279">
    <w:name w:val="tw4winExternal"/>
    <w:autoRedefine/>
    <w:qFormat/>
    <w:uiPriority w:val="0"/>
    <w:rPr>
      <w:rFonts w:ascii="Courier New" w:hAnsi="Courier New" w:cs="Courier New"/>
      <w:color w:val="808080"/>
      <w:lang w:val="en-US" w:eastAsia="zh-CN"/>
    </w:rPr>
  </w:style>
  <w:style w:type="character" w:customStyle="1" w:styleId="280">
    <w:name w:val="标题 4 Char1"/>
    <w:qFormat/>
    <w:uiPriority w:val="9"/>
    <w:rPr>
      <w:rFonts w:ascii="Cambria" w:hAnsi="Cambria" w:eastAsia="宋体" w:cs="Times New Roman"/>
      <w:b/>
      <w:bCs/>
      <w:kern w:val="2"/>
      <w:sz w:val="28"/>
      <w:szCs w:val="28"/>
    </w:rPr>
  </w:style>
  <w:style w:type="character" w:customStyle="1" w:styleId="281">
    <w:name w:val="批注文字 Char2"/>
    <w:autoRedefine/>
    <w:qFormat/>
    <w:uiPriority w:val="99"/>
    <w:rPr>
      <w:rFonts w:ascii="Times New Roman" w:hAnsi="Times New Roman" w:eastAsia="宋体" w:cs="Times New Roman"/>
      <w:snapToGrid w:val="0"/>
      <w:kern w:val="0"/>
      <w:szCs w:val="24"/>
    </w:rPr>
  </w:style>
  <w:style w:type="character" w:customStyle="1" w:styleId="282">
    <w:name w:val="正文文本 2 Char"/>
    <w:autoRedefine/>
    <w:qFormat/>
    <w:uiPriority w:val="0"/>
    <w:rPr>
      <w:rFonts w:eastAsia="宋体"/>
      <w:kern w:val="2"/>
      <w:sz w:val="21"/>
      <w:szCs w:val="24"/>
      <w:lang w:val="en-US" w:eastAsia="zh-CN" w:bidi="ar-SA"/>
    </w:rPr>
  </w:style>
  <w:style w:type="character" w:customStyle="1" w:styleId="283">
    <w:name w:val="Ò³Ã¼ Char Char"/>
    <w:autoRedefine/>
    <w:qFormat/>
    <w:uiPriority w:val="0"/>
    <w:rPr>
      <w:rFonts w:eastAsia="宋体"/>
      <w:kern w:val="2"/>
      <w:sz w:val="18"/>
      <w:lang w:val="en-US" w:eastAsia="zh-CN" w:bidi="ar-SA"/>
    </w:rPr>
  </w:style>
  <w:style w:type="character" w:customStyle="1" w:styleId="284">
    <w:name w:val="message1"/>
    <w:autoRedefine/>
    <w:qFormat/>
    <w:uiPriority w:val="0"/>
    <w:rPr>
      <w:rFonts w:hint="default" w:ascii="Tahoma" w:hAnsi="Tahoma" w:cs="Tahoma"/>
      <w:sz w:val="18"/>
      <w:szCs w:val="18"/>
    </w:rPr>
  </w:style>
  <w:style w:type="character" w:customStyle="1" w:styleId="285">
    <w:name w:val="Char Char23"/>
    <w:autoRedefine/>
    <w:qFormat/>
    <w:uiPriority w:val="6"/>
    <w:rPr>
      <w:color w:val="0000FF"/>
      <w:sz w:val="21"/>
    </w:rPr>
  </w:style>
  <w:style w:type="character" w:customStyle="1" w:styleId="286">
    <w:name w:val="批注框文本 字符"/>
    <w:autoRedefine/>
    <w:qFormat/>
    <w:uiPriority w:val="0"/>
    <w:rPr>
      <w:rFonts w:ascii="Arial" w:hAnsi="Arial" w:eastAsia="黑体" w:cs="Arial"/>
      <w:snapToGrid w:val="0"/>
      <w:kern w:val="0"/>
      <w:sz w:val="18"/>
      <w:szCs w:val="18"/>
    </w:rPr>
  </w:style>
  <w:style w:type="character" w:customStyle="1" w:styleId="287">
    <w:name w:val="纯文本 Char2"/>
    <w:autoRedefine/>
    <w:semiHidden/>
    <w:qFormat/>
    <w:uiPriority w:val="99"/>
    <w:rPr>
      <w:rFonts w:ascii="宋体" w:hAnsi="Courier New" w:eastAsia="宋体" w:cs="Courier New"/>
    </w:rPr>
  </w:style>
  <w:style w:type="character" w:customStyle="1" w:styleId="288">
    <w:name w:val="Char Char25"/>
    <w:autoRedefine/>
    <w:qFormat/>
    <w:uiPriority w:val="6"/>
    <w:rPr>
      <w:rFonts w:ascii="宋体" w:hAnsi="宋体"/>
      <w:kern w:val="1"/>
      <w:sz w:val="24"/>
      <w:lang w:val="zh-CN"/>
    </w:rPr>
  </w:style>
  <w:style w:type="character" w:customStyle="1" w:styleId="289">
    <w:name w:val="Char Char411"/>
    <w:autoRedefine/>
    <w:qFormat/>
    <w:uiPriority w:val="0"/>
    <w:rPr>
      <w:rFonts w:eastAsia="宋体"/>
      <w:b/>
      <w:sz w:val="24"/>
      <w:lang w:val="en-GB" w:eastAsia="zh-CN" w:bidi="ar-SA"/>
    </w:rPr>
  </w:style>
  <w:style w:type="character" w:customStyle="1" w:styleId="290">
    <w:name w:val="Heading 7 Char"/>
    <w:autoRedefine/>
    <w:qFormat/>
    <w:locked/>
    <w:uiPriority w:val="0"/>
    <w:rPr>
      <w:rFonts w:ascii="宋体" w:hAnsi="宋体" w:eastAsia="宋体"/>
      <w:b/>
      <w:bCs/>
      <w:kern w:val="2"/>
      <w:sz w:val="24"/>
      <w:szCs w:val="24"/>
      <w:lang w:val="en-US" w:eastAsia="zh-CN" w:bidi="ar-SA"/>
    </w:rPr>
  </w:style>
  <w:style w:type="character" w:customStyle="1" w:styleId="291">
    <w:name w:val="此正文 Char"/>
    <w:link w:val="292"/>
    <w:autoRedefine/>
    <w:qFormat/>
    <w:uiPriority w:val="0"/>
    <w:rPr>
      <w:kern w:val="2"/>
      <w:sz w:val="24"/>
      <w:szCs w:val="24"/>
    </w:rPr>
  </w:style>
  <w:style w:type="paragraph" w:customStyle="1" w:styleId="292">
    <w:name w:val="此正文"/>
    <w:basedOn w:val="1"/>
    <w:link w:val="291"/>
    <w:autoRedefine/>
    <w:qFormat/>
    <w:uiPriority w:val="0"/>
    <w:pPr>
      <w:adjustRightInd/>
      <w:spacing w:line="360" w:lineRule="auto"/>
      <w:ind w:firstLine="200" w:firstLineChars="200"/>
    </w:pPr>
    <w:rPr>
      <w:sz w:val="24"/>
    </w:rPr>
  </w:style>
  <w:style w:type="character" w:customStyle="1" w:styleId="293">
    <w:name w:val="Char Char2"/>
    <w:autoRedefine/>
    <w:qFormat/>
    <w:uiPriority w:val="0"/>
    <w:rPr>
      <w:rFonts w:eastAsia="宋体"/>
      <w:b/>
      <w:bCs/>
      <w:kern w:val="2"/>
      <w:sz w:val="21"/>
      <w:szCs w:val="24"/>
      <w:lang w:val="en-US" w:eastAsia="zh-CN" w:bidi="ar-SA"/>
    </w:rPr>
  </w:style>
  <w:style w:type="character" w:customStyle="1" w:styleId="294">
    <w:name w:val="标题 1 字符1"/>
    <w:link w:val="2"/>
    <w:autoRedefine/>
    <w:qFormat/>
    <w:uiPriority w:val="9"/>
    <w:rPr>
      <w:b/>
      <w:bCs/>
      <w:kern w:val="44"/>
      <w:sz w:val="44"/>
      <w:szCs w:val="44"/>
    </w:rPr>
  </w:style>
  <w:style w:type="character" w:customStyle="1" w:styleId="295">
    <w:name w:val="Footer-Even Char1"/>
    <w:autoRedefine/>
    <w:qFormat/>
    <w:uiPriority w:val="0"/>
    <w:rPr>
      <w:rFonts w:eastAsia="宋体"/>
      <w:kern w:val="2"/>
      <w:sz w:val="18"/>
      <w:szCs w:val="18"/>
      <w:lang w:val="en-US" w:eastAsia="zh-CN" w:bidi="ar-SA"/>
    </w:rPr>
  </w:style>
  <w:style w:type="character" w:customStyle="1" w:styleId="296">
    <w:name w:val="Char Char29"/>
    <w:autoRedefine/>
    <w:qFormat/>
    <w:uiPriority w:val="6"/>
    <w:rPr>
      <w:rFonts w:ascii="Arial" w:hAnsi="Arial" w:eastAsia="微软雅黑"/>
      <w:b/>
      <w:kern w:val="1"/>
      <w:sz w:val="44"/>
      <w:szCs w:val="32"/>
      <w:lang w:val="en-US" w:eastAsia="zh-CN" w:bidi="ar-SA"/>
    </w:rPr>
  </w:style>
  <w:style w:type="character" w:customStyle="1" w:styleId="297">
    <w:name w:val="标题 字符"/>
    <w:link w:val="60"/>
    <w:autoRedefine/>
    <w:qFormat/>
    <w:uiPriority w:val="10"/>
    <w:rPr>
      <w:b/>
      <w:sz w:val="24"/>
      <w:lang w:val="en-GB"/>
    </w:rPr>
  </w:style>
  <w:style w:type="character" w:customStyle="1" w:styleId="298">
    <w:name w:val="font81"/>
    <w:autoRedefine/>
    <w:qFormat/>
    <w:uiPriority w:val="0"/>
    <w:rPr>
      <w:rFonts w:ascii="微软雅黑" w:hAnsi="微软雅黑" w:eastAsia="微软雅黑" w:cs="微软雅黑"/>
      <w:color w:val="000000"/>
      <w:sz w:val="20"/>
      <w:szCs w:val="20"/>
      <w:u w:val="none"/>
    </w:rPr>
  </w:style>
  <w:style w:type="character" w:customStyle="1" w:styleId="299">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300">
    <w:name w:val="t21"/>
    <w:autoRedefine/>
    <w:qFormat/>
    <w:uiPriority w:val="0"/>
    <w:rPr>
      <w:rFonts w:ascii="仿宋_GB2312" w:eastAsia="微软雅黑"/>
      <w:b/>
      <w:kern w:val="2"/>
      <w:sz w:val="23"/>
      <w:szCs w:val="23"/>
      <w:lang w:val="en-US" w:eastAsia="zh-CN" w:bidi="ar-SA"/>
    </w:rPr>
  </w:style>
  <w:style w:type="character" w:customStyle="1" w:styleId="301">
    <w:name w:val="样式8 Char"/>
    <w:autoRedefine/>
    <w:qFormat/>
    <w:uiPriority w:val="0"/>
    <w:rPr>
      <w:rFonts w:ascii="仿宋_GB2312" w:hAnsi="宋体" w:eastAsia="仿宋_GB2312"/>
      <w:b/>
      <w:bCs/>
      <w:kern w:val="2"/>
      <w:sz w:val="24"/>
      <w:szCs w:val="24"/>
    </w:rPr>
  </w:style>
  <w:style w:type="character" w:customStyle="1" w:styleId="302">
    <w:name w:val="表格 Char Char"/>
    <w:autoRedefine/>
    <w:qFormat/>
    <w:uiPriority w:val="0"/>
    <w:rPr>
      <w:rFonts w:ascii="宋体" w:hAnsi="宋体" w:eastAsia="宋体"/>
      <w:lang w:bidi="ar-SA"/>
    </w:rPr>
  </w:style>
  <w:style w:type="character" w:customStyle="1" w:styleId="303">
    <w:name w:val="正文文本 字符1"/>
    <w:autoRedefine/>
    <w:qFormat/>
    <w:uiPriority w:val="0"/>
    <w:rPr>
      <w:rFonts w:ascii="Calibri" w:hAnsi="Calibri" w:eastAsia="黑体" w:cs="Arial"/>
      <w:snapToGrid w:val="0"/>
      <w:kern w:val="2"/>
      <w:sz w:val="28"/>
      <w:szCs w:val="21"/>
    </w:rPr>
  </w:style>
  <w:style w:type="character" w:customStyle="1" w:styleId="304">
    <w:name w:val="标题 5 字符"/>
    <w:link w:val="6"/>
    <w:autoRedefine/>
    <w:qFormat/>
    <w:uiPriority w:val="9"/>
    <w:rPr>
      <w:b/>
      <w:bCs/>
      <w:kern w:val="2"/>
      <w:sz w:val="28"/>
      <w:szCs w:val="28"/>
    </w:rPr>
  </w:style>
  <w:style w:type="character" w:customStyle="1" w:styleId="305">
    <w:name w:val="标题 6 Char1"/>
    <w:autoRedefine/>
    <w:qFormat/>
    <w:uiPriority w:val="0"/>
    <w:rPr>
      <w:rFonts w:ascii="Arial" w:hAnsi="Arial" w:eastAsia="黑体" w:cs="Times New Roman"/>
      <w:b/>
      <w:sz w:val="24"/>
      <w:szCs w:val="20"/>
      <w:lang w:bidi="ar-SA"/>
    </w:rPr>
  </w:style>
  <w:style w:type="character" w:customStyle="1" w:styleId="306">
    <w:name w:val="带编号样式 Char"/>
    <w:autoRedefine/>
    <w:qFormat/>
    <w:uiPriority w:val="0"/>
    <w:rPr>
      <w:rFonts w:ascii="仿宋_GB2312" w:eastAsia="仿宋_GB2312"/>
      <w:color w:val="000000"/>
      <w:sz w:val="24"/>
      <w:lang w:bidi="ar-SA"/>
    </w:rPr>
  </w:style>
  <w:style w:type="character" w:customStyle="1" w:styleId="307">
    <w:name w:val="unnamed31"/>
    <w:autoRedefine/>
    <w:qFormat/>
    <w:uiPriority w:val="0"/>
    <w:rPr>
      <w:rFonts w:ascii="Tahoma" w:hAnsi="Tahoma" w:eastAsia="宋体"/>
      <w:b/>
      <w:kern w:val="2"/>
      <w:sz w:val="24"/>
      <w:szCs w:val="32"/>
      <w:u w:val="none"/>
      <w:lang w:val="en-US" w:eastAsia="zh-CN" w:bidi="ar-SA"/>
    </w:rPr>
  </w:style>
  <w:style w:type="character" w:customStyle="1" w:styleId="308">
    <w:name w:val="正文首行缩进 Char Char Char Char Char Char1"/>
    <w:autoRedefine/>
    <w:qFormat/>
    <w:uiPriority w:val="0"/>
    <w:rPr>
      <w:rFonts w:ascii="宋体" w:eastAsia="宋体"/>
      <w:kern w:val="2"/>
      <w:sz w:val="24"/>
      <w:szCs w:val="24"/>
      <w:lang w:val="zh-CN" w:bidi="ar-SA"/>
    </w:rPr>
  </w:style>
  <w:style w:type="character" w:customStyle="1" w:styleId="309">
    <w:name w:val="称呼 字符"/>
    <w:link w:val="20"/>
    <w:autoRedefine/>
    <w:qFormat/>
    <w:uiPriority w:val="0"/>
    <w:rPr>
      <w:rFonts w:ascii="仿宋_GB2312" w:eastAsia="仿宋_GB2312"/>
      <w:kern w:val="2"/>
      <w:sz w:val="28"/>
    </w:rPr>
  </w:style>
  <w:style w:type="character" w:customStyle="1" w:styleId="310">
    <w:name w:val="文本正文 Char Char"/>
    <w:autoRedefine/>
    <w:qFormat/>
    <w:locked/>
    <w:uiPriority w:val="0"/>
    <w:rPr>
      <w:sz w:val="24"/>
      <w:lang w:bidi="ar-SA"/>
    </w:rPr>
  </w:style>
  <w:style w:type="character" w:customStyle="1" w:styleId="311">
    <w:name w:val="HTML 预设格式 字符"/>
    <w:link w:val="58"/>
    <w:autoRedefine/>
    <w:qFormat/>
    <w:uiPriority w:val="0"/>
    <w:rPr>
      <w:rFonts w:ascii="黑体" w:hAnsi="Courier New" w:eastAsia="黑体"/>
    </w:rPr>
  </w:style>
  <w:style w:type="character" w:customStyle="1" w:styleId="312">
    <w:name w:val="正文文本 2 字符1"/>
    <w:link w:val="57"/>
    <w:autoRedefine/>
    <w:qFormat/>
    <w:uiPriority w:val="0"/>
    <w:rPr>
      <w:kern w:val="2"/>
      <w:sz w:val="21"/>
      <w:szCs w:val="24"/>
    </w:rPr>
  </w:style>
  <w:style w:type="character" w:customStyle="1" w:styleId="313">
    <w:name w:val="样式 样式 标题 4h4H4Fab-4T5Ref Heading 1rh1Heading sqlsect 1.2.3.... +... Char"/>
    <w:link w:val="314"/>
    <w:autoRedefine/>
    <w:qFormat/>
    <w:uiPriority w:val="0"/>
    <w:rPr>
      <w:rFonts w:ascii="微软雅黑" w:hAnsi="微软雅黑" w:eastAsia="微软雅黑"/>
      <w:b/>
      <w:bCs/>
      <w:kern w:val="2"/>
      <w:sz w:val="24"/>
      <w:szCs w:val="28"/>
    </w:rPr>
  </w:style>
  <w:style w:type="paragraph" w:customStyle="1" w:styleId="314">
    <w:name w:val="样式 样式 标题 4h4H4Fab-4T5Ref Heading 1rh1Heading sqlsect 1.2.3.... +..."/>
    <w:basedOn w:val="315"/>
    <w:link w:val="313"/>
    <w:autoRedefine/>
    <w:qFormat/>
    <w:uiPriority w:val="0"/>
    <w:pPr>
      <w:tabs>
        <w:tab w:val="left" w:pos="2356"/>
      </w:tabs>
    </w:pPr>
  </w:style>
  <w:style w:type="paragraph" w:customStyle="1" w:styleId="315">
    <w:name w:val="样式 标题 4h4H4Fab-4T5Ref Heading 1rh1Heading sqlsect 1.2.3...."/>
    <w:basedOn w:val="5"/>
    <w:link w:val="421"/>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6">
    <w:name w:val="正文非缩进 Char"/>
    <w:autoRedefine/>
    <w:qFormat/>
    <w:uiPriority w:val="0"/>
    <w:rPr>
      <w:rFonts w:ascii="宋体" w:eastAsia="宋体"/>
      <w:snapToGrid w:val="0"/>
      <w:color w:val="000000"/>
      <w:kern w:val="28"/>
      <w:sz w:val="28"/>
      <w:lang w:val="en-US" w:eastAsia="zh-CN" w:bidi="ar-SA"/>
    </w:rPr>
  </w:style>
  <w:style w:type="character" w:customStyle="1" w:styleId="317">
    <w:name w:val="标题 7 字符"/>
    <w:link w:val="8"/>
    <w:autoRedefine/>
    <w:qFormat/>
    <w:uiPriority w:val="0"/>
    <w:rPr>
      <w:b/>
      <w:bCs/>
      <w:kern w:val="2"/>
      <w:sz w:val="24"/>
      <w:szCs w:val="24"/>
    </w:rPr>
  </w:style>
  <w:style w:type="character" w:customStyle="1" w:styleId="318">
    <w:name w:val="正文文本缩进 2 字符"/>
    <w:link w:val="38"/>
    <w:autoRedefine/>
    <w:qFormat/>
    <w:uiPriority w:val="0"/>
    <w:rPr>
      <w:rFonts w:ascii="宋体"/>
      <w:sz w:val="28"/>
    </w:rPr>
  </w:style>
  <w:style w:type="character" w:customStyle="1" w:styleId="319">
    <w:name w:val="Char Char5"/>
    <w:autoRedefine/>
    <w:qFormat/>
    <w:uiPriority w:val="0"/>
    <w:rPr>
      <w:rFonts w:ascii="宋体" w:hAnsi="Courier New" w:eastAsia="宋体"/>
      <w:kern w:val="2"/>
      <w:sz w:val="21"/>
      <w:lang w:val="en-US" w:eastAsia="zh-CN"/>
    </w:rPr>
  </w:style>
  <w:style w:type="character" w:customStyle="1" w:styleId="320">
    <w:name w:val="脚注文本 字符"/>
    <w:link w:val="51"/>
    <w:autoRedefine/>
    <w:qFormat/>
    <w:uiPriority w:val="0"/>
    <w:rPr>
      <w:color w:val="0000FF"/>
      <w:sz w:val="21"/>
    </w:rPr>
  </w:style>
  <w:style w:type="character" w:customStyle="1" w:styleId="321">
    <w:name w:val="称呼 Char1"/>
    <w:autoRedefine/>
    <w:qFormat/>
    <w:uiPriority w:val="0"/>
    <w:rPr>
      <w:rFonts w:ascii="Times New Roman" w:hAnsi="Times New Roman" w:eastAsia="宋体" w:cs="Times New Roman"/>
      <w:szCs w:val="24"/>
    </w:rPr>
  </w:style>
  <w:style w:type="character" w:customStyle="1" w:styleId="322">
    <w:name w:val="正文1 Char"/>
    <w:autoRedefine/>
    <w:qFormat/>
    <w:uiPriority w:val="0"/>
    <w:rPr>
      <w:rFonts w:ascii="宋体" w:eastAsia="宋体"/>
      <w:snapToGrid w:val="0"/>
      <w:color w:val="000000"/>
      <w:kern w:val="28"/>
      <w:sz w:val="28"/>
      <w:lang w:val="en-US" w:eastAsia="zh-CN" w:bidi="ar-SA"/>
    </w:rPr>
  </w:style>
  <w:style w:type="character" w:customStyle="1" w:styleId="323">
    <w:name w:val="正文缩进 Char1"/>
    <w:autoRedefine/>
    <w:qFormat/>
    <w:uiPriority w:val="0"/>
    <w:rPr>
      <w:rFonts w:ascii="宋体" w:eastAsia="宋体"/>
      <w:snapToGrid w:val="0"/>
      <w:color w:val="000000"/>
      <w:kern w:val="28"/>
      <w:sz w:val="28"/>
      <w:lang w:val="en-US" w:eastAsia="zh-CN" w:bidi="ar-SA"/>
    </w:rPr>
  </w:style>
  <w:style w:type="character" w:customStyle="1" w:styleId="324">
    <w:name w:val="font21"/>
    <w:autoRedefine/>
    <w:qFormat/>
    <w:uiPriority w:val="0"/>
    <w:rPr>
      <w:rFonts w:hint="eastAsia" w:ascii="宋体" w:hAnsi="宋体" w:eastAsia="宋体"/>
      <w:kern w:val="2"/>
      <w:sz w:val="28"/>
      <w:szCs w:val="28"/>
      <w:lang w:val="en-US" w:eastAsia="zh-CN" w:bidi="ar-SA"/>
    </w:rPr>
  </w:style>
  <w:style w:type="character" w:customStyle="1" w:styleId="325">
    <w:name w:val="Char Char26"/>
    <w:autoRedefine/>
    <w:qFormat/>
    <w:uiPriority w:val="6"/>
    <w:rPr>
      <w:kern w:val="1"/>
      <w:sz w:val="21"/>
      <w:szCs w:val="24"/>
    </w:rPr>
  </w:style>
  <w:style w:type="character" w:customStyle="1" w:styleId="326">
    <w:name w:val="Item List Char"/>
    <w:link w:val="327"/>
    <w:autoRedefine/>
    <w:qFormat/>
    <w:uiPriority w:val="0"/>
    <w:rPr>
      <w:rFonts w:ascii="Arial"/>
      <w:bCs/>
      <w:sz w:val="21"/>
      <w:szCs w:val="21"/>
      <w:lang w:val="en-US" w:eastAsia="zh-CN" w:bidi="ar-SA"/>
    </w:rPr>
  </w:style>
  <w:style w:type="paragraph" w:customStyle="1" w:styleId="327">
    <w:name w:val="Item List"/>
    <w:link w:val="32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8">
    <w:name w:val="批注框文本 Char1"/>
    <w:autoRedefine/>
    <w:qFormat/>
    <w:uiPriority w:val="0"/>
    <w:rPr>
      <w:rFonts w:ascii="Times New Roman" w:hAnsi="Times New Roman" w:eastAsia="宋体" w:cs="Times New Roman"/>
      <w:sz w:val="18"/>
      <w:szCs w:val="18"/>
    </w:rPr>
  </w:style>
  <w:style w:type="character" w:customStyle="1" w:styleId="329">
    <w:name w:val="纯文本 Char1"/>
    <w:link w:val="330"/>
    <w:autoRedefine/>
    <w:qFormat/>
    <w:uiPriority w:val="0"/>
    <w:rPr>
      <w:rFonts w:ascii="宋体" w:hAnsi="Courier New"/>
    </w:rPr>
  </w:style>
  <w:style w:type="paragraph" w:customStyle="1" w:styleId="330">
    <w:name w:val="纯文本1"/>
    <w:basedOn w:val="1"/>
    <w:link w:val="329"/>
    <w:autoRedefine/>
    <w:qFormat/>
    <w:uiPriority w:val="0"/>
    <w:pPr>
      <w:adjustRightInd/>
    </w:pPr>
    <w:rPr>
      <w:rFonts w:ascii="宋体" w:hAnsi="Courier New"/>
      <w:kern w:val="0"/>
      <w:sz w:val="20"/>
      <w:szCs w:val="20"/>
    </w:rPr>
  </w:style>
  <w:style w:type="character" w:customStyle="1" w:styleId="331">
    <w:name w:val="正文文本首行缩进 字符"/>
    <w:link w:val="62"/>
    <w:autoRedefine/>
    <w:qFormat/>
    <w:uiPriority w:val="0"/>
    <w:rPr>
      <w:rFonts w:ascii="宋体"/>
      <w:kern w:val="2"/>
      <w:sz w:val="24"/>
      <w:lang w:val="zh-CN"/>
    </w:rPr>
  </w:style>
  <w:style w:type="character" w:customStyle="1" w:styleId="332">
    <w:name w:val="h3 Char"/>
    <w:autoRedefine/>
    <w:qFormat/>
    <w:uiPriority w:val="0"/>
    <w:rPr>
      <w:rFonts w:eastAsia="宋体"/>
      <w:b/>
      <w:kern w:val="2"/>
      <w:sz w:val="32"/>
      <w:lang w:val="en-US" w:eastAsia="zh-CN" w:bidi="ar-SA"/>
    </w:rPr>
  </w:style>
  <w:style w:type="character" w:customStyle="1" w:styleId="333">
    <w:name w:val="dandyren_title1"/>
    <w:autoRedefine/>
    <w:qFormat/>
    <w:uiPriority w:val="0"/>
    <w:rPr>
      <w:b/>
      <w:bCs/>
      <w:color w:val="FF6633"/>
      <w:sz w:val="18"/>
      <w:szCs w:val="18"/>
    </w:rPr>
  </w:style>
  <w:style w:type="character" w:customStyle="1" w:styleId="334">
    <w:name w:val="Char Char31"/>
    <w:autoRedefine/>
    <w:qFormat/>
    <w:uiPriority w:val="6"/>
    <w:rPr>
      <w:rFonts w:ascii="Arial" w:hAnsi="Arial" w:eastAsia="黑体"/>
      <w:kern w:val="1"/>
      <w:sz w:val="24"/>
      <w:szCs w:val="24"/>
    </w:rPr>
  </w:style>
  <w:style w:type="character" w:customStyle="1" w:styleId="335">
    <w:name w:val="h Char1"/>
    <w:autoRedefine/>
    <w:qFormat/>
    <w:uiPriority w:val="0"/>
    <w:rPr>
      <w:sz w:val="18"/>
      <w:szCs w:val="18"/>
    </w:rPr>
  </w:style>
  <w:style w:type="character" w:customStyle="1" w:styleId="336">
    <w:name w:val="solutionfonts"/>
    <w:autoRedefine/>
    <w:qFormat/>
    <w:uiPriority w:val="0"/>
  </w:style>
  <w:style w:type="character" w:customStyle="1" w:styleId="337">
    <w:name w:val="标题 4 字符1"/>
    <w:link w:val="5"/>
    <w:autoRedefine/>
    <w:qFormat/>
    <w:uiPriority w:val="9"/>
    <w:rPr>
      <w:rFonts w:ascii="Arial" w:hAnsi="Arial" w:eastAsia="黑体"/>
      <w:b/>
      <w:bCs/>
      <w:kern w:val="2"/>
      <w:sz w:val="28"/>
      <w:szCs w:val="28"/>
      <w:lang w:val="zh-CN"/>
    </w:rPr>
  </w:style>
  <w:style w:type="character" w:customStyle="1" w:styleId="338">
    <w:name w:val="首行缩进 Char"/>
    <w:autoRedefine/>
    <w:qFormat/>
    <w:uiPriority w:val="0"/>
    <w:rPr>
      <w:rFonts w:ascii="宋体" w:eastAsia="宋体"/>
      <w:kern w:val="2"/>
      <w:sz w:val="24"/>
      <w:lang w:val="en-US" w:eastAsia="zh-CN" w:bidi="ar-SA"/>
    </w:rPr>
  </w:style>
  <w:style w:type="character" w:customStyle="1" w:styleId="339">
    <w:name w:val="Char Char52"/>
    <w:autoRedefine/>
    <w:qFormat/>
    <w:uiPriority w:val="0"/>
    <w:rPr>
      <w:rFonts w:ascii="宋体" w:hAnsi="Courier New" w:eastAsia="宋体"/>
      <w:kern w:val="2"/>
      <w:sz w:val="21"/>
      <w:lang w:val="en-US" w:eastAsia="zh-CN"/>
    </w:rPr>
  </w:style>
  <w:style w:type="character" w:customStyle="1" w:styleId="340">
    <w:name w:val="正文文本 3 字符"/>
    <w:link w:val="21"/>
    <w:autoRedefine/>
    <w:qFormat/>
    <w:uiPriority w:val="0"/>
    <w:rPr>
      <w:kern w:val="2"/>
      <w:sz w:val="21"/>
    </w:rPr>
  </w:style>
  <w:style w:type="character" w:customStyle="1" w:styleId="341">
    <w:name w:val="font31"/>
    <w:autoRedefine/>
    <w:qFormat/>
    <w:uiPriority w:val="0"/>
    <w:rPr>
      <w:rFonts w:hint="eastAsia" w:ascii="仿宋" w:hAnsi="仿宋" w:eastAsia="仿宋" w:cs="仿宋"/>
      <w:color w:val="000000"/>
      <w:sz w:val="20"/>
      <w:szCs w:val="20"/>
      <w:u w:val="none"/>
    </w:rPr>
  </w:style>
  <w:style w:type="character" w:customStyle="1" w:styleId="342">
    <w:name w:val="正文说明 Char"/>
    <w:link w:val="343"/>
    <w:autoRedefine/>
    <w:qFormat/>
    <w:uiPriority w:val="0"/>
    <w:rPr>
      <w:sz w:val="24"/>
      <w:szCs w:val="24"/>
    </w:rPr>
  </w:style>
  <w:style w:type="paragraph" w:customStyle="1" w:styleId="343">
    <w:name w:val="正文说明"/>
    <w:basedOn w:val="1"/>
    <w:link w:val="342"/>
    <w:autoRedefine/>
    <w:qFormat/>
    <w:uiPriority w:val="0"/>
    <w:pPr>
      <w:adjustRightInd/>
      <w:spacing w:line="360" w:lineRule="auto"/>
    </w:pPr>
    <w:rPr>
      <w:kern w:val="0"/>
      <w:sz w:val="24"/>
    </w:rPr>
  </w:style>
  <w:style w:type="character" w:customStyle="1" w:styleId="344">
    <w:name w:val="脚注文本 Char1"/>
    <w:autoRedefine/>
    <w:qFormat/>
    <w:uiPriority w:val="0"/>
    <w:rPr>
      <w:rFonts w:ascii="Times New Roman" w:hAnsi="Times New Roman" w:eastAsia="宋体" w:cs="Times New Roman"/>
      <w:sz w:val="18"/>
      <w:szCs w:val="18"/>
    </w:rPr>
  </w:style>
  <w:style w:type="character" w:customStyle="1" w:styleId="345">
    <w:name w:val="Char Char1211"/>
    <w:autoRedefine/>
    <w:qFormat/>
    <w:uiPriority w:val="0"/>
    <w:rPr>
      <w:rFonts w:ascii="仿宋_GB2312" w:eastAsia="仿宋_GB2312"/>
      <w:b/>
      <w:bCs/>
      <w:kern w:val="2"/>
      <w:sz w:val="24"/>
      <w:szCs w:val="24"/>
      <w:lang w:val="zh-CN" w:eastAsia="zh-CN" w:bidi="ar-SA"/>
    </w:rPr>
  </w:style>
  <w:style w:type="character" w:customStyle="1" w:styleId="346">
    <w:name w:val="标题 Char"/>
    <w:autoRedefine/>
    <w:qFormat/>
    <w:uiPriority w:val="0"/>
    <w:rPr>
      <w:rFonts w:eastAsia="宋体"/>
      <w:b/>
      <w:sz w:val="24"/>
      <w:lang w:val="en-GB" w:eastAsia="zh-CN" w:bidi="ar-SA"/>
    </w:rPr>
  </w:style>
  <w:style w:type="character" w:customStyle="1" w:styleId="347">
    <w:name w:val="Char Char35"/>
    <w:autoRedefine/>
    <w:qFormat/>
    <w:uiPriority w:val="6"/>
    <w:rPr>
      <w:rFonts w:ascii="Arial" w:hAnsi="Arial" w:eastAsia="黑体"/>
      <w:b/>
      <w:kern w:val="1"/>
      <w:sz w:val="28"/>
      <w:szCs w:val="28"/>
      <w:lang w:val="zh-CN"/>
    </w:rPr>
  </w:style>
  <w:style w:type="character" w:customStyle="1" w:styleId="348">
    <w:name w:val="纯文本 Char Char Char"/>
    <w:autoRedefine/>
    <w:qFormat/>
    <w:uiPriority w:val="0"/>
    <w:rPr>
      <w:rFonts w:ascii="宋体" w:hAnsi="Courier New" w:eastAsia="宋体"/>
      <w:kern w:val="2"/>
      <w:sz w:val="21"/>
      <w:lang w:val="en-US" w:eastAsia="zh-CN" w:bidi="ar-SA"/>
    </w:rPr>
  </w:style>
  <w:style w:type="character" w:customStyle="1" w:styleId="349">
    <w:name w:val="Table Text Char"/>
    <w:link w:val="350"/>
    <w:autoRedefine/>
    <w:qFormat/>
    <w:uiPriority w:val="0"/>
    <w:rPr>
      <w:sz w:val="24"/>
      <w:szCs w:val="24"/>
    </w:rPr>
  </w:style>
  <w:style w:type="paragraph" w:customStyle="1" w:styleId="350">
    <w:name w:val="Table Text"/>
    <w:basedOn w:val="1"/>
    <w:link w:val="349"/>
    <w:autoRedefine/>
    <w:qFormat/>
    <w:uiPriority w:val="0"/>
    <w:pPr>
      <w:widowControl/>
      <w:spacing w:before="60" w:after="60"/>
      <w:jc w:val="left"/>
    </w:pPr>
    <w:rPr>
      <w:kern w:val="0"/>
      <w:sz w:val="24"/>
    </w:rPr>
  </w:style>
  <w:style w:type="character" w:customStyle="1" w:styleId="351">
    <w:name w:val="正文1 Char1"/>
    <w:autoRedefine/>
    <w:qFormat/>
    <w:uiPriority w:val="0"/>
    <w:rPr>
      <w:rFonts w:ascii="仿宋_GB2312" w:hAnsi="Courier New" w:eastAsia="仿宋_GB2312"/>
      <w:kern w:val="28"/>
      <w:sz w:val="24"/>
      <w:szCs w:val="24"/>
      <w:lang w:val="en-US" w:eastAsia="zh-CN"/>
    </w:rPr>
  </w:style>
  <w:style w:type="character" w:customStyle="1" w:styleId="352">
    <w:name w:val="页脚 Char1"/>
    <w:autoRedefine/>
    <w:qFormat/>
    <w:uiPriority w:val="0"/>
    <w:rPr>
      <w:rFonts w:eastAsia="宋体"/>
      <w:kern w:val="2"/>
      <w:sz w:val="18"/>
      <w:szCs w:val="18"/>
      <w:lang w:val="en-US" w:eastAsia="zh-CN" w:bidi="ar-SA"/>
    </w:rPr>
  </w:style>
  <w:style w:type="character" w:customStyle="1" w:styleId="353">
    <w:name w:val="Bold"/>
    <w:autoRedefine/>
    <w:qFormat/>
    <w:uiPriority w:val="0"/>
    <w:rPr>
      <w:rFonts w:ascii="Arial" w:hAnsi="Arial" w:eastAsia="黑体" w:cs="Times New Roman"/>
      <w:b/>
      <w:kern w:val="2"/>
      <w:sz w:val="32"/>
      <w:szCs w:val="32"/>
      <w:lang w:val="en-US" w:eastAsia="zh-CN" w:bidi="ar-SA"/>
    </w:rPr>
  </w:style>
  <w:style w:type="character" w:customStyle="1" w:styleId="354">
    <w:name w:val="批注文字 字符1"/>
    <w:link w:val="19"/>
    <w:autoRedefine/>
    <w:qFormat/>
    <w:uiPriority w:val="0"/>
    <w:rPr>
      <w:kern w:val="2"/>
      <w:sz w:val="21"/>
      <w:szCs w:val="24"/>
    </w:rPr>
  </w:style>
  <w:style w:type="character" w:customStyle="1" w:styleId="355">
    <w:name w:val="签名 字符"/>
    <w:link w:val="43"/>
    <w:autoRedefine/>
    <w:qFormat/>
    <w:uiPriority w:val="0"/>
    <w:rPr>
      <w:rFonts w:eastAsia="仿宋_GB2312"/>
      <w:sz w:val="24"/>
    </w:rPr>
  </w:style>
  <w:style w:type="character" w:customStyle="1" w:styleId="356">
    <w:name w:val="hui3"/>
    <w:autoRedefine/>
    <w:qFormat/>
    <w:uiPriority w:val="0"/>
    <w:rPr>
      <w:color w:val="333333"/>
    </w:rPr>
  </w:style>
  <w:style w:type="character" w:customStyle="1" w:styleId="357">
    <w:name w:val="Char Char17"/>
    <w:autoRedefine/>
    <w:qFormat/>
    <w:uiPriority w:val="6"/>
    <w:rPr>
      <w:rFonts w:eastAsia="仿宋_GB2312"/>
      <w:sz w:val="24"/>
    </w:rPr>
  </w:style>
  <w:style w:type="character" w:customStyle="1" w:styleId="358">
    <w:name w:val="Char Char37"/>
    <w:autoRedefine/>
    <w:qFormat/>
    <w:uiPriority w:val="6"/>
    <w:rPr>
      <w:b/>
      <w:kern w:val="1"/>
      <w:sz w:val="44"/>
      <w:szCs w:val="44"/>
    </w:rPr>
  </w:style>
  <w:style w:type="character" w:customStyle="1" w:styleId="359">
    <w:name w:val="列出段落 Char"/>
    <w:autoRedefine/>
    <w:qFormat/>
    <w:uiPriority w:val="0"/>
    <w:rPr>
      <w:rFonts w:eastAsia="楷体_GB2312" w:cs="Lucida Sans"/>
      <w:kern w:val="2"/>
      <w:sz w:val="24"/>
      <w:szCs w:val="24"/>
      <w:lang w:val="en-US" w:eastAsia="zh-CN" w:bidi="ar-SA"/>
    </w:rPr>
  </w:style>
  <w:style w:type="character" w:customStyle="1" w:styleId="360">
    <w:name w:val="正文文本缩进 3 Char1"/>
    <w:autoRedefine/>
    <w:semiHidden/>
    <w:qFormat/>
    <w:uiPriority w:val="99"/>
    <w:rPr>
      <w:rFonts w:ascii="Times New Roman" w:hAnsi="Times New Roman" w:eastAsia="宋体" w:cs="Times New Roman"/>
      <w:sz w:val="16"/>
      <w:szCs w:val="16"/>
    </w:rPr>
  </w:style>
  <w:style w:type="character" w:customStyle="1" w:styleId="361">
    <w:name w:val="公文正文 Char Char"/>
    <w:link w:val="362"/>
    <w:autoRedefine/>
    <w:qFormat/>
    <w:uiPriority w:val="0"/>
    <w:rPr>
      <w:rFonts w:ascii="仿宋_GB2312" w:eastAsia="仿宋_GB2312"/>
      <w:kern w:val="2"/>
      <w:sz w:val="24"/>
      <w:szCs w:val="24"/>
    </w:rPr>
  </w:style>
  <w:style w:type="paragraph" w:customStyle="1" w:styleId="362">
    <w:name w:val="公文正文"/>
    <w:basedOn w:val="1"/>
    <w:link w:val="361"/>
    <w:autoRedefine/>
    <w:qFormat/>
    <w:uiPriority w:val="0"/>
    <w:pPr>
      <w:adjustRightInd/>
      <w:spacing w:before="156" w:line="360" w:lineRule="auto"/>
      <w:ind w:firstLine="360" w:firstLineChars="200"/>
    </w:pPr>
    <w:rPr>
      <w:rFonts w:ascii="仿宋_GB2312" w:eastAsia="仿宋_GB2312"/>
      <w:sz w:val="24"/>
    </w:rPr>
  </w:style>
  <w:style w:type="character" w:customStyle="1" w:styleId="363">
    <w:name w:val="Table Text Char1"/>
    <w:autoRedefine/>
    <w:qFormat/>
    <w:uiPriority w:val="0"/>
    <w:rPr>
      <w:rFonts w:eastAsia="宋体"/>
      <w:sz w:val="24"/>
      <w:szCs w:val="24"/>
      <w:lang w:val="en-US" w:eastAsia="zh-CN" w:bidi="ar-SA"/>
    </w:rPr>
  </w:style>
  <w:style w:type="character" w:customStyle="1" w:styleId="364">
    <w:name w:val="标题 1 Char Char"/>
    <w:autoRedefine/>
    <w:qFormat/>
    <w:uiPriority w:val="0"/>
    <w:rPr>
      <w:rFonts w:hint="eastAsia" w:ascii="宋体" w:hAnsi="宋体" w:eastAsia="宋体"/>
      <w:b/>
      <w:spacing w:val="-2"/>
      <w:sz w:val="24"/>
      <w:lang w:val="en-US" w:eastAsia="zh-CN" w:bidi="ar-SA"/>
    </w:rPr>
  </w:style>
  <w:style w:type="character" w:customStyle="1" w:styleId="365">
    <w:name w:val="正文（缩进2汉字） Char"/>
    <w:link w:val="366"/>
    <w:autoRedefine/>
    <w:qFormat/>
    <w:uiPriority w:val="0"/>
    <w:rPr>
      <w:rFonts w:ascii="宋体"/>
    </w:rPr>
  </w:style>
  <w:style w:type="paragraph" w:customStyle="1" w:styleId="366">
    <w:name w:val="正文（缩进2汉字）"/>
    <w:basedOn w:val="1"/>
    <w:link w:val="365"/>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7">
    <w:name w:val="标题 8 字符"/>
    <w:link w:val="9"/>
    <w:autoRedefine/>
    <w:qFormat/>
    <w:uiPriority w:val="0"/>
    <w:rPr>
      <w:rFonts w:ascii="Arial" w:hAnsi="Arial" w:eastAsia="黑体"/>
      <w:kern w:val="2"/>
      <w:sz w:val="24"/>
      <w:szCs w:val="24"/>
    </w:rPr>
  </w:style>
  <w:style w:type="character" w:customStyle="1" w:styleId="368">
    <w:name w:val="标书表格字体格式 Char"/>
    <w:autoRedefine/>
    <w:qFormat/>
    <w:uiPriority w:val="0"/>
    <w:rPr>
      <w:kern w:val="2"/>
      <w:sz w:val="21"/>
      <w:szCs w:val="24"/>
      <w:lang w:bidi="ar-SA"/>
    </w:rPr>
  </w:style>
  <w:style w:type="character" w:customStyle="1" w:styleId="369">
    <w:name w:val="tw4winError"/>
    <w:autoRedefine/>
    <w:qFormat/>
    <w:uiPriority w:val="0"/>
    <w:rPr>
      <w:rFonts w:ascii="Courier New" w:hAnsi="Courier New" w:cs="Courier New"/>
      <w:color w:val="00FF00"/>
      <w:sz w:val="40"/>
      <w:szCs w:val="40"/>
    </w:rPr>
  </w:style>
  <w:style w:type="character" w:customStyle="1" w:styleId="370">
    <w:name w:val="Body Text(ch) Char Char"/>
    <w:autoRedefine/>
    <w:qFormat/>
    <w:uiPriority w:val="0"/>
    <w:rPr>
      <w:rFonts w:ascii="宋体"/>
      <w:kern w:val="2"/>
      <w:sz w:val="24"/>
      <w:szCs w:val="21"/>
      <w:lang w:val="zh-CN"/>
    </w:rPr>
  </w:style>
  <w:style w:type="character" w:customStyle="1" w:styleId="371">
    <w:name w:val="正文首行缩进两字 Char"/>
    <w:autoRedefine/>
    <w:qFormat/>
    <w:uiPriority w:val="0"/>
    <w:rPr>
      <w:sz w:val="24"/>
      <w:szCs w:val="24"/>
      <w:lang w:val="en-US" w:eastAsia="zh-CN" w:bidi="ar-SA"/>
    </w:rPr>
  </w:style>
  <w:style w:type="character" w:customStyle="1" w:styleId="372">
    <w:name w:val="文档结构图 字符1"/>
    <w:autoRedefine/>
    <w:qFormat/>
    <w:uiPriority w:val="0"/>
    <w:rPr>
      <w:rFonts w:ascii="宋体" w:hAnsi="Calibri" w:eastAsia="黑体" w:cs="Arial"/>
      <w:snapToGrid w:val="0"/>
      <w:kern w:val="2"/>
      <w:sz w:val="18"/>
      <w:szCs w:val="18"/>
    </w:rPr>
  </w:style>
  <w:style w:type="character" w:customStyle="1" w:styleId="373">
    <w:name w:val="content"/>
    <w:autoRedefine/>
    <w:qFormat/>
    <w:uiPriority w:val="0"/>
  </w:style>
  <w:style w:type="character" w:customStyle="1" w:styleId="374">
    <w:name w:val="tw4winPopup"/>
    <w:autoRedefine/>
    <w:qFormat/>
    <w:uiPriority w:val="0"/>
    <w:rPr>
      <w:rFonts w:ascii="Courier New" w:hAnsi="Courier New" w:cs="Courier New"/>
      <w:color w:val="008000"/>
      <w:lang w:val="en-US" w:eastAsia="zh-CN"/>
    </w:rPr>
  </w:style>
  <w:style w:type="character" w:customStyle="1" w:styleId="375">
    <w:name w:val="param-name"/>
    <w:autoRedefine/>
    <w:qFormat/>
    <w:uiPriority w:val="99"/>
    <w:rPr>
      <w:rFonts w:ascii="Arial" w:hAnsi="Arial" w:eastAsia="黑体" w:cs="Arial"/>
      <w:snapToGrid w:val="0"/>
      <w:kern w:val="0"/>
      <w:szCs w:val="21"/>
    </w:rPr>
  </w:style>
  <w:style w:type="character" w:customStyle="1" w:styleId="376">
    <w:name w:val="标准正文格式 Char"/>
    <w:autoRedefine/>
    <w:qFormat/>
    <w:uiPriority w:val="0"/>
    <w:rPr>
      <w:rFonts w:ascii="宋体" w:eastAsia="仿宋_GB2312" w:cs="宋体"/>
      <w:color w:val="000000"/>
      <w:sz w:val="24"/>
      <w:lang w:val="en-US" w:eastAsia="zh-CN" w:bidi="ar-SA"/>
    </w:rPr>
  </w:style>
  <w:style w:type="character" w:customStyle="1" w:styleId="377">
    <w:name w:val="Char Char212"/>
    <w:autoRedefine/>
    <w:qFormat/>
    <w:uiPriority w:val="0"/>
    <w:rPr>
      <w:rFonts w:eastAsia="宋体"/>
      <w:b/>
      <w:bCs/>
      <w:kern w:val="2"/>
      <w:sz w:val="21"/>
      <w:szCs w:val="24"/>
      <w:lang w:val="en-US" w:eastAsia="zh-CN" w:bidi="ar-SA"/>
    </w:rPr>
  </w:style>
  <w:style w:type="character" w:customStyle="1" w:styleId="378">
    <w:name w:val="文档结构图 Char"/>
    <w:autoRedefine/>
    <w:qFormat/>
    <w:uiPriority w:val="0"/>
    <w:rPr>
      <w:rFonts w:eastAsia="宋体"/>
      <w:kern w:val="2"/>
      <w:sz w:val="21"/>
      <w:szCs w:val="24"/>
      <w:lang w:val="en-US" w:eastAsia="zh-CN" w:bidi="ar-SA"/>
    </w:rPr>
  </w:style>
  <w:style w:type="character" w:customStyle="1" w:styleId="379">
    <w:name w:val="zbggmain style9"/>
    <w:autoRedefine/>
    <w:qFormat/>
    <w:uiPriority w:val="0"/>
  </w:style>
  <w:style w:type="character" w:customStyle="1" w:styleId="380">
    <w:name w:val="Char Char16"/>
    <w:autoRedefine/>
    <w:qFormat/>
    <w:uiPriority w:val="6"/>
    <w:rPr>
      <w:kern w:val="1"/>
      <w:sz w:val="18"/>
      <w:szCs w:val="18"/>
    </w:rPr>
  </w:style>
  <w:style w:type="character" w:customStyle="1" w:styleId="381">
    <w:name w:val="font51"/>
    <w:autoRedefine/>
    <w:qFormat/>
    <w:uiPriority w:val="0"/>
    <w:rPr>
      <w:rFonts w:hint="eastAsia" w:ascii="仿宋" w:hAnsi="仿宋" w:eastAsia="仿宋" w:cs="仿宋"/>
      <w:color w:val="000000"/>
      <w:sz w:val="20"/>
      <w:szCs w:val="20"/>
      <w:u w:val="none"/>
    </w:rPr>
  </w:style>
  <w:style w:type="character" w:customStyle="1" w:styleId="382">
    <w:name w:val="Char Char82"/>
    <w:autoRedefine/>
    <w:qFormat/>
    <w:uiPriority w:val="0"/>
    <w:rPr>
      <w:rFonts w:eastAsia="宋体"/>
      <w:b/>
      <w:sz w:val="24"/>
      <w:lang w:val="en-GB" w:eastAsia="zh-CN"/>
    </w:rPr>
  </w:style>
  <w:style w:type="character" w:customStyle="1" w:styleId="383">
    <w:name w:val="正文文本缩进 3 字符"/>
    <w:link w:val="54"/>
    <w:autoRedefine/>
    <w:qFormat/>
    <w:uiPriority w:val="0"/>
    <w:rPr>
      <w:kern w:val="2"/>
      <w:sz w:val="24"/>
    </w:rPr>
  </w:style>
  <w:style w:type="character" w:customStyle="1" w:styleId="384">
    <w:name w:val="日期 Char1"/>
    <w:autoRedefine/>
    <w:semiHidden/>
    <w:qFormat/>
    <w:uiPriority w:val="99"/>
    <w:rPr>
      <w:rFonts w:ascii="Times New Roman" w:hAnsi="Times New Roman" w:eastAsia="宋体" w:cs="Times New Roman"/>
      <w:szCs w:val="24"/>
    </w:rPr>
  </w:style>
  <w:style w:type="character" w:customStyle="1" w:styleId="385">
    <w:name w:val="页眉 字符"/>
    <w:autoRedefine/>
    <w:qFormat/>
    <w:uiPriority w:val="99"/>
    <w:rPr>
      <w:kern w:val="2"/>
      <w:sz w:val="18"/>
      <w:szCs w:val="18"/>
    </w:rPr>
  </w:style>
  <w:style w:type="character" w:customStyle="1" w:styleId="386">
    <w:name w:val="Char Char33"/>
    <w:autoRedefine/>
    <w:qFormat/>
    <w:uiPriority w:val="6"/>
    <w:rPr>
      <w:rFonts w:ascii="Arial" w:hAnsi="Arial" w:eastAsia="黑体"/>
      <w:b/>
      <w:kern w:val="1"/>
      <w:sz w:val="24"/>
      <w:szCs w:val="24"/>
    </w:rPr>
  </w:style>
  <w:style w:type="character" w:customStyle="1" w:styleId="387">
    <w:name w:val="b11_01b Char"/>
    <w:link w:val="388"/>
    <w:autoRedefine/>
    <w:qFormat/>
    <w:uiPriority w:val="0"/>
    <w:rPr>
      <w:rFonts w:ascii="Verdana" w:hAnsi="Verdana"/>
      <w:b/>
      <w:bCs/>
      <w:color w:val="4A82CA"/>
      <w:sz w:val="17"/>
      <w:szCs w:val="17"/>
    </w:rPr>
  </w:style>
  <w:style w:type="paragraph" w:customStyle="1" w:styleId="388">
    <w:name w:val="b11_01b"/>
    <w:basedOn w:val="1"/>
    <w:next w:val="1"/>
    <w:link w:val="387"/>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9">
    <w:name w:val="Char Char121"/>
    <w:autoRedefine/>
    <w:qFormat/>
    <w:uiPriority w:val="6"/>
    <w:rPr>
      <w:rFonts w:ascii="仿宋_GB2312" w:eastAsia="仿宋_GB2312"/>
      <w:b/>
      <w:bCs/>
      <w:kern w:val="2"/>
      <w:sz w:val="24"/>
      <w:szCs w:val="24"/>
      <w:lang w:val="zh-CN" w:eastAsia="zh-CN" w:bidi="ar-SA"/>
    </w:rPr>
  </w:style>
  <w:style w:type="character" w:customStyle="1" w:styleId="390">
    <w:name w:val="Footer-Even Char"/>
    <w:autoRedefine/>
    <w:qFormat/>
    <w:uiPriority w:val="0"/>
    <w:rPr>
      <w:rFonts w:eastAsia="宋体"/>
      <w:kern w:val="2"/>
      <w:sz w:val="18"/>
      <w:lang w:val="en-US" w:eastAsia="zh-CN" w:bidi="ar-SA"/>
    </w:rPr>
  </w:style>
  <w:style w:type="character" w:customStyle="1" w:styleId="391">
    <w:name w:val="页脚 字符2"/>
    <w:link w:val="41"/>
    <w:autoRedefine/>
    <w:qFormat/>
    <w:locked/>
    <w:uiPriority w:val="99"/>
    <w:rPr>
      <w:kern w:val="2"/>
      <w:sz w:val="18"/>
      <w:szCs w:val="18"/>
    </w:rPr>
  </w:style>
  <w:style w:type="character" w:customStyle="1" w:styleId="392">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93">
    <w:name w:val="Char Char61"/>
    <w:autoRedefine/>
    <w:qFormat/>
    <w:uiPriority w:val="6"/>
    <w:rPr>
      <w:rFonts w:eastAsia="宋体"/>
      <w:kern w:val="2"/>
      <w:sz w:val="21"/>
      <w:szCs w:val="24"/>
      <w:lang w:val="en-US" w:eastAsia="zh-CN" w:bidi="ar-SA"/>
    </w:rPr>
  </w:style>
  <w:style w:type="character" w:customStyle="1" w:styleId="394">
    <w:name w:val="正文文字缩进 2 Char Char"/>
    <w:autoRedefine/>
    <w:qFormat/>
    <w:uiPriority w:val="0"/>
    <w:rPr>
      <w:rFonts w:ascii="宋体"/>
      <w:sz w:val="28"/>
    </w:rPr>
  </w:style>
  <w:style w:type="character" w:customStyle="1" w:styleId="395">
    <w:name w:val="f141"/>
    <w:autoRedefine/>
    <w:qFormat/>
    <w:uiPriority w:val="0"/>
    <w:rPr>
      <w:rFonts w:ascii="Tahoma" w:hAnsi="Tahoma" w:eastAsia="宋体"/>
      <w:b/>
      <w:kern w:val="2"/>
      <w:sz w:val="21"/>
      <w:szCs w:val="21"/>
      <w:lang w:val="en-US" w:eastAsia="zh-CN" w:bidi="ar-SA"/>
    </w:rPr>
  </w:style>
  <w:style w:type="character" w:customStyle="1" w:styleId="396">
    <w:name w:val="段落 Char Char"/>
    <w:link w:val="397"/>
    <w:autoRedefine/>
    <w:qFormat/>
    <w:uiPriority w:val="0"/>
    <w:rPr>
      <w:rFonts w:ascii="宋体" w:hAnsi="宋体"/>
      <w:sz w:val="24"/>
    </w:rPr>
  </w:style>
  <w:style w:type="paragraph" w:customStyle="1" w:styleId="397">
    <w:name w:val="段落"/>
    <w:basedOn w:val="1"/>
    <w:link w:val="396"/>
    <w:autoRedefine/>
    <w:qFormat/>
    <w:uiPriority w:val="0"/>
    <w:pPr>
      <w:adjustRightInd/>
      <w:spacing w:line="360" w:lineRule="auto"/>
      <w:ind w:firstLine="480" w:firstLineChars="200"/>
    </w:pPr>
    <w:rPr>
      <w:rFonts w:ascii="宋体" w:hAnsi="宋体"/>
      <w:kern w:val="0"/>
      <w:sz w:val="24"/>
      <w:szCs w:val="20"/>
    </w:rPr>
  </w:style>
  <w:style w:type="character" w:customStyle="1" w:styleId="398">
    <w:name w:val="标题 3 Char2"/>
    <w:autoRedefine/>
    <w:qFormat/>
    <w:uiPriority w:val="0"/>
    <w:rPr>
      <w:rFonts w:eastAsia="宋体"/>
      <w:b/>
      <w:bCs/>
      <w:kern w:val="2"/>
      <w:sz w:val="32"/>
      <w:szCs w:val="32"/>
      <w:lang w:val="en-US" w:eastAsia="zh-CN" w:bidi="ar-SA"/>
    </w:rPr>
  </w:style>
  <w:style w:type="character" w:customStyle="1" w:styleId="399">
    <w:name w:val="apple-converted-space"/>
    <w:autoRedefine/>
    <w:qFormat/>
    <w:uiPriority w:val="0"/>
  </w:style>
  <w:style w:type="character" w:customStyle="1" w:styleId="400">
    <w:name w:val="页眉 字符2"/>
    <w:link w:val="42"/>
    <w:autoRedefine/>
    <w:qFormat/>
    <w:uiPriority w:val="99"/>
    <w:rPr>
      <w:kern w:val="2"/>
      <w:sz w:val="18"/>
      <w:szCs w:val="18"/>
    </w:rPr>
  </w:style>
  <w:style w:type="character" w:customStyle="1" w:styleId="401">
    <w:name w:val="Char Char9"/>
    <w:autoRedefine/>
    <w:qFormat/>
    <w:uiPriority w:val="0"/>
    <w:rPr>
      <w:rFonts w:eastAsia="宋体"/>
      <w:kern w:val="2"/>
      <w:sz w:val="18"/>
      <w:szCs w:val="18"/>
      <w:lang w:val="en-US" w:eastAsia="zh-CN" w:bidi="ar-SA"/>
    </w:rPr>
  </w:style>
  <w:style w:type="character" w:customStyle="1" w:styleId="402">
    <w:name w:val="Char Char41"/>
    <w:autoRedefine/>
    <w:qFormat/>
    <w:uiPriority w:val="0"/>
    <w:rPr>
      <w:rFonts w:eastAsia="宋体"/>
      <w:b/>
      <w:sz w:val="24"/>
      <w:lang w:val="en-GB" w:eastAsia="zh-CN" w:bidi="ar-SA"/>
    </w:rPr>
  </w:style>
  <w:style w:type="character" w:customStyle="1" w:styleId="403">
    <w:name w:val="large1"/>
    <w:autoRedefine/>
    <w:qFormat/>
    <w:uiPriority w:val="0"/>
    <w:rPr>
      <w:rFonts w:hint="eastAsia" w:ascii="宋体" w:hAnsi="宋体" w:eastAsia="宋体"/>
      <w:sz w:val="21"/>
      <w:szCs w:val="21"/>
    </w:rPr>
  </w:style>
  <w:style w:type="character" w:customStyle="1" w:styleId="404">
    <w:name w:val="正文段 Char"/>
    <w:link w:val="405"/>
    <w:autoRedefine/>
    <w:qFormat/>
    <w:uiPriority w:val="0"/>
    <w:rPr>
      <w:sz w:val="24"/>
    </w:rPr>
  </w:style>
  <w:style w:type="paragraph" w:customStyle="1" w:styleId="405">
    <w:name w:val="正文段"/>
    <w:basedOn w:val="1"/>
    <w:link w:val="404"/>
    <w:autoRedefine/>
    <w:qFormat/>
    <w:uiPriority w:val="0"/>
    <w:pPr>
      <w:widowControl/>
      <w:snapToGrid w:val="0"/>
      <w:spacing w:afterLines="50"/>
      <w:ind w:firstLine="200" w:firstLineChars="200"/>
    </w:pPr>
    <w:rPr>
      <w:kern w:val="0"/>
      <w:sz w:val="24"/>
      <w:szCs w:val="20"/>
    </w:rPr>
  </w:style>
  <w:style w:type="character" w:customStyle="1" w:styleId="406">
    <w:name w:val="Char Char13"/>
    <w:autoRedefine/>
    <w:qFormat/>
    <w:uiPriority w:val="6"/>
    <w:rPr>
      <w:rFonts w:ascii="宋体" w:hAnsi="宋体"/>
      <w:kern w:val="1"/>
      <w:sz w:val="21"/>
      <w:szCs w:val="24"/>
    </w:rPr>
  </w:style>
  <w:style w:type="character" w:customStyle="1" w:styleId="407">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8">
    <w:name w:val="冯广丽 Char"/>
    <w:link w:val="409"/>
    <w:autoRedefine/>
    <w:qFormat/>
    <w:uiPriority w:val="0"/>
    <w:rPr>
      <w:rFonts w:ascii="宋体" w:hAnsi="宋体"/>
      <w:kern w:val="2"/>
      <w:sz w:val="24"/>
      <w:szCs w:val="22"/>
    </w:rPr>
  </w:style>
  <w:style w:type="paragraph" w:customStyle="1" w:styleId="409">
    <w:name w:val="冯广丽"/>
    <w:basedOn w:val="1"/>
    <w:link w:val="408"/>
    <w:autoRedefine/>
    <w:qFormat/>
    <w:uiPriority w:val="0"/>
    <w:pPr>
      <w:adjustRightInd/>
      <w:spacing w:line="360" w:lineRule="auto"/>
      <w:ind w:firstLine="480" w:firstLineChars="200"/>
    </w:pPr>
    <w:rPr>
      <w:rFonts w:ascii="宋体" w:hAnsi="宋体"/>
      <w:sz w:val="24"/>
      <w:szCs w:val="22"/>
    </w:rPr>
  </w:style>
  <w:style w:type="character" w:customStyle="1" w:styleId="410">
    <w:name w:val="批注文字 字符"/>
    <w:autoRedefine/>
    <w:qFormat/>
    <w:uiPriority w:val="0"/>
    <w:rPr>
      <w:rFonts w:ascii="Arial" w:hAnsi="Arial" w:eastAsia="黑体" w:cs="Arial"/>
      <w:snapToGrid w:val="0"/>
      <w:kern w:val="0"/>
      <w:szCs w:val="21"/>
    </w:rPr>
  </w:style>
  <w:style w:type="character" w:customStyle="1" w:styleId="411">
    <w:name w:val="Char Char161"/>
    <w:autoRedefine/>
    <w:qFormat/>
    <w:uiPriority w:val="0"/>
    <w:rPr>
      <w:rFonts w:eastAsia="宋体"/>
      <w:b/>
      <w:kern w:val="2"/>
      <w:sz w:val="32"/>
      <w:lang w:val="en-US" w:eastAsia="zh-CN"/>
    </w:rPr>
  </w:style>
  <w:style w:type="character" w:customStyle="1" w:styleId="412">
    <w:name w:val="javascript"/>
    <w:autoRedefine/>
    <w:qFormat/>
    <w:uiPriority w:val="0"/>
  </w:style>
  <w:style w:type="character" w:customStyle="1" w:styleId="413">
    <w:name w:val="图名 Char"/>
    <w:autoRedefine/>
    <w:qFormat/>
    <w:uiPriority w:val="0"/>
    <w:rPr>
      <w:rFonts w:ascii="Arial" w:hAnsi="Arial" w:eastAsia="黑体"/>
      <w:kern w:val="2"/>
      <w:sz w:val="24"/>
      <w:szCs w:val="24"/>
      <w:lang w:val="en-US" w:eastAsia="zh-CN" w:bidi="ar-SA"/>
    </w:rPr>
  </w:style>
  <w:style w:type="character" w:customStyle="1" w:styleId="414">
    <w:name w:val="Used by Word for text of Help footnotes Char Char"/>
    <w:autoRedefine/>
    <w:qFormat/>
    <w:uiPriority w:val="0"/>
    <w:rPr>
      <w:rFonts w:ascii="Times New Roman" w:hAnsi="Times New Roman" w:eastAsia="宋体" w:cs="Times New Roman"/>
      <w:sz w:val="20"/>
      <w:szCs w:val="20"/>
    </w:rPr>
  </w:style>
  <w:style w:type="character" w:customStyle="1" w:styleId="415">
    <w:name w:val="编号，小四 Char"/>
    <w:link w:val="416"/>
    <w:autoRedefine/>
    <w:qFormat/>
    <w:uiPriority w:val="0"/>
    <w:rPr>
      <w:rFonts w:ascii="Arial" w:hAnsi="Arial"/>
      <w:sz w:val="24"/>
    </w:rPr>
  </w:style>
  <w:style w:type="paragraph" w:customStyle="1" w:styleId="416">
    <w:name w:val="编号，小四"/>
    <w:basedOn w:val="1"/>
    <w:link w:val="415"/>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7">
    <w:name w:val="Font Style82"/>
    <w:autoRedefine/>
    <w:qFormat/>
    <w:uiPriority w:val="99"/>
    <w:rPr>
      <w:rFonts w:ascii="宋体" w:eastAsia="宋体" w:cs="宋体"/>
      <w:color w:val="000000"/>
      <w:sz w:val="14"/>
      <w:szCs w:val="14"/>
    </w:rPr>
  </w:style>
  <w:style w:type="character" w:customStyle="1" w:styleId="418">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9">
    <w:name w:val="未用 Char"/>
    <w:autoRedefine/>
    <w:qFormat/>
    <w:uiPriority w:val="0"/>
    <w:rPr>
      <w:rFonts w:ascii="Arial" w:hAnsi="Arial" w:eastAsia="黑体"/>
      <w:kern w:val="2"/>
      <w:sz w:val="21"/>
      <w:szCs w:val="21"/>
      <w:lang w:val="en-US" w:eastAsia="zh-CN" w:bidi="ar-SA"/>
    </w:rPr>
  </w:style>
  <w:style w:type="character" w:customStyle="1" w:styleId="420">
    <w:name w:val="myp1111"/>
    <w:autoRedefine/>
    <w:qFormat/>
    <w:uiPriority w:val="0"/>
    <w:rPr>
      <w:rFonts w:hint="default" w:ascii="ˎ̥" w:hAnsi="ˎ̥"/>
      <w:color w:val="000000"/>
      <w:sz w:val="20"/>
      <w:szCs w:val="20"/>
      <w:u w:val="none"/>
    </w:rPr>
  </w:style>
  <w:style w:type="character" w:customStyle="1" w:styleId="421">
    <w:name w:val="样式 标题 4h4H4Fab-4T5Ref Heading 1rh1Heading sqlsect 1.2.3.... Char"/>
    <w:link w:val="315"/>
    <w:autoRedefine/>
    <w:qFormat/>
    <w:uiPriority w:val="0"/>
    <w:rPr>
      <w:rFonts w:ascii="微软雅黑" w:hAnsi="微软雅黑" w:eastAsia="微软雅黑"/>
      <w:b/>
      <w:bCs/>
      <w:kern w:val="2"/>
      <w:sz w:val="24"/>
      <w:szCs w:val="28"/>
    </w:rPr>
  </w:style>
  <w:style w:type="character" w:customStyle="1" w:styleId="422">
    <w:name w:val="h Char Char"/>
    <w:autoRedefine/>
    <w:qFormat/>
    <w:uiPriority w:val="0"/>
    <w:rPr>
      <w:rFonts w:eastAsia="宋体"/>
      <w:kern w:val="2"/>
      <w:sz w:val="18"/>
      <w:lang w:val="en-US" w:eastAsia="zh-CN" w:bidi="ar-SA"/>
    </w:rPr>
  </w:style>
  <w:style w:type="character" w:customStyle="1" w:styleId="423">
    <w:name w:val="仿宋正文 Char"/>
    <w:link w:val="424"/>
    <w:autoRedefine/>
    <w:qFormat/>
    <w:uiPriority w:val="0"/>
    <w:rPr>
      <w:rFonts w:ascii="仿宋_GB2312" w:eastAsia="仿宋_GB2312"/>
      <w:kern w:val="2"/>
      <w:sz w:val="24"/>
      <w:lang w:val="en-US" w:eastAsia="zh-CN" w:bidi="ar-SA"/>
    </w:rPr>
  </w:style>
  <w:style w:type="paragraph" w:customStyle="1" w:styleId="424">
    <w:name w:val="仿宋正文"/>
    <w:basedOn w:val="1"/>
    <w:link w:val="423"/>
    <w:autoRedefine/>
    <w:qFormat/>
    <w:uiPriority w:val="0"/>
    <w:pPr>
      <w:adjustRightInd/>
      <w:spacing w:line="360" w:lineRule="auto"/>
      <w:ind w:firstLine="480" w:firstLineChars="200"/>
    </w:pPr>
    <w:rPr>
      <w:rFonts w:ascii="仿宋_GB2312" w:eastAsia="仿宋_GB2312"/>
      <w:sz w:val="24"/>
      <w:szCs w:val="20"/>
    </w:rPr>
  </w:style>
  <w:style w:type="character" w:customStyle="1" w:styleId="425">
    <w:name w:val="正文首行缩进 Char Char Char Char Char Char"/>
    <w:autoRedefine/>
    <w:qFormat/>
    <w:uiPriority w:val="0"/>
    <w:rPr>
      <w:rFonts w:ascii="宋体" w:eastAsia="宋体"/>
      <w:kern w:val="2"/>
      <w:sz w:val="24"/>
      <w:lang w:val="zh-CN" w:bidi="ar-SA"/>
    </w:rPr>
  </w:style>
  <w:style w:type="character" w:customStyle="1" w:styleId="426">
    <w:name w:val="样式 宋体"/>
    <w:autoRedefine/>
    <w:qFormat/>
    <w:uiPriority w:val="0"/>
    <w:rPr>
      <w:rFonts w:ascii="宋体" w:hAnsi="宋体"/>
      <w:sz w:val="24"/>
    </w:rPr>
  </w:style>
  <w:style w:type="character" w:customStyle="1" w:styleId="427">
    <w:name w:val="tw4winJump"/>
    <w:autoRedefine/>
    <w:qFormat/>
    <w:uiPriority w:val="0"/>
    <w:rPr>
      <w:rFonts w:ascii="Courier New" w:hAnsi="Courier New" w:cs="Courier New"/>
      <w:color w:val="008080"/>
      <w:lang w:val="en-US" w:eastAsia="zh-CN"/>
    </w:rPr>
  </w:style>
  <w:style w:type="character" w:customStyle="1" w:styleId="428">
    <w:name w:val="style36"/>
    <w:basedOn w:val="71"/>
    <w:autoRedefine/>
    <w:qFormat/>
    <w:uiPriority w:val="0"/>
    <w:rPr>
      <w:rFonts w:ascii="Arial" w:hAnsi="Arial" w:eastAsia="黑体" w:cs="Arial"/>
      <w:snapToGrid w:val="0"/>
      <w:kern w:val="0"/>
      <w:szCs w:val="21"/>
    </w:rPr>
  </w:style>
  <w:style w:type="character" w:customStyle="1" w:styleId="429">
    <w:name w:val="pt9"/>
    <w:autoRedefine/>
    <w:qFormat/>
    <w:uiPriority w:val="0"/>
    <w:rPr>
      <w:rFonts w:ascii="仿宋_GB2312" w:eastAsia="微软雅黑"/>
      <w:b/>
      <w:kern w:val="2"/>
      <w:sz w:val="32"/>
      <w:szCs w:val="32"/>
      <w:lang w:val="en-US" w:eastAsia="zh-CN" w:bidi="ar-SA"/>
    </w:rPr>
  </w:style>
  <w:style w:type="character" w:customStyle="1" w:styleId="430">
    <w:name w:val="DO_NOT_TRANSLATE"/>
    <w:autoRedefine/>
    <w:qFormat/>
    <w:uiPriority w:val="0"/>
    <w:rPr>
      <w:rFonts w:ascii="Courier New" w:hAnsi="Courier New" w:cs="Courier New"/>
      <w:color w:val="800000"/>
      <w:lang w:val="en-US" w:eastAsia="zh-CN"/>
    </w:rPr>
  </w:style>
  <w:style w:type="character" w:customStyle="1" w:styleId="431">
    <w:name w:val="标书1 Char1"/>
    <w:autoRedefine/>
    <w:qFormat/>
    <w:uiPriority w:val="0"/>
    <w:rPr>
      <w:rFonts w:eastAsia="宋体"/>
      <w:b/>
      <w:bCs/>
      <w:kern w:val="44"/>
      <w:sz w:val="44"/>
      <w:szCs w:val="44"/>
      <w:lang w:val="en-US" w:eastAsia="zh-CN" w:bidi="ar-SA"/>
    </w:rPr>
  </w:style>
  <w:style w:type="character" w:customStyle="1" w:styleId="432">
    <w:name w:val="页脚 字符"/>
    <w:autoRedefine/>
    <w:qFormat/>
    <w:uiPriority w:val="99"/>
    <w:rPr>
      <w:kern w:val="2"/>
      <w:sz w:val="18"/>
      <w:szCs w:val="18"/>
    </w:rPr>
  </w:style>
  <w:style w:type="character" w:customStyle="1" w:styleId="433">
    <w:name w:val="正文2 Char"/>
    <w:autoRedefine/>
    <w:qFormat/>
    <w:uiPriority w:val="0"/>
    <w:rPr>
      <w:rFonts w:eastAsia="宋体"/>
      <w:kern w:val="2"/>
      <w:sz w:val="24"/>
      <w:lang w:val="en-US" w:eastAsia="zh-CN" w:bidi="ar-SA"/>
    </w:rPr>
  </w:style>
  <w:style w:type="character" w:customStyle="1" w:styleId="434">
    <w:name w:val="Char Char21"/>
    <w:autoRedefine/>
    <w:qFormat/>
    <w:uiPriority w:val="6"/>
    <w:rPr>
      <w:rFonts w:ascii="宋体" w:hAnsi="宋体"/>
      <w:kern w:val="1"/>
      <w:sz w:val="24"/>
      <w:szCs w:val="21"/>
      <w:lang w:val="zh-CN"/>
    </w:rPr>
  </w:style>
  <w:style w:type="character" w:customStyle="1" w:styleId="435">
    <w:name w:val="样式 正文缩进 + 首行缩进:  2 字符 Char Char"/>
    <w:link w:val="436"/>
    <w:autoRedefine/>
    <w:qFormat/>
    <w:uiPriority w:val="0"/>
    <w:rPr>
      <w:rFonts w:cs="宋体"/>
      <w:kern w:val="2"/>
      <w:sz w:val="24"/>
    </w:rPr>
  </w:style>
  <w:style w:type="paragraph" w:customStyle="1" w:styleId="436">
    <w:name w:val="样式 正文缩进 + 首行缩进:  2 字符"/>
    <w:basedOn w:val="15"/>
    <w:link w:val="435"/>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7">
    <w:name w:val="正文文本 字符"/>
    <w:link w:val="23"/>
    <w:autoRedefine/>
    <w:qFormat/>
    <w:uiPriority w:val="0"/>
    <w:rPr>
      <w:rFonts w:ascii="宋体" w:hAnsi="Arial" w:eastAsia="宋体" w:cs="Arial"/>
      <w:snapToGrid w:val="0"/>
      <w:kern w:val="2"/>
      <w:sz w:val="24"/>
      <w:szCs w:val="21"/>
      <w:lang w:val="zh-CN" w:eastAsia="zh-CN" w:bidi="ar-SA"/>
    </w:rPr>
  </w:style>
  <w:style w:type="character" w:customStyle="1" w:styleId="438">
    <w:name w:val="gray6"/>
    <w:basedOn w:val="71"/>
    <w:autoRedefine/>
    <w:qFormat/>
    <w:uiPriority w:val="0"/>
    <w:rPr>
      <w:rFonts w:ascii="Arial" w:hAnsi="Arial" w:eastAsia="黑体" w:cs="Arial"/>
      <w:snapToGrid w:val="0"/>
      <w:kern w:val="0"/>
      <w:szCs w:val="21"/>
    </w:rPr>
  </w:style>
  <w:style w:type="character" w:customStyle="1" w:styleId="439">
    <w:name w:val="hui"/>
    <w:basedOn w:val="71"/>
    <w:autoRedefine/>
    <w:qFormat/>
    <w:uiPriority w:val="0"/>
    <w:rPr>
      <w:rFonts w:ascii="Arial" w:hAnsi="Arial" w:eastAsia="黑体" w:cs="Arial"/>
      <w:snapToGrid w:val="0"/>
      <w:kern w:val="0"/>
      <w:szCs w:val="21"/>
    </w:rPr>
  </w:style>
  <w:style w:type="character" w:customStyle="1" w:styleId="440">
    <w:name w:val="哈哈正文 Char Char"/>
    <w:autoRedefine/>
    <w:qFormat/>
    <w:uiPriority w:val="0"/>
    <w:rPr>
      <w:rFonts w:ascii="宋体" w:hAnsi="宋体" w:eastAsia="宋体" w:cs="宋体"/>
      <w:kern w:val="2"/>
      <w:sz w:val="24"/>
      <w:lang w:val="en-US" w:eastAsia="zh-CN" w:bidi="ar-SA"/>
    </w:rPr>
  </w:style>
  <w:style w:type="paragraph" w:customStyle="1" w:styleId="441">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2">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43">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4">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5">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6">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7">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8">
    <w:name w:val="标题4_自定义"/>
    <w:basedOn w:val="5"/>
    <w:autoRedefine/>
    <w:qFormat/>
    <w:uiPriority w:val="0"/>
    <w:pPr>
      <w:adjustRightInd/>
      <w:spacing w:before="0" w:after="0" w:line="360" w:lineRule="auto"/>
    </w:pPr>
    <w:rPr>
      <w:rFonts w:ascii="Verdana" w:eastAsia="Verdana"/>
      <w:sz w:val="21"/>
      <w:lang w:val="en-US"/>
    </w:rPr>
  </w:style>
  <w:style w:type="paragraph" w:customStyle="1" w:styleId="449">
    <w:name w:val="正文 内标 序号标"/>
    <w:basedOn w:val="450"/>
    <w:autoRedefine/>
    <w:qFormat/>
    <w:uiPriority w:val="0"/>
    <w:pPr>
      <w:tabs>
        <w:tab w:val="left" w:pos="0"/>
      </w:tabs>
      <w:adjustRightInd/>
      <w:spacing w:before="0"/>
      <w:ind w:firstLine="482"/>
    </w:pPr>
    <w:rPr>
      <w:rFonts w:ascii="微软雅黑" w:hAnsi="微软雅黑"/>
      <w:sz w:val="24"/>
      <w:szCs w:val="24"/>
    </w:rPr>
  </w:style>
  <w:style w:type="paragraph" w:customStyle="1" w:styleId="450">
    <w:name w:val="My正文"/>
    <w:basedOn w:val="1"/>
    <w:autoRedefine/>
    <w:qFormat/>
    <w:uiPriority w:val="0"/>
    <w:pPr>
      <w:spacing w:before="120" w:line="360" w:lineRule="auto"/>
      <w:ind w:firstLine="567"/>
    </w:pPr>
    <w:rPr>
      <w:rFonts w:ascii="Arial" w:hAnsi="Arial"/>
      <w:sz w:val="20"/>
      <w:szCs w:val="20"/>
    </w:rPr>
  </w:style>
  <w:style w:type="paragraph" w:customStyle="1" w:styleId="451">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52">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53">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4">
    <w:name w:val="修订2"/>
    <w:autoRedefine/>
    <w:qFormat/>
    <w:uiPriority w:val="0"/>
    <w:rPr>
      <w:rFonts w:ascii="Times New Roman" w:hAnsi="Times New Roman" w:eastAsia="宋体" w:cs="Times New Roman"/>
      <w:kern w:val="2"/>
      <w:sz w:val="21"/>
      <w:lang w:val="en-US" w:eastAsia="zh-CN" w:bidi="ar-SA"/>
    </w:rPr>
  </w:style>
  <w:style w:type="paragraph" w:customStyle="1" w:styleId="455">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6">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7">
    <w:name w:val="文章标题"/>
    <w:next w:val="458"/>
    <w:autoRedefine/>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8">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9">
    <w:name w:val="Char1 Char Char Char5"/>
    <w:basedOn w:val="1"/>
    <w:autoRedefine/>
    <w:qFormat/>
    <w:uiPriority w:val="0"/>
    <w:pPr>
      <w:adjustRightInd/>
      <w:ind w:firstLine="200" w:firstLineChars="200"/>
    </w:pPr>
    <w:rPr>
      <w:rFonts w:ascii="Tahoma" w:hAnsi="Tahoma"/>
      <w:sz w:val="24"/>
      <w:szCs w:val="20"/>
    </w:rPr>
  </w:style>
  <w:style w:type="paragraph" w:customStyle="1" w:styleId="460">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1">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2">
    <w:name w:val="Char Char Char Char Char Char Char Char"/>
    <w:basedOn w:val="1"/>
    <w:autoRedefine/>
    <w:qFormat/>
    <w:uiPriority w:val="0"/>
    <w:pPr>
      <w:tabs>
        <w:tab w:val="left" w:pos="360"/>
      </w:tabs>
    </w:pPr>
    <w:rPr>
      <w:sz w:val="24"/>
      <w:szCs w:val="20"/>
    </w:rPr>
  </w:style>
  <w:style w:type="paragraph" w:customStyle="1" w:styleId="463">
    <w:name w:val="Char Char11 Char Char Char"/>
    <w:basedOn w:val="1"/>
    <w:autoRedefine/>
    <w:qFormat/>
    <w:uiPriority w:val="0"/>
    <w:pPr>
      <w:spacing w:line="360" w:lineRule="auto"/>
    </w:pPr>
    <w:rPr>
      <w:szCs w:val="20"/>
    </w:rPr>
  </w:style>
  <w:style w:type="paragraph" w:customStyle="1" w:styleId="464">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5">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6">
    <w:name w:val="样式3"/>
    <w:basedOn w:val="467"/>
    <w:autoRedefine/>
    <w:qFormat/>
    <w:uiPriority w:val="0"/>
    <w:pPr>
      <w:tabs>
        <w:tab w:val="left" w:pos="2790"/>
        <w:tab w:val="left" w:pos="4230"/>
      </w:tabs>
      <w:spacing w:beforeLines="100"/>
      <w:jc w:val="left"/>
    </w:pPr>
  </w:style>
  <w:style w:type="paragraph" w:customStyle="1" w:styleId="467">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8">
    <w:name w:val="Char Char1 Char Char1 Char Char1"/>
    <w:basedOn w:val="1"/>
    <w:autoRedefine/>
    <w:qFormat/>
    <w:uiPriority w:val="0"/>
    <w:pPr>
      <w:tabs>
        <w:tab w:val="left" w:pos="840"/>
      </w:tabs>
      <w:ind w:left="840" w:hanging="420"/>
    </w:pPr>
    <w:rPr>
      <w:rFonts w:ascii="Tahoma" w:hAnsi="Tahoma"/>
      <w:sz w:val="24"/>
    </w:rPr>
  </w:style>
  <w:style w:type="paragraph" w:customStyle="1" w:styleId="469">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70">
    <w:name w:val="标书标题2"/>
    <w:basedOn w:val="3"/>
    <w:autoRedefine/>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71">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72">
    <w:name w:val="正文21"/>
    <w:basedOn w:val="1"/>
    <w:autoRedefine/>
    <w:qFormat/>
    <w:uiPriority w:val="0"/>
    <w:pPr>
      <w:adjustRightInd/>
      <w:spacing w:before="156" w:line="360" w:lineRule="auto"/>
      <w:ind w:firstLine="510" w:firstLineChars="200"/>
    </w:pPr>
    <w:rPr>
      <w:sz w:val="24"/>
      <w:szCs w:val="20"/>
    </w:rPr>
  </w:style>
  <w:style w:type="paragraph" w:customStyle="1" w:styleId="473">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4">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5">
    <w:name w:val="Char1"/>
    <w:basedOn w:val="1"/>
    <w:autoRedefine/>
    <w:qFormat/>
    <w:uiPriority w:val="0"/>
    <w:rPr>
      <w:rFonts w:ascii="仿宋_GB2312" w:eastAsia="仿宋_GB2312"/>
      <w:b/>
      <w:sz w:val="32"/>
      <w:szCs w:val="32"/>
    </w:rPr>
  </w:style>
  <w:style w:type="paragraph" w:customStyle="1" w:styleId="47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7">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8">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9">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80">
    <w:name w:val="6级标题"/>
    <w:basedOn w:val="481"/>
    <w:autoRedefine/>
    <w:qFormat/>
    <w:uiPriority w:val="0"/>
    <w:pPr>
      <w:keepNext/>
      <w:tabs>
        <w:tab w:val="left" w:pos="360"/>
      </w:tabs>
      <w:outlineLvl w:val="5"/>
    </w:pPr>
  </w:style>
  <w:style w:type="paragraph" w:customStyle="1" w:styleId="481">
    <w:name w:val="5级标题"/>
    <w:basedOn w:val="482"/>
    <w:autoRedefine/>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82">
    <w:name w:val="4级标题"/>
    <w:basedOn w:val="269"/>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3">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84">
    <w:name w:val="Char2 Char Char"/>
    <w:basedOn w:val="1"/>
    <w:autoRedefine/>
    <w:qFormat/>
    <w:uiPriority w:val="0"/>
    <w:pPr>
      <w:adjustRightInd/>
    </w:pPr>
    <w:rPr>
      <w:rFonts w:ascii="Tahoma" w:hAnsi="Tahoma"/>
      <w:sz w:val="24"/>
      <w:szCs w:val="20"/>
    </w:rPr>
  </w:style>
  <w:style w:type="paragraph" w:customStyle="1" w:styleId="485">
    <w:name w:val="_Style 11"/>
    <w:basedOn w:val="1"/>
    <w:autoRedefine/>
    <w:qFormat/>
    <w:uiPriority w:val="34"/>
    <w:pPr>
      <w:adjustRightInd/>
      <w:ind w:firstLine="420" w:firstLineChars="200"/>
    </w:pPr>
    <w:rPr>
      <w:rFonts w:eastAsia="仿宋_GB2312"/>
      <w:sz w:val="28"/>
    </w:rPr>
  </w:style>
  <w:style w:type="paragraph" w:customStyle="1" w:styleId="486">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7">
    <w:name w:val="Char Char Char"/>
    <w:basedOn w:val="1"/>
    <w:autoRedefine/>
    <w:qFormat/>
    <w:uiPriority w:val="0"/>
    <w:rPr>
      <w:rFonts w:ascii="Tahoma" w:hAnsi="Tahoma"/>
      <w:sz w:val="24"/>
      <w:szCs w:val="20"/>
    </w:rPr>
  </w:style>
  <w:style w:type="paragraph" w:customStyle="1" w:styleId="488">
    <w:name w:val="数字标题6"/>
    <w:basedOn w:val="7"/>
    <w:next w:val="1"/>
    <w:autoRedefine/>
    <w:qFormat/>
    <w:uiPriority w:val="0"/>
    <w:pPr>
      <w:tabs>
        <w:tab w:val="left" w:pos="1080"/>
      </w:tabs>
      <w:ind w:left="1080" w:hanging="1080"/>
    </w:pPr>
    <w:rPr>
      <w:rFonts w:ascii="Times New Roman" w:hAnsi="Times New Roman" w:eastAsia="宋体"/>
      <w:i/>
    </w:rPr>
  </w:style>
  <w:style w:type="paragraph" w:customStyle="1" w:styleId="489">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90">
    <w:name w:val="无间隔2"/>
    <w:basedOn w:val="1"/>
    <w:link w:val="938"/>
    <w:autoRedefine/>
    <w:qFormat/>
    <w:uiPriority w:val="99"/>
    <w:rPr>
      <w:szCs w:val="22"/>
    </w:rPr>
  </w:style>
  <w:style w:type="paragraph" w:customStyle="1" w:styleId="491">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2">
    <w:name w:val="Char Char Char Char Char Char Char Char Char Char Char Char1 Char1"/>
    <w:basedOn w:val="1"/>
    <w:autoRedefine/>
    <w:qFormat/>
    <w:uiPriority w:val="6"/>
    <w:rPr>
      <w:rFonts w:ascii="Tahoma" w:hAnsi="Tahoma" w:cs="仿宋_GB2312"/>
      <w:sz w:val="24"/>
      <w:szCs w:val="20"/>
    </w:rPr>
  </w:style>
  <w:style w:type="paragraph" w:customStyle="1" w:styleId="493">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4">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5">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6">
    <w:name w:val="MM Topic 2"/>
    <w:basedOn w:val="3"/>
    <w:autoRedefine/>
    <w:qFormat/>
    <w:uiPriority w:val="0"/>
    <w:pPr>
      <w:tabs>
        <w:tab w:val="left" w:pos="1260"/>
      </w:tabs>
      <w:ind w:left="1260" w:hanging="420"/>
    </w:pPr>
    <w:rPr>
      <w:rFonts w:ascii="Arial" w:hAnsi="Arial" w:eastAsia="黑体"/>
      <w:lang w:val="en-US"/>
    </w:rPr>
  </w:style>
  <w:style w:type="paragraph" w:customStyle="1" w:styleId="497">
    <w:name w:val="五级无标题条"/>
    <w:basedOn w:val="1"/>
    <w:autoRedefine/>
    <w:qFormat/>
    <w:uiPriority w:val="0"/>
    <w:pPr>
      <w:adjustRightInd/>
    </w:pPr>
  </w:style>
  <w:style w:type="paragraph" w:customStyle="1" w:styleId="498">
    <w:name w:val="Char5"/>
    <w:basedOn w:val="1"/>
    <w:autoRedefine/>
    <w:qFormat/>
    <w:uiPriority w:val="0"/>
    <w:rPr>
      <w:rFonts w:ascii="仿宋_GB2312" w:eastAsia="仿宋_GB2312"/>
      <w:b/>
      <w:sz w:val="32"/>
      <w:szCs w:val="32"/>
    </w:rPr>
  </w:style>
  <w:style w:type="paragraph" w:customStyle="1" w:styleId="499">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00">
    <w:name w:val="彩色列表 - 强调文字颜色 12"/>
    <w:basedOn w:val="1"/>
    <w:autoRedefine/>
    <w:qFormat/>
    <w:uiPriority w:val="0"/>
    <w:pPr>
      <w:adjustRightInd/>
      <w:ind w:firstLine="420" w:firstLineChars="200"/>
    </w:pPr>
    <w:rPr>
      <w:rFonts w:ascii="Calibri" w:hAnsi="Calibri"/>
      <w:szCs w:val="22"/>
    </w:rPr>
  </w:style>
  <w:style w:type="paragraph" w:customStyle="1" w:styleId="501">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502">
    <w:name w:val="Char2"/>
    <w:basedOn w:val="1"/>
    <w:autoRedefine/>
    <w:qFormat/>
    <w:uiPriority w:val="0"/>
    <w:rPr>
      <w:rFonts w:ascii="仿宋_GB2312" w:eastAsia="仿宋_GB2312"/>
      <w:b/>
      <w:sz w:val="32"/>
      <w:szCs w:val="32"/>
    </w:rPr>
  </w:style>
  <w:style w:type="paragraph" w:customStyle="1" w:styleId="503">
    <w:name w:val="数字标题3"/>
    <w:basedOn w:val="4"/>
    <w:next w:val="1"/>
    <w:autoRedefine/>
    <w:qFormat/>
    <w:uiPriority w:val="0"/>
    <w:pPr>
      <w:spacing w:line="240" w:lineRule="auto"/>
    </w:pPr>
    <w:rPr>
      <w:sz w:val="28"/>
      <w:szCs w:val="28"/>
    </w:rPr>
  </w:style>
  <w:style w:type="paragraph" w:customStyle="1" w:styleId="504">
    <w:name w:val="FA正文"/>
    <w:basedOn w:val="1"/>
    <w:autoRedefine/>
    <w:qFormat/>
    <w:uiPriority w:val="0"/>
    <w:pPr>
      <w:spacing w:line="360" w:lineRule="auto"/>
      <w:ind w:firstLine="480" w:firstLineChars="200"/>
    </w:pPr>
    <w:rPr>
      <w:rFonts w:hAnsi="宋体"/>
      <w:sz w:val="24"/>
      <w:szCs w:val="20"/>
    </w:rPr>
  </w:style>
  <w:style w:type="paragraph" w:customStyle="1" w:styleId="505">
    <w:name w:val="MM Topic 5"/>
    <w:basedOn w:val="6"/>
    <w:autoRedefine/>
    <w:qFormat/>
    <w:uiPriority w:val="0"/>
    <w:pPr>
      <w:tabs>
        <w:tab w:val="left" w:pos="2520"/>
      </w:tabs>
      <w:adjustRightInd/>
      <w:ind w:left="2520" w:hanging="420"/>
    </w:pPr>
  </w:style>
  <w:style w:type="paragraph" w:customStyle="1" w:styleId="506">
    <w:name w:val="Char Char Char Char Char Char Char Char Char Char1"/>
    <w:basedOn w:val="1"/>
    <w:autoRedefine/>
    <w:qFormat/>
    <w:uiPriority w:val="0"/>
    <w:rPr>
      <w:rFonts w:ascii="仿宋_GB2312" w:eastAsia="仿宋_GB2312"/>
      <w:b/>
      <w:sz w:val="32"/>
      <w:szCs w:val="32"/>
    </w:rPr>
  </w:style>
  <w:style w:type="paragraph" w:customStyle="1" w:styleId="507">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8">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9">
    <w:name w:val="Char2 Char Char Char"/>
    <w:basedOn w:val="1"/>
    <w:autoRedefine/>
    <w:qFormat/>
    <w:uiPriority w:val="0"/>
    <w:rPr>
      <w:rFonts w:ascii="仿宋_GB2312" w:eastAsia="仿宋_GB2312"/>
      <w:b/>
      <w:sz w:val="32"/>
      <w:szCs w:val="32"/>
    </w:rPr>
  </w:style>
  <w:style w:type="paragraph" w:customStyle="1" w:styleId="510">
    <w:name w:val="Char2 Char Char Char1"/>
    <w:basedOn w:val="1"/>
    <w:autoRedefine/>
    <w:qFormat/>
    <w:uiPriority w:val="6"/>
    <w:rPr>
      <w:rFonts w:ascii="仿宋_GB2312" w:eastAsia="仿宋_GB2312"/>
      <w:b/>
      <w:sz w:val="32"/>
      <w:szCs w:val="32"/>
    </w:rPr>
  </w:style>
  <w:style w:type="paragraph" w:customStyle="1" w:styleId="511">
    <w:name w:val="默认段落样式"/>
    <w:basedOn w:val="144"/>
    <w:autoRedefine/>
    <w:qFormat/>
    <w:uiPriority w:val="0"/>
    <w:pPr>
      <w:spacing w:before="0"/>
      <w:ind w:firstLine="480"/>
      <w:outlineLvl w:val="2"/>
    </w:pPr>
    <w:rPr>
      <w:rFonts w:ascii="仿宋_GB2312" w:hAnsi="宋体" w:eastAsia="仿宋_GB2312"/>
      <w:color w:val="000000"/>
      <w:szCs w:val="24"/>
    </w:rPr>
  </w:style>
  <w:style w:type="paragraph" w:customStyle="1" w:styleId="512">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13">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4">
    <w:name w:val="MM Topic 3"/>
    <w:basedOn w:val="4"/>
    <w:autoRedefine/>
    <w:qFormat/>
    <w:uiPriority w:val="0"/>
    <w:pPr>
      <w:tabs>
        <w:tab w:val="left" w:pos="1680"/>
      </w:tabs>
      <w:adjustRightInd/>
      <w:ind w:left="1680" w:hanging="420"/>
    </w:pPr>
  </w:style>
  <w:style w:type="paragraph" w:customStyle="1" w:styleId="515">
    <w:name w:val="标准小四"/>
    <w:basedOn w:val="1"/>
    <w:autoRedefine/>
    <w:qFormat/>
    <w:uiPriority w:val="0"/>
    <w:pPr>
      <w:spacing w:line="360" w:lineRule="auto"/>
      <w:ind w:firstLine="480" w:firstLineChars="200"/>
    </w:pPr>
    <w:rPr>
      <w:rFonts w:ascii="Arial" w:hAnsi="Arial"/>
      <w:sz w:val="24"/>
      <w:szCs w:val="21"/>
    </w:rPr>
  </w:style>
  <w:style w:type="paragraph" w:customStyle="1" w:styleId="516">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7">
    <w:name w:val="表格（小）"/>
    <w:basedOn w:val="1"/>
    <w:autoRedefine/>
    <w:qFormat/>
    <w:uiPriority w:val="0"/>
    <w:pPr>
      <w:adjustRightInd/>
      <w:snapToGrid w:val="0"/>
      <w:spacing w:line="300" w:lineRule="auto"/>
    </w:pPr>
    <w:rPr>
      <w:rFonts w:eastAsia="仿宋"/>
      <w:szCs w:val="21"/>
    </w:rPr>
  </w:style>
  <w:style w:type="paragraph" w:customStyle="1" w:styleId="518">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9">
    <w:name w:val="Char2 Char Char1"/>
    <w:basedOn w:val="1"/>
    <w:autoRedefine/>
    <w:qFormat/>
    <w:uiPriority w:val="6"/>
    <w:pPr>
      <w:adjustRightInd/>
    </w:pPr>
    <w:rPr>
      <w:rFonts w:ascii="Tahoma" w:hAnsi="Tahoma"/>
      <w:sz w:val="24"/>
      <w:szCs w:val="20"/>
    </w:rPr>
  </w:style>
  <w:style w:type="paragraph" w:customStyle="1" w:styleId="520">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21">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2">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3">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4">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5">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6">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7">
    <w:name w:val="_Style 3"/>
    <w:basedOn w:val="1"/>
    <w:autoRedefine/>
    <w:qFormat/>
    <w:uiPriority w:val="0"/>
    <w:pPr>
      <w:adjustRightInd/>
      <w:ind w:firstLine="420" w:firstLineChars="200"/>
    </w:pPr>
    <w:rPr>
      <w:rFonts w:eastAsia="仿宋_GB2312"/>
      <w:sz w:val="28"/>
    </w:rPr>
  </w:style>
  <w:style w:type="paragraph" w:customStyle="1" w:styleId="528">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9">
    <w:name w:val="Bulleting First Indent 1"/>
    <w:basedOn w:val="62"/>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0">
    <w:name w:val="左对齐表格文字"/>
    <w:basedOn w:val="1"/>
    <w:autoRedefine/>
    <w:qFormat/>
    <w:uiPriority w:val="0"/>
    <w:pPr>
      <w:adjustRightInd/>
      <w:ind w:firstLine="200" w:firstLineChars="200"/>
      <w:jc w:val="right"/>
    </w:pPr>
  </w:style>
  <w:style w:type="paragraph" w:customStyle="1" w:styleId="531">
    <w:name w:val="Char Char11 Char Char Char Char Char Char Char Char Char"/>
    <w:basedOn w:val="1"/>
    <w:autoRedefine/>
    <w:qFormat/>
    <w:uiPriority w:val="0"/>
    <w:pPr>
      <w:spacing w:line="360" w:lineRule="auto"/>
    </w:pPr>
    <w:rPr>
      <w:szCs w:val="20"/>
    </w:rPr>
  </w:style>
  <w:style w:type="paragraph" w:customStyle="1" w:styleId="532">
    <w:name w:val="正文1.25"/>
    <w:basedOn w:val="1"/>
    <w:autoRedefine/>
    <w:qFormat/>
    <w:uiPriority w:val="0"/>
    <w:pPr>
      <w:adjustRightInd/>
      <w:spacing w:line="300" w:lineRule="auto"/>
      <w:ind w:firstLine="480" w:firstLineChars="200"/>
    </w:pPr>
    <w:rPr>
      <w:sz w:val="24"/>
      <w:szCs w:val="20"/>
    </w:rPr>
  </w:style>
  <w:style w:type="paragraph" w:customStyle="1" w:styleId="533">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34">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5">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1 Char Char Char1"/>
    <w:basedOn w:val="1"/>
    <w:autoRedefine/>
    <w:qFormat/>
    <w:uiPriority w:val="6"/>
    <w:rPr>
      <w:rFonts w:ascii="仿宋_GB2312" w:eastAsia="仿宋_GB2312"/>
      <w:b/>
      <w:sz w:val="32"/>
      <w:szCs w:val="20"/>
    </w:rPr>
  </w:style>
  <w:style w:type="paragraph" w:customStyle="1" w:styleId="537">
    <w:name w:val="列出段落2"/>
    <w:basedOn w:val="1"/>
    <w:autoRedefine/>
    <w:qFormat/>
    <w:uiPriority w:val="0"/>
    <w:pPr>
      <w:adjustRightInd/>
      <w:ind w:firstLine="420" w:firstLineChars="200"/>
    </w:pPr>
    <w:rPr>
      <w:rFonts w:ascii="宋体" w:hAnsi="宋体"/>
      <w:sz w:val="24"/>
    </w:rPr>
  </w:style>
  <w:style w:type="paragraph" w:customStyle="1" w:styleId="538">
    <w:name w:val="默认段落字体 Para Char Char Char Char Char Char Char"/>
    <w:basedOn w:val="1"/>
    <w:autoRedefine/>
    <w:qFormat/>
    <w:uiPriority w:val="0"/>
    <w:rPr>
      <w:rFonts w:eastAsia="仿宋_GB2312"/>
      <w:sz w:val="28"/>
      <w:szCs w:val="20"/>
    </w:rPr>
  </w:style>
  <w:style w:type="paragraph" w:customStyle="1" w:styleId="539">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0">
    <w:name w:val="样式 标题 4PIM 4H4h4bulletblbbH41H42H43H44H45H46H47H48...1"/>
    <w:basedOn w:val="5"/>
    <w:autoRedefine/>
    <w:qFormat/>
    <w:uiPriority w:val="0"/>
    <w:pPr>
      <w:widowControl/>
      <w:jc w:val="left"/>
    </w:pPr>
    <w:rPr>
      <w:rFonts w:cs="宋体"/>
      <w:sz w:val="24"/>
      <w:szCs w:val="20"/>
    </w:rPr>
  </w:style>
  <w:style w:type="paragraph" w:customStyle="1" w:styleId="541">
    <w:name w:val="彩色列表 - 强调文字颜色 11"/>
    <w:basedOn w:val="1"/>
    <w:autoRedefine/>
    <w:qFormat/>
    <w:uiPriority w:val="0"/>
    <w:pPr>
      <w:adjustRightInd/>
      <w:ind w:firstLine="420" w:firstLineChars="200"/>
    </w:pPr>
    <w:rPr>
      <w:rFonts w:ascii="Calibri" w:hAnsi="Calibri"/>
      <w:szCs w:val="22"/>
    </w:rPr>
  </w:style>
  <w:style w:type="paragraph" w:customStyle="1" w:styleId="542">
    <w:name w:val="加粗正文"/>
    <w:basedOn w:val="1"/>
    <w:autoRedefine/>
    <w:qFormat/>
    <w:uiPriority w:val="0"/>
    <w:pPr>
      <w:adjustRightInd/>
      <w:spacing w:beforeLines="50" w:afterLines="50" w:line="360" w:lineRule="auto"/>
      <w:ind w:firstLine="422" w:firstLineChars="200"/>
    </w:pPr>
    <w:rPr>
      <w:b/>
      <w:bCs/>
      <w:szCs w:val="21"/>
    </w:rPr>
  </w:style>
  <w:style w:type="paragraph" w:customStyle="1" w:styleId="543">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4">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5">
    <w:name w:val="Char Char Char1 Char1"/>
    <w:basedOn w:val="1"/>
    <w:autoRedefine/>
    <w:qFormat/>
    <w:uiPriority w:val="6"/>
    <w:rPr>
      <w:szCs w:val="20"/>
    </w:rPr>
  </w:style>
  <w:style w:type="paragraph" w:customStyle="1" w:styleId="546">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8">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9">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50">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M14"/>
    <w:basedOn w:val="90"/>
    <w:next w:val="90"/>
    <w:autoRedefine/>
    <w:qFormat/>
    <w:uiPriority w:val="0"/>
    <w:pPr>
      <w:spacing w:after="68"/>
    </w:pPr>
    <w:rPr>
      <w:rFonts w:ascii="FHLHE E+ Futura Bk" w:eastAsia="FHLHE E+ Futura Bk" w:cs="Times New Roman"/>
      <w:color w:val="auto"/>
    </w:rPr>
  </w:style>
  <w:style w:type="paragraph" w:customStyle="1" w:styleId="552">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3">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4">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5">
    <w:name w:val="正文文字 2"/>
    <w:basedOn w:val="90"/>
    <w:next w:val="90"/>
    <w:autoRedefine/>
    <w:qFormat/>
    <w:uiPriority w:val="0"/>
    <w:rPr>
      <w:rFonts w:ascii="宋体" w:eastAsia="宋体" w:cs="Times New Roman"/>
      <w:color w:val="auto"/>
    </w:rPr>
  </w:style>
  <w:style w:type="paragraph" w:customStyle="1" w:styleId="556">
    <w:name w:val="正文首行缩进两字"/>
    <w:autoRedefine/>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7">
    <w:name w:val="Char Char1 Char"/>
    <w:basedOn w:val="1"/>
    <w:autoRedefine/>
    <w:qFormat/>
    <w:uiPriority w:val="0"/>
    <w:rPr>
      <w:rFonts w:ascii="仿宋_GB2312" w:eastAsia="仿宋_GB2312"/>
      <w:b/>
      <w:sz w:val="32"/>
      <w:szCs w:val="32"/>
    </w:rPr>
  </w:style>
  <w:style w:type="paragraph" w:customStyle="1" w:styleId="558">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9">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60">
    <w:name w:val="Char Char111"/>
    <w:basedOn w:val="1"/>
    <w:autoRedefine/>
    <w:qFormat/>
    <w:uiPriority w:val="0"/>
    <w:pPr>
      <w:spacing w:line="360" w:lineRule="auto"/>
    </w:pPr>
    <w:rPr>
      <w:szCs w:val="20"/>
    </w:rPr>
  </w:style>
  <w:style w:type="paragraph" w:customStyle="1" w:styleId="561">
    <w:name w:val="Char"/>
    <w:basedOn w:val="1"/>
    <w:autoRedefine/>
    <w:qFormat/>
    <w:uiPriority w:val="0"/>
    <w:rPr>
      <w:rFonts w:ascii="仿宋_GB2312" w:eastAsia="仿宋_GB2312"/>
      <w:b/>
      <w:sz w:val="32"/>
      <w:szCs w:val="32"/>
    </w:rPr>
  </w:style>
  <w:style w:type="paragraph" w:customStyle="1" w:styleId="562">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4">
    <w:name w:val="Char Char Char1 Char"/>
    <w:basedOn w:val="1"/>
    <w:autoRedefine/>
    <w:qFormat/>
    <w:uiPriority w:val="0"/>
    <w:rPr>
      <w:szCs w:val="20"/>
    </w:rPr>
  </w:style>
  <w:style w:type="paragraph" w:customStyle="1" w:styleId="565">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6">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7">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8">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9">
    <w:name w:val="规范正文"/>
    <w:basedOn w:val="1"/>
    <w:autoRedefine/>
    <w:qFormat/>
    <w:uiPriority w:val="0"/>
    <w:pPr>
      <w:tabs>
        <w:tab w:val="left" w:pos="840"/>
      </w:tabs>
      <w:spacing w:beforeLines="50" w:line="360" w:lineRule="auto"/>
      <w:ind w:left="840" w:hanging="420"/>
      <w:textAlignment w:val="baseline"/>
    </w:pPr>
    <w:rPr>
      <w:szCs w:val="20"/>
    </w:rPr>
  </w:style>
  <w:style w:type="paragraph" w:customStyle="1" w:styleId="570">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1">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2">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3">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5">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7">
    <w:name w:val="标准有序列表（L1）"/>
    <w:basedOn w:val="1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8">
    <w:name w:val="Char Char Char Char Char Char Char Char Char Char"/>
    <w:basedOn w:val="1"/>
    <w:autoRedefine/>
    <w:qFormat/>
    <w:uiPriority w:val="0"/>
    <w:rPr>
      <w:rFonts w:ascii="仿宋_GB2312" w:eastAsia="仿宋_GB2312"/>
      <w:b/>
      <w:sz w:val="32"/>
      <w:szCs w:val="32"/>
    </w:rPr>
  </w:style>
  <w:style w:type="paragraph" w:customStyle="1" w:styleId="579">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80">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81">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82">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3">
    <w:name w:val="正文（首行缩进）"/>
    <w:basedOn w:val="25"/>
    <w:autoRedefine/>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4">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5">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6">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7">
    <w:name w:val="Char Char Char1 Char2"/>
    <w:basedOn w:val="1"/>
    <w:autoRedefine/>
    <w:qFormat/>
    <w:uiPriority w:val="0"/>
    <w:rPr>
      <w:szCs w:val="20"/>
    </w:rPr>
  </w:style>
  <w:style w:type="paragraph" w:customStyle="1" w:styleId="588">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9">
    <w:name w:val="默认段落字体 Para Char"/>
    <w:basedOn w:val="1"/>
    <w:autoRedefine/>
    <w:qFormat/>
    <w:uiPriority w:val="0"/>
    <w:rPr>
      <w:rFonts w:ascii="Tahoma" w:hAnsi="Tahoma"/>
      <w:sz w:val="24"/>
      <w:szCs w:val="20"/>
    </w:rPr>
  </w:style>
  <w:style w:type="paragraph" w:customStyle="1" w:styleId="590">
    <w:name w:val="标题五"/>
    <w:basedOn w:val="1"/>
    <w:autoRedefine/>
    <w:qFormat/>
    <w:uiPriority w:val="0"/>
    <w:pPr>
      <w:adjustRightInd/>
      <w:spacing w:beforeLines="50" w:line="360" w:lineRule="auto"/>
    </w:pPr>
    <w:rPr>
      <w:b/>
      <w:sz w:val="24"/>
    </w:rPr>
  </w:style>
  <w:style w:type="paragraph" w:customStyle="1" w:styleId="591">
    <w:name w:val="Char Char1101"/>
    <w:basedOn w:val="1"/>
    <w:autoRedefine/>
    <w:qFormat/>
    <w:uiPriority w:val="0"/>
    <w:pPr>
      <w:spacing w:line="360" w:lineRule="auto"/>
    </w:pPr>
    <w:rPr>
      <w:rFonts w:ascii="Tahoma" w:hAnsi="Tahoma"/>
      <w:sz w:val="24"/>
      <w:szCs w:val="20"/>
    </w:rPr>
  </w:style>
  <w:style w:type="paragraph" w:customStyle="1" w:styleId="592">
    <w:name w:val="Char Char Char Char Char Char Char Char1"/>
    <w:basedOn w:val="1"/>
    <w:autoRedefine/>
    <w:qFormat/>
    <w:uiPriority w:val="0"/>
    <w:pPr>
      <w:tabs>
        <w:tab w:val="left" w:pos="360"/>
      </w:tabs>
    </w:pPr>
    <w:rPr>
      <w:sz w:val="24"/>
      <w:szCs w:val="20"/>
    </w:rPr>
  </w:style>
  <w:style w:type="paragraph" w:customStyle="1" w:styleId="593">
    <w:name w:val="Char Char Char 字元 字元"/>
    <w:basedOn w:val="1"/>
    <w:autoRedefine/>
    <w:qFormat/>
    <w:uiPriority w:val="0"/>
    <w:pPr>
      <w:adjustRightInd/>
      <w:spacing w:line="360" w:lineRule="auto"/>
      <w:ind w:firstLine="200" w:firstLineChars="200"/>
    </w:pPr>
    <w:rPr>
      <w:szCs w:val="20"/>
    </w:rPr>
  </w:style>
  <w:style w:type="paragraph" w:customStyle="1" w:styleId="59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5">
    <w:name w:val="Char Char Char Char Char Char Char"/>
    <w:basedOn w:val="1"/>
    <w:autoRedefine/>
    <w:qFormat/>
    <w:uiPriority w:val="0"/>
    <w:rPr>
      <w:rFonts w:ascii="仿宋_GB2312" w:eastAsia="仿宋_GB2312"/>
      <w:b/>
      <w:sz w:val="32"/>
      <w:szCs w:val="32"/>
    </w:rPr>
  </w:style>
  <w:style w:type="paragraph" w:customStyle="1" w:styleId="596">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7">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8">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9">
    <w:name w:val="批注框文本 Char Char"/>
    <w:basedOn w:val="1"/>
    <w:autoRedefine/>
    <w:qFormat/>
    <w:uiPriority w:val="0"/>
    <w:pPr>
      <w:adjustRightInd/>
    </w:pPr>
    <w:rPr>
      <w:sz w:val="18"/>
      <w:szCs w:val="20"/>
    </w:rPr>
  </w:style>
  <w:style w:type="paragraph" w:customStyle="1" w:styleId="600">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1">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2">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603">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4">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5">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6">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7">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8">
    <w:name w:val="文档正文"/>
    <w:basedOn w:val="1"/>
    <w:autoRedefine/>
    <w:qFormat/>
    <w:uiPriority w:val="0"/>
    <w:pPr>
      <w:spacing w:line="480" w:lineRule="atLeast"/>
      <w:ind w:firstLine="567"/>
      <w:textAlignment w:val="baseline"/>
    </w:pPr>
    <w:rPr>
      <w:kern w:val="0"/>
      <w:sz w:val="24"/>
      <w:szCs w:val="20"/>
    </w:rPr>
  </w:style>
  <w:style w:type="paragraph" w:customStyle="1" w:styleId="609">
    <w:name w:val="正文文字表格居中"/>
    <w:basedOn w:val="1"/>
    <w:next w:val="57"/>
    <w:autoRedefine/>
    <w:qFormat/>
    <w:uiPriority w:val="0"/>
    <w:pPr>
      <w:snapToGrid w:val="0"/>
      <w:spacing w:line="360" w:lineRule="auto"/>
    </w:pPr>
    <w:rPr>
      <w:rFonts w:ascii="宋体"/>
      <w:b/>
      <w:sz w:val="24"/>
      <w:szCs w:val="20"/>
    </w:rPr>
  </w:style>
  <w:style w:type="paragraph" w:customStyle="1" w:styleId="610">
    <w:name w:val="规划正文"/>
    <w:basedOn w:val="1"/>
    <w:autoRedefine/>
    <w:qFormat/>
    <w:uiPriority w:val="0"/>
    <w:pPr>
      <w:adjustRightInd/>
      <w:spacing w:beforeLines="100" w:line="360" w:lineRule="auto"/>
      <w:jc w:val="left"/>
    </w:pPr>
    <w:rPr>
      <w:rFonts w:ascii="Arial" w:hAnsi="Arial" w:eastAsia="仿宋_GB2312"/>
      <w:bCs/>
      <w:sz w:val="28"/>
    </w:rPr>
  </w:style>
  <w:style w:type="paragraph" w:customStyle="1" w:styleId="611">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2">
    <w:name w:val="Plain Text1"/>
    <w:basedOn w:val="1"/>
    <w:autoRedefine/>
    <w:qFormat/>
    <w:uiPriority w:val="7"/>
    <w:pPr>
      <w:adjustRightInd/>
    </w:pPr>
    <w:rPr>
      <w:rFonts w:ascii="宋体" w:hAnsi="Courier New"/>
    </w:rPr>
  </w:style>
  <w:style w:type="paragraph" w:customStyle="1" w:styleId="613">
    <w:name w:val="Char3"/>
    <w:basedOn w:val="1"/>
    <w:autoRedefine/>
    <w:qFormat/>
    <w:uiPriority w:val="0"/>
    <w:pPr>
      <w:adjustRightInd/>
    </w:pPr>
    <w:rPr>
      <w:rFonts w:ascii="仿宋_GB2312" w:eastAsia="仿宋_GB2312"/>
      <w:b/>
      <w:sz w:val="32"/>
      <w:szCs w:val="32"/>
    </w:rPr>
  </w:style>
  <w:style w:type="paragraph" w:customStyle="1" w:styleId="614">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5">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6">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7">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8">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9">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0">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1">
    <w:name w:val="Char3 Char Char Char"/>
    <w:basedOn w:val="1"/>
    <w:autoRedefine/>
    <w:qFormat/>
    <w:uiPriority w:val="0"/>
    <w:pPr>
      <w:widowControl/>
      <w:adjustRightInd/>
      <w:spacing w:after="160" w:line="240" w:lineRule="exact"/>
      <w:jc w:val="left"/>
    </w:pPr>
    <w:rPr>
      <w:szCs w:val="20"/>
    </w:rPr>
  </w:style>
  <w:style w:type="paragraph" w:customStyle="1" w:styleId="622">
    <w:name w:val="表格标题2"/>
    <w:basedOn w:val="623"/>
    <w:autoRedefine/>
    <w:qFormat/>
    <w:uiPriority w:val="0"/>
    <w:rPr>
      <w:b/>
    </w:rPr>
  </w:style>
  <w:style w:type="paragraph" w:customStyle="1" w:styleId="623">
    <w:name w:val="表格内文"/>
    <w:basedOn w:val="1"/>
    <w:autoRedefine/>
    <w:qFormat/>
    <w:uiPriority w:val="0"/>
    <w:pPr>
      <w:adjustRightInd/>
      <w:spacing w:line="360" w:lineRule="auto"/>
    </w:pPr>
    <w:rPr>
      <w:rFonts w:ascii="宋体" w:hAnsi="宋体" w:cs="宋体"/>
      <w:color w:val="000000"/>
      <w:szCs w:val="20"/>
    </w:rPr>
  </w:style>
  <w:style w:type="paragraph" w:customStyle="1" w:styleId="624">
    <w:name w:val="Char Char Char Char Char Char Char Char Char Char2"/>
    <w:basedOn w:val="1"/>
    <w:autoRedefine/>
    <w:qFormat/>
    <w:uiPriority w:val="0"/>
    <w:rPr>
      <w:rFonts w:ascii="仿宋_GB2312" w:eastAsia="仿宋_GB2312"/>
      <w:b/>
      <w:sz w:val="32"/>
      <w:szCs w:val="32"/>
    </w:rPr>
  </w:style>
  <w:style w:type="paragraph" w:customStyle="1" w:styleId="625">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6">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7">
    <w:name w:val="Char Char11 Char Char Char Char Char Char Char Char Char11"/>
    <w:basedOn w:val="1"/>
    <w:autoRedefine/>
    <w:qFormat/>
    <w:uiPriority w:val="0"/>
    <w:pPr>
      <w:spacing w:line="360" w:lineRule="auto"/>
    </w:pPr>
    <w:rPr>
      <w:szCs w:val="20"/>
    </w:rPr>
  </w:style>
  <w:style w:type="paragraph" w:customStyle="1" w:styleId="628">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9">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30">
    <w:name w:val="MM Topic 1"/>
    <w:basedOn w:val="2"/>
    <w:autoRedefine/>
    <w:qFormat/>
    <w:uiPriority w:val="0"/>
    <w:pPr>
      <w:tabs>
        <w:tab w:val="left" w:pos="840"/>
      </w:tabs>
      <w:adjustRightInd/>
      <w:ind w:left="840" w:hanging="420"/>
    </w:pPr>
  </w:style>
  <w:style w:type="paragraph" w:customStyle="1" w:styleId="631">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32">
    <w:name w:val="文本正文 Char"/>
    <w:basedOn w:val="1"/>
    <w:autoRedefine/>
    <w:qFormat/>
    <w:uiPriority w:val="0"/>
    <w:pPr>
      <w:spacing w:line="360" w:lineRule="auto"/>
      <w:ind w:firstLine="200" w:firstLineChars="200"/>
    </w:pPr>
    <w:rPr>
      <w:kern w:val="0"/>
      <w:sz w:val="24"/>
      <w:szCs w:val="20"/>
    </w:rPr>
  </w:style>
  <w:style w:type="paragraph" w:customStyle="1" w:styleId="633">
    <w:name w:val="表格"/>
    <w:basedOn w:val="1"/>
    <w:autoRedefine/>
    <w:qFormat/>
    <w:uiPriority w:val="0"/>
    <w:pPr>
      <w:snapToGrid w:val="0"/>
      <w:ind w:firstLine="42" w:firstLineChars="21"/>
    </w:pPr>
    <w:rPr>
      <w:rFonts w:ascii="宋体" w:hAnsi="宋体"/>
      <w:kern w:val="0"/>
      <w:sz w:val="20"/>
      <w:szCs w:val="20"/>
    </w:rPr>
  </w:style>
  <w:style w:type="paragraph" w:customStyle="1" w:styleId="634">
    <w:name w:val="标书标题4"/>
    <w:basedOn w:val="5"/>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5">
    <w:name w:val="插图题注"/>
    <w:next w:val="1"/>
    <w:autoRedefine/>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6">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7">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8">
    <w:name w:val="EB_表格"/>
    <w:basedOn w:val="1"/>
    <w:autoRedefine/>
    <w:qFormat/>
    <w:uiPriority w:val="0"/>
    <w:pPr>
      <w:adjustRightInd/>
      <w:spacing w:line="300" w:lineRule="auto"/>
      <w:jc w:val="center"/>
    </w:pPr>
  </w:style>
  <w:style w:type="paragraph" w:customStyle="1" w:styleId="639">
    <w:name w:val="_Style 6"/>
    <w:basedOn w:val="1"/>
    <w:autoRedefine/>
    <w:qFormat/>
    <w:uiPriority w:val="34"/>
    <w:pPr>
      <w:adjustRightInd/>
      <w:ind w:firstLine="420" w:firstLineChars="200"/>
    </w:pPr>
    <w:rPr>
      <w:rFonts w:eastAsia="仿宋_GB2312"/>
      <w:sz w:val="28"/>
    </w:rPr>
  </w:style>
  <w:style w:type="paragraph" w:customStyle="1" w:styleId="640">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1">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2">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43">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4">
    <w:name w:val="正文表标题"/>
    <w:next w:val="645"/>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6">
    <w:name w:val="Char Char Char Char Char Char"/>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7">
    <w:name w:val="trademark"/>
    <w:autoRedefine/>
    <w:qFormat/>
    <w:uiPriority w:val="0"/>
    <w:pPr>
      <w:spacing w:after="60"/>
    </w:pPr>
    <w:rPr>
      <w:rFonts w:ascii="Futura Bk" w:hAnsi="Futura Bk" w:eastAsia="宋体" w:cs="Times New Roman"/>
      <w:sz w:val="15"/>
      <w:lang w:val="en-US" w:eastAsia="en-US" w:bidi="ar-SA"/>
    </w:rPr>
  </w:style>
  <w:style w:type="paragraph" w:customStyle="1" w:styleId="648">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9">
    <w:name w:val="Char Char1 Char Char Char Char Char Char1"/>
    <w:basedOn w:val="1"/>
    <w:autoRedefine/>
    <w:qFormat/>
    <w:uiPriority w:val="0"/>
    <w:rPr>
      <w:rFonts w:ascii="仿宋_GB2312" w:eastAsia="仿宋_GB2312"/>
      <w:b/>
      <w:sz w:val="32"/>
      <w:szCs w:val="20"/>
    </w:rPr>
  </w:style>
  <w:style w:type="paragraph" w:customStyle="1" w:styleId="650">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51">
    <w:name w:val="Char1 Char Char Char1"/>
    <w:basedOn w:val="1"/>
    <w:autoRedefine/>
    <w:qFormat/>
    <w:uiPriority w:val="0"/>
    <w:pPr>
      <w:adjustRightInd/>
      <w:ind w:firstLine="200" w:firstLineChars="200"/>
    </w:pPr>
    <w:rPr>
      <w:rFonts w:ascii="Tahoma" w:hAnsi="Tahoma"/>
      <w:sz w:val="24"/>
      <w:szCs w:val="20"/>
    </w:rPr>
  </w:style>
  <w:style w:type="paragraph" w:customStyle="1" w:styleId="652">
    <w:name w:val="a1"/>
    <w:basedOn w:val="1"/>
    <w:autoRedefine/>
    <w:qFormat/>
    <w:uiPriority w:val="0"/>
    <w:pPr>
      <w:widowControl/>
      <w:spacing w:line="300" w:lineRule="atLeast"/>
      <w:jc w:val="left"/>
    </w:pPr>
    <w:rPr>
      <w:rFonts w:ascii="宋体" w:hAnsi="宋体"/>
      <w:kern w:val="0"/>
      <w:sz w:val="18"/>
      <w:szCs w:val="20"/>
    </w:rPr>
  </w:style>
  <w:style w:type="paragraph" w:customStyle="1" w:styleId="653">
    <w:name w:val="样式7"/>
    <w:basedOn w:val="654"/>
    <w:next w:val="1"/>
    <w:autoRedefine/>
    <w:qFormat/>
    <w:uiPriority w:val="0"/>
    <w:pPr>
      <w:spacing w:afterLines="50"/>
      <w:jc w:val="left"/>
      <w:outlineLvl w:val="3"/>
    </w:pPr>
    <w:rPr>
      <w:sz w:val="24"/>
      <w:szCs w:val="24"/>
    </w:rPr>
  </w:style>
  <w:style w:type="paragraph" w:customStyle="1" w:styleId="654">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5">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6">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7">
    <w:name w:val="样式 样式2 + 左侧:  1 字符 右侧:  1 字符"/>
    <w:basedOn w:val="467"/>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8">
    <w:name w:val="Char2 Char Char2"/>
    <w:basedOn w:val="1"/>
    <w:autoRedefine/>
    <w:qFormat/>
    <w:uiPriority w:val="0"/>
    <w:pPr>
      <w:adjustRightInd/>
    </w:pPr>
    <w:rPr>
      <w:rFonts w:ascii="Tahoma" w:hAnsi="Tahoma"/>
      <w:sz w:val="24"/>
      <w:szCs w:val="20"/>
    </w:rPr>
  </w:style>
  <w:style w:type="paragraph" w:customStyle="1" w:styleId="659">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0">
    <w:name w:val="三级条标题"/>
    <w:basedOn w:val="661"/>
    <w:next w:val="645"/>
    <w:autoRedefine/>
    <w:qFormat/>
    <w:uiPriority w:val="0"/>
    <w:pPr>
      <w:tabs>
        <w:tab w:val="left" w:pos="1260"/>
        <w:tab w:val="left" w:pos="1680"/>
        <w:tab w:val="left" w:pos="2100"/>
        <w:tab w:val="left" w:pos="2520"/>
      </w:tabs>
      <w:ind w:left="2520"/>
      <w:outlineLvl w:val="4"/>
    </w:pPr>
  </w:style>
  <w:style w:type="paragraph" w:customStyle="1" w:styleId="661">
    <w:name w:val="二级条标题"/>
    <w:basedOn w:val="662"/>
    <w:next w:val="645"/>
    <w:autoRedefine/>
    <w:qFormat/>
    <w:uiPriority w:val="0"/>
    <w:pPr>
      <w:tabs>
        <w:tab w:val="left" w:pos="1260"/>
        <w:tab w:val="left" w:pos="1680"/>
        <w:tab w:val="left" w:pos="2100"/>
      </w:tabs>
      <w:ind w:left="0"/>
      <w:outlineLvl w:val="3"/>
    </w:pPr>
  </w:style>
  <w:style w:type="paragraph" w:customStyle="1" w:styleId="662">
    <w:name w:val="一级条标题"/>
    <w:basedOn w:val="663"/>
    <w:next w:val="645"/>
    <w:autoRedefine/>
    <w:qFormat/>
    <w:uiPriority w:val="0"/>
    <w:pPr>
      <w:tabs>
        <w:tab w:val="left" w:pos="1260"/>
        <w:tab w:val="left" w:pos="1680"/>
      </w:tabs>
      <w:spacing w:beforeLines="0" w:afterLines="0"/>
      <w:ind w:left="1680"/>
      <w:outlineLvl w:val="2"/>
    </w:pPr>
  </w:style>
  <w:style w:type="paragraph" w:customStyle="1" w:styleId="663">
    <w:name w:val="章标题"/>
    <w:next w:val="645"/>
    <w:autoRedefine/>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4">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5">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6">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7">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8">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9">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0">
    <w:name w:val="正文 项目2"/>
    <w:basedOn w:val="671"/>
    <w:autoRedefine/>
    <w:qFormat/>
    <w:uiPriority w:val="0"/>
    <w:pPr>
      <w:tabs>
        <w:tab w:val="left" w:pos="840"/>
      </w:tabs>
      <w:spacing w:after="0"/>
      <w:ind w:left="900"/>
    </w:pPr>
  </w:style>
  <w:style w:type="paragraph" w:customStyle="1" w:styleId="671">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2">
    <w:name w:val="Body Text 2*"/>
    <w:basedOn w:val="1"/>
    <w:autoRedefine/>
    <w:qFormat/>
    <w:uiPriority w:val="6"/>
    <w:pPr>
      <w:widowControl/>
      <w:adjustRightInd/>
      <w:ind w:left="720" w:hanging="720"/>
    </w:pPr>
    <w:rPr>
      <w:color w:val="000000"/>
      <w:kern w:val="0"/>
      <w:sz w:val="24"/>
      <w:szCs w:val="20"/>
      <w:lang w:val="en-GB"/>
    </w:rPr>
  </w:style>
  <w:style w:type="paragraph" w:customStyle="1" w:styleId="673">
    <w:name w:val="表1"/>
    <w:basedOn w:val="1"/>
    <w:autoRedefine/>
    <w:qFormat/>
    <w:uiPriority w:val="0"/>
    <w:pPr>
      <w:tabs>
        <w:tab w:val="left" w:pos="703"/>
      </w:tabs>
      <w:adjustRightInd/>
      <w:spacing w:line="360" w:lineRule="auto"/>
      <w:ind w:left="703"/>
      <w:jc w:val="center"/>
    </w:pPr>
  </w:style>
  <w:style w:type="paragraph" w:customStyle="1" w:styleId="674">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5">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6">
    <w:name w:val="章正文"/>
    <w:basedOn w:val="1"/>
    <w:autoRedefine/>
    <w:qFormat/>
    <w:uiPriority w:val="0"/>
    <w:pPr>
      <w:adjustRightInd/>
      <w:spacing w:beforeLines="50" w:after="120" w:line="300" w:lineRule="auto"/>
      <w:ind w:firstLine="480" w:firstLineChars="200"/>
    </w:pPr>
    <w:rPr>
      <w:rFonts w:ascii="Helvetica" w:hAnsi="Helvetica"/>
      <w:kern w:val="0"/>
      <w:sz w:val="24"/>
    </w:rPr>
  </w:style>
  <w:style w:type="paragraph" w:customStyle="1" w:styleId="677">
    <w:name w:val="2级标题"/>
    <w:basedOn w:val="678"/>
    <w:autoRedefine/>
    <w:qFormat/>
    <w:uiPriority w:val="0"/>
    <w:pPr>
      <w:jc w:val="left"/>
      <w:outlineLvl w:val="1"/>
    </w:pPr>
    <w:rPr>
      <w:rFonts w:ascii="Times New Roman" w:hAnsi="Times New Roman" w:eastAsia="仿宋"/>
      <w:sz w:val="30"/>
    </w:rPr>
  </w:style>
  <w:style w:type="paragraph" w:customStyle="1" w:styleId="678">
    <w:name w:val="1级标题"/>
    <w:basedOn w:val="1"/>
    <w:autoRedefine/>
    <w:qFormat/>
    <w:uiPriority w:val="0"/>
    <w:pPr>
      <w:adjustRightInd/>
      <w:spacing w:beforeLines="10" w:afterLines="10" w:line="360" w:lineRule="auto"/>
      <w:jc w:val="center"/>
      <w:outlineLvl w:val="0"/>
    </w:pPr>
    <w:rPr>
      <w:rFonts w:ascii="Calibri" w:hAnsi="Calibri"/>
      <w:b/>
      <w:sz w:val="44"/>
      <w:szCs w:val="22"/>
    </w:rPr>
  </w:style>
  <w:style w:type="paragraph" w:customStyle="1" w:styleId="679">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0">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1">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2">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3">
    <w:name w:val="bullet"/>
    <w:basedOn w:val="1"/>
    <w:autoRedefine/>
    <w:qFormat/>
    <w:uiPriority w:val="0"/>
    <w:pPr>
      <w:tabs>
        <w:tab w:val="left" w:pos="840"/>
      </w:tabs>
      <w:adjustRightInd/>
      <w:ind w:left="840" w:hanging="420"/>
    </w:pPr>
  </w:style>
  <w:style w:type="paragraph" w:customStyle="1" w:styleId="684">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5">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6">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7">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8">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9">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0">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1">
    <w:name w:val="MM Topic 4"/>
    <w:basedOn w:val="5"/>
    <w:autoRedefine/>
    <w:qFormat/>
    <w:uiPriority w:val="0"/>
    <w:pPr>
      <w:tabs>
        <w:tab w:val="left" w:pos="2100"/>
      </w:tabs>
      <w:adjustRightInd/>
      <w:ind w:left="2100" w:hanging="420"/>
    </w:pPr>
    <w:rPr>
      <w:lang w:val="en-US"/>
    </w:rPr>
  </w:style>
  <w:style w:type="paragraph" w:customStyle="1" w:styleId="692">
    <w:name w:val="Char11"/>
    <w:basedOn w:val="1"/>
    <w:autoRedefine/>
    <w:qFormat/>
    <w:uiPriority w:val="0"/>
    <w:pPr>
      <w:tabs>
        <w:tab w:val="left" w:pos="432"/>
      </w:tabs>
      <w:adjustRightInd/>
      <w:spacing w:beforeLines="50" w:afterLines="50"/>
      <w:ind w:left="432" w:hanging="432" w:firstLineChars="200"/>
    </w:pPr>
    <w:rPr>
      <w:sz w:val="24"/>
    </w:rPr>
  </w:style>
  <w:style w:type="paragraph" w:customStyle="1" w:styleId="693">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4">
    <w:name w:val="Char Char11 Char Char Char Char Char Char Char Char Char1"/>
    <w:basedOn w:val="1"/>
    <w:autoRedefine/>
    <w:qFormat/>
    <w:uiPriority w:val="6"/>
    <w:pPr>
      <w:spacing w:line="360" w:lineRule="auto"/>
    </w:pPr>
    <w:rPr>
      <w:szCs w:val="20"/>
    </w:rPr>
  </w:style>
  <w:style w:type="paragraph" w:customStyle="1" w:styleId="695">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6">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7">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9">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0">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701">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2">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3">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4">
    <w:name w:val="单元格居中"/>
    <w:basedOn w:val="1"/>
    <w:autoRedefine/>
    <w:qFormat/>
    <w:uiPriority w:val="0"/>
    <w:pPr>
      <w:adjustRightInd/>
      <w:spacing w:line="360" w:lineRule="auto"/>
      <w:jc w:val="center"/>
    </w:pPr>
    <w:rPr>
      <w:sz w:val="24"/>
    </w:rPr>
  </w:style>
  <w:style w:type="paragraph" w:customStyle="1" w:styleId="705">
    <w:name w:val="正文3"/>
    <w:basedOn w:val="1"/>
    <w:autoRedefine/>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6">
    <w:name w:val="Char Char Char Char Char Char Char1"/>
    <w:basedOn w:val="1"/>
    <w:autoRedefine/>
    <w:qFormat/>
    <w:uiPriority w:val="6"/>
    <w:rPr>
      <w:rFonts w:ascii="仿宋_GB2312" w:eastAsia="仿宋_GB2312"/>
      <w:b/>
      <w:sz w:val="32"/>
      <w:szCs w:val="32"/>
    </w:rPr>
  </w:style>
  <w:style w:type="paragraph" w:customStyle="1" w:styleId="707">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8">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9">
    <w:name w:val="Char3 Char Char Char11"/>
    <w:basedOn w:val="1"/>
    <w:autoRedefine/>
    <w:qFormat/>
    <w:uiPriority w:val="0"/>
    <w:pPr>
      <w:widowControl/>
      <w:adjustRightInd/>
      <w:spacing w:after="160" w:line="240" w:lineRule="exact"/>
      <w:jc w:val="left"/>
    </w:pPr>
    <w:rPr>
      <w:szCs w:val="20"/>
    </w:rPr>
  </w:style>
  <w:style w:type="paragraph" w:customStyle="1" w:styleId="710">
    <w:name w:val="Char Char1121"/>
    <w:basedOn w:val="1"/>
    <w:autoRedefine/>
    <w:qFormat/>
    <w:uiPriority w:val="0"/>
    <w:pPr>
      <w:spacing w:line="360" w:lineRule="auto"/>
    </w:pPr>
    <w:rPr>
      <w:szCs w:val="20"/>
    </w:rPr>
  </w:style>
  <w:style w:type="paragraph" w:customStyle="1" w:styleId="711">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2">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3">
    <w:name w:val="Normal0"/>
    <w:autoRedefine/>
    <w:qFormat/>
    <w:uiPriority w:val="0"/>
    <w:rPr>
      <w:rFonts w:ascii="Times New Roman" w:hAnsi="Times New Roman" w:eastAsia="宋体" w:cs="Times New Roman"/>
      <w:lang w:val="en-US" w:eastAsia="en-US" w:bidi="ar-SA"/>
    </w:rPr>
  </w:style>
  <w:style w:type="paragraph" w:customStyle="1" w:styleId="714">
    <w:name w:val="带编号样式"/>
    <w:basedOn w:val="632"/>
    <w:autoRedefine/>
    <w:qFormat/>
    <w:uiPriority w:val="0"/>
    <w:pPr>
      <w:tabs>
        <w:tab w:val="left" w:pos="840"/>
      </w:tabs>
      <w:snapToGrid w:val="0"/>
      <w:ind w:left="840" w:hanging="420" w:firstLineChars="0"/>
    </w:pPr>
    <w:rPr>
      <w:rFonts w:ascii="仿宋_GB2312" w:eastAsia="仿宋_GB2312"/>
      <w:color w:val="000000"/>
    </w:rPr>
  </w:style>
  <w:style w:type="paragraph" w:customStyle="1" w:styleId="715">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6">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7">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8">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9">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0">
    <w:name w:val="默认段落字体 Para Char Char Char1 Char"/>
    <w:basedOn w:val="1"/>
    <w:autoRedefine/>
    <w:qFormat/>
    <w:uiPriority w:val="0"/>
    <w:pPr>
      <w:spacing w:line="240" w:lineRule="atLeast"/>
      <w:ind w:left="420" w:firstLine="420"/>
    </w:pPr>
    <w:rPr>
      <w:sz w:val="24"/>
    </w:rPr>
  </w:style>
  <w:style w:type="paragraph" w:customStyle="1" w:styleId="721">
    <w:name w:val="WW-正文文字缩进 2"/>
    <w:basedOn w:val="1"/>
    <w:autoRedefine/>
    <w:qFormat/>
    <w:uiPriority w:val="0"/>
    <w:pPr>
      <w:suppressAutoHyphens/>
      <w:adjustRightInd/>
      <w:ind w:firstLine="420"/>
    </w:pPr>
    <w:rPr>
      <w:kern w:val="1"/>
      <w:szCs w:val="20"/>
    </w:rPr>
  </w:style>
  <w:style w:type="paragraph" w:customStyle="1" w:styleId="722">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3">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24">
    <w:name w:val="有符号正文"/>
    <w:basedOn w:val="1"/>
    <w:autoRedefine/>
    <w:qFormat/>
    <w:uiPriority w:val="0"/>
    <w:pPr>
      <w:adjustRightInd/>
      <w:spacing w:line="400" w:lineRule="exact"/>
      <w:ind w:firstLine="200" w:firstLineChars="200"/>
    </w:pPr>
    <w:rPr>
      <w:rFonts w:ascii="Arial" w:hAnsi="Arial"/>
    </w:rPr>
  </w:style>
  <w:style w:type="paragraph" w:customStyle="1" w:styleId="725">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6">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7">
    <w:name w:val="4"/>
    <w:basedOn w:val="1"/>
    <w:next w:val="38"/>
    <w:autoRedefine/>
    <w:qFormat/>
    <w:uiPriority w:val="0"/>
    <w:pPr>
      <w:spacing w:after="120" w:line="480" w:lineRule="auto"/>
      <w:ind w:left="420" w:leftChars="200"/>
    </w:pPr>
    <w:rPr>
      <w:sz w:val="24"/>
      <w:szCs w:val="20"/>
    </w:rPr>
  </w:style>
  <w:style w:type="paragraph" w:customStyle="1" w:styleId="728">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9">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0">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31">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32">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33">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4">
    <w:name w:val="表格 表头"/>
    <w:basedOn w:val="1"/>
    <w:autoRedefine/>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5">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6">
    <w:name w:val="Char Char1 Char Char Char"/>
    <w:basedOn w:val="1"/>
    <w:autoRedefine/>
    <w:qFormat/>
    <w:uiPriority w:val="0"/>
    <w:rPr>
      <w:rFonts w:ascii="仿宋_GB2312" w:eastAsia="仿宋_GB2312"/>
      <w:b/>
      <w:sz w:val="32"/>
      <w:szCs w:val="20"/>
    </w:rPr>
  </w:style>
  <w:style w:type="paragraph" w:customStyle="1" w:styleId="737">
    <w:name w:val="表格题注"/>
    <w:next w:val="1"/>
    <w:autoRedefine/>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8">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0">
    <w:name w:val="Char Char1 Char Char Char2"/>
    <w:basedOn w:val="1"/>
    <w:autoRedefine/>
    <w:qFormat/>
    <w:uiPriority w:val="0"/>
    <w:rPr>
      <w:rFonts w:ascii="仿宋_GB2312" w:eastAsia="仿宋_GB2312"/>
      <w:b/>
      <w:sz w:val="32"/>
      <w:szCs w:val="32"/>
    </w:rPr>
  </w:style>
  <w:style w:type="paragraph" w:customStyle="1" w:styleId="741">
    <w:name w:val="Char3 Char Char Char1"/>
    <w:basedOn w:val="1"/>
    <w:autoRedefine/>
    <w:qFormat/>
    <w:uiPriority w:val="6"/>
    <w:pPr>
      <w:widowControl/>
      <w:adjustRightInd/>
      <w:spacing w:after="160" w:line="240" w:lineRule="exact"/>
      <w:jc w:val="left"/>
    </w:pPr>
    <w:rPr>
      <w:szCs w:val="20"/>
    </w:rPr>
  </w:style>
  <w:style w:type="paragraph" w:customStyle="1" w:styleId="742">
    <w:name w:val="Char1 Char Char Char21"/>
    <w:basedOn w:val="1"/>
    <w:autoRedefine/>
    <w:qFormat/>
    <w:uiPriority w:val="0"/>
    <w:rPr>
      <w:rFonts w:ascii="Tahoma" w:hAnsi="Tahoma"/>
      <w:sz w:val="24"/>
      <w:szCs w:val="20"/>
    </w:rPr>
  </w:style>
  <w:style w:type="paragraph" w:customStyle="1" w:styleId="743">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4">
    <w:name w:val="正文（标题三）"/>
    <w:basedOn w:val="1"/>
    <w:autoRedefine/>
    <w:qFormat/>
    <w:uiPriority w:val="0"/>
    <w:pPr>
      <w:spacing w:line="360" w:lineRule="auto"/>
      <w:ind w:firstLine="200" w:firstLineChars="200"/>
    </w:pPr>
    <w:rPr>
      <w:sz w:val="24"/>
    </w:rPr>
  </w:style>
  <w:style w:type="paragraph" w:customStyle="1" w:styleId="745">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6">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7">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8">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9">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50">
    <w:name w:val="Char1 Char Char Char4"/>
    <w:basedOn w:val="1"/>
    <w:autoRedefine/>
    <w:qFormat/>
    <w:uiPriority w:val="0"/>
    <w:pPr>
      <w:adjustRightInd/>
      <w:ind w:firstLine="200" w:firstLineChars="200"/>
    </w:pPr>
    <w:rPr>
      <w:rFonts w:ascii="Tahoma" w:hAnsi="Tahoma"/>
      <w:sz w:val="24"/>
      <w:szCs w:val="20"/>
    </w:rPr>
  </w:style>
  <w:style w:type="paragraph" w:customStyle="1" w:styleId="751">
    <w:name w:val="_标题2"/>
    <w:basedOn w:val="718"/>
    <w:next w:val="718"/>
    <w:autoRedefine/>
    <w:qFormat/>
    <w:uiPriority w:val="0"/>
    <w:pPr>
      <w:widowControl w:val="0"/>
      <w:tabs>
        <w:tab w:val="left" w:pos="480"/>
      </w:tabs>
      <w:spacing w:beforeLines="50" w:afterLines="50"/>
      <w:ind w:left="50" w:leftChars="50" w:hanging="420" w:firstLineChars="0"/>
      <w:outlineLvl w:val="1"/>
    </w:pPr>
    <w:rPr>
      <w:b/>
      <w:sz w:val="36"/>
    </w:rPr>
  </w:style>
  <w:style w:type="paragraph" w:customStyle="1" w:styleId="752">
    <w:name w:val="样式1 + (中宋体"/>
    <w:basedOn w:val="729"/>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3">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4">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5">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6">
    <w:name w:val="四号　首行缩进"/>
    <w:basedOn w:val="1"/>
    <w:autoRedefine/>
    <w:qFormat/>
    <w:uiPriority w:val="0"/>
    <w:pPr>
      <w:adjustRightInd/>
      <w:spacing w:line="360" w:lineRule="auto"/>
    </w:pPr>
    <w:rPr>
      <w:rFonts w:ascii="宋体" w:hAnsi="宋体"/>
      <w:szCs w:val="20"/>
    </w:rPr>
  </w:style>
  <w:style w:type="paragraph" w:customStyle="1" w:styleId="757">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8">
    <w:name w:val="Char Char Char Char Char Char Char Char Char Char Char1 Char"/>
    <w:basedOn w:val="1"/>
    <w:autoRedefine/>
    <w:qFormat/>
    <w:uiPriority w:val="0"/>
    <w:pPr>
      <w:adjustRightInd/>
    </w:pPr>
    <w:rPr>
      <w:rFonts w:ascii="Tahoma" w:hAnsi="Tahoma"/>
      <w:sz w:val="24"/>
    </w:rPr>
  </w:style>
  <w:style w:type="paragraph" w:customStyle="1" w:styleId="759">
    <w:name w:val="Char Char Char Char11"/>
    <w:basedOn w:val="1"/>
    <w:autoRedefine/>
    <w:qFormat/>
    <w:uiPriority w:val="0"/>
    <w:rPr>
      <w:rFonts w:ascii="Tahoma" w:hAnsi="Tahoma"/>
      <w:sz w:val="24"/>
      <w:szCs w:val="20"/>
    </w:rPr>
  </w:style>
  <w:style w:type="paragraph" w:customStyle="1" w:styleId="760">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1">
    <w:name w:val="Char Char Char Char"/>
    <w:basedOn w:val="1"/>
    <w:autoRedefine/>
    <w:qFormat/>
    <w:uiPriority w:val="0"/>
    <w:rPr>
      <w:rFonts w:ascii="Tahoma" w:hAnsi="Tahoma"/>
      <w:sz w:val="24"/>
      <w:szCs w:val="20"/>
    </w:rPr>
  </w:style>
  <w:style w:type="paragraph" w:customStyle="1" w:styleId="762">
    <w:name w:val="标1"/>
    <w:basedOn w:val="1"/>
    <w:autoRedefine/>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3">
    <w:name w:val="Char19"/>
    <w:basedOn w:val="1"/>
    <w:autoRedefine/>
    <w:qFormat/>
    <w:uiPriority w:val="0"/>
    <w:pPr>
      <w:adjustRightInd/>
    </w:pPr>
    <w:rPr>
      <w:szCs w:val="20"/>
    </w:rPr>
  </w:style>
  <w:style w:type="paragraph" w:customStyle="1" w:styleId="764">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5">
    <w:name w:val="样式8"/>
    <w:basedOn w:val="1"/>
    <w:autoRedefine/>
    <w:qFormat/>
    <w:uiPriority w:val="0"/>
    <w:pPr>
      <w:spacing w:beforeLines="50" w:afterLines="50"/>
      <w:ind w:firstLine="200" w:firstLineChars="200"/>
      <w:outlineLvl w:val="4"/>
    </w:pPr>
    <w:rPr>
      <w:rFonts w:ascii="仿宋_GB2312" w:hAnsi="宋体" w:eastAsia="仿宋_GB2312"/>
      <w:b/>
      <w:bCs/>
      <w:sz w:val="24"/>
    </w:rPr>
  </w:style>
  <w:style w:type="paragraph" w:customStyle="1" w:styleId="766">
    <w:name w:val="_Style 5"/>
    <w:basedOn w:val="1"/>
    <w:autoRedefine/>
    <w:qFormat/>
    <w:uiPriority w:val="34"/>
    <w:pPr>
      <w:adjustRightInd/>
      <w:ind w:firstLine="420" w:firstLineChars="200"/>
    </w:pPr>
    <w:rPr>
      <w:rFonts w:eastAsia="仿宋_GB2312"/>
      <w:sz w:val="28"/>
    </w:rPr>
  </w:style>
  <w:style w:type="paragraph" w:customStyle="1" w:styleId="767">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8">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9">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0">
    <w:name w:val="标书表格字体格式"/>
    <w:next w:val="764"/>
    <w:autoRedefine/>
    <w:qFormat/>
    <w:uiPriority w:val="0"/>
    <w:rPr>
      <w:rFonts w:ascii="Times New Roman" w:hAnsi="Times New Roman" w:eastAsia="宋体" w:cs="Times New Roman"/>
      <w:kern w:val="2"/>
      <w:sz w:val="21"/>
      <w:szCs w:val="24"/>
      <w:lang w:val="en-US" w:eastAsia="zh-CN" w:bidi="ar-SA"/>
    </w:rPr>
  </w:style>
  <w:style w:type="paragraph" w:customStyle="1" w:styleId="771">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72">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3">
    <w:name w:val="修订3"/>
    <w:autoRedefine/>
    <w:qFormat/>
    <w:uiPriority w:val="0"/>
    <w:rPr>
      <w:rFonts w:ascii="Times New Roman" w:hAnsi="Times New Roman" w:eastAsia="宋体" w:cs="Times New Roman"/>
      <w:kern w:val="2"/>
      <w:sz w:val="21"/>
      <w:lang w:val="en-US" w:eastAsia="zh-CN" w:bidi="ar-SA"/>
    </w:rPr>
  </w:style>
  <w:style w:type="paragraph" w:customStyle="1" w:styleId="774">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5">
    <w:name w:val="无间隔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6">
    <w:name w:val="表文字"/>
    <w:autoRedefine/>
    <w:qFormat/>
    <w:uiPriority w:val="0"/>
    <w:rPr>
      <w:rFonts w:ascii="宋体" w:hAnsi="Times New Roman" w:eastAsia="宋体" w:cs="Times New Roman"/>
      <w:kern w:val="2"/>
      <w:lang w:val="en-US" w:eastAsia="zh-CN" w:bidi="ar-SA"/>
    </w:rPr>
  </w:style>
  <w:style w:type="paragraph" w:customStyle="1" w:styleId="777">
    <w:name w:val="MM Title"/>
    <w:basedOn w:val="60"/>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8">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9">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80">
    <w:name w:val="Char Char Char Char Char Char Char Char2"/>
    <w:basedOn w:val="1"/>
    <w:autoRedefine/>
    <w:qFormat/>
    <w:uiPriority w:val="0"/>
    <w:pPr>
      <w:tabs>
        <w:tab w:val="left" w:pos="360"/>
      </w:tabs>
    </w:pPr>
    <w:rPr>
      <w:sz w:val="24"/>
      <w:szCs w:val="20"/>
    </w:rPr>
  </w:style>
  <w:style w:type="paragraph" w:customStyle="1" w:styleId="781">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2">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83">
    <w:name w:val="中文标题 3"/>
    <w:basedOn w:val="2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4">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5">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6">
    <w:name w:val="正文－恩普"/>
    <w:basedOn w:val="15"/>
    <w:autoRedefine/>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7">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8">
    <w:name w:val="Char4"/>
    <w:basedOn w:val="1"/>
    <w:autoRedefine/>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9">
    <w:name w:val="p0"/>
    <w:basedOn w:val="1"/>
    <w:autoRedefine/>
    <w:qFormat/>
    <w:uiPriority w:val="0"/>
    <w:pPr>
      <w:widowControl/>
      <w:adjustRightInd/>
    </w:pPr>
    <w:rPr>
      <w:kern w:val="0"/>
      <w:szCs w:val="21"/>
    </w:rPr>
  </w:style>
  <w:style w:type="paragraph" w:customStyle="1" w:styleId="790">
    <w:name w:val="Char6"/>
    <w:basedOn w:val="1"/>
    <w:autoRedefine/>
    <w:qFormat/>
    <w:uiPriority w:val="0"/>
    <w:rPr>
      <w:rFonts w:ascii="仿宋_GB2312" w:eastAsia="仿宋_GB2312"/>
      <w:b/>
      <w:sz w:val="32"/>
      <w:szCs w:val="32"/>
    </w:rPr>
  </w:style>
  <w:style w:type="paragraph" w:customStyle="1" w:styleId="791">
    <w:name w:val="Char111"/>
    <w:basedOn w:val="1"/>
    <w:autoRedefine/>
    <w:qFormat/>
    <w:uiPriority w:val="0"/>
    <w:rPr>
      <w:rFonts w:ascii="仿宋_GB2312" w:eastAsia="仿宋_GB2312"/>
      <w:b/>
      <w:sz w:val="32"/>
      <w:szCs w:val="32"/>
    </w:rPr>
  </w:style>
  <w:style w:type="paragraph" w:customStyle="1" w:styleId="792">
    <w:name w:val="标题3"/>
    <w:basedOn w:val="4"/>
    <w:next w:val="54"/>
    <w:autoRedefine/>
    <w:qFormat/>
    <w:uiPriority w:val="0"/>
    <w:pPr>
      <w:tabs>
        <w:tab w:val="clear" w:pos="900"/>
      </w:tabs>
      <w:spacing w:after="0" w:line="360" w:lineRule="auto"/>
    </w:pPr>
    <w:rPr>
      <w:rFonts w:ascii="仿宋" w:hAnsi="仿宋" w:eastAsia="仿宋" w:cs="仿宋"/>
    </w:rPr>
  </w:style>
  <w:style w:type="paragraph" w:customStyle="1" w:styleId="793">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4">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5">
    <w:name w:val="Char1 Char Char Char2"/>
    <w:basedOn w:val="1"/>
    <w:autoRedefine/>
    <w:qFormat/>
    <w:uiPriority w:val="0"/>
    <w:pPr>
      <w:adjustRightInd/>
      <w:ind w:firstLine="200" w:firstLineChars="200"/>
    </w:pPr>
    <w:rPr>
      <w:rFonts w:ascii="Tahoma" w:hAnsi="Tahoma"/>
      <w:sz w:val="24"/>
      <w:szCs w:val="20"/>
    </w:rPr>
  </w:style>
  <w:style w:type="paragraph" w:customStyle="1" w:styleId="796">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7">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8">
    <w:name w:val="Char Char Char Char Char Char Char2"/>
    <w:basedOn w:val="1"/>
    <w:autoRedefine/>
    <w:qFormat/>
    <w:uiPriority w:val="0"/>
    <w:rPr>
      <w:rFonts w:ascii="仿宋_GB2312" w:eastAsia="仿宋_GB2312"/>
      <w:b/>
      <w:sz w:val="32"/>
      <w:szCs w:val="32"/>
    </w:rPr>
  </w:style>
  <w:style w:type="paragraph" w:customStyle="1" w:styleId="799">
    <w:name w:val="五级条标题"/>
    <w:basedOn w:val="800"/>
    <w:next w:val="645"/>
    <w:autoRedefine/>
    <w:qFormat/>
    <w:uiPriority w:val="0"/>
    <w:pPr>
      <w:tabs>
        <w:tab w:val="left" w:pos="1260"/>
        <w:tab w:val="left" w:pos="1680"/>
        <w:tab w:val="left" w:pos="2100"/>
        <w:tab w:val="left" w:pos="2940"/>
        <w:tab w:val="left" w:pos="3360"/>
      </w:tabs>
      <w:ind w:left="3360"/>
      <w:outlineLvl w:val="6"/>
    </w:pPr>
  </w:style>
  <w:style w:type="paragraph" w:customStyle="1" w:styleId="800">
    <w:name w:val="四级条标题"/>
    <w:basedOn w:val="660"/>
    <w:next w:val="645"/>
    <w:autoRedefine/>
    <w:qFormat/>
    <w:uiPriority w:val="0"/>
    <w:pPr>
      <w:tabs>
        <w:tab w:val="left" w:pos="2940"/>
        <w:tab w:val="clear" w:pos="2520"/>
      </w:tabs>
      <w:ind w:left="2940"/>
      <w:outlineLvl w:val="5"/>
    </w:pPr>
  </w:style>
  <w:style w:type="paragraph" w:customStyle="1" w:styleId="801">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2">
    <w:name w:val="Char23"/>
    <w:basedOn w:val="1"/>
    <w:autoRedefine/>
    <w:qFormat/>
    <w:uiPriority w:val="0"/>
    <w:rPr>
      <w:rFonts w:ascii="仿宋_GB2312" w:eastAsia="仿宋_GB2312"/>
      <w:b/>
      <w:sz w:val="32"/>
      <w:szCs w:val="32"/>
    </w:rPr>
  </w:style>
  <w:style w:type="paragraph" w:customStyle="1" w:styleId="803">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4">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5">
    <w:name w:val="首行缩进"/>
    <w:basedOn w:val="1"/>
    <w:autoRedefine/>
    <w:qFormat/>
    <w:uiPriority w:val="0"/>
    <w:pPr>
      <w:spacing w:line="360" w:lineRule="auto"/>
      <w:ind w:firstLine="480" w:firstLineChars="200"/>
    </w:pPr>
    <w:rPr>
      <w:rFonts w:ascii="宋体"/>
      <w:sz w:val="24"/>
      <w:szCs w:val="20"/>
    </w:rPr>
  </w:style>
  <w:style w:type="paragraph" w:customStyle="1" w:styleId="806">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7">
    <w:name w:val="单元格左对齐"/>
    <w:basedOn w:val="1"/>
    <w:autoRedefine/>
    <w:qFormat/>
    <w:uiPriority w:val="0"/>
    <w:pPr>
      <w:adjustRightInd/>
      <w:spacing w:line="360" w:lineRule="auto"/>
    </w:pPr>
    <w:rPr>
      <w:sz w:val="24"/>
    </w:rPr>
  </w:style>
  <w:style w:type="paragraph" w:customStyle="1" w:styleId="808">
    <w:name w:val="正文主体"/>
    <w:basedOn w:val="629"/>
    <w:autoRedefine/>
    <w:qFormat/>
    <w:uiPriority w:val="0"/>
  </w:style>
  <w:style w:type="paragraph" w:customStyle="1" w:styleId="809">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0">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11">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12">
    <w:name w:val="正文（首行缩进2字符）"/>
    <w:basedOn w:val="1"/>
    <w:autoRedefine/>
    <w:qFormat/>
    <w:uiPriority w:val="0"/>
    <w:pPr>
      <w:adjustRightInd/>
      <w:spacing w:line="360" w:lineRule="auto"/>
      <w:ind w:firstLine="480" w:firstLineChars="200"/>
    </w:pPr>
    <w:rPr>
      <w:sz w:val="24"/>
      <w:szCs w:val="20"/>
    </w:rPr>
  </w:style>
  <w:style w:type="paragraph" w:customStyle="1" w:styleId="813">
    <w:name w:val="P1"/>
    <w:basedOn w:val="1"/>
    <w:autoRedefine/>
    <w:qFormat/>
    <w:uiPriority w:val="0"/>
    <w:pPr>
      <w:adjustRightInd/>
      <w:spacing w:line="288" w:lineRule="auto"/>
      <w:ind w:firstLine="425" w:firstLineChars="200"/>
    </w:pPr>
  </w:style>
  <w:style w:type="paragraph" w:customStyle="1" w:styleId="814">
    <w:name w:val="列表内容"/>
    <w:basedOn w:val="1"/>
    <w:next w:val="1"/>
    <w:autoRedefine/>
    <w:qFormat/>
    <w:uiPriority w:val="0"/>
    <w:pPr>
      <w:widowControl/>
      <w:tabs>
        <w:tab w:val="left" w:pos="840"/>
      </w:tabs>
      <w:ind w:left="840" w:hanging="420"/>
      <w:jc w:val="left"/>
    </w:pPr>
    <w:rPr>
      <w:kern w:val="0"/>
      <w:sz w:val="18"/>
    </w:rPr>
  </w:style>
  <w:style w:type="paragraph" w:customStyle="1" w:styleId="815">
    <w:name w:val="Char Char11 Char Char Char1"/>
    <w:basedOn w:val="1"/>
    <w:autoRedefine/>
    <w:qFormat/>
    <w:uiPriority w:val="6"/>
    <w:pPr>
      <w:spacing w:line="360" w:lineRule="auto"/>
    </w:pPr>
    <w:rPr>
      <w:szCs w:val="20"/>
    </w:rPr>
  </w:style>
  <w:style w:type="paragraph" w:customStyle="1" w:styleId="816">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7">
    <w:name w:val="Char Char Char Char Char Char11"/>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8">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9">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20">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21">
    <w:name w:val="默认段落字体 Para Char Char Char Char"/>
    <w:basedOn w:val="1"/>
    <w:autoRedefine/>
    <w:qFormat/>
    <w:uiPriority w:val="0"/>
    <w:pPr>
      <w:spacing w:line="360" w:lineRule="auto"/>
    </w:pPr>
    <w:rPr>
      <w:szCs w:val="20"/>
    </w:rPr>
  </w:style>
  <w:style w:type="paragraph" w:customStyle="1" w:styleId="822">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23">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4">
    <w:name w:val="Char2 Char Char Char2"/>
    <w:basedOn w:val="1"/>
    <w:autoRedefine/>
    <w:qFormat/>
    <w:uiPriority w:val="0"/>
    <w:rPr>
      <w:rFonts w:ascii="仿宋_GB2312" w:eastAsia="仿宋_GB2312"/>
      <w:b/>
      <w:sz w:val="32"/>
      <w:szCs w:val="32"/>
    </w:rPr>
  </w:style>
  <w:style w:type="paragraph" w:customStyle="1" w:styleId="825">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6">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7">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8">
    <w:name w:val="Char Char4 Char Char"/>
    <w:basedOn w:val="1"/>
    <w:autoRedefine/>
    <w:qFormat/>
    <w:uiPriority w:val="0"/>
    <w:pPr>
      <w:widowControl/>
      <w:adjustRightInd/>
      <w:spacing w:after="160" w:line="240" w:lineRule="exact"/>
      <w:jc w:val="left"/>
    </w:pPr>
  </w:style>
  <w:style w:type="paragraph" w:customStyle="1" w:styleId="829">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0">
    <w:name w:val="Char Char11 Char Char Char2"/>
    <w:basedOn w:val="1"/>
    <w:autoRedefine/>
    <w:qFormat/>
    <w:uiPriority w:val="0"/>
    <w:pPr>
      <w:spacing w:line="360" w:lineRule="auto"/>
    </w:pPr>
    <w:rPr>
      <w:szCs w:val="20"/>
    </w:rPr>
  </w:style>
  <w:style w:type="paragraph" w:customStyle="1" w:styleId="831">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2">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3">
    <w:name w:val="数字标题4"/>
    <w:basedOn w:val="5"/>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4">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5">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6">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7">
    <w:name w:val="Char311"/>
    <w:basedOn w:val="1"/>
    <w:autoRedefine/>
    <w:qFormat/>
    <w:uiPriority w:val="0"/>
    <w:pPr>
      <w:adjustRightInd/>
      <w:ind w:firstLine="200" w:firstLineChars="200"/>
    </w:pPr>
    <w:rPr>
      <w:rFonts w:ascii="Tahoma" w:hAnsi="Tahoma"/>
      <w:sz w:val="24"/>
      <w:szCs w:val="20"/>
    </w:rPr>
  </w:style>
  <w:style w:type="paragraph" w:customStyle="1" w:styleId="838">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9">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0">
    <w:name w:val="正文 内标"/>
    <w:basedOn w:val="755"/>
    <w:autoRedefine/>
    <w:qFormat/>
    <w:uiPriority w:val="0"/>
    <w:pPr>
      <w:tabs>
        <w:tab w:val="left" w:pos="0"/>
      </w:tabs>
      <w:ind w:left="900" w:firstLine="0" w:firstLineChars="0"/>
    </w:pPr>
  </w:style>
  <w:style w:type="paragraph" w:customStyle="1" w:styleId="841">
    <w:name w:val="Bulleted List"/>
    <w:basedOn w:val="1"/>
    <w:autoRedefine/>
    <w:qFormat/>
    <w:uiPriority w:val="0"/>
    <w:pPr>
      <w:tabs>
        <w:tab w:val="left" w:pos="1260"/>
      </w:tabs>
      <w:adjustRightInd/>
      <w:ind w:left="1260" w:hanging="420"/>
    </w:pPr>
  </w:style>
  <w:style w:type="paragraph" w:customStyle="1" w:styleId="842">
    <w:name w:val="样式 正文文本缩进 2 + 仿宋_GB2312 黑色 行距: 1.5 倍行距"/>
    <w:basedOn w:val="38"/>
    <w:autoRedefine/>
    <w:qFormat/>
    <w:uiPriority w:val="0"/>
    <w:pPr>
      <w:adjustRightInd/>
      <w:ind w:firstLine="560" w:firstLineChars="200"/>
      <w:textAlignment w:val="auto"/>
    </w:pPr>
    <w:rPr>
      <w:rFonts w:hAnsi="宋体" w:cs="宋体"/>
      <w:color w:val="000000"/>
      <w:kern w:val="2"/>
      <w:sz w:val="24"/>
    </w:rPr>
  </w:style>
  <w:style w:type="paragraph" w:customStyle="1" w:styleId="843">
    <w:name w:val="样式 左侧:  0.85 厘米"/>
    <w:basedOn w:val="1"/>
    <w:autoRedefine/>
    <w:qFormat/>
    <w:uiPriority w:val="2"/>
    <w:pPr>
      <w:adjustRightInd/>
      <w:spacing w:line="360" w:lineRule="auto"/>
    </w:pPr>
    <w:rPr>
      <w:rFonts w:cs="宋体"/>
      <w:sz w:val="24"/>
      <w:szCs w:val="20"/>
    </w:rPr>
  </w:style>
  <w:style w:type="paragraph" w:customStyle="1" w:styleId="844">
    <w:name w:val="Char Char Char Char Char Char Char Char Char Char Char Char1 Char"/>
    <w:basedOn w:val="1"/>
    <w:autoRedefine/>
    <w:qFormat/>
    <w:uiPriority w:val="0"/>
    <w:rPr>
      <w:rFonts w:ascii="Tahoma" w:hAnsi="Tahoma" w:cs="仿宋_GB2312"/>
      <w:sz w:val="24"/>
      <w:szCs w:val="20"/>
    </w:rPr>
  </w:style>
  <w:style w:type="paragraph" w:customStyle="1" w:styleId="845">
    <w:name w:val="正文1"/>
    <w:basedOn w:val="33"/>
    <w:autoRedefine/>
    <w:qFormat/>
    <w:uiPriority w:val="0"/>
    <w:pPr>
      <w:ind w:left="0" w:leftChars="0" w:firstLine="480" w:firstLineChars="200"/>
    </w:pPr>
    <w:rPr>
      <w:rFonts w:ascii="仿宋_GB2312" w:hAnsi="Courier New" w:eastAsia="仿宋_GB2312"/>
      <w:kern w:val="28"/>
      <w:sz w:val="24"/>
    </w:rPr>
  </w:style>
  <w:style w:type="paragraph" w:customStyle="1" w:styleId="846">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7">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8">
    <w:name w:val="模板普通正文"/>
    <w:basedOn w:val="25"/>
    <w:autoRedefine/>
    <w:qFormat/>
    <w:uiPriority w:val="0"/>
    <w:pPr>
      <w:adjustRightInd/>
      <w:spacing w:beforeLines="50" w:after="10" w:line="360" w:lineRule="auto"/>
      <w:ind w:firstLine="175" w:firstLineChars="175"/>
      <w:jc w:val="left"/>
    </w:pPr>
    <w:rPr>
      <w:rFonts w:ascii="Times New Roman" w:hAnsi="Times New Roman"/>
    </w:rPr>
  </w:style>
  <w:style w:type="paragraph" w:customStyle="1" w:styleId="849">
    <w:name w:val="Char Char1 Char Char Char Char Char Char"/>
    <w:basedOn w:val="1"/>
    <w:autoRedefine/>
    <w:qFormat/>
    <w:uiPriority w:val="0"/>
    <w:rPr>
      <w:rFonts w:ascii="仿宋_GB2312" w:eastAsia="仿宋_GB2312"/>
      <w:b/>
      <w:sz w:val="32"/>
      <w:szCs w:val="20"/>
    </w:rPr>
  </w:style>
  <w:style w:type="paragraph" w:customStyle="1" w:styleId="850">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51">
    <w:name w:val="Char Char1 Char Char Char Char Char Char2"/>
    <w:basedOn w:val="1"/>
    <w:autoRedefine/>
    <w:qFormat/>
    <w:uiPriority w:val="0"/>
    <w:rPr>
      <w:rFonts w:ascii="仿宋_GB2312" w:eastAsia="仿宋_GB2312"/>
      <w:b/>
      <w:sz w:val="32"/>
      <w:szCs w:val="20"/>
    </w:rPr>
  </w:style>
  <w:style w:type="paragraph" w:customStyle="1" w:styleId="852">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3">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4">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5">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6">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7">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8">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9">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0">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1">
    <w:name w:val="Char31"/>
    <w:basedOn w:val="1"/>
    <w:autoRedefine/>
    <w:qFormat/>
    <w:uiPriority w:val="0"/>
    <w:pPr>
      <w:adjustRightInd/>
    </w:pPr>
    <w:rPr>
      <w:rFonts w:ascii="仿宋_GB2312" w:eastAsia="仿宋_GB2312"/>
      <w:b/>
      <w:sz w:val="32"/>
      <w:szCs w:val="32"/>
    </w:rPr>
  </w:style>
  <w:style w:type="paragraph" w:customStyle="1" w:styleId="862">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63">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4">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5">
    <w:name w:val="Char Char1"/>
    <w:basedOn w:val="1"/>
    <w:autoRedefine/>
    <w:qFormat/>
    <w:uiPriority w:val="0"/>
    <w:pPr>
      <w:widowControl/>
      <w:spacing w:after="160" w:line="240" w:lineRule="exact"/>
      <w:jc w:val="left"/>
    </w:pPr>
    <w:rPr>
      <w:rFonts w:eastAsia="仿宋_GB2312"/>
      <w:sz w:val="28"/>
    </w:rPr>
  </w:style>
  <w:style w:type="paragraph" w:customStyle="1" w:styleId="866">
    <w:name w:val="Char21"/>
    <w:basedOn w:val="1"/>
    <w:autoRedefine/>
    <w:qFormat/>
    <w:uiPriority w:val="0"/>
    <w:pPr>
      <w:adjustRightInd/>
      <w:ind w:firstLine="200" w:firstLineChars="200"/>
    </w:pPr>
    <w:rPr>
      <w:rFonts w:ascii="仿宋_GB2312" w:eastAsia="仿宋_GB2312"/>
      <w:b/>
      <w:sz w:val="32"/>
      <w:szCs w:val="32"/>
    </w:rPr>
  </w:style>
  <w:style w:type="paragraph" w:customStyle="1" w:styleId="867">
    <w:name w:val="列表段落1"/>
    <w:basedOn w:val="1"/>
    <w:autoRedefine/>
    <w:qFormat/>
    <w:uiPriority w:val="34"/>
    <w:pPr>
      <w:adjustRightInd/>
      <w:ind w:right="238" w:firstLine="420"/>
    </w:pPr>
    <w:rPr>
      <w:rFonts w:ascii="Calibri" w:hAnsi="Calibri"/>
      <w:sz w:val="24"/>
    </w:rPr>
  </w:style>
  <w:style w:type="paragraph" w:customStyle="1" w:styleId="868">
    <w:name w:val="Char Char110"/>
    <w:basedOn w:val="1"/>
    <w:autoRedefine/>
    <w:qFormat/>
    <w:uiPriority w:val="6"/>
    <w:pPr>
      <w:spacing w:line="360" w:lineRule="auto"/>
    </w:pPr>
    <w:rPr>
      <w:rFonts w:ascii="Tahoma" w:hAnsi="Tahoma"/>
      <w:sz w:val="24"/>
      <w:szCs w:val="20"/>
    </w:rPr>
  </w:style>
  <w:style w:type="paragraph" w:customStyle="1" w:styleId="869">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0">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71">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2">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73">
    <w:name w:val="Char Char Char Char Char Char Char Char Char Char Char Char1 Char2"/>
    <w:basedOn w:val="1"/>
    <w:autoRedefine/>
    <w:qFormat/>
    <w:uiPriority w:val="0"/>
    <w:rPr>
      <w:rFonts w:ascii="Tahoma" w:hAnsi="Tahoma" w:cs="仿宋_GB2312"/>
      <w:sz w:val="24"/>
      <w:szCs w:val="20"/>
    </w:rPr>
  </w:style>
  <w:style w:type="paragraph" w:customStyle="1" w:styleId="874">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5">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6">
    <w:name w:val="样式 列表编号 + 段后: 0.5 行"/>
    <w:basedOn w:val="14"/>
    <w:autoRedefine/>
    <w:qFormat/>
    <w:uiPriority w:val="2"/>
    <w:pPr>
      <w:tabs>
        <w:tab w:val="clear" w:pos="390"/>
        <w:tab w:val="clear" w:pos="454"/>
      </w:tabs>
      <w:ind w:left="840" w:hanging="420"/>
      <w:contextualSpacing/>
    </w:pPr>
    <w:rPr>
      <w:rFonts w:cs="宋体"/>
    </w:rPr>
  </w:style>
  <w:style w:type="paragraph" w:customStyle="1" w:styleId="877">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8">
    <w:name w:val="_Style 12"/>
    <w:basedOn w:val="18"/>
    <w:autoRedefine/>
    <w:qFormat/>
    <w:uiPriority w:val="0"/>
    <w:pPr>
      <w:snapToGrid w:val="0"/>
      <w:spacing w:line="360" w:lineRule="auto"/>
    </w:pPr>
  </w:style>
  <w:style w:type="paragraph" w:customStyle="1" w:styleId="879">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80">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1">
    <w:name w:val="_Style 94"/>
    <w:basedOn w:val="1"/>
    <w:next w:val="269"/>
    <w:autoRedefine/>
    <w:qFormat/>
    <w:uiPriority w:val="34"/>
    <w:pPr>
      <w:adjustRightInd/>
      <w:spacing w:line="360" w:lineRule="auto"/>
      <w:ind w:firstLine="200" w:firstLineChars="200"/>
    </w:pPr>
    <w:rPr>
      <w:rFonts w:ascii="Calibri" w:hAnsi="Calibri"/>
      <w:sz w:val="28"/>
      <w:szCs w:val="20"/>
    </w:rPr>
  </w:style>
  <w:style w:type="paragraph" w:customStyle="1" w:styleId="882">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3">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4">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5">
    <w:name w:val="3级标题"/>
    <w:basedOn w:val="677"/>
    <w:autoRedefine/>
    <w:qFormat/>
    <w:uiPriority w:val="0"/>
    <w:pPr>
      <w:outlineLvl w:val="2"/>
    </w:pPr>
  </w:style>
  <w:style w:type="paragraph" w:customStyle="1" w:styleId="886">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7">
    <w:name w:val="Char1 Char Char Char3"/>
    <w:basedOn w:val="1"/>
    <w:autoRedefine/>
    <w:qFormat/>
    <w:uiPriority w:val="0"/>
    <w:pPr>
      <w:adjustRightInd/>
      <w:ind w:firstLine="200" w:firstLineChars="200"/>
    </w:pPr>
    <w:rPr>
      <w:rFonts w:ascii="Tahoma" w:hAnsi="Tahoma"/>
      <w:sz w:val="24"/>
      <w:szCs w:val="20"/>
    </w:rPr>
  </w:style>
  <w:style w:type="paragraph" w:customStyle="1" w:styleId="888">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9">
    <w:name w:val="MM Empty"/>
    <w:basedOn w:val="1"/>
    <w:autoRedefine/>
    <w:qFormat/>
    <w:uiPriority w:val="0"/>
    <w:pPr>
      <w:adjustRightInd/>
    </w:pPr>
  </w:style>
  <w:style w:type="paragraph" w:customStyle="1" w:styleId="890">
    <w:name w:val="Char24"/>
    <w:basedOn w:val="1"/>
    <w:autoRedefine/>
    <w:qFormat/>
    <w:uiPriority w:val="0"/>
    <w:rPr>
      <w:rFonts w:ascii="仿宋_GB2312" w:eastAsia="仿宋_GB2312"/>
      <w:b/>
      <w:sz w:val="32"/>
      <w:szCs w:val="32"/>
    </w:rPr>
  </w:style>
  <w:style w:type="paragraph" w:customStyle="1" w:styleId="891">
    <w:name w:val="正文箭头"/>
    <w:basedOn w:val="544"/>
    <w:autoRedefine/>
    <w:qFormat/>
    <w:uiPriority w:val="0"/>
  </w:style>
  <w:style w:type="paragraph" w:customStyle="1" w:styleId="892">
    <w:name w:val="U_编号2"/>
    <w:basedOn w:val="1"/>
    <w:autoRedefine/>
    <w:qFormat/>
    <w:uiPriority w:val="0"/>
    <w:pPr>
      <w:tabs>
        <w:tab w:val="left" w:pos="785"/>
      </w:tabs>
      <w:adjustRightInd/>
      <w:spacing w:beforeLines="10" w:afterLines="10" w:line="300" w:lineRule="auto"/>
    </w:pPr>
    <w:rPr>
      <w:sz w:val="24"/>
    </w:rPr>
  </w:style>
  <w:style w:type="paragraph" w:customStyle="1" w:styleId="893">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4">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5">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6">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7">
    <w:name w:val="_Style 1"/>
    <w:basedOn w:val="1"/>
    <w:autoRedefine/>
    <w:qFormat/>
    <w:uiPriority w:val="34"/>
    <w:pPr>
      <w:adjustRightInd/>
      <w:ind w:firstLine="420" w:firstLineChars="200"/>
    </w:pPr>
    <w:rPr>
      <w:rFonts w:eastAsia="仿宋_GB2312"/>
      <w:sz w:val="28"/>
    </w:rPr>
  </w:style>
  <w:style w:type="paragraph" w:customStyle="1" w:styleId="898">
    <w:name w:val="表格 内容"/>
    <w:basedOn w:val="734"/>
    <w:autoRedefine/>
    <w:qFormat/>
    <w:uiPriority w:val="0"/>
    <w:rPr>
      <w:b w:val="0"/>
      <w:sz w:val="20"/>
    </w:rPr>
  </w:style>
  <w:style w:type="paragraph" w:customStyle="1" w:styleId="899">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00">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901">
    <w:name w:val="数字标题5"/>
    <w:basedOn w:val="6"/>
    <w:next w:val="1"/>
    <w:autoRedefine/>
    <w:qFormat/>
    <w:uiPriority w:val="0"/>
    <w:pPr>
      <w:tabs>
        <w:tab w:val="left" w:pos="1080"/>
      </w:tabs>
      <w:ind w:left="1080" w:hanging="1080"/>
    </w:pPr>
  </w:style>
  <w:style w:type="paragraph" w:customStyle="1" w:styleId="902">
    <w:name w:val="数字标题1"/>
    <w:basedOn w:val="2"/>
    <w:next w:val="1"/>
    <w:autoRedefine/>
    <w:qFormat/>
    <w:uiPriority w:val="0"/>
    <w:pPr>
      <w:tabs>
        <w:tab w:val="left" w:pos="480"/>
      </w:tabs>
      <w:ind w:left="480" w:hanging="480"/>
    </w:pPr>
  </w:style>
  <w:style w:type="paragraph" w:customStyle="1" w:styleId="903">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4">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5">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6">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7">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8">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9">
    <w:name w:val="0"/>
    <w:basedOn w:val="1"/>
    <w:autoRedefine/>
    <w:qFormat/>
    <w:uiPriority w:val="0"/>
    <w:pPr>
      <w:widowControl/>
    </w:pPr>
    <w:rPr>
      <w:kern w:val="0"/>
      <w:sz w:val="24"/>
      <w:szCs w:val="20"/>
    </w:rPr>
  </w:style>
  <w:style w:type="paragraph" w:customStyle="1" w:styleId="910">
    <w:name w:val="Char Char113"/>
    <w:basedOn w:val="1"/>
    <w:autoRedefine/>
    <w:qFormat/>
    <w:uiPriority w:val="0"/>
    <w:pPr>
      <w:widowControl/>
      <w:spacing w:after="160" w:line="240" w:lineRule="exact"/>
      <w:jc w:val="left"/>
    </w:pPr>
    <w:rPr>
      <w:rFonts w:eastAsia="仿宋_GB2312"/>
      <w:sz w:val="28"/>
    </w:rPr>
  </w:style>
  <w:style w:type="paragraph" w:customStyle="1" w:styleId="911">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12">
    <w:name w:val="_Style 8"/>
    <w:basedOn w:val="1"/>
    <w:autoRedefine/>
    <w:qFormat/>
    <w:uiPriority w:val="34"/>
    <w:pPr>
      <w:adjustRightInd/>
      <w:ind w:firstLine="420" w:firstLineChars="200"/>
    </w:pPr>
    <w:rPr>
      <w:rFonts w:eastAsia="仿宋_GB2312"/>
      <w:sz w:val="28"/>
    </w:rPr>
  </w:style>
  <w:style w:type="paragraph" w:customStyle="1" w:styleId="913">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4">
    <w:name w:val="正文样式 首行缩进:  0.74 厘米"/>
    <w:basedOn w:val="1"/>
    <w:autoRedefine/>
    <w:qFormat/>
    <w:uiPriority w:val="0"/>
    <w:pPr>
      <w:adjustRightInd/>
      <w:spacing w:beforeLines="50" w:line="360" w:lineRule="auto"/>
      <w:ind w:firstLine="420"/>
    </w:pPr>
    <w:rPr>
      <w:rFonts w:cs="宋体"/>
      <w:sz w:val="24"/>
      <w:szCs w:val="20"/>
    </w:rPr>
  </w:style>
  <w:style w:type="paragraph" w:customStyle="1" w:styleId="915">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6">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7">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8">
    <w:name w:val="Char Char112"/>
    <w:basedOn w:val="1"/>
    <w:autoRedefine/>
    <w:qFormat/>
    <w:uiPriority w:val="6"/>
    <w:pPr>
      <w:widowControl/>
      <w:spacing w:after="160" w:line="240" w:lineRule="exact"/>
      <w:jc w:val="left"/>
    </w:pPr>
    <w:rPr>
      <w:rFonts w:eastAsia="仿宋_GB2312"/>
      <w:sz w:val="28"/>
    </w:rPr>
  </w:style>
  <w:style w:type="paragraph" w:customStyle="1" w:styleId="919">
    <w:name w:val="正文 图"/>
    <w:basedOn w:val="450"/>
    <w:autoRedefine/>
    <w:qFormat/>
    <w:uiPriority w:val="0"/>
    <w:pPr>
      <w:adjustRightInd/>
      <w:spacing w:before="0"/>
      <w:ind w:firstLine="0"/>
      <w:jc w:val="center"/>
    </w:pPr>
    <w:rPr>
      <w:rFonts w:ascii="微软雅黑" w:hAnsi="微软雅黑"/>
    </w:rPr>
  </w:style>
  <w:style w:type="paragraph" w:customStyle="1" w:styleId="920">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1">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2">
    <w:name w:val="Thf"/>
    <w:basedOn w:val="568"/>
    <w:autoRedefine/>
    <w:qFormat/>
    <w:uiPriority w:val="0"/>
    <w:pPr>
      <w:ind w:left="0"/>
    </w:pPr>
  </w:style>
  <w:style w:type="paragraph" w:customStyle="1" w:styleId="92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4">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5">
    <w:name w:val="注释"/>
    <w:basedOn w:val="1"/>
    <w:autoRedefine/>
    <w:qFormat/>
    <w:uiPriority w:val="0"/>
    <w:pPr>
      <w:adjustRightInd/>
      <w:spacing w:line="360" w:lineRule="auto"/>
      <w:ind w:firstLine="480"/>
    </w:pPr>
    <w:rPr>
      <w:sz w:val="24"/>
    </w:rPr>
  </w:style>
  <w:style w:type="table" w:customStyle="1" w:styleId="926">
    <w:name w:val="网格型2"/>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1"/>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6"/>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3"/>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网格型4"/>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网格型5"/>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2">
    <w:name w:val="列出段落111"/>
    <w:basedOn w:val="1"/>
    <w:autoRedefine/>
    <w:qFormat/>
    <w:uiPriority w:val="34"/>
    <w:pPr>
      <w:ind w:firstLine="420" w:firstLineChars="200"/>
    </w:pPr>
  </w:style>
  <w:style w:type="character" w:customStyle="1" w:styleId="933">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4">
    <w:name w:val="正文缩进 字符1"/>
    <w:autoRedefine/>
    <w:qFormat/>
    <w:uiPriority w:val="0"/>
    <w:rPr>
      <w:rFonts w:ascii="宋体" w:eastAsia="宋体"/>
      <w:snapToGrid w:val="0"/>
      <w:color w:val="000000"/>
      <w:kern w:val="28"/>
      <w:sz w:val="28"/>
      <w:lang w:val="en-US" w:eastAsia="zh-CN" w:bidi="ar-SA"/>
    </w:rPr>
  </w:style>
  <w:style w:type="character" w:customStyle="1" w:styleId="935">
    <w:name w:val="页脚 字符1"/>
    <w:autoRedefine/>
    <w:qFormat/>
    <w:locked/>
    <w:uiPriority w:val="99"/>
    <w:rPr>
      <w:kern w:val="2"/>
      <w:sz w:val="18"/>
      <w:szCs w:val="18"/>
    </w:rPr>
  </w:style>
  <w:style w:type="character" w:customStyle="1" w:styleId="936">
    <w:name w:val="页眉 字符1"/>
    <w:autoRedefine/>
    <w:qFormat/>
    <w:uiPriority w:val="99"/>
    <w:rPr>
      <w:kern w:val="2"/>
      <w:sz w:val="18"/>
      <w:szCs w:val="18"/>
    </w:rPr>
  </w:style>
  <w:style w:type="character" w:customStyle="1" w:styleId="937">
    <w:name w:val="尾注文本 字符"/>
    <w:link w:val="39"/>
    <w:autoRedefine/>
    <w:qFormat/>
    <w:uiPriority w:val="0"/>
    <w:rPr>
      <w:kern w:val="2"/>
      <w:sz w:val="21"/>
      <w:szCs w:val="24"/>
      <w:lang w:val="zh-CN"/>
    </w:rPr>
  </w:style>
  <w:style w:type="character" w:customStyle="1" w:styleId="938">
    <w:name w:val="无间隔 Char"/>
    <w:link w:val="490"/>
    <w:autoRedefine/>
    <w:qFormat/>
    <w:uiPriority w:val="99"/>
    <w:rPr>
      <w:kern w:val="2"/>
      <w:sz w:val="21"/>
      <w:szCs w:val="22"/>
    </w:rPr>
  </w:style>
  <w:style w:type="character" w:customStyle="1" w:styleId="939">
    <w:name w:val="标准文本 Char Char"/>
    <w:link w:val="940"/>
    <w:autoRedefine/>
    <w:qFormat/>
    <w:uiPriority w:val="0"/>
    <w:rPr>
      <w:rFonts w:cs="宋体"/>
      <w:kern w:val="2"/>
      <w:sz w:val="24"/>
    </w:rPr>
  </w:style>
  <w:style w:type="paragraph" w:customStyle="1" w:styleId="940">
    <w:name w:val="标准文本"/>
    <w:basedOn w:val="1"/>
    <w:link w:val="939"/>
    <w:autoRedefine/>
    <w:qFormat/>
    <w:uiPriority w:val="0"/>
    <w:pPr>
      <w:adjustRightInd/>
      <w:spacing w:line="360" w:lineRule="auto"/>
      <w:ind w:firstLine="480" w:firstLineChars="200"/>
    </w:pPr>
    <w:rPr>
      <w:rFonts w:cs="宋体"/>
      <w:sz w:val="24"/>
      <w:szCs w:val="20"/>
    </w:rPr>
  </w:style>
  <w:style w:type="character" w:customStyle="1" w:styleId="941">
    <w:name w:val="Char Char213"/>
    <w:autoRedefine/>
    <w:qFormat/>
    <w:uiPriority w:val="0"/>
    <w:rPr>
      <w:rFonts w:eastAsia="Century Gothic"/>
      <w:b/>
      <w:bCs/>
      <w:kern w:val="44"/>
      <w:sz w:val="32"/>
      <w:szCs w:val="44"/>
      <w:lang w:val="en-US" w:eastAsia="zh-CN" w:bidi="ar-SA"/>
    </w:rPr>
  </w:style>
  <w:style w:type="character" w:customStyle="1" w:styleId="942">
    <w:name w:val="apple-style-span"/>
    <w:autoRedefine/>
    <w:qFormat/>
    <w:uiPriority w:val="0"/>
    <w:rPr>
      <w:rFonts w:ascii="Arial" w:hAnsi="Arial" w:eastAsia="黑体" w:cs="Arial"/>
      <w:snapToGrid w:val="0"/>
      <w:kern w:val="0"/>
      <w:szCs w:val="21"/>
    </w:rPr>
  </w:style>
  <w:style w:type="character" w:customStyle="1" w:styleId="943">
    <w:name w:val="15"/>
    <w:autoRedefine/>
    <w:qFormat/>
    <w:uiPriority w:val="0"/>
    <w:rPr>
      <w:rFonts w:hint="default" w:ascii="Calibri" w:hAnsi="Calibri"/>
      <w:color w:val="0000FF"/>
      <w:u w:val="single"/>
    </w:rPr>
  </w:style>
  <w:style w:type="character" w:customStyle="1" w:styleId="944">
    <w:name w:val="16"/>
    <w:autoRedefine/>
    <w:qFormat/>
    <w:uiPriority w:val="0"/>
    <w:rPr>
      <w:rFonts w:hint="eastAsia" w:ascii="宋体" w:hAnsi="宋体" w:eastAsia="宋体"/>
      <w:color w:val="000000"/>
      <w:sz w:val="20"/>
      <w:szCs w:val="20"/>
    </w:rPr>
  </w:style>
  <w:style w:type="character" w:customStyle="1" w:styleId="945">
    <w:name w:val="edui-unclickable"/>
    <w:autoRedefine/>
    <w:qFormat/>
    <w:uiPriority w:val="0"/>
    <w:rPr>
      <w:color w:val="808080"/>
    </w:rPr>
  </w:style>
  <w:style w:type="character" w:customStyle="1" w:styleId="946">
    <w:name w:val="tpc_content1"/>
    <w:autoRedefine/>
    <w:qFormat/>
    <w:uiPriority w:val="0"/>
    <w:rPr>
      <w:sz w:val="20"/>
      <w:szCs w:val="20"/>
    </w:rPr>
  </w:style>
  <w:style w:type="character" w:customStyle="1" w:styleId="947">
    <w:name w:val="正文文本缩进 字符"/>
    <w:autoRedefine/>
    <w:qFormat/>
    <w:uiPriority w:val="0"/>
    <w:rPr>
      <w:rFonts w:ascii="Century Gothic" w:hAnsi="Century Gothic" w:eastAsia="Century Gothic"/>
      <w:kern w:val="2"/>
      <w:sz w:val="24"/>
      <w:lang w:val="en-US" w:eastAsia="zh-CN" w:bidi="ar-SA"/>
    </w:rPr>
  </w:style>
  <w:style w:type="character" w:customStyle="1" w:styleId="948">
    <w:name w:val="正文文本 2 字符"/>
    <w:autoRedefine/>
    <w:qFormat/>
    <w:uiPriority w:val="0"/>
    <w:rPr>
      <w:rFonts w:ascii="Arial" w:hAnsi="Arial" w:eastAsia="宋体"/>
      <w:kern w:val="2"/>
      <w:sz w:val="24"/>
      <w:szCs w:val="24"/>
      <w:lang w:val="en-US" w:eastAsia="zh-CN" w:bidi="ar-SA"/>
    </w:rPr>
  </w:style>
  <w:style w:type="character" w:customStyle="1" w:styleId="949">
    <w:name w:val="edui-clickable2"/>
    <w:autoRedefine/>
    <w:qFormat/>
    <w:uiPriority w:val="0"/>
    <w:rPr>
      <w:color w:val="0000FF"/>
      <w:u w:val="single"/>
    </w:rPr>
  </w:style>
  <w:style w:type="character" w:customStyle="1" w:styleId="950">
    <w:name w:val="style1"/>
    <w:autoRedefine/>
    <w:qFormat/>
    <w:uiPriority w:val="0"/>
    <w:rPr>
      <w:rFonts w:ascii="Arial" w:hAnsi="Arial" w:eastAsia="黑体" w:cs="Arial"/>
      <w:snapToGrid w:val="0"/>
      <w:kern w:val="0"/>
      <w:szCs w:val="21"/>
    </w:rPr>
  </w:style>
  <w:style w:type="character" w:customStyle="1" w:styleId="951">
    <w:name w:val="zbggtop11 style5"/>
    <w:autoRedefine/>
    <w:qFormat/>
    <w:uiPriority w:val="0"/>
    <w:rPr>
      <w:rFonts w:ascii="Arial" w:hAnsi="Arial" w:eastAsia="黑体" w:cs="Arial"/>
      <w:snapToGrid w:val="0"/>
      <w:kern w:val="0"/>
      <w:szCs w:val="21"/>
    </w:rPr>
  </w:style>
  <w:style w:type="character" w:customStyle="1" w:styleId="952">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53">
    <w:name w:val="bulletintext1"/>
    <w:autoRedefine/>
    <w:qFormat/>
    <w:uiPriority w:val="0"/>
    <w:rPr>
      <w:color w:val="000000"/>
      <w:sz w:val="18"/>
    </w:rPr>
  </w:style>
  <w:style w:type="paragraph" w:customStyle="1" w:styleId="954">
    <w:name w:val="_Style 947"/>
    <w:basedOn w:val="1"/>
    <w:next w:val="269"/>
    <w:autoRedefine/>
    <w:qFormat/>
    <w:uiPriority w:val="34"/>
    <w:pPr>
      <w:adjustRightInd/>
      <w:ind w:firstLine="420" w:firstLineChars="200"/>
    </w:pPr>
  </w:style>
  <w:style w:type="paragraph" w:customStyle="1" w:styleId="955">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6">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7">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8">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9">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60">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61">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62">
    <w:name w:val="Table Paragraph"/>
    <w:basedOn w:val="1"/>
    <w:autoRedefine/>
    <w:qFormat/>
    <w:uiPriority w:val="0"/>
    <w:pPr>
      <w:adjustRightInd/>
      <w:jc w:val="left"/>
    </w:pPr>
    <w:rPr>
      <w:rFonts w:ascii="Calibri" w:hAnsi="Calibri"/>
      <w:kern w:val="0"/>
      <w:sz w:val="22"/>
      <w:szCs w:val="22"/>
      <w:lang w:eastAsia="en-US"/>
    </w:rPr>
  </w:style>
  <w:style w:type="paragraph" w:customStyle="1" w:styleId="96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4">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5">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6">
    <w:name w:val="ksfind_class_select1"/>
    <w:basedOn w:val="71"/>
    <w:autoRedefine/>
    <w:qFormat/>
    <w:uiPriority w:val="0"/>
    <w:rPr>
      <w:color w:val="000000"/>
      <w:shd w:val="clear" w:color="auto" w:fill="EFD200"/>
    </w:rPr>
  </w:style>
  <w:style w:type="character" w:customStyle="1" w:styleId="967">
    <w:name w:val="font71"/>
    <w:autoRedefine/>
    <w:qFormat/>
    <w:uiPriority w:val="0"/>
    <w:rPr>
      <w:rFonts w:hint="eastAsia" w:ascii="宋体" w:hAnsi="宋体" w:eastAsia="宋体" w:cs="宋体"/>
      <w:color w:val="000000"/>
      <w:sz w:val="22"/>
      <w:szCs w:val="22"/>
      <w:u w:val="none"/>
    </w:rPr>
  </w:style>
  <w:style w:type="character" w:customStyle="1" w:styleId="968">
    <w:name w:val="font91"/>
    <w:autoRedefine/>
    <w:qFormat/>
    <w:uiPriority w:val="0"/>
    <w:rPr>
      <w:rFonts w:hint="eastAsia" w:ascii="仿宋" w:hAnsi="仿宋" w:eastAsia="仿宋" w:cs="仿宋"/>
      <w:color w:val="000000"/>
      <w:sz w:val="22"/>
      <w:szCs w:val="22"/>
      <w:u w:val="none"/>
    </w:rPr>
  </w:style>
  <w:style w:type="paragraph" w:customStyle="1" w:styleId="969">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70">
    <w:name w:val="表格正文"/>
    <w:basedOn w:val="1"/>
    <w:autoRedefine/>
    <w:qFormat/>
    <w:uiPriority w:val="0"/>
    <w:pPr>
      <w:widowControl/>
      <w:jc w:val="center"/>
    </w:pPr>
    <w:rPr>
      <w:rFonts w:ascii="宋体" w:hAnsi="宋体" w:cs="宋体"/>
      <w:color w:val="000000"/>
      <w:kern w:val="0"/>
      <w:szCs w:val="21"/>
    </w:rPr>
  </w:style>
  <w:style w:type="paragraph" w:customStyle="1" w:styleId="971">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72">
    <w:name w:val="修订6"/>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973">
    <w:name w:val="NormalCharacter"/>
    <w:link w:val="974"/>
    <w:autoRedefine/>
    <w:semiHidden/>
    <w:qFormat/>
    <w:uiPriority w:val="0"/>
    <w:rPr>
      <w:rFonts w:ascii="Times New Roman" w:hAnsi="Times New Roman"/>
    </w:rPr>
  </w:style>
  <w:style w:type="paragraph" w:customStyle="1" w:styleId="974">
    <w:name w:val="UserStyle_26"/>
    <w:basedOn w:val="1"/>
    <w:link w:val="973"/>
    <w:autoRedefine/>
    <w:qFormat/>
    <w:uiPriority w:val="0"/>
    <w:pPr>
      <w:textAlignment w:val="baseline"/>
    </w:pPr>
  </w:style>
  <w:style w:type="character" w:customStyle="1" w:styleId="975">
    <w:name w:val="不明显强调1"/>
    <w:autoRedefine/>
    <w:qFormat/>
    <w:uiPriority w:val="19"/>
    <w:rPr>
      <w:i/>
      <w:iCs/>
    </w:rPr>
  </w:style>
  <w:style w:type="paragraph" w:customStyle="1" w:styleId="976">
    <w:name w:val="列表段落2"/>
    <w:basedOn w:val="1"/>
    <w:autoRedefine/>
    <w:qFormat/>
    <w:uiPriority w:val="99"/>
    <w:pPr>
      <w:ind w:firstLine="420" w:firstLineChars="200"/>
    </w:pPr>
  </w:style>
  <w:style w:type="paragraph" w:customStyle="1" w:styleId="977">
    <w:name w:val="Body text|1"/>
    <w:basedOn w:val="1"/>
    <w:autoRedefine/>
    <w:qFormat/>
    <w:uiPriority w:val="0"/>
    <w:pPr>
      <w:spacing w:line="360" w:lineRule="auto"/>
      <w:ind w:firstLine="400"/>
    </w:pPr>
    <w:rPr>
      <w:rFonts w:ascii="宋体" w:hAnsi="宋体" w:cs="宋体"/>
      <w:sz w:val="22"/>
      <w:lang w:val="zh-TW" w:eastAsia="zh-TW" w:bidi="zh-TW"/>
    </w:rPr>
  </w:style>
  <w:style w:type="character" w:customStyle="1" w:styleId="978">
    <w:name w:val="ql-font-songti"/>
    <w:autoRedefine/>
    <w:qFormat/>
    <w:uiPriority w:val="0"/>
  </w:style>
  <w:style w:type="character" w:customStyle="1" w:styleId="979">
    <w:name w:val="标题 2 Char1"/>
    <w:autoRedefine/>
    <w:qFormat/>
    <w:uiPriority w:val="0"/>
    <w:rPr>
      <w:rFonts w:ascii="仿宋_GB2312" w:hAnsi="仿宋" w:eastAsia="仿宋_GB2312"/>
      <w:b/>
      <w:bCs/>
      <w:sz w:val="32"/>
      <w:szCs w:val="32"/>
      <w:lang w:val="zh-CN"/>
    </w:rPr>
  </w:style>
  <w:style w:type="paragraph" w:customStyle="1" w:styleId="980">
    <w:name w:val="WPSOffice手动目录 1"/>
    <w:autoRedefine/>
    <w:qFormat/>
    <w:uiPriority w:val="0"/>
    <w:rPr>
      <w:rFonts w:ascii="Times New Roman" w:hAnsi="Times New Roman" w:eastAsia="宋体" w:cs="Times New Roman"/>
      <w:lang w:val="en-US" w:eastAsia="zh-CN" w:bidi="ar-SA"/>
    </w:rPr>
  </w:style>
  <w:style w:type="paragraph" w:customStyle="1" w:styleId="98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982">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983">
    <w:name w:val="bookmark-item"/>
    <w:autoRedefine/>
    <w:qFormat/>
    <w:uiPriority w:val="0"/>
  </w:style>
  <w:style w:type="paragraph" w:customStyle="1" w:styleId="984">
    <w:name w:val="Fließtext"/>
    <w:basedOn w:val="1"/>
    <w:autoRedefine/>
    <w:qFormat/>
    <w:uiPriority w:val="0"/>
    <w:pPr>
      <w:overflowPunct w:val="0"/>
      <w:autoSpaceDE w:val="0"/>
      <w:autoSpaceDN w:val="0"/>
      <w:textAlignment w:val="baseline"/>
    </w:pPr>
    <w:rPr>
      <w:kern w:val="28"/>
      <w:szCs w:val="20"/>
    </w:rPr>
  </w:style>
  <w:style w:type="paragraph" w:customStyle="1" w:styleId="985">
    <w:name w:val="LJX段落-楷体"/>
    <w:basedOn w:val="1"/>
    <w:qFormat/>
    <w:uiPriority w:val="0"/>
    <w:pPr>
      <w:spacing w:before="50" w:beforeLines="50" w:line="360" w:lineRule="auto"/>
      <w:ind w:firstLine="200" w:firstLineChars="200"/>
    </w:pPr>
    <w:rPr>
      <w:rFonts w:ascii="Arial" w:hAnsi="Arial" w:eastAsia="仿宋_GB2312"/>
      <w:sz w:val="24"/>
    </w:rPr>
  </w:style>
  <w:style w:type="paragraph" w:customStyle="1" w:styleId="986">
    <w:name w:val="LJX标题3"/>
    <w:basedOn w:val="4"/>
    <w:qFormat/>
    <w:uiPriority w:val="0"/>
    <w:pPr>
      <w:numPr>
        <w:ilvl w:val="0"/>
        <w:numId w:val="1"/>
      </w:numPr>
      <w:pBdr>
        <w:bottom w:val="dashed" w:color="9BBB59" w:sz="6" w:space="1"/>
      </w:pBdr>
      <w:shd w:val="clear" w:color="auto" w:fill="FFFFFF"/>
      <w:spacing w:before="720" w:after="360" w:line="360" w:lineRule="auto"/>
    </w:pPr>
    <w:rPr>
      <w:rFonts w:ascii="Arial" w:hAnsi="Arial"/>
      <w:b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4.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3.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4691D-13B5-4333-B8EF-5E862A7BA6D4}">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86</Pages>
  <Words>2595</Words>
  <Characters>3036</Characters>
  <Lines>267</Lines>
  <Paragraphs>75</Paragraphs>
  <TotalTime>15</TotalTime>
  <ScaleCrop>false</ScaleCrop>
  <LinksUpToDate>false</LinksUpToDate>
  <CharactersWithSpaces>3225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2021-08-01T16:22:00Z</dcterms:created>
  <dc:creator>玥</dc:creator>
  <cp:lastModifiedBy>WPS_1703572104</cp:lastModifiedBy>
  <cp:lastPrinted>2021-12-29T19:06:00Z</cp:lastPrinted>
  <dcterms:modified xsi:type="dcterms:W3CDTF">2025-11-28T06:07:43Z</dcterms:modified>
  <dc:title>杭州市市民卡扩大发卡工程</dc:title>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D9C3D2F449A6481C8C90BBF244A056B8_13</vt:lpwstr>
  </property>
  <property fmtid="{D5CDD505-2E9C-101B-9397-08002B2CF9AE}" pid="5" name="KSOTemplateDocerSaveRecord">
    <vt:lpwstr>eyJoZGlkIjoiY2QzOTU2MTYyMTIwNTM0MmMxNjkzYTJlMmVlOGNmYjIiLCJ1c2VySWQiOiIxNTcwMTU5NDkyIn0=</vt:lpwstr>
  </property>
</Properties>
</file>