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A6F9F">
      <w:pPr>
        <w:spacing w:before="100" w:beforeAutospacing="1" w:after="100" w:afterAutospacing="1" w:line="360" w:lineRule="auto"/>
        <w:jc w:val="center"/>
        <w:outlineLvl w:val="0"/>
        <w:rPr>
          <w:rFonts w:hint="eastAsia" w:ascii="宋体" w:hAnsi="宋体" w:eastAsia="宋体" w:cs="宋体"/>
          <w:b w:val="0"/>
          <w:bCs w:val="0"/>
          <w:color w:val="auto"/>
          <w:sz w:val="32"/>
          <w:szCs w:val="32"/>
          <w:highlight w:val="none"/>
        </w:rPr>
      </w:pPr>
      <w:bookmarkStart w:id="0" w:name="_Toc382549714"/>
      <w:bookmarkStart w:id="1" w:name="_Toc381873670"/>
      <w:bookmarkStart w:id="2" w:name="_Toc382549574"/>
      <w:bookmarkStart w:id="3" w:name="_Toc381873152"/>
      <w:bookmarkStart w:id="4" w:name="_Toc381873894"/>
      <w:bookmarkStart w:id="5" w:name="_Toc19384"/>
      <w:bookmarkStart w:id="6" w:name="_Toc28710"/>
      <w:bookmarkStart w:id="7" w:name="_Toc4028"/>
      <w:bookmarkStart w:id="8" w:name="_Toc27233"/>
      <w:bookmarkStart w:id="9" w:name="_Toc20466"/>
      <w:bookmarkStart w:id="10" w:name="_Toc22935"/>
      <w:bookmarkStart w:id="11" w:name="_Toc8445"/>
      <w:bookmarkStart w:id="12" w:name="_Toc27156"/>
      <w:bookmarkStart w:id="13" w:name="_Toc14223"/>
      <w:bookmarkStart w:id="14" w:name="_Toc4202"/>
      <w:bookmarkStart w:id="15" w:name="_Toc965"/>
      <w:bookmarkStart w:id="16" w:name="_Toc19780"/>
      <w:bookmarkStart w:id="17" w:name="_Toc7398"/>
      <w:bookmarkStart w:id="18" w:name="_Toc18146"/>
      <w:bookmarkStart w:id="19" w:name="_Toc31381"/>
      <w:bookmarkStart w:id="20" w:name="_Toc21710"/>
      <w:bookmarkStart w:id="21" w:name="_Toc2103"/>
      <w:bookmarkStart w:id="22" w:name="_Toc3686"/>
      <w:bookmarkStart w:id="23" w:name="_Toc410"/>
      <w:bookmarkStart w:id="24" w:name="_Toc55"/>
      <w:bookmarkStart w:id="25" w:name="_Toc20128"/>
      <w:bookmarkStart w:id="26" w:name="_Toc7003"/>
      <w:bookmarkStart w:id="27" w:name="_Toc67753490"/>
      <w:r>
        <w:rPr>
          <w:rFonts w:hint="eastAsia" w:ascii="宋体" w:hAnsi="宋体" w:cs="宋体"/>
          <w:b w:val="0"/>
          <w:bCs w:val="0"/>
          <w:color w:val="auto"/>
          <w:sz w:val="32"/>
          <w:szCs w:val="32"/>
          <w:highlight w:val="none"/>
          <w:u w:val="single"/>
          <w:lang w:eastAsia="zh-CN"/>
        </w:rPr>
        <w:t>高邮市甘垛食品冷链科技示范产业园一期工程EPC</w:t>
      </w:r>
      <w:r>
        <w:rPr>
          <w:rFonts w:hint="eastAsia" w:ascii="宋体" w:hAnsi="宋体" w:eastAsia="宋体" w:cs="宋体"/>
          <w:b w:val="0"/>
          <w:bCs w:val="0"/>
          <w:color w:val="auto"/>
          <w:sz w:val="32"/>
          <w:szCs w:val="32"/>
          <w:highlight w:val="none"/>
        </w:rPr>
        <w:t>工程总承包招标</w:t>
      </w:r>
      <w:bookmarkEnd w:id="0"/>
      <w:bookmarkEnd w:id="1"/>
      <w:bookmarkEnd w:id="2"/>
      <w:bookmarkEnd w:id="3"/>
      <w:bookmarkEnd w:id="4"/>
      <w:r>
        <w:rPr>
          <w:rFonts w:hint="eastAsia" w:ascii="宋体" w:hAnsi="宋体" w:eastAsia="宋体" w:cs="宋体"/>
          <w:b w:val="0"/>
          <w:bCs w:val="0"/>
          <w:color w:val="auto"/>
          <w:sz w:val="32"/>
          <w:szCs w:val="32"/>
          <w:highlight w:val="none"/>
        </w:rPr>
        <w:t>资格预审公告</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22B8F2E">
      <w:pPr>
        <w:pStyle w:val="4"/>
        <w:spacing w:line="360" w:lineRule="auto"/>
        <w:rPr>
          <w:rFonts w:hint="eastAsia" w:ascii="宋体" w:hAnsi="宋体" w:eastAsia="宋体" w:cs="宋体"/>
          <w:b/>
          <w:bCs/>
          <w:color w:val="auto"/>
          <w:sz w:val="24"/>
          <w:szCs w:val="24"/>
          <w:highlight w:val="none"/>
        </w:rPr>
      </w:pPr>
      <w:bookmarkStart w:id="28" w:name="_Toc381873153"/>
      <w:bookmarkStart w:id="29" w:name="_Toc381873671"/>
      <w:bookmarkStart w:id="30" w:name="_Toc4293"/>
      <w:bookmarkStart w:id="31" w:name="_Toc23901"/>
      <w:bookmarkStart w:id="32" w:name="_Toc27773"/>
      <w:bookmarkStart w:id="33" w:name="_Toc382549575"/>
      <w:bookmarkStart w:id="34" w:name="_Toc21576"/>
      <w:bookmarkStart w:id="35" w:name="_Toc11755"/>
      <w:bookmarkStart w:id="36" w:name="_Toc67753491"/>
      <w:bookmarkStart w:id="37" w:name="_Toc27663"/>
      <w:bookmarkStart w:id="38" w:name="_Toc28045"/>
      <w:bookmarkStart w:id="39" w:name="_Toc882"/>
      <w:bookmarkStart w:id="40" w:name="_Toc23321"/>
      <w:bookmarkStart w:id="41" w:name="_Toc382549715"/>
      <w:bookmarkStart w:id="42" w:name="_Toc19253"/>
      <w:bookmarkStart w:id="43" w:name="_Toc22574"/>
      <w:bookmarkStart w:id="44" w:name="_Toc27024"/>
      <w:bookmarkStart w:id="45" w:name="_Toc31741"/>
      <w:bookmarkStart w:id="46" w:name="_Toc3918"/>
      <w:bookmarkStart w:id="47" w:name="_Toc22606"/>
      <w:bookmarkStart w:id="48" w:name="_Toc28022"/>
      <w:bookmarkStart w:id="49" w:name="_Toc26276"/>
      <w:bookmarkStart w:id="50" w:name="_Toc2375"/>
      <w:bookmarkStart w:id="51" w:name="_Toc11868"/>
      <w:bookmarkStart w:id="52" w:name="_Toc9375"/>
      <w:bookmarkStart w:id="53" w:name="_Toc381873895"/>
      <w:bookmarkStart w:id="54" w:name="_Toc24776"/>
      <w:bookmarkStart w:id="55" w:name="_Toc3896"/>
      <w:r>
        <w:rPr>
          <w:rFonts w:hint="eastAsia" w:ascii="宋体" w:hAnsi="宋体" w:eastAsia="宋体" w:cs="宋体"/>
          <w:b/>
          <w:bCs/>
          <w:color w:val="auto"/>
          <w:sz w:val="24"/>
          <w:szCs w:val="24"/>
          <w:highlight w:val="none"/>
        </w:rPr>
        <w:t>1. 招标条件</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CEF9A47">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本招标项目</w:t>
      </w:r>
      <w:r>
        <w:rPr>
          <w:rFonts w:hint="eastAsia" w:ascii="宋体" w:hAnsi="宋体" w:cs="宋体"/>
          <w:b/>
          <w:bCs/>
          <w:color w:val="auto"/>
          <w:highlight w:val="none"/>
          <w:u w:val="single"/>
          <w:lang w:eastAsia="zh-CN"/>
        </w:rPr>
        <w:t>甘垛食品冷链科技示范产业园一期工程</w:t>
      </w:r>
      <w:r>
        <w:rPr>
          <w:rFonts w:hint="eastAsia" w:ascii="宋体" w:hAnsi="宋体" w:eastAsia="宋体" w:cs="宋体"/>
          <w:color w:val="auto"/>
          <w:highlight w:val="none"/>
        </w:rPr>
        <w:t>（项目名称）已由</w:t>
      </w:r>
      <w:r>
        <w:rPr>
          <w:rFonts w:hint="eastAsia" w:ascii="宋体" w:hAnsi="宋体" w:eastAsia="宋体" w:cs="宋体"/>
          <w:color w:val="auto"/>
          <w:highlight w:val="none"/>
          <w:u w:val="single"/>
        </w:rPr>
        <w:t>高邮市数据局</w:t>
      </w:r>
      <w:r>
        <w:rPr>
          <w:rFonts w:hint="eastAsia" w:ascii="宋体" w:hAnsi="宋体" w:eastAsia="宋体" w:cs="宋体"/>
          <w:color w:val="auto"/>
          <w:highlight w:val="none"/>
        </w:rPr>
        <w:t>（项目审批、核准或备案机关名称）以</w:t>
      </w:r>
      <w:r>
        <w:rPr>
          <w:rFonts w:hint="eastAsia" w:ascii="宋体" w:hAnsi="宋体" w:eastAsia="宋体" w:cs="宋体"/>
          <w:color w:val="auto"/>
          <w:highlight w:val="none"/>
          <w:u w:val="single"/>
        </w:rPr>
        <w:t>高邮市数据局关于“高邮市甘垛食品冷链科技示范产业园一期项目可行性研究报告”的批复</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邮数据投资发[2026]4号</w:t>
      </w:r>
      <w:r>
        <w:rPr>
          <w:rFonts w:hint="eastAsia" w:ascii="宋体" w:hAnsi="宋体" w:eastAsia="宋体" w:cs="宋体"/>
          <w:color w:val="auto"/>
          <w:highlight w:val="none"/>
        </w:rPr>
        <w:t>（批文名称及编号）批准建设，项目业主为</w:t>
      </w:r>
      <w:r>
        <w:rPr>
          <w:rFonts w:hint="eastAsia" w:ascii="宋体" w:hAnsi="宋体" w:eastAsia="宋体" w:cs="宋体"/>
          <w:color w:val="auto"/>
          <w:highlight w:val="none"/>
          <w:u w:val="single"/>
        </w:rPr>
        <w:t>江苏众储冷链物流有限公司</w:t>
      </w:r>
      <w:r>
        <w:rPr>
          <w:rFonts w:hint="eastAsia" w:ascii="宋体" w:hAnsi="宋体" w:eastAsia="宋体" w:cs="宋体"/>
          <w:color w:val="auto"/>
          <w:highlight w:val="none"/>
        </w:rPr>
        <w:t>，招标人为</w:t>
      </w:r>
      <w:r>
        <w:rPr>
          <w:rFonts w:hint="eastAsia" w:ascii="宋体" w:hAnsi="宋体" w:eastAsia="宋体" w:cs="宋体"/>
          <w:color w:val="auto"/>
          <w:highlight w:val="none"/>
          <w:u w:val="single"/>
        </w:rPr>
        <w:t>江苏众储冷链物流有限公司</w:t>
      </w:r>
      <w:r>
        <w:rPr>
          <w:rFonts w:hint="eastAsia" w:ascii="宋体" w:hAnsi="宋体" w:eastAsia="宋体" w:cs="宋体"/>
          <w:color w:val="auto"/>
          <w:highlight w:val="none"/>
          <w:u w:val="none"/>
        </w:rPr>
        <w:t>，</w:t>
      </w:r>
      <w:r>
        <w:rPr>
          <w:rFonts w:hint="eastAsia" w:ascii="宋体" w:hAnsi="宋体" w:eastAsia="宋体" w:cs="宋体"/>
          <w:color w:val="auto"/>
          <w:highlight w:val="none"/>
        </w:rPr>
        <w:t>建设资金来自</w:t>
      </w:r>
      <w:r>
        <w:rPr>
          <w:rFonts w:hint="eastAsia" w:ascii="宋体" w:hAnsi="宋体" w:eastAsia="宋体" w:cs="宋体"/>
          <w:color w:val="auto"/>
          <w:highlight w:val="none"/>
          <w:u w:val="single"/>
        </w:rPr>
        <w:t>企业投资（资金来源）</w:t>
      </w:r>
      <w:r>
        <w:rPr>
          <w:rFonts w:hint="eastAsia" w:ascii="宋体" w:hAnsi="宋体" w:eastAsia="宋体" w:cs="宋体"/>
          <w:color w:val="auto"/>
          <w:highlight w:val="none"/>
        </w:rPr>
        <w:t>，项目出资比例为</w:t>
      </w:r>
      <w:r>
        <w:rPr>
          <w:rFonts w:hint="eastAsia" w:ascii="宋体" w:hAnsi="宋体" w:eastAsia="宋体" w:cs="宋体"/>
          <w:color w:val="auto"/>
          <w:highlight w:val="none"/>
          <w:u w:val="single"/>
        </w:rPr>
        <w:t>其他国有85%，私有资金15%</w:t>
      </w:r>
      <w:r>
        <w:rPr>
          <w:rFonts w:hint="eastAsia" w:ascii="宋体" w:hAnsi="宋体" w:eastAsia="宋体" w:cs="宋体"/>
          <w:color w:val="auto"/>
          <w:highlight w:val="none"/>
        </w:rPr>
        <w:t>。项目建设采用：</w:t>
      </w:r>
      <w:r>
        <w:rPr>
          <w:rFonts w:hint="eastAsia" w:ascii="宋体" w:hAnsi="宋体" w:cs="宋体"/>
          <w:color w:val="auto"/>
          <w:highlight w:val="none"/>
          <w:u w:val="single"/>
          <w:lang w:eastAsia="zh-CN"/>
        </w:rPr>
        <w:t>☑</w:t>
      </w:r>
      <w:r>
        <w:rPr>
          <w:rFonts w:hint="eastAsia" w:ascii="宋体" w:hAnsi="宋体" w:eastAsia="宋体" w:cs="宋体"/>
          <w:color w:val="auto"/>
          <w:highlight w:val="none"/>
        </w:rPr>
        <w:t>自建、</w:t>
      </w:r>
      <w:r>
        <w:rPr>
          <w:rFonts w:hint="eastAsia" w:ascii="宋体" w:hAnsi="宋体" w:eastAsia="宋体" w:cs="宋体"/>
          <w:color w:val="auto"/>
          <w:highlight w:val="none"/>
          <w:u w:val="single"/>
        </w:rPr>
        <w:t>□</w:t>
      </w:r>
      <w:r>
        <w:rPr>
          <w:rFonts w:hint="eastAsia" w:ascii="宋体" w:hAnsi="宋体" w:eastAsia="宋体" w:cs="宋体"/>
          <w:color w:val="auto"/>
          <w:highlight w:val="none"/>
        </w:rPr>
        <w:t>代建、</w:t>
      </w:r>
      <w:r>
        <w:rPr>
          <w:rFonts w:hint="eastAsia" w:ascii="宋体" w:hAnsi="宋体" w:cs="宋体"/>
          <w:color w:val="auto"/>
          <w:highlight w:val="none"/>
          <w:u w:val="single"/>
          <w:lang w:eastAsia="zh-CN"/>
        </w:rPr>
        <w:t>□</w:t>
      </w:r>
      <w:r>
        <w:rPr>
          <w:rFonts w:hint="eastAsia" w:ascii="宋体" w:hAnsi="宋体" w:eastAsia="宋体" w:cs="宋体"/>
          <w:color w:val="auto"/>
          <w:highlight w:val="none"/>
        </w:rPr>
        <w:t>集中建设。项目已具备招标条件，现对该项目</w:t>
      </w:r>
      <w:r>
        <w:rPr>
          <w:rFonts w:hint="eastAsia" w:ascii="宋体" w:hAnsi="宋体" w:cs="宋体"/>
          <w:color w:val="auto"/>
          <w:highlight w:val="none"/>
          <w:u w:val="single"/>
          <w:lang w:eastAsia="zh-CN"/>
        </w:rPr>
        <w:t>高邮市甘垛食品冷链科技示范产业园一期工程EPC</w:t>
      </w:r>
      <w:r>
        <w:rPr>
          <w:rFonts w:hint="eastAsia" w:ascii="宋体" w:hAnsi="宋体" w:cs="宋体"/>
          <w:color w:val="auto"/>
          <w:highlight w:val="none"/>
          <w:u w:val="single"/>
          <w:lang w:val="en-US" w:eastAsia="zh-CN"/>
        </w:rPr>
        <w:t>工程总承包</w:t>
      </w:r>
      <w:r>
        <w:rPr>
          <w:rFonts w:hint="eastAsia" w:ascii="宋体" w:hAnsi="宋体" w:eastAsia="宋体" w:cs="宋体"/>
          <w:color w:val="auto"/>
          <w:highlight w:val="none"/>
          <w:u w:val="single"/>
        </w:rPr>
        <w:t>（</w:t>
      </w:r>
      <w:r>
        <w:rPr>
          <w:rFonts w:hint="eastAsia" w:ascii="宋体" w:hAnsi="宋体" w:eastAsia="宋体" w:cs="宋体"/>
          <w:color w:val="auto"/>
          <w:highlight w:val="none"/>
        </w:rPr>
        <w:t>标段）的工程总承包进行公开招标。</w:t>
      </w:r>
    </w:p>
    <w:p w14:paraId="3506FF26">
      <w:pPr>
        <w:adjustRightInd w:val="0"/>
        <w:snapToGrid w:val="0"/>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sz w:val="21"/>
          <w:szCs w:val="24"/>
          <w:highlight w:val="none"/>
          <w:u w:val="single"/>
          <w:lang w:eastAsia="zh-CN"/>
        </w:rPr>
        <w:t>江苏志诚工程咨询管理有限公司</w:t>
      </w:r>
      <w:r>
        <w:rPr>
          <w:rFonts w:hint="eastAsia" w:ascii="宋体" w:hAnsi="宋体" w:eastAsia="宋体" w:cs="宋体"/>
          <w:color w:val="auto"/>
          <w:sz w:val="21"/>
          <w:szCs w:val="24"/>
          <w:highlight w:val="none"/>
        </w:rPr>
        <w:t>受招标人的委托具体负责本工程的招标事宜。</w:t>
      </w:r>
    </w:p>
    <w:p w14:paraId="5CF6EC87">
      <w:pPr>
        <w:pStyle w:val="4"/>
        <w:spacing w:line="360" w:lineRule="auto"/>
        <w:rPr>
          <w:rFonts w:hint="eastAsia" w:ascii="宋体" w:hAnsi="宋体" w:eastAsia="宋体" w:cs="宋体"/>
          <w:b/>
          <w:bCs/>
          <w:color w:val="auto"/>
          <w:sz w:val="24"/>
          <w:szCs w:val="24"/>
          <w:highlight w:val="none"/>
        </w:rPr>
      </w:pPr>
      <w:bookmarkStart w:id="56" w:name="_Toc9545"/>
      <w:bookmarkStart w:id="57" w:name="_Toc8517"/>
      <w:bookmarkStart w:id="58" w:name="_Toc67753492"/>
      <w:bookmarkStart w:id="59" w:name="_Toc21936"/>
      <w:bookmarkStart w:id="60" w:name="_Toc8588"/>
      <w:bookmarkStart w:id="61" w:name="_Toc17136"/>
      <w:bookmarkStart w:id="62" w:name="_Toc25530"/>
      <w:bookmarkStart w:id="63" w:name="_Toc21077"/>
      <w:bookmarkStart w:id="64" w:name="_Toc7857"/>
      <w:bookmarkStart w:id="65" w:name="_Toc4184"/>
      <w:bookmarkStart w:id="66" w:name="_Toc28481"/>
      <w:bookmarkStart w:id="67" w:name="_Toc21007"/>
      <w:bookmarkStart w:id="68" w:name="_Toc24072"/>
      <w:bookmarkStart w:id="69" w:name="_Toc9169"/>
      <w:bookmarkStart w:id="70" w:name="_Toc24770"/>
      <w:bookmarkStart w:id="71" w:name="_Toc26949"/>
      <w:bookmarkStart w:id="72" w:name="_Toc8703"/>
      <w:bookmarkStart w:id="73" w:name="_Toc13848"/>
      <w:bookmarkStart w:id="74" w:name="_Toc9323"/>
      <w:bookmarkStart w:id="75" w:name="_Toc28645"/>
      <w:bookmarkStart w:id="76" w:name="_Toc25887"/>
      <w:bookmarkStart w:id="77" w:name="_Toc13279"/>
      <w:bookmarkStart w:id="78" w:name="_Toc17056"/>
      <w:r>
        <w:rPr>
          <w:rFonts w:hint="eastAsia" w:ascii="宋体" w:hAnsi="宋体" w:eastAsia="宋体" w:cs="宋体"/>
          <w:b/>
          <w:bCs/>
          <w:color w:val="auto"/>
          <w:sz w:val="24"/>
          <w:szCs w:val="24"/>
          <w:highlight w:val="none"/>
        </w:rPr>
        <w:t>2. 项目概况与招标范围</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4E1B6FBF">
      <w:pPr>
        <w:adjustRightInd w:val="0"/>
        <w:snapToGrid w:val="0"/>
        <w:spacing w:line="360" w:lineRule="auto"/>
        <w:ind w:firstLine="105" w:firstLineChars="50"/>
        <w:rPr>
          <w:rFonts w:hint="eastAsia" w:ascii="宋体" w:hAnsi="宋体" w:eastAsia="宋体" w:cs="宋体"/>
          <w:color w:val="auto"/>
          <w:highlight w:val="none"/>
        </w:rPr>
      </w:pPr>
      <w:bookmarkStart w:id="79" w:name="_Toc381873896"/>
      <w:bookmarkStart w:id="80" w:name="_Toc381873672"/>
      <w:bookmarkStart w:id="81" w:name="_Toc381873154"/>
      <w:bookmarkStart w:id="82" w:name="_Toc382549576"/>
      <w:bookmarkStart w:id="83" w:name="_Toc382549716"/>
      <w:r>
        <w:rPr>
          <w:rFonts w:hint="eastAsia" w:ascii="宋体" w:hAnsi="宋体" w:eastAsia="宋体" w:cs="宋体"/>
          <w:color w:val="auto"/>
          <w:highlight w:val="none"/>
        </w:rPr>
        <w:t>2.1项目概况</w:t>
      </w:r>
    </w:p>
    <w:p w14:paraId="6497F0B7">
      <w:pPr>
        <w:adjustRightInd w:val="0"/>
        <w:snapToGrid w:val="0"/>
        <w:spacing w:line="360" w:lineRule="auto"/>
        <w:ind w:firstLine="420" w:firstLineChars="200"/>
        <w:rPr>
          <w:rFonts w:hint="eastAsia" w:ascii="宋体" w:hAnsi="宋体" w:eastAsia="宋体" w:cs="宋体"/>
          <w:color w:val="auto"/>
          <w:highlight w:val="none"/>
          <w:u w:val="single"/>
          <w:lang w:eastAsia="zh-CN"/>
        </w:rPr>
      </w:pPr>
      <w:r>
        <w:rPr>
          <w:rFonts w:hint="eastAsia" w:ascii="宋体" w:hAnsi="宋体" w:cs="宋体"/>
          <w:color w:val="auto"/>
          <w:highlight w:val="none"/>
        </w:rPr>
        <w:t>2.1.1建设地点：</w:t>
      </w:r>
      <w:r>
        <w:rPr>
          <w:rFonts w:hint="eastAsia" w:ascii="宋体" w:hAnsi="宋体" w:cs="宋体"/>
          <w:color w:val="auto"/>
          <w:highlight w:val="none"/>
          <w:u w:val="single"/>
          <w:lang w:eastAsia="zh-CN"/>
        </w:rPr>
        <w:t>高邮市甘垛镇工业集中区华尔路北侧、经三路东侧</w:t>
      </w:r>
    </w:p>
    <w:p w14:paraId="34BAAE89">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2.1.2建设规模：</w:t>
      </w:r>
      <w:r>
        <w:rPr>
          <w:rFonts w:hint="eastAsia" w:ascii="宋体" w:hAnsi="宋体" w:cs="宋体"/>
          <w:color w:val="auto"/>
          <w:highlight w:val="none"/>
          <w:u w:val="single"/>
        </w:rPr>
        <w:t>该项目</w:t>
      </w:r>
      <w:r>
        <w:rPr>
          <w:rFonts w:hint="eastAsia" w:ascii="宋体" w:hAnsi="宋体" w:cs="宋体"/>
          <w:color w:val="auto"/>
          <w:highlight w:val="none"/>
          <w:u w:val="single"/>
          <w:lang w:eastAsia="zh-CN"/>
        </w:rPr>
        <w:t>主要在用地规划红线范围内新建自动化立体冷库、冷冻库、一件代发区和分拣区、干仓以及办公管理用房等设施</w:t>
      </w:r>
      <w:r>
        <w:rPr>
          <w:rFonts w:hint="eastAsia" w:ascii="宋体" w:hAnsi="宋体" w:cs="宋体"/>
          <w:color w:val="auto"/>
          <w:highlight w:val="none"/>
          <w:u w:val="single"/>
        </w:rPr>
        <w:t>，总建筑面积约</w:t>
      </w:r>
      <w:r>
        <w:rPr>
          <w:rFonts w:hint="eastAsia" w:ascii="宋体" w:hAnsi="宋体" w:cs="宋体"/>
          <w:color w:val="auto"/>
          <w:highlight w:val="none"/>
          <w:u w:val="single"/>
          <w:lang w:val="en-US" w:eastAsia="zh-CN"/>
        </w:rPr>
        <w:t>30148.56</w:t>
      </w:r>
      <w:r>
        <w:rPr>
          <w:rFonts w:hint="eastAsia" w:ascii="宋体" w:hAnsi="宋体" w:cs="宋体"/>
          <w:color w:val="auto"/>
          <w:highlight w:val="none"/>
          <w:u w:val="single"/>
        </w:rPr>
        <w:t>平方米(计容面积</w:t>
      </w:r>
      <w:r>
        <w:rPr>
          <w:rFonts w:hint="eastAsia" w:ascii="宋体" w:hAnsi="宋体" w:cs="宋体"/>
          <w:color w:val="auto"/>
          <w:highlight w:val="none"/>
          <w:u w:val="single"/>
          <w:lang w:val="en-US" w:eastAsia="zh-CN"/>
        </w:rPr>
        <w:t>63777.56</w:t>
      </w:r>
      <w:r>
        <w:rPr>
          <w:rFonts w:hint="eastAsia" w:ascii="宋体" w:hAnsi="宋体" w:cs="宋体"/>
          <w:color w:val="auto"/>
          <w:highlight w:val="none"/>
          <w:u w:val="single"/>
        </w:rPr>
        <w:t>平方米)</w:t>
      </w:r>
      <w:r>
        <w:rPr>
          <w:rFonts w:hint="eastAsia" w:ascii="宋体" w:hAnsi="宋体" w:cs="宋体"/>
          <w:color w:val="auto"/>
          <w:highlight w:val="none"/>
          <w:u w:val="single"/>
          <w:lang w:eastAsia="zh-CN"/>
        </w:rPr>
        <w:t>。</w:t>
      </w:r>
      <w:r>
        <w:rPr>
          <w:rFonts w:hint="eastAsia" w:ascii="宋体" w:hAnsi="宋体" w:cs="宋体"/>
          <w:color w:val="auto"/>
          <w:highlight w:val="none"/>
          <w:u w:val="single"/>
        </w:rPr>
        <w:t>功能包括全自动化立体库（-25℃）、高架冷藏库（-25℃）、变温冷藏库（-25℃/0℃）、阴凉库（18℃~25℃）、分拣区、穿堂、配套设备用房及其他生产业务辅助用房。1#冷库建筑面积约</w:t>
      </w:r>
      <w:r>
        <w:rPr>
          <w:rFonts w:hint="eastAsia" w:ascii="宋体" w:hAnsi="宋体" w:cs="宋体"/>
          <w:color w:val="auto"/>
          <w:highlight w:val="none"/>
          <w:u w:val="single"/>
          <w:lang w:val="en-US" w:eastAsia="zh-CN"/>
        </w:rPr>
        <w:t>3134.51</w:t>
      </w:r>
      <w:r>
        <w:rPr>
          <w:rFonts w:hint="eastAsia" w:ascii="宋体" w:hAnsi="宋体" w:cs="宋体"/>
          <w:color w:val="auto"/>
          <w:highlight w:val="none"/>
          <w:u w:val="single"/>
        </w:rPr>
        <w:t>平方米,2#冷库建筑面积约</w:t>
      </w:r>
      <w:r>
        <w:rPr>
          <w:rFonts w:hint="eastAsia" w:ascii="宋体" w:hAnsi="宋体" w:cs="宋体"/>
          <w:color w:val="auto"/>
          <w:highlight w:val="none"/>
          <w:u w:val="single"/>
          <w:lang w:val="en-US" w:eastAsia="zh-CN"/>
        </w:rPr>
        <w:t>26978.55</w:t>
      </w:r>
      <w:r>
        <w:rPr>
          <w:rFonts w:hint="eastAsia" w:ascii="宋体" w:hAnsi="宋体" w:cs="宋体"/>
          <w:color w:val="auto"/>
          <w:highlight w:val="none"/>
          <w:u w:val="single"/>
        </w:rPr>
        <w:t>平方米，门卫建筑面积35</w:t>
      </w:r>
      <w:r>
        <w:rPr>
          <w:rFonts w:hint="eastAsia" w:ascii="宋体" w:hAnsi="宋体" w:cs="宋体"/>
          <w:color w:val="auto"/>
          <w:highlight w:val="none"/>
          <w:u w:val="single"/>
          <w:lang w:val="en-US" w:eastAsia="zh-CN"/>
        </w:rPr>
        <w:t>.5</w:t>
      </w:r>
      <w:r>
        <w:rPr>
          <w:rFonts w:hint="eastAsia" w:ascii="宋体" w:hAnsi="宋体" w:cs="宋体"/>
          <w:color w:val="auto"/>
          <w:highlight w:val="none"/>
          <w:u w:val="single"/>
        </w:rPr>
        <w:t>平方米，道路停车场9230平方米，配套建设室外雨污水管网、强弱电力管网等其他附属设施工程。</w:t>
      </w:r>
    </w:p>
    <w:p w14:paraId="5A6B1494">
      <w:pPr>
        <w:adjustRightInd w:val="0"/>
        <w:snapToGrid w:val="0"/>
        <w:spacing w:line="360" w:lineRule="auto"/>
        <w:ind w:firstLine="420" w:firstLineChars="200"/>
        <w:rPr>
          <w:rFonts w:hint="default" w:ascii="宋体" w:hAnsi="宋体" w:eastAsia="宋体" w:cs="宋体"/>
          <w:color w:val="auto"/>
          <w:highlight w:val="none"/>
          <w:u w:val="single"/>
          <w:lang w:val="en-US" w:eastAsia="zh-CN"/>
        </w:rPr>
      </w:pPr>
      <w:r>
        <w:rPr>
          <w:rFonts w:hint="eastAsia" w:ascii="宋体" w:hAnsi="宋体" w:cs="宋体"/>
          <w:color w:val="auto"/>
          <w:highlight w:val="none"/>
        </w:rPr>
        <w:t>2.1.3合同估算价：</w:t>
      </w:r>
      <w:r>
        <w:rPr>
          <w:rFonts w:hint="eastAsia" w:ascii="宋体" w:hAnsi="宋体" w:cs="宋体"/>
          <w:color w:val="auto"/>
          <w:highlight w:val="none"/>
          <w:u w:val="single"/>
          <w:lang w:val="en-US" w:eastAsia="zh-CN"/>
        </w:rPr>
        <w:t>20381.85万元（其中设计费359.8万元）</w:t>
      </w:r>
    </w:p>
    <w:p w14:paraId="59B7DD7D">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2.1.4总</w:t>
      </w:r>
      <w:r>
        <w:rPr>
          <w:rFonts w:hint="eastAsia" w:ascii="宋体" w:hAnsi="宋体" w:cs="宋体"/>
          <w:color w:val="auto"/>
          <w:highlight w:val="none"/>
          <w:lang w:val="en-US" w:eastAsia="zh-CN"/>
        </w:rPr>
        <w:t>工期</w:t>
      </w:r>
      <w:r>
        <w:rPr>
          <w:rFonts w:hint="eastAsia" w:ascii="宋体" w:hAnsi="宋体" w:cs="宋体"/>
          <w:color w:val="auto"/>
          <w:highlight w:val="none"/>
        </w:rPr>
        <w:t>要求：</w:t>
      </w:r>
      <w:r>
        <w:rPr>
          <w:rFonts w:hint="eastAsia" w:ascii="宋体" w:hAnsi="宋体" w:cs="宋体"/>
          <w:color w:val="auto"/>
          <w:highlight w:val="none"/>
          <w:u w:val="single"/>
          <w:lang w:val="en-US" w:eastAsia="zh-CN"/>
        </w:rPr>
        <w:t>245</w:t>
      </w:r>
      <w:r>
        <w:rPr>
          <w:rFonts w:hint="eastAsia" w:ascii="宋体" w:hAnsi="宋体" w:cs="宋体"/>
          <w:color w:val="auto"/>
          <w:highlight w:val="none"/>
        </w:rPr>
        <w:t>日历天。</w:t>
      </w:r>
    </w:p>
    <w:p w14:paraId="4E0AD290">
      <w:pPr>
        <w:adjustRightInd w:val="0"/>
        <w:snapToGrid w:val="0"/>
        <w:spacing w:line="360" w:lineRule="auto"/>
        <w:ind w:firstLine="1050" w:firstLineChars="500"/>
        <w:rPr>
          <w:rFonts w:ascii="宋体" w:hAnsi="宋体" w:cs="宋体"/>
          <w:color w:val="auto"/>
          <w:highlight w:val="none"/>
        </w:rPr>
      </w:pPr>
      <w:r>
        <w:rPr>
          <w:rFonts w:hint="eastAsia" w:ascii="宋体" w:hAnsi="宋体" w:cs="宋体"/>
          <w:color w:val="auto"/>
          <w:highlight w:val="none"/>
        </w:rPr>
        <w:t>其中：</w:t>
      </w:r>
    </w:p>
    <w:p w14:paraId="2A0FA95E">
      <w:pPr>
        <w:adjustRightInd w:val="0"/>
        <w:snapToGrid w:val="0"/>
        <w:spacing w:line="360" w:lineRule="auto"/>
        <w:ind w:firstLine="1050" w:firstLineChars="500"/>
        <w:rPr>
          <w:rFonts w:ascii="宋体" w:hAnsi="宋体" w:cs="宋体"/>
          <w:color w:val="auto"/>
          <w:highlight w:val="none"/>
        </w:rPr>
      </w:pPr>
      <w:r>
        <w:rPr>
          <w:rFonts w:hint="eastAsia" w:ascii="宋体" w:hAnsi="宋体" w:cs="宋体"/>
          <w:color w:val="auto"/>
          <w:highlight w:val="none"/>
        </w:rPr>
        <w:t>设计开工日期：</w:t>
      </w:r>
      <w:r>
        <w:rPr>
          <w:rFonts w:hint="eastAsia" w:ascii="宋体" w:hAnsi="宋体" w:cs="宋体"/>
          <w:color w:val="auto"/>
          <w:highlight w:val="none"/>
          <w:u w:val="single"/>
          <w:lang w:val="en-US" w:eastAsia="zh-CN"/>
        </w:rPr>
        <w:t>2026</w:t>
      </w:r>
      <w:r>
        <w:rPr>
          <w:rFonts w:hint="eastAsia" w:ascii="宋体" w:hAnsi="宋体" w:cs="宋体"/>
          <w:color w:val="auto"/>
          <w:highlight w:val="none"/>
        </w:rPr>
        <w:t>年</w:t>
      </w:r>
      <w:r>
        <w:rPr>
          <w:rFonts w:hint="eastAsia" w:ascii="宋体" w:hAnsi="宋体" w:cs="宋体"/>
          <w:color w:val="auto"/>
          <w:highlight w:val="none"/>
          <w:u w:val="single"/>
          <w:lang w:val="en-US" w:eastAsia="zh-CN"/>
        </w:rPr>
        <w:t>4</w:t>
      </w:r>
      <w:r>
        <w:rPr>
          <w:rFonts w:hint="eastAsia" w:ascii="宋体" w:hAnsi="宋体" w:cs="宋体"/>
          <w:color w:val="auto"/>
          <w:highlight w:val="none"/>
        </w:rPr>
        <w:t>月</w:t>
      </w:r>
      <w:r>
        <w:rPr>
          <w:rFonts w:hint="eastAsia" w:ascii="宋体" w:hAnsi="宋体" w:cs="宋体"/>
          <w:color w:val="auto"/>
          <w:highlight w:val="none"/>
          <w:u w:val="single"/>
          <w:lang w:val="en-US" w:eastAsia="zh-CN"/>
        </w:rPr>
        <w:t>30</w:t>
      </w:r>
      <w:r>
        <w:rPr>
          <w:rFonts w:hint="eastAsia" w:ascii="宋体" w:hAnsi="宋体" w:cs="宋体"/>
          <w:color w:val="auto"/>
          <w:highlight w:val="none"/>
        </w:rPr>
        <w:t>日</w:t>
      </w:r>
    </w:p>
    <w:p w14:paraId="31AD3E4A">
      <w:pPr>
        <w:adjustRightInd w:val="0"/>
        <w:snapToGrid w:val="0"/>
        <w:spacing w:line="360" w:lineRule="auto"/>
        <w:ind w:firstLine="1050" w:firstLineChars="500"/>
        <w:rPr>
          <w:rFonts w:ascii="宋体" w:hAnsi="宋体" w:cs="宋体"/>
          <w:color w:val="auto"/>
          <w:highlight w:val="none"/>
          <w:u w:val="single"/>
        </w:rPr>
      </w:pPr>
      <w:r>
        <w:rPr>
          <w:rFonts w:hint="eastAsia" w:ascii="宋体" w:hAnsi="宋体" w:cs="宋体"/>
          <w:color w:val="auto"/>
          <w:highlight w:val="none"/>
        </w:rPr>
        <w:t>施工开工日期：</w:t>
      </w:r>
      <w:r>
        <w:rPr>
          <w:rFonts w:hint="eastAsia" w:ascii="宋体" w:hAnsi="宋体" w:cs="宋体"/>
          <w:color w:val="auto"/>
          <w:highlight w:val="none"/>
          <w:u w:val="single"/>
          <w:lang w:val="en-US" w:eastAsia="zh-CN"/>
        </w:rPr>
        <w:t>2026</w:t>
      </w:r>
      <w:r>
        <w:rPr>
          <w:rFonts w:hint="eastAsia" w:ascii="宋体" w:hAnsi="宋体" w:cs="宋体"/>
          <w:color w:val="auto"/>
          <w:highlight w:val="none"/>
        </w:rPr>
        <w:t>年</w:t>
      </w:r>
      <w:r>
        <w:rPr>
          <w:rFonts w:hint="eastAsia" w:ascii="宋体" w:hAnsi="宋体" w:cs="宋体"/>
          <w:color w:val="auto"/>
          <w:highlight w:val="none"/>
          <w:u w:val="single"/>
          <w:lang w:val="en-US" w:eastAsia="zh-CN"/>
        </w:rPr>
        <w:t>5</w:t>
      </w:r>
      <w:r>
        <w:rPr>
          <w:rFonts w:hint="eastAsia" w:ascii="宋体" w:hAnsi="宋体" w:cs="宋体"/>
          <w:color w:val="auto"/>
          <w:highlight w:val="none"/>
        </w:rPr>
        <w:t>月</w:t>
      </w:r>
      <w:r>
        <w:rPr>
          <w:rFonts w:hint="eastAsia" w:ascii="宋体" w:hAnsi="宋体" w:cs="宋体"/>
          <w:color w:val="auto"/>
          <w:highlight w:val="none"/>
          <w:u w:val="single"/>
          <w:lang w:val="en-US" w:eastAsia="zh-CN"/>
        </w:rPr>
        <w:t>30</w:t>
      </w:r>
      <w:r>
        <w:rPr>
          <w:rFonts w:hint="eastAsia" w:ascii="宋体" w:hAnsi="宋体" w:cs="宋体"/>
          <w:color w:val="auto"/>
          <w:highlight w:val="none"/>
        </w:rPr>
        <w:t>日</w:t>
      </w:r>
    </w:p>
    <w:p w14:paraId="4E4FE1B6">
      <w:pPr>
        <w:adjustRightInd w:val="0"/>
        <w:snapToGrid w:val="0"/>
        <w:spacing w:line="360" w:lineRule="auto"/>
        <w:ind w:firstLine="1050" w:firstLineChars="500"/>
        <w:rPr>
          <w:rFonts w:hint="eastAsia" w:ascii="宋体" w:hAnsi="宋体" w:cs="宋体"/>
          <w:color w:val="auto"/>
          <w:highlight w:val="none"/>
        </w:rPr>
      </w:pPr>
      <w:r>
        <w:rPr>
          <w:rFonts w:hint="eastAsia" w:ascii="宋体" w:hAnsi="宋体" w:cs="宋体"/>
          <w:color w:val="auto"/>
          <w:highlight w:val="none"/>
        </w:rPr>
        <w:t>工程竣工日期：</w:t>
      </w:r>
      <w:r>
        <w:rPr>
          <w:rFonts w:hint="eastAsia" w:ascii="宋体" w:hAnsi="宋体" w:cs="宋体"/>
          <w:color w:val="auto"/>
          <w:highlight w:val="none"/>
          <w:u w:val="single"/>
          <w:lang w:val="en-US" w:eastAsia="zh-CN"/>
        </w:rPr>
        <w:t>2026</w:t>
      </w:r>
      <w:r>
        <w:rPr>
          <w:rFonts w:hint="eastAsia" w:ascii="宋体" w:hAnsi="宋体" w:cs="宋体"/>
          <w:color w:val="auto"/>
          <w:highlight w:val="none"/>
        </w:rPr>
        <w:t>年</w:t>
      </w:r>
      <w:r>
        <w:rPr>
          <w:rFonts w:hint="eastAsia" w:ascii="宋体" w:hAnsi="宋体" w:cs="宋体"/>
          <w:color w:val="auto"/>
          <w:highlight w:val="none"/>
          <w:u w:val="single"/>
          <w:lang w:val="en-US" w:eastAsia="zh-CN"/>
        </w:rPr>
        <w:t>12</w:t>
      </w:r>
      <w:r>
        <w:rPr>
          <w:rFonts w:hint="eastAsia" w:ascii="宋体" w:hAnsi="宋体" w:cs="宋体"/>
          <w:color w:val="auto"/>
          <w:highlight w:val="none"/>
        </w:rPr>
        <w:t>月</w:t>
      </w:r>
      <w:r>
        <w:rPr>
          <w:rFonts w:hint="eastAsia" w:ascii="宋体" w:hAnsi="宋体" w:cs="宋体"/>
          <w:color w:val="auto"/>
          <w:highlight w:val="none"/>
          <w:u w:val="single"/>
          <w:lang w:val="en-US" w:eastAsia="zh-CN"/>
        </w:rPr>
        <w:t>30</w:t>
      </w:r>
      <w:r>
        <w:rPr>
          <w:rFonts w:hint="eastAsia" w:ascii="宋体" w:hAnsi="宋体" w:cs="宋体"/>
          <w:color w:val="auto"/>
          <w:highlight w:val="none"/>
        </w:rPr>
        <w:t>日</w:t>
      </w:r>
    </w:p>
    <w:p w14:paraId="52EE8DFA">
      <w:pPr>
        <w:adjustRightInd w:val="0"/>
        <w:snapToGrid w:val="0"/>
        <w:spacing w:line="360" w:lineRule="auto"/>
        <w:ind w:firstLine="0" w:firstLineChars="0"/>
        <w:rPr>
          <w:rFonts w:hint="default" w:ascii="宋体" w:hAnsi="宋体" w:eastAsia="宋体" w:cs="宋体"/>
          <w:color w:val="auto"/>
          <w:highlight w:val="none"/>
          <w:u w:val="single"/>
          <w:lang w:val="en-US" w:eastAsia="zh-CN"/>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2.1.5 </w:t>
      </w:r>
      <w:r>
        <w:rPr>
          <w:rFonts w:hint="eastAsia" w:ascii="宋体" w:hAnsi="宋体" w:cs="宋体"/>
          <w:color w:val="auto"/>
          <w:highlight w:val="none"/>
          <w:lang w:val="en-US" w:eastAsia="zh-CN"/>
        </w:rPr>
        <w:t>质量要求：</w:t>
      </w:r>
      <w:r>
        <w:rPr>
          <w:rFonts w:hint="eastAsia" w:ascii="宋体" w:hAnsi="宋体" w:cs="宋体"/>
          <w:color w:val="auto"/>
          <w:highlight w:val="none"/>
          <w:u w:val="single"/>
          <w:shd w:val="clear" w:color="auto" w:fill="auto"/>
          <w:lang w:val="en-US" w:eastAsia="zh-CN"/>
        </w:rPr>
        <w:t>设计质量标准：方案设计、初步设计（含概算）、专业深化设计和施工图设计质量必须达到有关规范要求，并须通过招标人认可及有关部门组织的论证、审查。施工质量标准：施工质量符合设计图纸、国家有关标准规范要求，工程质量达到国家及行业、地方现行施工验收规范合格标准。采购质量标准：工程所有材料、物资（设备、构配件等）必须为节能环保产品，采购产品质量等级需符合有关标准规范及招标人的要求，合格率达到100%。工程所有材料、物资（设备、构配件等）采购质量需符合有关标准规范的要求，合格率达到100%。</w:t>
      </w:r>
    </w:p>
    <w:p w14:paraId="0AFAC3BA">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6</w:t>
      </w:r>
      <w:r>
        <w:rPr>
          <w:rFonts w:hint="eastAsia" w:ascii="宋体" w:hAnsi="宋体" w:cs="宋体"/>
          <w:color w:val="auto"/>
          <w:highlight w:val="none"/>
        </w:rPr>
        <w:t xml:space="preserve"> 其他</w:t>
      </w:r>
      <w:r>
        <w:rPr>
          <w:rFonts w:hint="eastAsia" w:ascii="宋体" w:hAnsi="宋体" w:cs="宋体"/>
          <w:color w:val="auto"/>
          <w:highlight w:val="none"/>
          <w:lang w:eastAsia="zh-CN"/>
        </w:rPr>
        <w:t>：</w:t>
      </w:r>
      <w:r>
        <w:rPr>
          <w:rFonts w:hint="eastAsia" w:ascii="宋体" w:hAnsi="宋体" w:cs="宋体"/>
          <w:color w:val="auto"/>
          <w:highlight w:val="none"/>
          <w:u w:val="single"/>
        </w:rPr>
        <w:t>具体开工日期以发包人或监理签发的开工令时间为准，工期总日历天数与根据前述计划开竣工日期计算的工期天数不一致的，以工期总日历天数为准。</w:t>
      </w:r>
    </w:p>
    <w:p w14:paraId="4949801A">
      <w:pPr>
        <w:adjustRightInd w:val="0"/>
        <w:snapToGrid w:val="0"/>
        <w:spacing w:line="360" w:lineRule="auto"/>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2.2招标范围：在招标人提供的红线图、设计任务书及前期资料的基础上，完成本项目方案设计、初步设计、施工图设计、施工至工程竣工验收、工程保修等工作，并配合招标人办理报建、报批、图纸审查、工程结（决）算审计等工作。工程内容具体包含但不限于以下事项： （1）协助招标人办理从工程施工至竣工移交过程中，包括但不限于发改、国土、规划、审图、质监、安监、施工许可、竣工备案等手续的报建、报批工作；协助办理市政管线的报批、报建工作；协助或负责办理行政管理部门的报审手续； （2）中标人交付设计资料及文件后，按规定参加招标人组织的设计审查，并根据审查结论负责对不超过原定范围的内容做必要调整补充。在招标人要求的时间内，如果因投标人自身原因在中标后未能按时通过审图并进场施工，招标人有权要求其赔偿损失；（3）根据招标人的设计要求，负责本项目的后续设计工作、施工及相应的报建审批工作等；（4）负责项目实施阶段全过程总承包施工及管理工作、负责工程验收工作（包含各项专项验收）并取得有效合格证明直至工程竣工备案验收、全部竣工验收资料以及实物工程移交给招标人，办理完成竣工备案验收等手续、工程保修内的维修等工作，协助招标人查验且交付到位等；（5）负责红线范围内外地上（地下）附着物清理(如有)以及保护（含地下文物保护（如有））以及自主协调相关有权部门处置（相关费用自理）；（6）负责现场临时设施搭设以及七通一平（如工程需要）；（7）负责综合考虑设计、施工过程中可能出现的任何问题：如临近建筑物保护、地下管网保护、高压防护、与周边地块施工场地交叉、专家方案论证、专业设计及不可预见项目、现场看护等，相关费用自理；（8）</w:t>
      </w:r>
      <w:r>
        <w:rPr>
          <w:rFonts w:hint="eastAsia" w:ascii="宋体" w:hAnsi="宋体" w:cs="宋体"/>
          <w:color w:val="auto"/>
          <w:highlight w:val="none"/>
          <w:lang w:eastAsia="zh-CN"/>
        </w:rPr>
        <w:t>专业工程不包含光伏系统、货架、货架系统、充电桩系统、</w:t>
      </w:r>
      <w:r>
        <w:rPr>
          <w:rFonts w:hint="eastAsia" w:ascii="宋体" w:hAnsi="宋体" w:cs="宋体"/>
          <w:color w:val="auto"/>
          <w:highlight w:val="none"/>
          <w:lang w:val="en-US" w:eastAsia="zh-CN"/>
        </w:rPr>
        <w:t>制冷系统</w:t>
      </w:r>
      <w:r>
        <w:rPr>
          <w:rFonts w:hint="eastAsia" w:ascii="宋体" w:hAnsi="宋体" w:cs="宋体"/>
          <w:color w:val="auto"/>
          <w:highlight w:val="none"/>
          <w:lang w:eastAsia="zh-CN"/>
        </w:rPr>
        <w:t>；</w:t>
      </w:r>
      <w:r>
        <w:rPr>
          <w:rFonts w:hint="eastAsia" w:ascii="宋体" w:hAnsi="宋体" w:eastAsia="宋体" w:cs="宋体"/>
          <w:color w:val="auto"/>
          <w:highlight w:val="none"/>
        </w:rPr>
        <w:t>（9）建造最终满足使用功能需求的功能齐全、设施完备、通过综合及各专项验收、可正常使用所包含的全部建设内容。</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其中制冷设备及安装包含在总价合同中，施工过程中由招标人自行招标采购</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（10）实施人负责工程实施过程中和工程交付给管理单位前的所有管理和养护工作，包括但不仅限于成品保护（含第三方破坏、偷盗等引起的成品及半成品损失）、保洁卫生。 </w:t>
      </w:r>
    </w:p>
    <w:p w14:paraId="68EB8058">
      <w:pPr>
        <w:adjustRightInd w:val="0"/>
        <w:snapToGrid w:val="0"/>
        <w:spacing w:line="360" w:lineRule="auto"/>
        <w:ind w:firstLine="105" w:firstLineChars="50"/>
        <w:rPr>
          <w:rFonts w:hint="eastAsia" w:ascii="宋体" w:hAnsi="宋体" w:eastAsia="宋体" w:cs="宋体"/>
          <w:color w:val="auto"/>
          <w:highlight w:val="none"/>
          <w:u w:val="none"/>
        </w:rPr>
      </w:pPr>
      <w:r>
        <w:rPr>
          <w:rFonts w:hint="eastAsia" w:ascii="宋体" w:hAnsi="宋体" w:eastAsia="宋体" w:cs="宋体"/>
          <w:color w:val="auto"/>
          <w:highlight w:val="none"/>
          <w:u w:val="none"/>
        </w:rPr>
        <w:t>2.3是否属于政府采购工程：</w:t>
      </w:r>
    </w:p>
    <w:p w14:paraId="40D75FFC">
      <w:pPr>
        <w:adjustRightInd w:val="0"/>
        <w:snapToGrid w:val="0"/>
        <w:spacing w:line="360" w:lineRule="auto"/>
        <w:ind w:firstLine="420" w:firstLineChars="200"/>
        <w:rPr>
          <w:rFonts w:hint="eastAsia" w:ascii="宋体" w:hAnsi="宋体" w:cs="宋体"/>
          <w:color w:val="auto"/>
          <w:highlight w:val="none"/>
          <w:u w:val="single"/>
        </w:rPr>
      </w:pPr>
      <w:r>
        <w:rPr>
          <w:rFonts w:hint="eastAsia"/>
          <w:color w:val="auto"/>
          <w:highlight w:val="none"/>
          <w:u w:val="single"/>
          <w:lang w:eastAsia="zh-CN"/>
        </w:rPr>
        <w:t>☑</w:t>
      </w:r>
      <w:r>
        <w:rPr>
          <w:rFonts w:hint="eastAsia"/>
          <w:color w:val="auto"/>
          <w:highlight w:val="none"/>
          <w:u w:val="single"/>
        </w:rPr>
        <w:t>否</w:t>
      </w:r>
    </w:p>
    <w:p w14:paraId="0CAB1C8C">
      <w:pPr>
        <w:adjustRightInd w:val="0"/>
        <w:snapToGrid w:val="0"/>
        <w:spacing w:line="360" w:lineRule="auto"/>
        <w:ind w:firstLine="420" w:firstLineChars="200"/>
        <w:rPr>
          <w:rFonts w:hint="eastAsia"/>
          <w:color w:val="auto"/>
          <w:highlight w:val="none"/>
          <w:u w:val="single"/>
        </w:rPr>
      </w:pPr>
      <w:r>
        <w:rPr>
          <w:rFonts w:hint="eastAsia"/>
          <w:color w:val="auto"/>
          <w:highlight w:val="none"/>
          <w:u w:val="single"/>
        </w:rPr>
        <w:t>□</w:t>
      </w:r>
      <w:r>
        <w:rPr>
          <w:rFonts w:hint="eastAsia" w:ascii="宋体" w:hAnsi="宋体" w:cs="宋体"/>
          <w:color w:val="auto"/>
          <w:highlight w:val="none"/>
        </w:rPr>
        <w:t xml:space="preserve">是 </w:t>
      </w:r>
    </w:p>
    <w:p w14:paraId="30DDE162">
      <w:pPr>
        <w:adjustRightInd w:val="0"/>
        <w:snapToGrid w:val="0"/>
        <w:spacing w:line="360" w:lineRule="auto"/>
        <w:ind w:firstLine="420" w:firstLineChars="200"/>
        <w:rPr>
          <w:rFonts w:hint="eastAsia"/>
          <w:color w:val="auto"/>
          <w:highlight w:val="none"/>
          <w:u w:val="single"/>
        </w:rPr>
      </w:pPr>
      <w:r>
        <w:rPr>
          <w:rFonts w:hint="eastAsia"/>
          <w:color w:val="auto"/>
          <w:highlight w:val="none"/>
          <w:u w:val="single"/>
        </w:rPr>
        <w:t>2.</w:t>
      </w:r>
      <w:r>
        <w:rPr>
          <w:rFonts w:hint="eastAsia"/>
          <w:color w:val="auto"/>
          <w:highlight w:val="none"/>
          <w:u w:val="single"/>
          <w:lang w:val="en-US" w:eastAsia="zh-CN"/>
        </w:rPr>
        <w:t>3.1</w:t>
      </w:r>
      <w:r>
        <w:rPr>
          <w:rFonts w:hint="eastAsia"/>
          <w:color w:val="auto"/>
          <w:highlight w:val="none"/>
          <w:u w:val="single"/>
        </w:rPr>
        <w:t>是否专门面向中小企业预留：</w:t>
      </w:r>
    </w:p>
    <w:p w14:paraId="70B3B177">
      <w:pPr>
        <w:adjustRightInd w:val="0"/>
        <w:snapToGrid w:val="0"/>
        <w:spacing w:line="360" w:lineRule="auto"/>
        <w:ind w:firstLine="420" w:firstLineChars="200"/>
        <w:rPr>
          <w:rFonts w:hint="eastAsia" w:ascii="宋体" w:hAnsi="宋体" w:cs="宋体"/>
          <w:color w:val="auto"/>
          <w:highlight w:val="none"/>
        </w:rPr>
      </w:pPr>
      <w:r>
        <w:rPr>
          <w:rFonts w:hint="eastAsia"/>
          <w:color w:val="auto"/>
          <w:highlight w:val="none"/>
          <w:u w:val="single"/>
        </w:rPr>
        <w:t>□</w:t>
      </w:r>
      <w:r>
        <w:rPr>
          <w:rFonts w:hint="eastAsia" w:ascii="宋体" w:hAnsi="宋体" w:cs="宋体"/>
          <w:color w:val="auto"/>
          <w:highlight w:val="none"/>
        </w:rPr>
        <w:t xml:space="preserve">是 </w:t>
      </w:r>
    </w:p>
    <w:p w14:paraId="0A99F8B5">
      <w:pPr>
        <w:adjustRightInd w:val="0"/>
        <w:snapToGrid w:val="0"/>
        <w:spacing w:line="360" w:lineRule="auto"/>
        <w:ind w:firstLine="420" w:firstLineChars="200"/>
        <w:rPr>
          <w:rFonts w:hint="eastAsia"/>
          <w:color w:val="auto"/>
          <w:highlight w:val="none"/>
          <w:u w:val="single"/>
        </w:rPr>
      </w:pPr>
      <w:r>
        <w:rPr>
          <w:rFonts w:hint="eastAsia"/>
          <w:color w:val="auto"/>
          <w:highlight w:val="none"/>
          <w:u w:val="single"/>
          <w:lang w:eastAsia="zh-CN"/>
        </w:rPr>
        <w:t>☑</w:t>
      </w:r>
      <w:r>
        <w:rPr>
          <w:rFonts w:hint="eastAsia"/>
          <w:color w:val="auto"/>
          <w:highlight w:val="none"/>
          <w:u w:val="single"/>
        </w:rPr>
        <w:t>否（不专门面向中小企业采购的原因及适用条款）</w:t>
      </w:r>
    </w:p>
    <w:p w14:paraId="5D7AC86E">
      <w:pPr>
        <w:adjustRightInd w:val="0"/>
        <w:snapToGrid w:val="0"/>
        <w:spacing w:line="360" w:lineRule="auto"/>
        <w:ind w:firstLine="420" w:firstLineChars="200"/>
        <w:rPr>
          <w:rFonts w:hint="eastAsia"/>
          <w:color w:val="auto"/>
          <w:highlight w:val="none"/>
          <w:u w:val="single"/>
        </w:rPr>
      </w:pPr>
      <w:r>
        <w:rPr>
          <w:rFonts w:hint="eastAsia"/>
          <w:color w:val="auto"/>
          <w:highlight w:val="none"/>
          <w:u w:val="single"/>
        </w:rPr>
        <w:t>2.</w:t>
      </w:r>
      <w:r>
        <w:rPr>
          <w:rFonts w:hint="eastAsia"/>
          <w:color w:val="auto"/>
          <w:highlight w:val="none"/>
          <w:u w:val="single"/>
          <w:lang w:val="en-US" w:eastAsia="zh-CN"/>
        </w:rPr>
        <w:t>3.1.1</w:t>
      </w:r>
      <w:r>
        <w:rPr>
          <w:rFonts w:hint="eastAsia"/>
          <w:color w:val="auto"/>
          <w:highlight w:val="none"/>
          <w:u w:val="single"/>
        </w:rPr>
        <w:t>面向中小企业预留的实施方式</w:t>
      </w:r>
    </w:p>
    <w:p w14:paraId="3C694A64">
      <w:pPr>
        <w:adjustRightInd w:val="0"/>
        <w:snapToGrid w:val="0"/>
        <w:spacing w:line="360" w:lineRule="auto"/>
        <w:ind w:firstLine="420" w:firstLineChars="200"/>
        <w:rPr>
          <w:rFonts w:hint="eastAsia"/>
          <w:color w:val="auto"/>
          <w:highlight w:val="none"/>
          <w:u w:val="single"/>
        </w:rPr>
      </w:pPr>
      <w:r>
        <w:rPr>
          <w:rFonts w:hint="eastAsia"/>
          <w:color w:val="auto"/>
          <w:highlight w:val="none"/>
          <w:u w:val="single"/>
        </w:rPr>
        <w:t>□2.5.1本标段整体面向中小企业</w:t>
      </w:r>
    </w:p>
    <w:p w14:paraId="30AC2B2D">
      <w:pPr>
        <w:adjustRightInd w:val="0"/>
        <w:snapToGrid w:val="0"/>
        <w:spacing w:line="360" w:lineRule="auto"/>
        <w:ind w:firstLine="420" w:firstLineChars="200"/>
        <w:rPr>
          <w:rFonts w:hint="eastAsia"/>
          <w:color w:val="auto"/>
          <w:highlight w:val="none"/>
          <w:u w:val="single"/>
        </w:rPr>
      </w:pPr>
      <w:r>
        <w:rPr>
          <w:rFonts w:hint="eastAsia"/>
          <w:color w:val="auto"/>
          <w:highlight w:val="none"/>
          <w:u w:val="single"/>
        </w:rPr>
        <w:t>□2.5.2本标段以联合体形式面向中小企业</w:t>
      </w:r>
    </w:p>
    <w:p w14:paraId="2ECD6530">
      <w:pPr>
        <w:adjustRightInd w:val="0"/>
        <w:snapToGrid w:val="0"/>
        <w:spacing w:line="360" w:lineRule="auto"/>
        <w:ind w:firstLine="420" w:firstLineChars="200"/>
        <w:rPr>
          <w:rFonts w:hint="eastAsia" w:ascii="宋体" w:hAnsi="宋体" w:cs="宋体"/>
          <w:color w:val="auto"/>
          <w:highlight w:val="none"/>
          <w:u w:val="single"/>
        </w:rPr>
      </w:pPr>
      <w:r>
        <w:rPr>
          <w:rFonts w:hint="eastAsia"/>
          <w:color w:val="auto"/>
          <w:highlight w:val="none"/>
          <w:u w:val="single"/>
        </w:rPr>
        <w:t>□2.5.3本标段以分包形式面向中小企业</w:t>
      </w:r>
    </w:p>
    <w:p w14:paraId="35A763DA">
      <w:pPr>
        <w:pStyle w:val="4"/>
        <w:spacing w:line="360" w:lineRule="auto"/>
        <w:rPr>
          <w:rFonts w:hint="eastAsia" w:ascii="宋体" w:hAnsi="宋体" w:eastAsia="宋体" w:cs="宋体"/>
          <w:b/>
          <w:bCs/>
          <w:color w:val="auto"/>
          <w:sz w:val="24"/>
          <w:szCs w:val="24"/>
          <w:highlight w:val="none"/>
        </w:rPr>
      </w:pPr>
      <w:bookmarkStart w:id="84" w:name="_Toc10548"/>
      <w:bookmarkStart w:id="85" w:name="_Toc14418"/>
      <w:bookmarkStart w:id="86" w:name="_Toc13414"/>
      <w:bookmarkStart w:id="87" w:name="_Toc18222"/>
      <w:bookmarkStart w:id="88" w:name="_Toc1982"/>
      <w:bookmarkStart w:id="89" w:name="_Toc1206"/>
      <w:bookmarkStart w:id="90" w:name="_Toc15676"/>
      <w:bookmarkStart w:id="91" w:name="_Toc67753493"/>
      <w:bookmarkStart w:id="92" w:name="_Toc4268"/>
      <w:bookmarkStart w:id="93" w:name="_Toc19811"/>
      <w:bookmarkStart w:id="94" w:name="_Toc27564"/>
      <w:bookmarkStart w:id="95" w:name="_Toc6201"/>
      <w:bookmarkStart w:id="96" w:name="_Toc20357"/>
      <w:bookmarkStart w:id="97" w:name="_Toc17026"/>
      <w:bookmarkStart w:id="98" w:name="_Toc13627"/>
      <w:bookmarkStart w:id="99" w:name="_Toc2788"/>
      <w:bookmarkStart w:id="100" w:name="_Toc6114"/>
      <w:bookmarkStart w:id="101" w:name="_Toc12446"/>
      <w:bookmarkStart w:id="102" w:name="_Toc10423"/>
      <w:bookmarkStart w:id="103" w:name="_Toc6982"/>
      <w:bookmarkStart w:id="104" w:name="_Toc24113"/>
      <w:bookmarkStart w:id="105" w:name="_Toc10277"/>
      <w:bookmarkStart w:id="106" w:name="_Toc3449"/>
      <w:r>
        <w:rPr>
          <w:rFonts w:hint="eastAsia" w:ascii="宋体" w:hAnsi="宋体" w:eastAsia="宋体" w:cs="宋体"/>
          <w:b/>
          <w:bCs/>
          <w:color w:val="auto"/>
          <w:sz w:val="24"/>
          <w:szCs w:val="24"/>
          <w:highlight w:val="none"/>
        </w:rPr>
        <w:t>3</w:t>
      </w:r>
      <w:bookmarkEnd w:id="79"/>
      <w:bookmarkEnd w:id="80"/>
      <w:bookmarkEnd w:id="81"/>
      <w:bookmarkStart w:id="107" w:name="_Toc381873673"/>
      <w:bookmarkStart w:id="108" w:name="_Toc381873155"/>
      <w:bookmarkStart w:id="109" w:name="_Toc381873897"/>
      <w:r>
        <w:rPr>
          <w:rFonts w:hint="eastAsia" w:ascii="宋体" w:hAnsi="宋体" w:eastAsia="宋体" w:cs="宋体"/>
          <w:b/>
          <w:bCs/>
          <w:color w:val="auto"/>
          <w:sz w:val="24"/>
          <w:szCs w:val="24"/>
          <w:highlight w:val="none"/>
        </w:rPr>
        <w:t>. 申请人资格要求</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674F622">
      <w:pPr>
        <w:adjustRightInd w:val="0"/>
        <w:snapToGrid w:val="0"/>
        <w:spacing w:line="360" w:lineRule="auto"/>
        <w:ind w:firstLine="105" w:firstLineChars="50"/>
        <w:rPr>
          <w:rFonts w:hint="eastAsia" w:ascii="宋体" w:hAnsi="宋体" w:cs="宋体"/>
          <w:color w:val="auto"/>
          <w:highlight w:val="none"/>
        </w:rPr>
      </w:pPr>
      <w:bookmarkStart w:id="110" w:name="_Toc382549718"/>
      <w:bookmarkStart w:id="111" w:name="_Toc382549578"/>
      <w:r>
        <w:rPr>
          <w:rFonts w:hint="eastAsia" w:ascii="宋体" w:hAnsi="宋体" w:cs="宋体"/>
          <w:color w:val="auto"/>
          <w:highlight w:val="none"/>
        </w:rPr>
        <w:t>3.1</w:t>
      </w:r>
      <w:r>
        <w:rPr>
          <w:rFonts w:hint="eastAsia" w:ascii="宋体" w:hAnsi="宋体" w:cs="宋体"/>
          <w:color w:val="auto"/>
          <w:highlight w:val="none"/>
          <w:lang w:val="en-US" w:eastAsia="zh-CN"/>
        </w:rPr>
        <w:t>申请人具有独立承担民事责任的能力。</w:t>
      </w:r>
    </w:p>
    <w:p w14:paraId="4ECD6A83">
      <w:pPr>
        <w:adjustRightInd w:val="0"/>
        <w:snapToGrid w:val="0"/>
        <w:spacing w:line="360" w:lineRule="auto"/>
        <w:ind w:firstLine="105" w:firstLineChars="50"/>
        <w:rPr>
          <w:rFonts w:ascii="宋体" w:hAnsi="宋体" w:cs="宋体"/>
          <w:color w:val="auto"/>
          <w:highlight w:val="none"/>
        </w:rPr>
      </w:pPr>
      <w:r>
        <w:rPr>
          <w:rFonts w:hint="eastAsia" w:ascii="宋体" w:hAnsi="宋体" w:cs="宋体"/>
          <w:color w:val="auto"/>
          <w:highlight w:val="none"/>
          <w:lang w:val="en-US" w:eastAsia="zh-CN"/>
        </w:rPr>
        <w:t>3.2申请</w:t>
      </w:r>
      <w:r>
        <w:rPr>
          <w:rFonts w:hint="eastAsia" w:ascii="宋体" w:hAnsi="宋体" w:cs="宋体"/>
          <w:color w:val="auto"/>
          <w:highlight w:val="none"/>
        </w:rPr>
        <w:t>人资质条件：</w:t>
      </w:r>
    </w:p>
    <w:p w14:paraId="203E6205">
      <w:pPr>
        <w:adjustRightInd w:val="0"/>
        <w:snapToGrid w:val="0"/>
        <w:spacing w:line="360" w:lineRule="auto"/>
        <w:ind w:firstLine="105" w:firstLineChars="5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lang w:val="en-US" w:eastAsia="zh-CN"/>
        </w:rPr>
        <w:t>申请</w:t>
      </w:r>
      <w:r>
        <w:rPr>
          <w:rFonts w:hint="eastAsia" w:ascii="宋体" w:hAnsi="宋体" w:cs="宋体"/>
          <w:color w:val="auto"/>
          <w:highlight w:val="none"/>
        </w:rPr>
        <w:t>人应当具备下列资质条件：</w:t>
      </w:r>
    </w:p>
    <w:p w14:paraId="1434110D">
      <w:pPr>
        <w:adjustRightInd w:val="0"/>
        <w:snapToGrid w:val="0"/>
        <w:spacing w:line="360" w:lineRule="auto"/>
        <w:ind w:firstLine="105" w:firstLineChars="50"/>
        <w:rPr>
          <w:rFonts w:hint="default" w:ascii="宋体" w:hAnsi="宋体" w:eastAsia="宋体" w:cs="宋体"/>
          <w:b/>
          <w:bCs/>
          <w:color w:val="auto"/>
          <w:highlight w:val="none"/>
          <w:u w:val="single"/>
          <w:lang w:val="en-US" w:eastAsia="zh-CN"/>
        </w:rPr>
      </w:pPr>
      <w:r>
        <w:rPr>
          <w:rFonts w:hint="eastAsia" w:ascii="宋体" w:hAnsi="宋体" w:cs="宋体"/>
          <w:color w:val="auto"/>
          <w:highlight w:val="none"/>
        </w:rPr>
        <w:t xml:space="preserve">  </w:t>
      </w:r>
      <w:r>
        <w:rPr>
          <w:rFonts w:hint="eastAsia" w:ascii="宋体" w:hAnsi="宋体" w:cs="宋体"/>
          <w:color w:val="auto"/>
          <w:highlight w:val="none"/>
          <w:lang w:eastAsia="zh-CN"/>
        </w:rPr>
        <w:t>a.</w:t>
      </w:r>
      <w:r>
        <w:rPr>
          <w:rFonts w:hint="eastAsia" w:ascii="宋体" w:hAnsi="宋体" w:cs="宋体"/>
          <w:color w:val="auto"/>
          <w:highlight w:val="none"/>
        </w:rPr>
        <w:t>设计资质要求：</w:t>
      </w:r>
      <w:r>
        <w:rPr>
          <w:rFonts w:hint="eastAsia" w:ascii="宋体" w:hAnsi="宋体" w:cs="宋体"/>
          <w:b/>
          <w:bCs/>
          <w:color w:val="auto"/>
          <w:highlight w:val="none"/>
          <w:u w:val="single"/>
        </w:rPr>
        <w:t>工程设计综合甲级资质</w:t>
      </w:r>
      <w:r>
        <w:rPr>
          <w:rFonts w:hint="eastAsia" w:ascii="宋体" w:hAnsi="宋体" w:cs="宋体"/>
          <w:b/>
          <w:bCs/>
          <w:color w:val="auto"/>
          <w:highlight w:val="none"/>
          <w:u w:val="single"/>
          <w:lang w:eastAsia="zh-CN"/>
        </w:rPr>
        <w:t>，</w:t>
      </w:r>
      <w:r>
        <w:rPr>
          <w:rFonts w:hint="eastAsia" w:ascii="宋体" w:hAnsi="宋体" w:cs="宋体"/>
          <w:b/>
          <w:bCs/>
          <w:color w:val="auto"/>
          <w:highlight w:val="none"/>
          <w:u w:val="single"/>
          <w:lang w:val="en-US" w:eastAsia="zh-CN"/>
        </w:rPr>
        <w:t>或者</w:t>
      </w:r>
      <w:r>
        <w:rPr>
          <w:rFonts w:hint="eastAsia" w:ascii="宋体" w:hAnsi="宋体" w:cs="宋体"/>
          <w:b/>
          <w:bCs/>
          <w:color w:val="auto"/>
          <w:highlight w:val="none"/>
          <w:u w:val="single"/>
          <w:lang w:eastAsia="zh-CN"/>
        </w:rPr>
        <w:t>工程设计建筑行业乙级及以上资质和商物粮行业（冷冻冷藏工程）专业甲级，</w:t>
      </w:r>
      <w:r>
        <w:rPr>
          <w:rFonts w:hint="eastAsia" w:ascii="宋体" w:hAnsi="宋体" w:cs="宋体"/>
          <w:b/>
          <w:bCs/>
          <w:color w:val="auto"/>
          <w:highlight w:val="none"/>
          <w:u w:val="single"/>
          <w:lang w:val="en-US" w:eastAsia="zh-CN"/>
        </w:rPr>
        <w:t>或者工程设计建筑行业（建筑工程）专业乙级及以上资质和商物粮行业（冷冻冷藏工程）专业甲级。</w:t>
      </w:r>
    </w:p>
    <w:p w14:paraId="508A1923">
      <w:pPr>
        <w:adjustRightInd w:val="0"/>
        <w:snapToGrid w:val="0"/>
        <w:spacing w:line="360" w:lineRule="auto"/>
        <w:ind w:firstLine="105" w:firstLineChars="50"/>
        <w:rPr>
          <w:rFonts w:hint="eastAsia" w:ascii="宋体" w:hAnsi="宋体" w:eastAsia="宋体" w:cs="宋体"/>
          <w:color w:val="auto"/>
          <w:highlight w:val="none"/>
          <w:u w:val="single"/>
          <w:lang w:val="en-US"/>
        </w:rPr>
      </w:pPr>
      <w:r>
        <w:rPr>
          <w:rFonts w:hint="eastAsia" w:ascii="宋体" w:hAnsi="宋体" w:cs="宋体"/>
          <w:color w:val="auto"/>
          <w:highlight w:val="none"/>
        </w:rPr>
        <w:t xml:space="preserve">  </w:t>
      </w:r>
      <w:r>
        <w:rPr>
          <w:rFonts w:hint="eastAsia" w:ascii="宋体" w:hAnsi="宋体" w:cs="宋体"/>
          <w:color w:val="auto"/>
          <w:highlight w:val="none"/>
          <w:lang w:eastAsia="zh-CN"/>
        </w:rPr>
        <w:t>b.</w:t>
      </w:r>
      <w:r>
        <w:rPr>
          <w:rFonts w:hint="eastAsia" w:ascii="宋体" w:hAnsi="宋体" w:cs="宋体"/>
          <w:color w:val="auto"/>
          <w:highlight w:val="none"/>
        </w:rPr>
        <w:t>施工资质要求：</w:t>
      </w:r>
      <w:r>
        <w:rPr>
          <w:rFonts w:hint="eastAsia" w:ascii="宋体" w:hAnsi="宋体" w:eastAsia="宋体" w:cs="宋体"/>
          <w:b/>
          <w:bCs/>
          <w:color w:val="auto"/>
          <w:spacing w:val="2"/>
          <w:sz w:val="21"/>
          <w:szCs w:val="21"/>
          <w:highlight w:val="none"/>
          <w:u w:val="single"/>
          <w:lang w:val="en-US" w:eastAsia="zh-CN"/>
        </w:rPr>
        <w:t>建筑工程施工总承包三级及以上资质</w:t>
      </w:r>
    </w:p>
    <w:p w14:paraId="26B93534">
      <w:pPr>
        <w:adjustRightInd w:val="0"/>
        <w:snapToGrid w:val="0"/>
        <w:spacing w:line="360" w:lineRule="auto"/>
        <w:ind w:firstLine="105" w:firstLineChars="5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）施工企业须具有安全生产许可证（不作要求的除外）。</w:t>
      </w:r>
    </w:p>
    <w:p w14:paraId="1532E93F">
      <w:pPr>
        <w:adjustRightInd w:val="0"/>
        <w:snapToGrid w:val="0"/>
        <w:spacing w:line="360" w:lineRule="auto"/>
        <w:ind w:firstLine="105" w:firstLineChars="50"/>
        <w:rPr>
          <w:rFonts w:ascii="宋体" w:hAnsi="宋体" w:cs="宋体"/>
          <w:color w:val="auto"/>
          <w:highlight w:val="none"/>
        </w:rPr>
      </w:pPr>
      <w:r>
        <w:rPr>
          <w:rFonts w:hint="eastAsia" w:ascii="宋体" w:hAnsi="宋体" w:cs="宋体"/>
          <w:color w:val="auto"/>
          <w:highlight w:val="none"/>
        </w:rPr>
        <w:t>（3）其他要求：</w:t>
      </w:r>
      <w:r>
        <w:rPr>
          <w:rFonts w:hint="eastAsia" w:ascii="宋体" w:hAnsi="宋体" w:cs="宋体"/>
          <w:color w:val="auto"/>
          <w:highlight w:val="none"/>
          <w:u w:val="single"/>
        </w:rPr>
        <w:t>企业的资质类别、等级和项目负责人注册专业、资格等级符合国家有关规定</w:t>
      </w:r>
      <w:r>
        <w:rPr>
          <w:rFonts w:hint="eastAsia" w:ascii="宋体" w:hAnsi="宋体" w:cs="宋体"/>
          <w:color w:val="auto"/>
          <w:highlight w:val="none"/>
        </w:rPr>
        <w:t xml:space="preserve"> 。</w:t>
      </w:r>
    </w:p>
    <w:p w14:paraId="441D1BAE">
      <w:pPr>
        <w:adjustRightInd w:val="0"/>
        <w:snapToGrid w:val="0"/>
        <w:spacing w:line="360" w:lineRule="auto"/>
        <w:ind w:firstLine="105" w:firstLineChars="5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3</w:t>
      </w:r>
      <w:r>
        <w:rPr>
          <w:rFonts w:hint="eastAsia" w:ascii="宋体" w:hAnsi="宋体" w:cs="宋体"/>
          <w:color w:val="auto"/>
          <w:highlight w:val="none"/>
        </w:rPr>
        <w:t xml:space="preserve"> 拟派项目负责人（总承包项目经理）须具备以下条件：</w:t>
      </w:r>
    </w:p>
    <w:p w14:paraId="6E91C6FF">
      <w:pPr>
        <w:adjustRightInd w:val="0"/>
        <w:snapToGrid w:val="0"/>
        <w:spacing w:line="360" w:lineRule="auto"/>
        <w:ind w:firstLine="105" w:firstLineChars="50"/>
        <w:rPr>
          <w:rFonts w:hint="eastAsia" w:ascii="宋体" w:hAnsi="宋体" w:cs="宋体"/>
          <w:color w:val="auto"/>
          <w:highlight w:val="none"/>
        </w:rPr>
      </w:pPr>
      <w:r>
        <w:rPr>
          <w:rFonts w:hint="eastAsia" w:ascii="宋体" w:hAnsi="宋体" w:cs="宋体"/>
          <w:color w:val="auto"/>
          <w:highlight w:val="none"/>
        </w:rPr>
        <w:t>（1）总承包项目经理应当具备下列资格条件：</w:t>
      </w:r>
    </w:p>
    <w:p w14:paraId="47156A2F">
      <w:pPr>
        <w:adjustRightInd w:val="0"/>
        <w:snapToGrid w:val="0"/>
        <w:spacing w:line="360" w:lineRule="auto"/>
        <w:ind w:firstLine="105" w:firstLineChars="50"/>
        <w:rPr>
          <w:rFonts w:hint="eastAsia" w:ascii="宋体" w:hAnsi="宋体" w:cs="宋体"/>
          <w:b/>
          <w:bCs/>
          <w:color w:val="auto"/>
          <w:highlight w:val="none"/>
        </w:rPr>
      </w:pPr>
      <w:r>
        <w:rPr>
          <w:rFonts w:hint="eastAsia" w:ascii="宋体" w:hAnsi="宋体" w:cs="宋体"/>
          <w:b/>
          <w:bCs/>
          <w:color w:val="auto"/>
          <w:highlight w:val="none"/>
          <w:u w:val="single"/>
          <w:lang w:val="en-US" w:eastAsia="zh-CN"/>
        </w:rPr>
        <w:t>☑取得相应工程建设类注册执业资格：具备</w:t>
      </w:r>
      <w:r>
        <w:rPr>
          <w:rFonts w:hint="eastAsia" w:ascii="宋体" w:hAnsi="宋体" w:cs="宋体"/>
          <w:b/>
          <w:bCs/>
          <w:color w:val="auto"/>
          <w:highlight w:val="none"/>
          <w:u w:val="single"/>
        </w:rPr>
        <w:t>【一级注册建筑师】或者【勘察设计注册工程师】或者【国家注册监理工程师（房屋建筑工程专业）】或者【二级及以上注册建造师（建筑工程专业），具备有效的安全生产考核合格证书（B 证）】</w:t>
      </w:r>
      <w:r>
        <w:rPr>
          <w:rFonts w:hint="eastAsia" w:ascii="宋体" w:hAnsi="宋体" w:cs="宋体"/>
          <w:b/>
          <w:bCs/>
          <w:color w:val="auto"/>
          <w:highlight w:val="none"/>
        </w:rPr>
        <w:t>；</w:t>
      </w:r>
    </w:p>
    <w:p w14:paraId="5B26A7B9">
      <w:pPr>
        <w:adjustRightInd w:val="0"/>
        <w:snapToGrid w:val="0"/>
        <w:spacing w:line="360" w:lineRule="auto"/>
        <w:ind w:firstLine="105" w:firstLineChars="50"/>
        <w:rPr>
          <w:rFonts w:hint="default" w:ascii="宋体" w:hAnsi="宋体" w:eastAsia="宋体" w:cs="宋体"/>
          <w:b/>
          <w:bCs/>
          <w:color w:val="auto"/>
          <w:highlight w:val="none"/>
          <w:u w:val="single"/>
          <w:lang w:val="en-US" w:eastAsia="zh-CN"/>
        </w:rPr>
      </w:pPr>
      <w:r>
        <w:rPr>
          <w:rFonts w:hint="eastAsia" w:ascii="宋体" w:hAnsi="宋体" w:cs="宋体"/>
          <w:b/>
          <w:bCs/>
          <w:color w:val="auto"/>
          <w:highlight w:val="none"/>
          <w:lang w:eastAsia="zh-CN"/>
        </w:rPr>
        <w:t>□</w:t>
      </w:r>
      <w:r>
        <w:rPr>
          <w:rFonts w:hint="eastAsia" w:ascii="宋体" w:hAnsi="宋体" w:cs="宋体"/>
          <w:b/>
          <w:bCs/>
          <w:color w:val="auto"/>
          <w:highlight w:val="none"/>
        </w:rPr>
        <w:t>取得相应工程建设类高级专业技术职称：</w:t>
      </w:r>
      <w:r>
        <w:rPr>
          <w:rFonts w:hint="eastAsia" w:ascii="宋体" w:hAnsi="宋体" w:cs="宋体"/>
          <w:b/>
          <w:bCs/>
          <w:color w:val="auto"/>
          <w:highlight w:val="none"/>
          <w:u w:val="single"/>
          <w:lang w:val="en-US" w:eastAsia="zh-CN"/>
        </w:rPr>
        <w:t xml:space="preserve">      /      </w:t>
      </w:r>
      <w:r>
        <w:rPr>
          <w:rFonts w:hint="eastAsia" w:ascii="宋体" w:hAnsi="宋体" w:cs="宋体"/>
          <w:b/>
          <w:bCs/>
          <w:color w:val="auto"/>
          <w:highlight w:val="none"/>
          <w:u w:val="none"/>
          <w:lang w:val="en-US" w:eastAsia="zh-CN"/>
        </w:rPr>
        <w:t>。</w:t>
      </w:r>
    </w:p>
    <w:p w14:paraId="20D6013F">
      <w:pPr>
        <w:adjustRightInd w:val="0"/>
        <w:snapToGrid w:val="0"/>
        <w:spacing w:line="360" w:lineRule="auto"/>
        <w:ind w:firstLine="105" w:firstLineChars="50"/>
        <w:rPr>
          <w:rFonts w:ascii="宋体" w:hAnsi="宋体" w:cs="宋体"/>
          <w:color w:val="auto"/>
          <w:highlight w:val="none"/>
        </w:rPr>
      </w:pPr>
      <w:r>
        <w:rPr>
          <w:rFonts w:hint="eastAsia" w:ascii="宋体" w:hAnsi="宋体" w:cs="宋体"/>
          <w:color w:val="auto"/>
          <w:highlight w:val="none"/>
        </w:rPr>
        <w:t>（2）总承包项目经理必须满足下列条件：</w:t>
      </w:r>
    </w:p>
    <w:p w14:paraId="1FEA1CC9">
      <w:pPr>
        <w:adjustRightInd w:val="0"/>
        <w:snapToGrid w:val="0"/>
        <w:spacing w:line="360" w:lineRule="auto"/>
        <w:ind w:firstLine="105" w:firstLineChars="5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eastAsia="zh-CN"/>
        </w:rPr>
        <w:t>a.</w:t>
      </w:r>
      <w:r>
        <w:rPr>
          <w:rFonts w:hint="eastAsia" w:ascii="宋体" w:hAnsi="宋体" w:cs="宋体"/>
          <w:color w:val="auto"/>
          <w:highlight w:val="none"/>
        </w:rPr>
        <w:t>不得同时在两个或者两个以上单位受聘或者执业。</w:t>
      </w:r>
    </w:p>
    <w:p w14:paraId="55240E2E">
      <w:pPr>
        <w:adjustRightInd w:val="0"/>
        <w:snapToGrid w:val="0"/>
        <w:spacing w:line="360" w:lineRule="auto"/>
        <w:ind w:firstLine="105" w:firstLineChars="5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eastAsia="zh-CN"/>
        </w:rPr>
        <w:t>b.</w:t>
      </w:r>
      <w:r>
        <w:rPr>
          <w:rFonts w:hint="eastAsia" w:ascii="宋体" w:hAnsi="宋体" w:cs="宋体"/>
          <w:color w:val="auto"/>
          <w:highlight w:val="none"/>
        </w:rPr>
        <w:t>不得在</w:t>
      </w:r>
      <w:r>
        <w:rPr>
          <w:rFonts w:hint="eastAsia" w:ascii="宋体" w:hAnsi="宋体" w:cs="宋体"/>
          <w:color w:val="auto"/>
          <w:highlight w:val="none"/>
          <w:lang w:eastAsia="zh-CN"/>
        </w:rPr>
        <w:t>其他</w:t>
      </w:r>
      <w:r>
        <w:rPr>
          <w:rFonts w:hint="eastAsia" w:ascii="宋体" w:hAnsi="宋体" w:cs="宋体"/>
          <w:color w:val="auto"/>
          <w:highlight w:val="none"/>
        </w:rPr>
        <w:t>工程项目上担任工程总承包项目经理、施工项目负责人。</w:t>
      </w:r>
    </w:p>
    <w:p w14:paraId="3D1B79B6">
      <w:pPr>
        <w:adjustRightInd w:val="0"/>
        <w:snapToGrid w:val="0"/>
        <w:spacing w:line="360" w:lineRule="auto"/>
        <w:ind w:firstLine="105" w:firstLineChars="5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4</w:t>
      </w:r>
      <w:r>
        <w:rPr>
          <w:rFonts w:hint="eastAsia" w:ascii="宋体" w:hAnsi="宋体" w:cs="宋体"/>
          <w:color w:val="auto"/>
          <w:highlight w:val="none"/>
        </w:rPr>
        <w:t>业绩要求：</w:t>
      </w:r>
    </w:p>
    <w:p w14:paraId="465E3BF2">
      <w:pPr>
        <w:adjustRightInd w:val="0"/>
        <w:snapToGrid w:val="0"/>
        <w:spacing w:line="360" w:lineRule="auto"/>
        <w:ind w:firstLine="105" w:firstLineChars="5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申请</w:t>
      </w:r>
      <w:r>
        <w:rPr>
          <w:rFonts w:hint="eastAsia" w:ascii="宋体" w:hAnsi="宋体" w:cs="宋体"/>
          <w:color w:val="auto"/>
          <w:highlight w:val="none"/>
        </w:rPr>
        <w:t>人：自</w:t>
      </w:r>
      <w:r>
        <w:rPr>
          <w:rFonts w:hint="eastAsia" w:ascii="宋体" w:hAnsi="宋体" w:cs="宋体"/>
          <w:color w:val="auto"/>
          <w:highlight w:val="none"/>
          <w:u w:val="single"/>
          <w:lang w:val="en-US" w:eastAsia="zh-CN"/>
        </w:rPr>
        <w:t>2022</w:t>
      </w:r>
      <w:r>
        <w:rPr>
          <w:rFonts w:hint="eastAsia" w:ascii="宋体" w:hAnsi="宋体" w:cs="宋体"/>
          <w:color w:val="auto"/>
          <w:highlight w:val="none"/>
        </w:rPr>
        <w:t>年</w:t>
      </w:r>
      <w:r>
        <w:rPr>
          <w:rFonts w:hint="eastAsia" w:ascii="宋体" w:hAnsi="宋体" w:cs="宋体"/>
          <w:color w:val="auto"/>
          <w:highlight w:val="none"/>
          <w:u w:val="single"/>
          <w:lang w:val="en-US" w:eastAsia="zh-CN"/>
        </w:rPr>
        <w:t>01</w:t>
      </w:r>
      <w:r>
        <w:rPr>
          <w:rFonts w:hint="eastAsia" w:ascii="宋体" w:hAnsi="宋体" w:cs="宋体"/>
          <w:color w:val="auto"/>
          <w:highlight w:val="none"/>
        </w:rPr>
        <w:t>月</w:t>
      </w:r>
      <w:r>
        <w:rPr>
          <w:rFonts w:hint="eastAsia" w:ascii="宋体" w:hAnsi="宋体" w:cs="宋体"/>
          <w:color w:val="auto"/>
          <w:highlight w:val="none"/>
          <w:u w:val="single"/>
          <w:lang w:val="en-US" w:eastAsia="zh-CN"/>
        </w:rPr>
        <w:t>01</w:t>
      </w:r>
      <w:r>
        <w:rPr>
          <w:rFonts w:hint="eastAsia" w:ascii="宋体" w:hAnsi="宋体" w:cs="宋体"/>
          <w:color w:val="auto"/>
          <w:highlight w:val="none"/>
        </w:rPr>
        <w:t>日以来，承担过与发包工程相类似的设计、施工</w:t>
      </w:r>
      <w:r>
        <w:rPr>
          <w:rFonts w:hint="eastAsia" w:ascii="宋体" w:hAnsi="宋体" w:cs="宋体"/>
          <w:color w:val="auto"/>
          <w:highlight w:val="none"/>
          <w:lang w:eastAsia="zh-CN"/>
        </w:rPr>
        <w:t>、</w:t>
      </w:r>
      <w:r>
        <w:rPr>
          <w:rFonts w:hint="eastAsia" w:ascii="宋体" w:hAnsi="宋体" w:cs="宋体"/>
          <w:color w:val="auto"/>
          <w:highlight w:val="none"/>
        </w:rPr>
        <w:t>工程总承包业绩</w:t>
      </w:r>
      <w:r>
        <w:rPr>
          <w:rFonts w:hint="eastAsia" w:ascii="宋体" w:hAnsi="宋体" w:cs="宋体"/>
          <w:color w:val="auto"/>
          <w:highlight w:val="none"/>
          <w:lang w:val="en-US" w:eastAsia="zh-CN"/>
        </w:rPr>
        <w:t>之一</w:t>
      </w:r>
    </w:p>
    <w:p w14:paraId="115E9F95">
      <w:pPr>
        <w:adjustRightInd w:val="0"/>
        <w:snapToGrid w:val="0"/>
        <w:spacing w:line="360" w:lineRule="auto"/>
        <w:ind w:firstLine="105" w:firstLineChars="50"/>
        <w:rPr>
          <w:rFonts w:hint="eastAsia" w:ascii="宋体" w:hAnsi="宋体" w:eastAsia="宋体" w:cs="宋体"/>
          <w:b/>
          <w:bCs/>
          <w:color w:val="auto"/>
          <w:highlight w:val="none"/>
          <w:u w:val="single"/>
          <w:lang w:eastAsia="zh-CN"/>
        </w:rPr>
      </w:pPr>
      <w:r>
        <w:rPr>
          <w:rFonts w:hint="eastAsia" w:ascii="宋体" w:hAnsi="宋体" w:cs="宋体"/>
          <w:color w:val="auto"/>
          <w:highlight w:val="none"/>
        </w:rPr>
        <w:t>工程总承包类似业绩认定标准：</w:t>
      </w:r>
      <w:r>
        <w:rPr>
          <w:rFonts w:hint="eastAsia" w:ascii="宋体" w:hAnsi="宋体" w:cs="宋体"/>
          <w:b/>
          <w:bCs/>
          <w:color w:val="auto"/>
          <w:highlight w:val="none"/>
          <w:u w:val="single"/>
        </w:rPr>
        <w:t>单项合同金额12000万元及以上的房屋建筑工程</w:t>
      </w:r>
      <w:r>
        <w:rPr>
          <w:rFonts w:hint="eastAsia" w:ascii="宋体" w:hAnsi="宋体" w:cs="宋体"/>
          <w:b/>
          <w:bCs/>
          <w:color w:val="auto"/>
          <w:highlight w:val="none"/>
          <w:u w:val="single"/>
          <w:lang w:eastAsia="zh-CN"/>
        </w:rPr>
        <w:t>（</w:t>
      </w:r>
      <w:r>
        <w:rPr>
          <w:rFonts w:hint="eastAsia" w:ascii="宋体" w:hAnsi="宋体" w:cs="宋体"/>
          <w:b/>
          <w:bCs/>
          <w:color w:val="auto"/>
          <w:highlight w:val="none"/>
          <w:u w:val="single"/>
          <w:lang w:val="en-US" w:eastAsia="zh-CN"/>
        </w:rPr>
        <w:t>非住宅</w:t>
      </w:r>
      <w:r>
        <w:rPr>
          <w:rFonts w:hint="eastAsia" w:ascii="宋体" w:hAnsi="宋体" w:cs="宋体"/>
          <w:b/>
          <w:bCs/>
          <w:color w:val="auto"/>
          <w:highlight w:val="none"/>
          <w:u w:val="single"/>
          <w:lang w:eastAsia="zh-CN"/>
        </w:rPr>
        <w:t>）</w:t>
      </w:r>
      <w:r>
        <w:rPr>
          <w:rFonts w:hint="eastAsia" w:ascii="宋体" w:hAnsi="宋体" w:cs="宋体"/>
          <w:b/>
          <w:bCs/>
          <w:color w:val="auto"/>
          <w:highlight w:val="none"/>
          <w:u w:val="single"/>
        </w:rPr>
        <w:t>的工程总承包业绩</w:t>
      </w:r>
      <w:r>
        <w:rPr>
          <w:rFonts w:hint="eastAsia" w:ascii="宋体" w:hAnsi="宋体" w:cs="宋体"/>
          <w:b/>
          <w:bCs/>
          <w:color w:val="auto"/>
          <w:highlight w:val="none"/>
          <w:u w:val="single"/>
          <w:lang w:eastAsia="zh-CN"/>
        </w:rPr>
        <w:t xml:space="preserve">。业绩应提供以下证明资料：1、依法承发包的交易结果（中标或成交）文件；2、合同；3、符合国家规定的竣工验收证明材料；4、其他证明资料（如有）。依法承发包的交易结果文件包括中标通知书、直接发包通知书（或备案表）和成交通知书等；依法可以不进行招标的项目，可以提供业主单位或招标代理机构出具的有关中标文件。业绩时间认定以竣工验收证明时间为准。证明资料中涉及评标的相关数据不一致的，以数额较小的为准； </w:t>
      </w:r>
    </w:p>
    <w:p w14:paraId="1BAFF5EA">
      <w:pPr>
        <w:adjustRightInd w:val="0"/>
        <w:snapToGrid w:val="0"/>
        <w:spacing w:line="360" w:lineRule="auto"/>
        <w:ind w:firstLine="105" w:firstLineChars="50"/>
        <w:rPr>
          <w:rFonts w:hint="eastAsia" w:ascii="宋体" w:hAnsi="宋体" w:eastAsia="宋体" w:cs="宋体"/>
          <w:color w:val="auto"/>
          <w:highlight w:val="none"/>
          <w:lang w:eastAsia="zh-CN"/>
        </w:rPr>
      </w:pPr>
      <w:r>
        <w:rPr>
          <w:rFonts w:hint="eastAsia" w:ascii="宋体" w:hAnsi="宋体" w:cs="宋体"/>
          <w:color w:val="auto"/>
          <w:highlight w:val="none"/>
        </w:rPr>
        <w:t>设计类似业绩认定标准：</w:t>
      </w:r>
      <w:r>
        <w:rPr>
          <w:rFonts w:hint="eastAsia" w:ascii="宋体" w:hAnsi="宋体" w:cs="宋体"/>
          <w:b/>
          <w:bCs/>
          <w:color w:val="auto"/>
          <w:highlight w:val="none"/>
          <w:u w:val="single"/>
        </w:rPr>
        <w:t>单项合同金额12000万元及以上的房屋建筑工程</w:t>
      </w:r>
      <w:r>
        <w:rPr>
          <w:rFonts w:hint="eastAsia" w:ascii="宋体" w:hAnsi="宋体" w:cs="宋体"/>
          <w:b/>
          <w:bCs/>
          <w:color w:val="auto"/>
          <w:highlight w:val="none"/>
          <w:u w:val="single"/>
          <w:lang w:eastAsia="zh-CN"/>
        </w:rPr>
        <w:t>（</w:t>
      </w:r>
      <w:r>
        <w:rPr>
          <w:rFonts w:hint="eastAsia" w:ascii="宋体" w:hAnsi="宋体" w:cs="宋体"/>
          <w:b/>
          <w:bCs/>
          <w:color w:val="auto"/>
          <w:highlight w:val="none"/>
          <w:u w:val="single"/>
          <w:lang w:val="en-US" w:eastAsia="zh-CN"/>
        </w:rPr>
        <w:t>非住宅</w:t>
      </w:r>
      <w:r>
        <w:rPr>
          <w:rFonts w:hint="eastAsia" w:ascii="宋体" w:hAnsi="宋体" w:cs="宋体"/>
          <w:b/>
          <w:bCs/>
          <w:color w:val="auto"/>
          <w:highlight w:val="none"/>
          <w:u w:val="single"/>
          <w:lang w:eastAsia="zh-CN"/>
        </w:rPr>
        <w:t>）</w:t>
      </w:r>
      <w:r>
        <w:rPr>
          <w:rFonts w:hint="eastAsia" w:ascii="宋体" w:hAnsi="宋体" w:cs="宋体"/>
          <w:b/>
          <w:bCs/>
          <w:color w:val="auto"/>
          <w:highlight w:val="none"/>
          <w:u w:val="single"/>
        </w:rPr>
        <w:t>的设计业绩</w:t>
      </w:r>
      <w:r>
        <w:rPr>
          <w:rFonts w:hint="eastAsia" w:ascii="宋体" w:hAnsi="宋体" w:cs="宋体"/>
          <w:b/>
          <w:bCs/>
          <w:color w:val="auto"/>
          <w:highlight w:val="none"/>
          <w:u w:val="single"/>
          <w:lang w:eastAsia="zh-CN"/>
        </w:rPr>
        <w:t>（</w:t>
      </w:r>
      <w:r>
        <w:rPr>
          <w:rFonts w:hint="eastAsia" w:ascii="宋体" w:hAnsi="宋体" w:cs="宋体"/>
          <w:b/>
          <w:bCs/>
          <w:color w:val="auto"/>
          <w:highlight w:val="none"/>
          <w:u w:val="single"/>
          <w:lang w:val="en-US" w:eastAsia="zh-CN"/>
        </w:rPr>
        <w:t>12000万元是指工程建安投资额而非合同费用金额</w:t>
      </w:r>
      <w:r>
        <w:rPr>
          <w:rFonts w:hint="eastAsia" w:ascii="宋体" w:hAnsi="宋体" w:cs="宋体"/>
          <w:b/>
          <w:bCs/>
          <w:color w:val="auto"/>
          <w:highlight w:val="none"/>
          <w:u w:val="single"/>
          <w:lang w:eastAsia="zh-CN"/>
        </w:rPr>
        <w:t>）。业绩应提供以下证明资料：1、依法承发包的交易结果（中标或成交）文件；2、合同；</w:t>
      </w:r>
      <w:r>
        <w:rPr>
          <w:rFonts w:hint="eastAsia" w:ascii="宋体" w:hAnsi="宋体" w:cs="宋体"/>
          <w:b/>
          <w:bCs/>
          <w:color w:val="auto"/>
          <w:highlight w:val="none"/>
          <w:u w:val="single"/>
          <w:lang w:val="en-US" w:eastAsia="zh-CN"/>
        </w:rPr>
        <w:t>3</w:t>
      </w:r>
      <w:r>
        <w:rPr>
          <w:rFonts w:hint="eastAsia" w:ascii="宋体" w:hAnsi="宋体" w:cs="宋体"/>
          <w:b/>
          <w:bCs/>
          <w:color w:val="auto"/>
          <w:highlight w:val="none"/>
          <w:u w:val="single"/>
          <w:lang w:eastAsia="zh-CN"/>
        </w:rPr>
        <w:t>、其他证明资料（如有）。依法承发包的交易结果文件包括中标通知书、直接发包通知书（或备案表）和成交通知书等；依法可以不进行招标的项目，可以提供业主单位或招标代理机构出具的有关中标文件。业绩时间认定以合同签订时间为准。证明资料中涉及评标的相关数据不一致的，以数额较小的为准；</w:t>
      </w:r>
    </w:p>
    <w:p w14:paraId="59943995">
      <w:pPr>
        <w:adjustRightInd w:val="0"/>
        <w:snapToGrid w:val="0"/>
        <w:spacing w:line="360" w:lineRule="auto"/>
        <w:ind w:firstLine="105" w:firstLineChars="50"/>
        <w:rPr>
          <w:rFonts w:hint="eastAsia" w:ascii="宋体" w:hAnsi="宋体" w:eastAsia="宋体" w:cs="宋体"/>
          <w:color w:val="auto"/>
          <w:highlight w:val="none"/>
          <w:lang w:eastAsia="zh-CN"/>
        </w:rPr>
      </w:pPr>
      <w:r>
        <w:rPr>
          <w:rFonts w:hint="eastAsia" w:ascii="宋体" w:hAnsi="宋体" w:cs="宋体"/>
          <w:color w:val="auto"/>
          <w:highlight w:val="none"/>
        </w:rPr>
        <w:t>施工类似业绩认定标准：</w:t>
      </w:r>
      <w:r>
        <w:rPr>
          <w:rFonts w:hint="eastAsia" w:ascii="宋体" w:hAnsi="宋体" w:cs="宋体"/>
          <w:b/>
          <w:bCs/>
          <w:color w:val="auto"/>
          <w:highlight w:val="none"/>
          <w:u w:val="single"/>
        </w:rPr>
        <w:t>单项合同金额12000万元及以上的房屋建筑工程</w:t>
      </w:r>
      <w:r>
        <w:rPr>
          <w:rFonts w:hint="eastAsia" w:ascii="宋体" w:hAnsi="宋体" w:cs="宋体"/>
          <w:b/>
          <w:bCs/>
          <w:color w:val="auto"/>
          <w:highlight w:val="none"/>
          <w:u w:val="single"/>
          <w:lang w:eastAsia="zh-CN"/>
        </w:rPr>
        <w:t>（</w:t>
      </w:r>
      <w:r>
        <w:rPr>
          <w:rFonts w:hint="eastAsia" w:ascii="宋体" w:hAnsi="宋体" w:cs="宋体"/>
          <w:b/>
          <w:bCs/>
          <w:color w:val="auto"/>
          <w:highlight w:val="none"/>
          <w:u w:val="single"/>
          <w:lang w:val="en-US" w:eastAsia="zh-CN"/>
        </w:rPr>
        <w:t>非住宅</w:t>
      </w:r>
      <w:r>
        <w:rPr>
          <w:rFonts w:hint="eastAsia" w:ascii="宋体" w:hAnsi="宋体" w:cs="宋体"/>
          <w:b/>
          <w:bCs/>
          <w:color w:val="auto"/>
          <w:highlight w:val="none"/>
          <w:u w:val="single"/>
          <w:lang w:eastAsia="zh-CN"/>
        </w:rPr>
        <w:t>）</w:t>
      </w:r>
      <w:r>
        <w:rPr>
          <w:rFonts w:hint="eastAsia" w:ascii="宋体" w:hAnsi="宋体" w:cs="宋体"/>
          <w:b/>
          <w:bCs/>
          <w:color w:val="auto"/>
          <w:highlight w:val="none"/>
          <w:u w:val="single"/>
        </w:rPr>
        <w:t>的</w:t>
      </w:r>
      <w:r>
        <w:rPr>
          <w:rFonts w:hint="eastAsia" w:ascii="宋体" w:hAnsi="宋体" w:cs="宋体"/>
          <w:b/>
          <w:bCs/>
          <w:color w:val="auto"/>
          <w:highlight w:val="none"/>
          <w:u w:val="single"/>
          <w:lang w:val="en-US" w:eastAsia="zh-CN"/>
        </w:rPr>
        <w:t>施工</w:t>
      </w:r>
      <w:r>
        <w:rPr>
          <w:rFonts w:hint="eastAsia" w:ascii="宋体" w:hAnsi="宋体" w:cs="宋体"/>
          <w:b/>
          <w:bCs/>
          <w:color w:val="auto"/>
          <w:highlight w:val="none"/>
          <w:u w:val="single"/>
        </w:rPr>
        <w:t>业绩</w:t>
      </w:r>
      <w:r>
        <w:rPr>
          <w:rFonts w:hint="eastAsia" w:ascii="宋体" w:hAnsi="宋体" w:cs="宋体"/>
          <w:b/>
          <w:bCs/>
          <w:color w:val="auto"/>
          <w:highlight w:val="none"/>
          <w:u w:val="single"/>
          <w:lang w:eastAsia="zh-CN"/>
        </w:rPr>
        <w:t xml:space="preserve">。业绩应提供以下证明资料：1、依法承发包的交易结果（中标或成交）文件；2、合同；3、符合国家规定的竣工验收证明材料；4、其他证明资料（如有）。依法承发包的交易结果文件包括中标通知书、直接发包通知书（或备案表）和成交通知书等；依法可以不进行招标的项目，可以提供业主单位或招标代理机构出具的有关中标文件。业绩时间认定以竣工验收证明时间为准。证明资料中涉及评标的相关数据不一致的，以数额较小的为准； </w:t>
      </w:r>
    </w:p>
    <w:p w14:paraId="1B9294D9">
      <w:pPr>
        <w:adjustRightInd w:val="0"/>
        <w:snapToGrid w:val="0"/>
        <w:spacing w:line="360" w:lineRule="auto"/>
        <w:ind w:firstLine="105" w:firstLineChars="50"/>
        <w:rPr>
          <w:rFonts w:ascii="宋体" w:hAnsi="宋体" w:cs="宋体"/>
          <w:color w:val="auto"/>
          <w:highlight w:val="none"/>
        </w:rPr>
      </w:pPr>
      <w:r>
        <w:rPr>
          <w:rFonts w:hint="eastAsia" w:ascii="宋体" w:hAnsi="宋体" w:cs="宋体"/>
          <w:color w:val="auto"/>
          <w:highlight w:val="none"/>
        </w:rPr>
        <w:t>（2）总承包项目经理：自</w:t>
      </w:r>
      <w:r>
        <w:rPr>
          <w:rFonts w:hint="eastAsia" w:ascii="宋体" w:hAnsi="宋体" w:cs="宋体"/>
          <w:color w:val="auto"/>
          <w:highlight w:val="none"/>
          <w:u w:val="single"/>
          <w:lang w:val="en-US" w:eastAsia="zh-CN"/>
        </w:rPr>
        <w:t>2022</w:t>
      </w:r>
      <w:r>
        <w:rPr>
          <w:rFonts w:hint="eastAsia" w:ascii="宋体" w:hAnsi="宋体" w:cs="宋体"/>
          <w:color w:val="auto"/>
          <w:highlight w:val="none"/>
        </w:rPr>
        <w:t>年</w:t>
      </w:r>
      <w:r>
        <w:rPr>
          <w:rFonts w:hint="eastAsia" w:ascii="宋体" w:hAnsi="宋体" w:cs="宋体"/>
          <w:color w:val="auto"/>
          <w:highlight w:val="none"/>
          <w:u w:val="single"/>
          <w:lang w:val="en-US" w:eastAsia="zh-CN"/>
        </w:rPr>
        <w:t>01</w:t>
      </w:r>
      <w:r>
        <w:rPr>
          <w:rFonts w:hint="eastAsia" w:ascii="宋体" w:hAnsi="宋体" w:cs="宋体"/>
          <w:color w:val="auto"/>
          <w:highlight w:val="none"/>
        </w:rPr>
        <w:t>月</w:t>
      </w:r>
      <w:r>
        <w:rPr>
          <w:rFonts w:hint="eastAsia" w:ascii="宋体" w:hAnsi="宋体" w:cs="宋体"/>
          <w:color w:val="auto"/>
          <w:highlight w:val="none"/>
          <w:u w:val="single"/>
          <w:lang w:val="en-US" w:eastAsia="zh-CN"/>
        </w:rPr>
        <w:t>01</w:t>
      </w:r>
      <w:r>
        <w:rPr>
          <w:rFonts w:hint="eastAsia" w:ascii="宋体" w:hAnsi="宋体" w:cs="宋体"/>
          <w:color w:val="auto"/>
          <w:highlight w:val="none"/>
        </w:rPr>
        <w:t>日以来，承担过类似业绩的工程总承包项目经理、设计项目负责人、施工项目负责人或者项目总监理工程师。</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时间不少于3年）</w:t>
      </w:r>
    </w:p>
    <w:p w14:paraId="2D290809">
      <w:pPr>
        <w:adjustRightInd w:val="0"/>
        <w:snapToGrid w:val="0"/>
        <w:spacing w:line="360" w:lineRule="auto"/>
        <w:ind w:firstLine="105" w:firstLineChars="50"/>
        <w:rPr>
          <w:rFonts w:hint="eastAsia" w:ascii="宋体" w:hAnsi="宋体" w:eastAsia="宋体" w:cs="宋体"/>
          <w:b/>
          <w:bCs/>
          <w:color w:val="auto"/>
          <w:highlight w:val="none"/>
          <w:lang w:eastAsia="zh-CN"/>
        </w:rPr>
      </w:pPr>
      <w:r>
        <w:rPr>
          <w:rFonts w:hint="eastAsia" w:ascii="宋体" w:hAnsi="宋体" w:cs="宋体"/>
          <w:color w:val="auto"/>
          <w:highlight w:val="none"/>
        </w:rPr>
        <w:t>工程总承包类似业绩认定标准：</w:t>
      </w:r>
      <w:r>
        <w:rPr>
          <w:rFonts w:hint="eastAsia" w:ascii="宋体" w:hAnsi="宋体" w:cs="宋体"/>
          <w:b/>
          <w:bCs/>
          <w:color w:val="auto"/>
          <w:highlight w:val="none"/>
          <w:u w:val="single"/>
          <w:lang w:val="en-US" w:eastAsia="zh-CN"/>
        </w:rPr>
        <w:t>担任过</w:t>
      </w:r>
      <w:r>
        <w:rPr>
          <w:rFonts w:hint="eastAsia" w:ascii="宋体" w:hAnsi="宋体" w:cs="宋体"/>
          <w:b/>
          <w:bCs/>
          <w:color w:val="auto"/>
          <w:highlight w:val="none"/>
          <w:u w:val="single"/>
        </w:rPr>
        <w:t>单项合同金额12000万元及以上的房屋建筑工程（非住宅）的工程总承包业绩</w:t>
      </w:r>
      <w:r>
        <w:rPr>
          <w:rFonts w:hint="eastAsia" w:ascii="宋体" w:hAnsi="宋体" w:cs="宋体"/>
          <w:b/>
          <w:bCs/>
          <w:color w:val="auto"/>
          <w:highlight w:val="none"/>
          <w:u w:val="single"/>
          <w:lang w:eastAsia="zh-CN"/>
        </w:rPr>
        <w:t xml:space="preserve">。业绩应提供以下证明资料：1、依法承发包的交易结果（中标或成交）文件；2、合同；3、符合国家规定的竣工验收证明材料；4、其他证明资料（如有）。依法承发包的交易结果文件包括中标通知书、直接发包通知书（或备案表）和成交通知书等；依法可以不进行招标的项目，可以提供业主单位或招标代理机构出具的有关中标文件。业绩时间认定以竣工验收证明时间为准。证明资料中涉及评标的相关数据不一致的，以数额较小的为准； </w:t>
      </w:r>
    </w:p>
    <w:p w14:paraId="5063015C">
      <w:pPr>
        <w:adjustRightInd w:val="0"/>
        <w:snapToGrid w:val="0"/>
        <w:spacing w:line="360" w:lineRule="auto"/>
        <w:ind w:firstLine="105" w:firstLineChars="50"/>
        <w:rPr>
          <w:rFonts w:hint="eastAsia" w:ascii="宋体" w:hAnsi="宋体" w:eastAsia="宋体" w:cs="宋体"/>
          <w:b/>
          <w:bCs/>
          <w:color w:val="auto"/>
          <w:highlight w:val="none"/>
          <w:lang w:eastAsia="zh-CN"/>
        </w:rPr>
      </w:pPr>
      <w:r>
        <w:rPr>
          <w:rFonts w:hint="eastAsia" w:ascii="宋体" w:hAnsi="宋体" w:cs="宋体"/>
          <w:color w:val="auto"/>
          <w:highlight w:val="none"/>
        </w:rPr>
        <w:t>设计类似业绩认定标准：</w:t>
      </w:r>
      <w:r>
        <w:rPr>
          <w:rFonts w:hint="eastAsia" w:ascii="宋体" w:hAnsi="宋体" w:cs="宋体"/>
          <w:b/>
          <w:bCs/>
          <w:color w:val="auto"/>
          <w:highlight w:val="none"/>
          <w:u w:val="single"/>
        </w:rPr>
        <w:t>单项合同金额12000万元及以上的房屋建筑工程（非住宅）的设计业绩（12000万元是指工程建安投资额而非合同费用金额）</w:t>
      </w:r>
      <w:r>
        <w:rPr>
          <w:rFonts w:hint="eastAsia" w:ascii="宋体" w:hAnsi="宋体" w:cs="宋体"/>
          <w:b/>
          <w:bCs/>
          <w:color w:val="auto"/>
          <w:highlight w:val="none"/>
          <w:u w:val="single"/>
          <w:lang w:eastAsia="zh-CN"/>
        </w:rPr>
        <w:t xml:space="preserve">。业绩应提供以下证明资料：1、依法承发包的交易结果（中标或成交）文件；2、合同； 3、其他证明资料（如有）。依法承发包的交易结果文件包括中标通知书、直接发包通知书（或备案表）和成交通知书等；依法可以不进行招标的项目，可以提供业主单位或招标代理机构出具的有关中标文件。业绩时间认定以合同签订时间为准。证明资料中涉及评标的相关数据不一致的，以数额较小的为准； </w:t>
      </w:r>
    </w:p>
    <w:p w14:paraId="0F5B35B5">
      <w:pPr>
        <w:adjustRightInd w:val="0"/>
        <w:snapToGrid w:val="0"/>
        <w:spacing w:line="360" w:lineRule="auto"/>
        <w:ind w:firstLine="105" w:firstLineChars="50"/>
        <w:rPr>
          <w:rFonts w:hint="eastAsia" w:ascii="宋体" w:hAnsi="宋体" w:eastAsia="宋体" w:cs="宋体"/>
          <w:color w:val="auto"/>
          <w:highlight w:val="none"/>
          <w:lang w:eastAsia="zh-CN"/>
        </w:rPr>
      </w:pPr>
      <w:r>
        <w:rPr>
          <w:rFonts w:hint="eastAsia" w:ascii="宋体" w:hAnsi="宋体" w:cs="宋体"/>
          <w:color w:val="auto"/>
          <w:highlight w:val="none"/>
        </w:rPr>
        <w:t>施工类似业绩认定标准：</w:t>
      </w:r>
      <w:r>
        <w:rPr>
          <w:rFonts w:hint="eastAsia" w:ascii="宋体" w:hAnsi="宋体" w:cs="宋体"/>
          <w:b/>
          <w:bCs/>
          <w:color w:val="auto"/>
          <w:highlight w:val="none"/>
          <w:u w:val="single"/>
        </w:rPr>
        <w:t>单项合同金额12000万元及以上的房屋建筑工程（非住宅）的施工业绩</w:t>
      </w:r>
      <w:r>
        <w:rPr>
          <w:rFonts w:hint="eastAsia" w:ascii="宋体" w:hAnsi="宋体" w:cs="宋体"/>
          <w:b/>
          <w:bCs/>
          <w:color w:val="auto"/>
          <w:highlight w:val="none"/>
          <w:u w:val="single"/>
          <w:lang w:eastAsia="zh-CN"/>
        </w:rPr>
        <w:t xml:space="preserve">。业绩应提供以下证明资料：1、依法承发包的交易结果（中标或成交）文件；2、合同；3、符合国家规定的竣工验收证明材料；4、其他证明资料（如有）。依法承发包的交易结果文件包括中标通知书、直接发包通知书（或备案表）和成交通知书等；依法可以不进行招标的项目，可以提供业主单位或招标代理机构出具的有关中标文件。业绩时间认定以竣工验收证明时间为准。证明资料中涉及评标的相关数据不一致的，以数额较小的为准； </w:t>
      </w:r>
    </w:p>
    <w:p w14:paraId="3F231393">
      <w:pPr>
        <w:snapToGrid w:val="0"/>
        <w:spacing w:line="360" w:lineRule="auto"/>
        <w:ind w:firstLine="105" w:firstLineChars="50"/>
        <w:rPr>
          <w:rFonts w:hint="eastAsia" w:ascii="宋体" w:hAnsi="宋体" w:cs="宋体"/>
          <w:b/>
          <w:bCs/>
          <w:color w:val="auto"/>
          <w:highlight w:val="none"/>
          <w:u w:val="single"/>
        </w:rPr>
      </w:pPr>
      <w:r>
        <w:rPr>
          <w:rFonts w:hint="eastAsia" w:ascii="宋体" w:hAnsi="宋体" w:cs="宋体"/>
          <w:color w:val="auto"/>
          <w:highlight w:val="none"/>
        </w:rPr>
        <w:t>监理类似业绩认定标准：</w:t>
      </w:r>
      <w:r>
        <w:rPr>
          <w:rFonts w:hint="eastAsia" w:ascii="宋体" w:hAnsi="宋体" w:cs="宋体"/>
          <w:b/>
          <w:bCs/>
          <w:color w:val="auto"/>
          <w:highlight w:val="none"/>
          <w:u w:val="single"/>
        </w:rPr>
        <w:t>单项合同金额12000万元及以上的房屋建筑工程（非住宅）的</w:t>
      </w:r>
      <w:r>
        <w:rPr>
          <w:rFonts w:hint="eastAsia" w:ascii="宋体" w:hAnsi="宋体" w:cs="宋体"/>
          <w:b/>
          <w:bCs/>
          <w:color w:val="auto"/>
          <w:highlight w:val="none"/>
          <w:u w:val="single"/>
          <w:lang w:val="en-US" w:eastAsia="zh-CN"/>
        </w:rPr>
        <w:t>监理</w:t>
      </w:r>
      <w:r>
        <w:rPr>
          <w:rFonts w:hint="eastAsia" w:ascii="宋体" w:hAnsi="宋体" w:cs="宋体"/>
          <w:b/>
          <w:bCs/>
          <w:color w:val="auto"/>
          <w:highlight w:val="none"/>
          <w:u w:val="single"/>
        </w:rPr>
        <w:t xml:space="preserve">业绩（12000万元是指工程建安投资额而非合同费用金额。）。业绩应提供以下证明资料：1、依法承发包的交易结果（中标或成交）文件；2、合同；3、符合国家规定的竣工验收证明材料；4、其他证明资料（如有）。依法承发包的交易结果文件包括中标通知书、直接发包通知书（或备案表）和成交通知书等；依法可以不进行招标的项目，可以提供业主单位或招标代理机构出具的有关中标文件。业绩时间认定以竣工验收证明时间为准。证明资料中涉及评标的相关数据不一致的，以数额较小的为准； </w:t>
      </w:r>
    </w:p>
    <w:p w14:paraId="5BDCEEB0">
      <w:pPr>
        <w:shd w:val="clear" w:color="auto" w:fill="auto"/>
        <w:adjustRightInd w:val="0"/>
        <w:snapToGrid w:val="0"/>
        <w:spacing w:line="360" w:lineRule="auto"/>
        <w:ind w:firstLine="422" w:firstLineChars="200"/>
        <w:jc w:val="left"/>
        <w:rPr>
          <w:rFonts w:hint="eastAsia" w:ascii="宋体" w:hAnsi="宋体" w:eastAsia="宋体" w:cs="宋体"/>
          <w:b/>
          <w:bCs/>
          <w:color w:val="auto"/>
          <w:kern w:val="2"/>
          <w:szCs w:val="24"/>
          <w:highlight w:val="none"/>
          <w:u w:val="single"/>
        </w:rPr>
      </w:pPr>
      <w:r>
        <w:rPr>
          <w:rFonts w:hint="eastAsia" w:ascii="宋体" w:hAnsi="宋体" w:eastAsia="宋体" w:cs="宋体"/>
          <w:b/>
          <w:bCs/>
          <w:color w:val="auto"/>
          <w:highlight w:val="none"/>
          <w:u w:val="single"/>
          <w:lang w:eastAsia="zh-CN"/>
        </w:rPr>
        <w:t>注：</w:t>
      </w:r>
      <w:r>
        <w:rPr>
          <w:rFonts w:hint="eastAsia" w:ascii="宋体" w:hAnsi="宋体" w:eastAsia="宋体" w:cs="宋体"/>
          <w:b/>
          <w:bCs/>
          <w:color w:val="auto"/>
          <w:highlight w:val="none"/>
          <w:u w:val="single"/>
          <w:lang w:val="en-US" w:eastAsia="zh-CN"/>
        </w:rPr>
        <w:t>总承包项目经理</w:t>
      </w:r>
      <w:r>
        <w:rPr>
          <w:rFonts w:hint="eastAsia" w:ascii="宋体" w:hAnsi="宋体" w:eastAsia="宋体" w:cs="宋体"/>
          <w:b/>
          <w:bCs/>
          <w:color w:val="auto"/>
          <w:highlight w:val="none"/>
          <w:u w:val="single"/>
        </w:rPr>
        <w:t>业绩</w:t>
      </w:r>
      <w:r>
        <w:rPr>
          <w:rFonts w:hint="eastAsia" w:ascii="宋体" w:hAnsi="宋体" w:eastAsia="宋体" w:cs="宋体"/>
          <w:b/>
          <w:bCs/>
          <w:color w:val="auto"/>
          <w:highlight w:val="none"/>
          <w:u w:val="single"/>
          <w:lang w:val="en-US" w:eastAsia="zh-CN"/>
        </w:rPr>
        <w:t>除法律法规不予认可的情形外，以下情形也不予认可：</w:t>
      </w:r>
      <w:r>
        <w:rPr>
          <w:rFonts w:hint="eastAsia" w:ascii="宋体" w:hAnsi="宋体" w:eastAsia="宋体" w:cs="宋体"/>
          <w:b/>
          <w:bCs/>
          <w:color w:val="auto"/>
          <w:kern w:val="2"/>
          <w:szCs w:val="24"/>
          <w:highlight w:val="none"/>
          <w:u w:val="single"/>
        </w:rPr>
        <w:t>业绩不是</w:t>
      </w:r>
      <w:r>
        <w:rPr>
          <w:rFonts w:hint="eastAsia" w:ascii="宋体" w:hAnsi="宋体" w:eastAsia="宋体" w:cs="宋体"/>
          <w:b/>
          <w:bCs/>
          <w:color w:val="auto"/>
          <w:kern w:val="2"/>
          <w:szCs w:val="24"/>
          <w:highlight w:val="none"/>
          <w:u w:val="single"/>
          <w:lang w:val="en-US" w:eastAsia="zh-CN"/>
        </w:rPr>
        <w:t>申请</w:t>
      </w:r>
      <w:r>
        <w:rPr>
          <w:rFonts w:hint="eastAsia" w:ascii="宋体" w:hAnsi="宋体" w:eastAsia="宋体" w:cs="宋体"/>
          <w:b/>
          <w:bCs/>
          <w:color w:val="auto"/>
          <w:kern w:val="2"/>
          <w:szCs w:val="24"/>
          <w:highlight w:val="none"/>
          <w:u w:val="single"/>
        </w:rPr>
        <w:t>人承担的</w:t>
      </w:r>
      <w:r>
        <w:rPr>
          <w:rFonts w:hint="eastAsia" w:ascii="宋体" w:hAnsi="宋体" w:eastAsia="宋体" w:cs="宋体"/>
          <w:b/>
          <w:bCs/>
          <w:color w:val="auto"/>
          <w:kern w:val="2"/>
          <w:szCs w:val="24"/>
          <w:highlight w:val="none"/>
          <w:u w:val="single"/>
          <w:lang w:eastAsia="zh-CN"/>
        </w:rPr>
        <w:t>。</w:t>
      </w:r>
    </w:p>
    <w:p w14:paraId="58BE6C15">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5</w:t>
      </w:r>
      <w:r>
        <w:rPr>
          <w:rFonts w:hint="eastAsia" w:ascii="宋体" w:hAnsi="宋体" w:cs="宋体"/>
          <w:color w:val="auto"/>
          <w:highlight w:val="none"/>
        </w:rPr>
        <w:t xml:space="preserve"> </w:t>
      </w:r>
      <w:r>
        <w:rPr>
          <w:rFonts w:hint="eastAsia" w:ascii="宋体" w:hAnsi="宋体" w:cs="宋体"/>
          <w:color w:val="auto"/>
          <w:highlight w:val="none"/>
          <w:lang w:val="en-US" w:eastAsia="zh-CN"/>
        </w:rPr>
        <w:t>申请</w:t>
      </w:r>
      <w:r>
        <w:rPr>
          <w:rFonts w:hint="eastAsia" w:ascii="宋体" w:hAnsi="宋体" w:cs="宋体"/>
          <w:color w:val="auto"/>
          <w:highlight w:val="none"/>
        </w:rPr>
        <w:t>人及拟派总承包项目经理应具备的其他要求：</w:t>
      </w:r>
    </w:p>
    <w:p w14:paraId="43256A83">
      <w:pPr>
        <w:adjustRightInd w:val="0"/>
        <w:snapToGrid w:val="0"/>
        <w:spacing w:line="360" w:lineRule="auto"/>
        <w:ind w:firstLine="424" w:firstLineChars="202"/>
        <w:rPr>
          <w:rFonts w:ascii="宋体" w:hAnsi="宋体" w:cs="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）自</w:t>
      </w:r>
      <w:r>
        <w:rPr>
          <w:rFonts w:hint="eastAsia" w:ascii="宋体" w:hAnsi="宋体" w:cs="宋体"/>
          <w:color w:val="auto"/>
          <w:szCs w:val="21"/>
          <w:highlight w:val="none"/>
          <w:u w:val="single"/>
          <w:lang w:val="en-US" w:eastAsia="zh-CN"/>
        </w:rPr>
        <w:t xml:space="preserve"> 2024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2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25 </w:t>
      </w:r>
      <w:r>
        <w:rPr>
          <w:rFonts w:hint="eastAsia" w:ascii="宋体" w:hAnsi="宋体" w:cs="宋体"/>
          <w:color w:val="auto"/>
          <w:szCs w:val="21"/>
          <w:highlight w:val="none"/>
        </w:rPr>
        <w:t>日（近2年）以来，</w:t>
      </w:r>
      <w:r>
        <w:rPr>
          <w:rFonts w:hint="eastAsia" w:ascii="宋体" w:hAnsi="宋体" w:cs="宋体"/>
          <w:color w:val="auto"/>
          <w:highlight w:val="none"/>
        </w:rPr>
        <w:t>企业和拟派工程总承包项目经理没有因串通投标、弄虚作假、以他人名义投标、骗取中标、转包、违法分包等违法行为受到</w:t>
      </w:r>
      <w:r>
        <w:rPr>
          <w:rFonts w:hint="eastAsia" w:ascii="宋体" w:hAnsi="宋体" w:cs="宋体"/>
          <w:color w:val="auto"/>
          <w:highlight w:val="none"/>
          <w:lang w:val="en-US" w:eastAsia="zh-CN"/>
        </w:rPr>
        <w:t>刑事处罚或</w:t>
      </w:r>
      <w:r>
        <w:rPr>
          <w:rFonts w:hint="eastAsia" w:ascii="宋体" w:hAnsi="宋体" w:cs="宋体"/>
          <w:color w:val="auto"/>
          <w:highlight w:val="none"/>
        </w:rPr>
        <w:t>行政处罚的；</w:t>
      </w:r>
    </w:p>
    <w:p w14:paraId="08706782">
      <w:pPr>
        <w:adjustRightInd w:val="0"/>
        <w:snapToGrid w:val="0"/>
        <w:spacing w:line="360" w:lineRule="auto"/>
        <w:ind w:firstLine="422" w:firstLineChars="201"/>
        <w:rPr>
          <w:rFonts w:ascii="宋体" w:hAnsi="宋体" w:cs="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）自</w:t>
      </w:r>
      <w:r>
        <w:rPr>
          <w:rFonts w:hint="eastAsia" w:ascii="宋体" w:hAnsi="宋体" w:cs="宋体"/>
          <w:color w:val="auto"/>
          <w:szCs w:val="21"/>
          <w:highlight w:val="none"/>
          <w:u w:val="single"/>
          <w:lang w:val="en-US" w:eastAsia="zh-CN"/>
        </w:rPr>
        <w:t xml:space="preserve"> 2025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2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25 </w:t>
      </w:r>
      <w:r>
        <w:rPr>
          <w:rFonts w:hint="eastAsia" w:ascii="宋体" w:hAnsi="宋体" w:cs="宋体"/>
          <w:color w:val="auto"/>
          <w:szCs w:val="21"/>
          <w:highlight w:val="none"/>
        </w:rPr>
        <w:t>日（近</w:t>
      </w:r>
      <w:r>
        <w:rPr>
          <w:rFonts w:ascii="宋体" w:hAnsi="宋体" w:cs="宋体"/>
          <w:color w:val="auto"/>
          <w:szCs w:val="21"/>
          <w:highlight w:val="none"/>
        </w:rPr>
        <w:t>1</w:t>
      </w:r>
      <w:r>
        <w:rPr>
          <w:rFonts w:hint="eastAsia" w:ascii="宋体" w:hAnsi="宋体" w:cs="宋体"/>
          <w:color w:val="auto"/>
          <w:szCs w:val="21"/>
          <w:highlight w:val="none"/>
        </w:rPr>
        <w:t>年）以来，</w:t>
      </w:r>
      <w:r>
        <w:rPr>
          <w:rFonts w:hint="eastAsia" w:ascii="宋体" w:hAnsi="宋体" w:cs="宋体"/>
          <w:color w:val="auto"/>
          <w:highlight w:val="none"/>
        </w:rPr>
        <w:t>企业没有无正当理由放弃中标资格（不含工程总承包项目经理多投多中后放弃）、不与招标人订立合同、拒不提供履约担保情形的；</w:t>
      </w:r>
    </w:p>
    <w:p w14:paraId="78070827">
      <w:pPr>
        <w:adjustRightInd w:val="0"/>
        <w:snapToGrid w:val="0"/>
        <w:spacing w:line="360" w:lineRule="auto"/>
        <w:ind w:firstLine="422" w:firstLineChars="201"/>
        <w:rPr>
          <w:rFonts w:hint="eastAsia" w:ascii="宋体" w:hAnsi="宋体" w:eastAsia="宋体" w:cs="宋体"/>
          <w:color w:val="auto"/>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）自</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rPr>
        <w:t>日（近</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年内）以来，</w:t>
      </w:r>
      <w:r>
        <w:rPr>
          <w:rFonts w:hint="eastAsia" w:ascii="宋体" w:hAnsi="宋体" w:cs="宋体"/>
          <w:color w:val="auto"/>
          <w:highlight w:val="none"/>
        </w:rPr>
        <w:t>申请人或者拟派工程总承包项目经理在招标人之前的工程中没有履约评价不合格的，履约评价不合格的名单如下：</w:t>
      </w:r>
      <w:r>
        <w:rPr>
          <w:rFonts w:ascii="宋体" w:hAnsi="宋体" w:cs="宋体"/>
          <w:color w:val="auto"/>
          <w:highlight w:val="none"/>
        </w:rPr>
        <w:t xml:space="preserve"> </w:t>
      </w:r>
    </w:p>
    <w:p w14:paraId="0BBB8092">
      <w:pPr>
        <w:adjustRightInd w:val="0"/>
        <w:snapToGrid w:val="0"/>
        <w:spacing w:line="360" w:lineRule="auto"/>
        <w:ind w:firstLine="420" w:firstLineChars="200"/>
        <w:rPr>
          <w:rFonts w:ascii="宋体" w:hAnsi="宋体" w:cs="宋体"/>
          <w:color w:val="auto"/>
          <w:szCs w:val="21"/>
          <w:highlight w:val="none"/>
        </w:rPr>
      </w:pPr>
      <w:r>
        <w:rPr>
          <w:rFonts w:hint="eastAsia"/>
          <w:color w:val="auto"/>
          <w:highlight w:val="none"/>
          <w:u w:val="none"/>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AA772F0">
      <w:pPr>
        <w:adjustRightInd w:val="0"/>
        <w:snapToGrid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申请人不得有资格预审文件第二章申请人须知第1.4.3项规定的情形。</w:t>
      </w:r>
    </w:p>
    <w:p w14:paraId="767C3438">
      <w:pPr>
        <w:adjustRightInd w:val="0"/>
        <w:snapToGrid w:val="0"/>
        <w:spacing w:line="360" w:lineRule="auto"/>
        <w:ind w:firstLine="0" w:firstLineChars="0"/>
        <w:rPr>
          <w:rFonts w:ascii="宋体" w:hAnsi="宋体" w:cs="宋体"/>
          <w:color w:val="auto"/>
          <w:highlight w:val="none"/>
          <w:u w:val="single"/>
        </w:rPr>
      </w:pPr>
      <w:r>
        <w:rPr>
          <w:rFonts w:hint="eastAsia" w:ascii="宋体" w:hAnsi="宋体" w:cs="宋体"/>
          <w:color w:val="auto"/>
          <w:highlight w:val="none"/>
        </w:rPr>
        <w:t>3.</w:t>
      </w:r>
      <w:r>
        <w:rPr>
          <w:rFonts w:hint="eastAsia" w:ascii="宋体" w:hAnsi="宋体" w:cs="宋体"/>
          <w:color w:val="auto"/>
          <w:highlight w:val="none"/>
          <w:lang w:val="en-US" w:eastAsia="zh-CN"/>
        </w:rPr>
        <w:t>7</w:t>
      </w:r>
      <w:r>
        <w:rPr>
          <w:rFonts w:hint="eastAsia" w:ascii="宋体" w:hAnsi="宋体" w:cs="宋体"/>
          <w:color w:val="auto"/>
          <w:highlight w:val="none"/>
        </w:rPr>
        <w:t xml:space="preserve"> 本次招标</w:t>
      </w:r>
      <w:r>
        <w:rPr>
          <w:rFonts w:hint="eastAsia" w:ascii="宋体" w:hAnsi="宋体" w:cs="宋体"/>
          <w:color w:val="auto"/>
          <w:highlight w:val="none"/>
          <w:u w:val="single"/>
        </w:rPr>
        <w:t>□不接受联合体投标；</w:t>
      </w:r>
    </w:p>
    <w:p w14:paraId="5C9F461A">
      <w:pPr>
        <w:adjustRightInd w:val="0"/>
        <w:snapToGrid w:val="0"/>
        <w:spacing w:line="360" w:lineRule="auto"/>
        <w:ind w:firstLine="1680" w:firstLineChars="800"/>
        <w:rPr>
          <w:rFonts w:ascii="宋体" w:hAnsi="宋体" w:cs="宋体"/>
          <w:color w:val="auto"/>
          <w:highlight w:val="none"/>
          <w:u w:val="single"/>
        </w:rPr>
      </w:pPr>
      <w:r>
        <w:rPr>
          <w:rFonts w:hint="eastAsia" w:ascii="宋体" w:hAnsi="宋体" w:cs="宋体"/>
          <w:color w:val="auto"/>
          <w:highlight w:val="none"/>
          <w:u w:val="single"/>
          <w:lang w:eastAsia="zh-CN"/>
        </w:rPr>
        <w:t>☑</w:t>
      </w:r>
      <w:r>
        <w:rPr>
          <w:rFonts w:hint="eastAsia" w:ascii="宋体" w:hAnsi="宋体" w:cs="宋体"/>
          <w:color w:val="auto"/>
          <w:highlight w:val="none"/>
          <w:u w:val="single"/>
        </w:rPr>
        <w:t>接受</w:t>
      </w:r>
      <w:r>
        <w:rPr>
          <w:rFonts w:hint="eastAsia" w:ascii="宋体" w:hAnsi="宋体" w:cs="宋体"/>
          <w:color w:val="auto"/>
          <w:highlight w:val="none"/>
        </w:rPr>
        <w:t>联合体投标。联合体投标时，须满足：</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1</w:t>
      </w:r>
      <w:r>
        <w:rPr>
          <w:rFonts w:hint="eastAsia" w:ascii="宋体" w:hAnsi="宋体" w:cs="宋体"/>
          <w:color w:val="auto"/>
          <w:highlight w:val="none"/>
          <w:u w:val="single"/>
          <w:lang w:eastAsia="zh-CN"/>
        </w:rPr>
        <w:t>）</w:t>
      </w:r>
      <w:r>
        <w:rPr>
          <w:rFonts w:hint="eastAsia" w:ascii="宋体" w:hAnsi="宋体" w:cs="宋体"/>
          <w:color w:val="auto"/>
          <w:highlight w:val="none"/>
          <w:u w:val="single"/>
        </w:rPr>
        <w:t>以联合体形式投标的，联合体的资格（资质）条件必须符合资格预审文件或者招标文件要求，并附有共同投标协议</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lang w:eastAsia="zh-CN"/>
        </w:rPr>
        <w:t>）如联合体投标需在资格审查申请文件内提供联合体协议书，并明确本项目投标的牵头单位以及联合体牵头单位和各方权利义务。一个单位只能参与组成一个投标联合体，且不得再独立参加投标。（</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lang w:eastAsia="zh-CN"/>
        </w:rPr>
        <w:t>）由同一专业的单位组成的联合体，按照资质等级较低的确定资质等级。联合体协议书对联合体成员工作内容有明确分工的，按分工划定。（</w:t>
      </w:r>
      <w:r>
        <w:rPr>
          <w:rFonts w:hint="eastAsia" w:ascii="宋体" w:hAnsi="宋体" w:cs="宋体"/>
          <w:color w:val="auto"/>
          <w:highlight w:val="none"/>
          <w:u w:val="single"/>
          <w:lang w:val="en-US" w:eastAsia="zh-CN"/>
        </w:rPr>
        <w:t>4</w:t>
      </w:r>
      <w:r>
        <w:rPr>
          <w:rFonts w:hint="eastAsia" w:ascii="宋体" w:hAnsi="宋体" w:cs="宋体"/>
          <w:color w:val="auto"/>
          <w:highlight w:val="none"/>
          <w:u w:val="single"/>
          <w:lang w:eastAsia="zh-CN"/>
        </w:rPr>
        <w:t>）招标人要求投标人提交投标保证金的，应当以联合体中牵头单位的名义提交投标保证金，且对联合体各成员具有约束力。</w:t>
      </w:r>
      <w:r>
        <w:rPr>
          <w:rFonts w:hint="eastAsia" w:ascii="宋体" w:hAnsi="宋体" w:cs="宋体"/>
          <w:color w:val="auto"/>
          <w:highlight w:val="none"/>
        </w:rPr>
        <w:t xml:space="preserve">     </w:t>
      </w:r>
    </w:p>
    <w:p w14:paraId="173AE93C">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采用联合体投标的，应满足招标文件第二章申请人须知第1.4.2项的规定。</w:t>
      </w:r>
    </w:p>
    <w:p w14:paraId="20DE4182">
      <w:pPr>
        <w:adjustRightInd w:val="0"/>
        <w:snapToGrid w:val="0"/>
        <w:spacing w:line="360" w:lineRule="auto"/>
        <w:ind w:firstLine="0" w:firstLineChars="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8</w:t>
      </w:r>
      <w:r>
        <w:rPr>
          <w:rFonts w:hint="eastAsia" w:ascii="宋体" w:hAnsi="宋体" w:cs="宋体"/>
          <w:color w:val="auto"/>
          <w:highlight w:val="none"/>
        </w:rPr>
        <w:t>以联合体形式或分包形式面向中小企业的实施方式及预留份额：</w:t>
      </w:r>
    </w:p>
    <w:p w14:paraId="7433A79F">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□本标段以联合体形式预留。联合体中中小企业承担的合同份额需达到</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（不低于  %）以上，且在共同投标协议中明确。</w:t>
      </w:r>
    </w:p>
    <w:p w14:paraId="6F6D407C">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□本标段以分包形式预留。接受大型企业将</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（不低于  %）以上的非主体、非关键性工作分包给</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家</w:t>
      </w:r>
      <w:r>
        <w:rPr>
          <w:rFonts w:hint="eastAsia" w:ascii="宋体" w:hAnsi="宋体" w:cs="宋体"/>
          <w:color w:val="auto"/>
          <w:highlight w:val="none"/>
        </w:rPr>
        <w:t>（一家或者多家）中小企业，且在</w:t>
      </w:r>
      <w:r>
        <w:rPr>
          <w:rFonts w:hint="eastAsia" w:ascii="宋体" w:hAnsi="宋体" w:cs="宋体"/>
          <w:color w:val="auto"/>
          <w:highlight w:val="none"/>
          <w:lang w:val="en-US" w:eastAsia="zh-CN"/>
        </w:rPr>
        <w:t>拟分包计划表</w:t>
      </w:r>
      <w:r>
        <w:rPr>
          <w:rFonts w:hint="eastAsia" w:ascii="宋体" w:hAnsi="宋体" w:cs="宋体"/>
          <w:color w:val="auto"/>
          <w:highlight w:val="none"/>
        </w:rPr>
        <w:t>中明确。</w:t>
      </w:r>
    </w:p>
    <w:p w14:paraId="3968ADFE">
      <w:pPr>
        <w:adjustRightInd w:val="0"/>
        <w:snapToGrid w:val="0"/>
        <w:spacing w:line="360" w:lineRule="auto"/>
        <w:ind w:firstLine="0" w:firstLineChars="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9</w:t>
      </w:r>
      <w:r>
        <w:rPr>
          <w:rFonts w:hint="eastAsia" w:ascii="宋体" w:hAnsi="宋体" w:cs="宋体"/>
          <w:color w:val="auto"/>
          <w:highlight w:val="none"/>
        </w:rPr>
        <w:t>面向中小企业招标的，投标人（或联合体或分包中的中小企业）须为中小企业，并提供《中小企业声明函》。</w:t>
      </w:r>
    </w:p>
    <w:p w14:paraId="3836917C">
      <w:pPr>
        <w:pStyle w:val="4"/>
        <w:rPr>
          <w:rFonts w:hint="eastAsia" w:ascii="宋体" w:hAnsi="宋体" w:eastAsia="宋体" w:cs="宋体"/>
          <w:b/>
          <w:bCs/>
          <w:color w:val="auto"/>
          <w:sz w:val="24"/>
          <w:szCs w:val="24"/>
          <w:highlight w:val="none"/>
        </w:rPr>
      </w:pPr>
      <w:bookmarkStart w:id="112" w:name="_Toc23052"/>
      <w:bookmarkStart w:id="113" w:name="_Toc28714"/>
      <w:bookmarkStart w:id="114" w:name="_Toc11535"/>
      <w:bookmarkStart w:id="115" w:name="_Toc17312"/>
      <w:bookmarkStart w:id="116" w:name="_Toc17641"/>
      <w:bookmarkStart w:id="117" w:name="_Toc21533"/>
      <w:bookmarkStart w:id="118" w:name="_Toc1123"/>
      <w:bookmarkStart w:id="119" w:name="_Toc29373"/>
      <w:bookmarkStart w:id="120" w:name="_Toc4412"/>
      <w:bookmarkStart w:id="121" w:name="_Toc30577"/>
      <w:bookmarkStart w:id="122" w:name="_Toc67753494"/>
      <w:bookmarkStart w:id="123" w:name="_Toc26893"/>
      <w:bookmarkStart w:id="124" w:name="_Toc29571"/>
      <w:bookmarkStart w:id="125" w:name="_Toc29250"/>
      <w:bookmarkStart w:id="126" w:name="_Toc6179"/>
      <w:bookmarkStart w:id="127" w:name="_Toc27210"/>
      <w:bookmarkStart w:id="128" w:name="_Toc21552"/>
      <w:bookmarkStart w:id="129" w:name="_Toc29176"/>
      <w:bookmarkStart w:id="130" w:name="_Toc31615"/>
      <w:bookmarkStart w:id="131" w:name="_Toc16507"/>
      <w:bookmarkStart w:id="132" w:name="_Toc19658"/>
      <w:bookmarkStart w:id="133" w:name="_Toc16029"/>
      <w:bookmarkStart w:id="134" w:name="_Toc32297"/>
      <w:r>
        <w:rPr>
          <w:rFonts w:hint="eastAsia" w:ascii="宋体" w:hAnsi="宋体" w:eastAsia="宋体" w:cs="宋体"/>
          <w:b/>
          <w:bCs/>
          <w:color w:val="auto"/>
          <w:sz w:val="24"/>
          <w:szCs w:val="24"/>
          <w:highlight w:val="none"/>
        </w:rPr>
        <w:t>4</w:t>
      </w:r>
      <w:bookmarkEnd w:id="107"/>
      <w:bookmarkEnd w:id="108"/>
      <w:bookmarkEnd w:id="109"/>
      <w:r>
        <w:rPr>
          <w:rFonts w:hint="eastAsia" w:ascii="宋体" w:hAnsi="宋体" w:eastAsia="宋体" w:cs="宋体"/>
          <w:b/>
          <w:bCs/>
          <w:color w:val="auto"/>
          <w:sz w:val="24"/>
          <w:szCs w:val="24"/>
          <w:highlight w:val="none"/>
        </w:rPr>
        <w:t>. 资格预审方法</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bookmarkEnd w:id="110"/>
    <w:bookmarkEnd w:id="111"/>
    <w:p w14:paraId="18EF1599">
      <w:pPr>
        <w:spacing w:line="360" w:lineRule="auto"/>
        <w:ind w:firstLine="420" w:firstLineChars="200"/>
        <w:rPr>
          <w:rFonts w:hint="eastAsia" w:ascii="宋体" w:hAnsi="宋体" w:cs="宋体"/>
          <w:color w:val="auto"/>
          <w:szCs w:val="21"/>
          <w:highlight w:val="none"/>
        </w:rPr>
      </w:pPr>
      <w:r>
        <w:rPr>
          <w:rFonts w:hint="eastAsia"/>
          <w:color w:val="auto"/>
          <w:highlight w:val="none"/>
        </w:rPr>
        <w:t>本次资格预审采用</w:t>
      </w:r>
      <w:r>
        <w:rPr>
          <w:rFonts w:hint="eastAsia"/>
          <w:color w:val="auto"/>
          <w:highlight w:val="none"/>
          <w:u w:val="single"/>
        </w:rPr>
        <w:t>合格制</w:t>
      </w:r>
      <w:r>
        <w:rPr>
          <w:rFonts w:hint="eastAsia"/>
          <w:color w:val="auto"/>
          <w:highlight w:val="none"/>
        </w:rPr>
        <w:t>，</w:t>
      </w:r>
      <w:r>
        <w:rPr>
          <w:rFonts w:hint="eastAsia" w:ascii="宋体" w:hAnsi="宋体" w:cs="宋体"/>
          <w:color w:val="auto"/>
          <w:szCs w:val="21"/>
          <w:highlight w:val="none"/>
        </w:rPr>
        <w:t>资格评审标准详见资格预审文件第三章。</w:t>
      </w:r>
    </w:p>
    <w:p w14:paraId="76CC55D6">
      <w:pPr>
        <w:pStyle w:val="4"/>
        <w:rPr>
          <w:rFonts w:hint="eastAsia" w:ascii="宋体" w:hAnsi="宋体" w:eastAsia="宋体" w:cs="宋体"/>
          <w:b/>
          <w:bCs/>
          <w:color w:val="auto"/>
          <w:sz w:val="24"/>
          <w:szCs w:val="24"/>
          <w:highlight w:val="none"/>
        </w:rPr>
      </w:pPr>
      <w:bookmarkStart w:id="135" w:name="_Toc17408"/>
      <w:bookmarkStart w:id="136" w:name="_Toc28111"/>
      <w:bookmarkStart w:id="137" w:name="_Toc9849"/>
      <w:bookmarkStart w:id="138" w:name="_Toc9529"/>
      <w:bookmarkStart w:id="139" w:name="_Toc19142"/>
      <w:bookmarkStart w:id="140" w:name="_Toc382549719"/>
      <w:bookmarkStart w:id="141" w:name="_Toc2625"/>
      <w:bookmarkStart w:id="142" w:name="_Toc30591"/>
      <w:bookmarkStart w:id="143" w:name="_Toc955"/>
      <w:bookmarkStart w:id="144" w:name="_Toc67753495"/>
      <w:bookmarkStart w:id="145" w:name="_Toc25489"/>
      <w:bookmarkStart w:id="146" w:name="_Toc9665"/>
      <w:bookmarkStart w:id="147" w:name="_Toc29685"/>
      <w:bookmarkStart w:id="148" w:name="_Toc15769"/>
      <w:bookmarkStart w:id="149" w:name="_Toc23625"/>
      <w:bookmarkStart w:id="150" w:name="_Toc28311"/>
      <w:bookmarkStart w:id="151" w:name="_Toc6061"/>
      <w:bookmarkStart w:id="152" w:name="_Toc5527"/>
      <w:bookmarkStart w:id="153" w:name="_Toc20905"/>
      <w:bookmarkStart w:id="154" w:name="_Toc30743"/>
      <w:bookmarkStart w:id="155" w:name="_Toc26649"/>
      <w:bookmarkStart w:id="156" w:name="_Toc382549579"/>
      <w:bookmarkStart w:id="157" w:name="_Toc17911"/>
      <w:bookmarkStart w:id="158" w:name="_Toc2963"/>
      <w:bookmarkStart w:id="159" w:name="_Toc28395"/>
      <w:r>
        <w:rPr>
          <w:rFonts w:hint="eastAsia" w:ascii="宋体" w:hAnsi="宋体" w:eastAsia="宋体" w:cs="宋体"/>
          <w:b/>
          <w:bCs/>
          <w:color w:val="auto"/>
          <w:sz w:val="24"/>
          <w:szCs w:val="24"/>
          <w:highlight w:val="none"/>
        </w:rPr>
        <w:t>5. 评标办法</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1AD5EC34">
      <w:pPr>
        <w:spacing w:line="360" w:lineRule="auto"/>
        <w:ind w:firstLine="420" w:firstLineChars="200"/>
        <w:rPr>
          <w:rFonts w:hint="eastAsia"/>
          <w:color w:val="auto"/>
          <w:highlight w:val="none"/>
        </w:rPr>
      </w:pPr>
      <w:bookmarkStart w:id="160" w:name="_Toc381873674"/>
      <w:bookmarkStart w:id="161" w:name="_Toc381873156"/>
      <w:bookmarkStart w:id="162" w:name="_Toc382549580"/>
      <w:bookmarkStart w:id="163" w:name="_Toc382549720"/>
      <w:bookmarkStart w:id="164" w:name="_Toc381873898"/>
      <w:r>
        <w:rPr>
          <w:rFonts w:hint="eastAsia" w:ascii="宋体" w:hAnsi="宋体" w:cs="宋体"/>
          <w:color w:val="auto"/>
          <w:szCs w:val="21"/>
          <w:highlight w:val="none"/>
        </w:rPr>
        <w:t>本次招标采用</w:t>
      </w:r>
      <w:r>
        <w:rPr>
          <w:rFonts w:hint="eastAsia" w:ascii="宋体" w:hAnsi="宋体" w:cs="宋体"/>
          <w:color w:val="auto"/>
          <w:szCs w:val="21"/>
          <w:highlight w:val="none"/>
          <w:u w:val="single"/>
        </w:rPr>
        <w:t xml:space="preserve">  </w:t>
      </w:r>
      <w:r>
        <w:rPr>
          <w:rFonts w:hint="eastAsia" w:ascii="宋体" w:hAnsi="宋体" w:cs="宋体"/>
          <w:b w:val="0"/>
          <w:bCs w:val="0"/>
          <w:color w:val="auto"/>
          <w:szCs w:val="21"/>
          <w:highlight w:val="none"/>
          <w:u w:val="single"/>
        </w:rPr>
        <w:t>综合评估法-评定分离方式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第一阶段详细评审分值构成：</w:t>
      </w:r>
      <w:r>
        <w:rPr>
          <w:rFonts w:hint="eastAsia" w:ascii="宋体" w:hAnsi="宋体" w:cs="宋体"/>
          <w:color w:val="auto"/>
          <w:szCs w:val="21"/>
          <w:highlight w:val="none"/>
          <w:u w:val="single"/>
        </w:rPr>
        <w:t>方案设计文件35分，项目管理组织方案6分，项目管理机构3分</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第二阶段详细评审分值构成：工程总承包报价56分，定标因素：1、设计契合程度；2、项目负责人答辩。</w:t>
      </w:r>
      <w:r>
        <w:rPr>
          <w:rFonts w:hint="eastAsia" w:ascii="宋体" w:hAnsi="宋体" w:cs="宋体"/>
          <w:color w:val="auto"/>
          <w:szCs w:val="21"/>
          <w:highlight w:val="none"/>
        </w:rPr>
        <w:t>评标标准和方法详见招标文件第三章。</w:t>
      </w:r>
    </w:p>
    <w:p w14:paraId="3E803729">
      <w:pPr>
        <w:pStyle w:val="4"/>
        <w:rPr>
          <w:rFonts w:hint="eastAsia" w:ascii="宋体" w:hAnsi="宋体" w:eastAsia="宋体" w:cs="宋体"/>
          <w:b/>
          <w:bCs/>
          <w:color w:val="auto"/>
          <w:sz w:val="24"/>
          <w:szCs w:val="24"/>
          <w:highlight w:val="none"/>
        </w:rPr>
      </w:pPr>
      <w:bookmarkStart w:id="165" w:name="_Toc18422"/>
      <w:bookmarkStart w:id="166" w:name="_Toc18982"/>
      <w:bookmarkStart w:id="167" w:name="_Toc11331"/>
      <w:bookmarkStart w:id="168" w:name="_Toc17145"/>
      <w:bookmarkStart w:id="169" w:name="_Toc27553"/>
      <w:bookmarkStart w:id="170" w:name="_Toc32390"/>
      <w:bookmarkStart w:id="171" w:name="_Toc17702"/>
      <w:bookmarkStart w:id="172" w:name="_Toc29207"/>
      <w:bookmarkStart w:id="173" w:name="_Toc10436"/>
      <w:bookmarkStart w:id="174" w:name="_Toc32118"/>
      <w:bookmarkStart w:id="175" w:name="_Toc7374"/>
      <w:bookmarkStart w:id="176" w:name="_Toc67753496"/>
      <w:bookmarkStart w:id="177" w:name="_Toc13017"/>
      <w:bookmarkStart w:id="178" w:name="_Toc2933"/>
      <w:bookmarkStart w:id="179" w:name="_Toc30110"/>
      <w:bookmarkStart w:id="180" w:name="_Toc1614"/>
      <w:bookmarkStart w:id="181" w:name="_Toc4819"/>
      <w:bookmarkStart w:id="182" w:name="_Toc30677"/>
      <w:bookmarkStart w:id="183" w:name="_Toc26510"/>
      <w:bookmarkStart w:id="184" w:name="_Toc11563"/>
      <w:bookmarkStart w:id="185" w:name="_Toc17203"/>
      <w:bookmarkStart w:id="186" w:name="_Toc17899"/>
      <w:bookmarkStart w:id="187" w:name="_Toc16439"/>
      <w:r>
        <w:rPr>
          <w:rFonts w:hint="eastAsia" w:ascii="宋体" w:hAnsi="宋体" w:eastAsia="宋体" w:cs="宋体"/>
          <w:b/>
          <w:bCs/>
          <w:color w:val="auto"/>
          <w:sz w:val="24"/>
          <w:szCs w:val="24"/>
          <w:highlight w:val="none"/>
        </w:rPr>
        <w:t>6. 资格预审文件的获取</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39132555">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6.1获取时间：</w:t>
      </w:r>
      <w:r>
        <w:rPr>
          <w:rFonts w:hint="eastAsia" w:ascii="宋体" w:hAnsi="宋体" w:eastAsia="宋体" w:cs="宋体"/>
          <w:color w:val="auto"/>
          <w:kern w:val="0"/>
          <w:szCs w:val="21"/>
          <w:highlight w:val="none"/>
        </w:rPr>
        <w:t xml:space="preserve"> </w:t>
      </w:r>
      <w:r>
        <w:rPr>
          <w:rFonts w:hint="eastAsia" w:ascii="宋体" w:hAnsi="宋体" w:cs="宋体"/>
          <w:color w:val="auto"/>
          <w:kern w:val="0"/>
          <w:szCs w:val="21"/>
          <w:highlight w:val="none"/>
          <w:u w:val="single"/>
          <w:lang w:val="en-US" w:eastAsia="zh-CN"/>
        </w:rPr>
        <w:t>2026</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2</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u w:val="single"/>
          <w:lang w:val="en-US" w:eastAsia="zh-CN"/>
        </w:rPr>
        <w:t>25</w:t>
      </w:r>
      <w:r>
        <w:rPr>
          <w:rFonts w:hint="eastAsia" w:ascii="宋体" w:hAnsi="宋体" w:eastAsia="宋体" w:cs="宋体"/>
          <w:color w:val="auto"/>
          <w:kern w:val="0"/>
          <w:szCs w:val="21"/>
          <w:highlight w:val="none"/>
        </w:rPr>
        <w:t>日至</w:t>
      </w:r>
      <w:r>
        <w:rPr>
          <w:rFonts w:hint="eastAsia" w:ascii="宋体" w:hAnsi="宋体" w:cs="宋体"/>
          <w:color w:val="auto"/>
          <w:kern w:val="0"/>
          <w:szCs w:val="21"/>
          <w:highlight w:val="none"/>
          <w:u w:val="single"/>
          <w:lang w:val="en-US" w:eastAsia="zh-CN"/>
        </w:rPr>
        <w:t>2026</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3</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u w:val="single"/>
          <w:lang w:val="en-US" w:eastAsia="zh-CN"/>
        </w:rPr>
        <w:t>3</w:t>
      </w:r>
      <w:r>
        <w:rPr>
          <w:rFonts w:hint="eastAsia" w:ascii="宋体" w:hAnsi="宋体" w:eastAsia="宋体" w:cs="宋体"/>
          <w:color w:val="auto"/>
          <w:kern w:val="0"/>
          <w:szCs w:val="21"/>
          <w:highlight w:val="none"/>
        </w:rPr>
        <w:t>日；</w:t>
      </w:r>
    </w:p>
    <w:p w14:paraId="41E2043A">
      <w:pPr>
        <w:spacing w:line="360" w:lineRule="auto"/>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6.2获取方式：申请人使用“江苏CA数字证书”登录“电子招标投标交易平台”获取；</w:t>
      </w:r>
    </w:p>
    <w:p w14:paraId="27F1C08D">
      <w:pPr>
        <w:spacing w:line="360" w:lineRule="auto"/>
        <w:ind w:firstLine="420" w:firstLineChars="200"/>
        <w:rPr>
          <w:rFonts w:hint="eastAsia" w:eastAsia="宋体"/>
          <w:color w:val="auto"/>
          <w:szCs w:val="21"/>
          <w:highlight w:val="none"/>
          <w:lang w:val="en-US" w:eastAsia="zh-CN"/>
        </w:rPr>
      </w:pPr>
      <w:r>
        <w:rPr>
          <w:rFonts w:hint="eastAsia"/>
          <w:color w:val="auto"/>
          <w:szCs w:val="21"/>
          <w:highlight w:val="none"/>
        </w:rPr>
        <w:t>本公告及资格预审文件中“电子招标投标交易平台”：</w:t>
      </w:r>
      <w:r>
        <w:rPr>
          <w:rFonts w:hint="eastAsia"/>
          <w:color w:val="auto"/>
          <w:szCs w:val="21"/>
          <w:highlight w:val="none"/>
          <w:u w:val="single"/>
        </w:rPr>
        <w:t>扬州市公共资源交易平台7.0版本</w:t>
      </w:r>
      <w:r>
        <w:rPr>
          <w:rFonts w:hint="eastAsia"/>
          <w:color w:val="auto"/>
          <w:szCs w:val="21"/>
          <w:highlight w:val="none"/>
        </w:rPr>
        <w:t xml:space="preserve"> </w:t>
      </w:r>
      <w:r>
        <w:rPr>
          <w:rFonts w:hint="eastAsia"/>
          <w:color w:val="auto"/>
          <w:szCs w:val="21"/>
          <w:highlight w:val="none"/>
          <w:lang w:eastAsia="zh-CN"/>
        </w:rPr>
        <w:t>。</w:t>
      </w:r>
    </w:p>
    <w:p w14:paraId="493C63AA">
      <w:pPr>
        <w:pStyle w:val="4"/>
        <w:numPr>
          <w:ilvl w:val="0"/>
          <w:numId w:val="0"/>
        </w:numPr>
        <w:rPr>
          <w:rFonts w:hint="eastAsia" w:ascii="宋体" w:hAnsi="宋体" w:eastAsia="宋体" w:cs="宋体"/>
          <w:b/>
          <w:bCs/>
          <w:color w:val="auto"/>
          <w:sz w:val="24"/>
          <w:szCs w:val="24"/>
          <w:highlight w:val="none"/>
        </w:rPr>
      </w:pPr>
      <w:bookmarkStart w:id="188" w:name="_Toc16094"/>
      <w:bookmarkStart w:id="189" w:name="_Toc11525"/>
      <w:bookmarkStart w:id="190" w:name="_Toc14704"/>
      <w:bookmarkStart w:id="191" w:name="_Toc20096"/>
      <w:bookmarkStart w:id="192" w:name="_Toc31105"/>
      <w:bookmarkStart w:id="193" w:name="_Toc9050"/>
      <w:bookmarkStart w:id="194" w:name="_Toc5063"/>
      <w:bookmarkStart w:id="195" w:name="_Toc17843"/>
      <w:bookmarkStart w:id="196" w:name="_Toc30249"/>
      <w:bookmarkStart w:id="197" w:name="_Toc17643"/>
      <w:bookmarkStart w:id="198" w:name="_Toc19035"/>
      <w:bookmarkStart w:id="199" w:name="_Toc3370"/>
      <w:bookmarkStart w:id="200" w:name="_Toc11569"/>
      <w:bookmarkStart w:id="201" w:name="_Toc26668"/>
      <w:bookmarkStart w:id="202" w:name="_Toc19558"/>
      <w:bookmarkStart w:id="203" w:name="_Toc10111"/>
      <w:bookmarkStart w:id="204" w:name="_Toc30276"/>
      <w:bookmarkStart w:id="205" w:name="_Toc4082"/>
      <w:bookmarkStart w:id="206" w:name="_Toc11957"/>
      <w:bookmarkStart w:id="207" w:name="_Toc2631"/>
      <w:bookmarkStart w:id="208" w:name="_Toc3354"/>
      <w:bookmarkStart w:id="209" w:name="_Toc11366"/>
      <w:bookmarkStart w:id="210" w:name="_Toc67753497"/>
      <w:r>
        <w:rPr>
          <w:rFonts w:hint="eastAsia" w:ascii="宋体" w:hAnsi="宋体" w:eastAsia="宋体" w:cs="宋体"/>
          <w:b/>
          <w:bCs/>
          <w:color w:val="auto"/>
          <w:sz w:val="24"/>
          <w:szCs w:val="24"/>
          <w:highlight w:val="none"/>
        </w:rPr>
        <w:t>7. 资格预审申请文件的递交</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6E54AE89">
      <w:pPr>
        <w:spacing w:line="360" w:lineRule="auto"/>
        <w:ind w:firstLine="0" w:firstLineChars="0"/>
        <w:rPr>
          <w:rFonts w:hint="eastAsia" w:ascii="宋体" w:hAnsi="宋体" w:eastAsia="宋体" w:cs="宋体"/>
          <w:color w:val="auto"/>
          <w:kern w:val="2"/>
          <w:sz w:val="21"/>
          <w:szCs w:val="24"/>
          <w:highlight w:val="none"/>
          <w:lang w:val="en-US" w:eastAsia="zh-CN" w:bidi="ar"/>
        </w:rPr>
      </w:pPr>
      <w:r>
        <w:rPr>
          <w:rFonts w:hint="eastAsia" w:ascii="宋体" w:hAnsi="宋体" w:eastAsia="宋体" w:cs="宋体"/>
          <w:color w:val="auto"/>
          <w:szCs w:val="21"/>
          <w:highlight w:val="none"/>
        </w:rPr>
        <w:t>7.1递交资格预审申请文件截止时间(申请截止时间，下同)为</w:t>
      </w:r>
      <w:r>
        <w:rPr>
          <w:rFonts w:hint="eastAsia" w:ascii="宋体" w:hAnsi="宋体" w:cs="宋体"/>
          <w:color w:val="auto"/>
          <w:szCs w:val="21"/>
          <w:highlight w:val="none"/>
          <w:u w:val="single"/>
          <w:lang w:val="en-US" w:eastAsia="zh-CN"/>
        </w:rPr>
        <w:t xml:space="preserve">2026 </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 xml:space="preserve"> 3</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 xml:space="preserve"> 10</w:t>
      </w:r>
      <w:r>
        <w:rPr>
          <w:rFonts w:hint="eastAsia" w:ascii="宋体" w:hAnsi="宋体" w:eastAsia="宋体" w:cs="宋体"/>
          <w:color w:val="auto"/>
          <w:szCs w:val="21"/>
          <w:highlight w:val="none"/>
        </w:rPr>
        <w:t>日</w:t>
      </w:r>
      <w:r>
        <w:rPr>
          <w:rFonts w:hint="eastAsia" w:ascii="宋体" w:hAnsi="宋体" w:cs="宋体"/>
          <w:color w:val="auto"/>
          <w:szCs w:val="21"/>
          <w:highlight w:val="none"/>
          <w:u w:val="single"/>
          <w:lang w:val="en-US" w:eastAsia="zh-CN"/>
        </w:rPr>
        <w:t xml:space="preserve"> 9 </w:t>
      </w:r>
      <w:r>
        <w:rPr>
          <w:rFonts w:hint="eastAsia" w:ascii="宋体" w:hAnsi="宋体" w:eastAsia="宋体" w:cs="宋体"/>
          <w:color w:val="auto"/>
          <w:szCs w:val="21"/>
          <w:highlight w:val="none"/>
        </w:rPr>
        <w:t>时</w:t>
      </w:r>
      <w:r>
        <w:rPr>
          <w:rFonts w:hint="eastAsia" w:ascii="宋体" w:hAnsi="宋体" w:cs="宋体"/>
          <w:color w:val="auto"/>
          <w:szCs w:val="21"/>
          <w:highlight w:val="none"/>
          <w:u w:val="single"/>
          <w:lang w:val="en-US" w:eastAsia="zh-CN"/>
        </w:rPr>
        <w:t xml:space="preserve"> 30 </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kern w:val="2"/>
          <w:sz w:val="21"/>
          <w:szCs w:val="24"/>
          <w:highlight w:val="none"/>
          <w:lang w:val="en-US" w:eastAsia="zh-CN" w:bidi="ar"/>
        </w:rPr>
        <w:t>人应在截止时间前登录 “电子招标投标交易平台”递交资格预审申请文件。</w:t>
      </w:r>
    </w:p>
    <w:p w14:paraId="627AC43E">
      <w:pPr>
        <w:spacing w:line="360" w:lineRule="auto"/>
        <w:ind w:firstLine="0" w:firstLineChars="0"/>
        <w:rPr>
          <w:rFonts w:hint="eastAsia" w:ascii="宋体" w:hAnsi="宋体" w:eastAsia="宋体" w:cs="宋体"/>
          <w:color w:val="auto"/>
          <w:kern w:val="2"/>
          <w:sz w:val="21"/>
          <w:szCs w:val="24"/>
          <w:highlight w:val="none"/>
          <w:lang w:val="en-US" w:eastAsia="zh-CN" w:bidi="ar"/>
        </w:rPr>
      </w:pPr>
      <w:r>
        <w:rPr>
          <w:rFonts w:hint="eastAsia" w:ascii="宋体" w:hAnsi="宋体" w:eastAsia="宋体" w:cs="宋体"/>
          <w:color w:val="auto"/>
          <w:kern w:val="2"/>
          <w:sz w:val="21"/>
          <w:szCs w:val="24"/>
          <w:highlight w:val="none"/>
          <w:lang w:val="en-US" w:eastAsia="zh-CN" w:bidi="ar"/>
        </w:rPr>
        <w:t>7</w:t>
      </w:r>
      <w:r>
        <w:rPr>
          <w:rFonts w:hint="eastAsia" w:ascii="宋体" w:hAnsi="宋体" w:eastAsia="宋体" w:cs="宋体"/>
          <w:color w:val="auto"/>
          <w:szCs w:val="21"/>
          <w:highlight w:val="none"/>
        </w:rPr>
        <w:t>.</w:t>
      </w:r>
      <w:r>
        <w:rPr>
          <w:rFonts w:hint="eastAsia" w:ascii="宋体" w:hAnsi="宋体" w:eastAsia="宋体" w:cs="宋体"/>
          <w:color w:val="auto"/>
          <w:kern w:val="2"/>
          <w:sz w:val="21"/>
          <w:szCs w:val="24"/>
          <w:highlight w:val="none"/>
          <w:lang w:val="en-US" w:eastAsia="zh-CN" w:bidi="ar"/>
        </w:rPr>
        <w:t>2</w:t>
      </w:r>
      <w:r>
        <w:rPr>
          <w:rFonts w:hint="eastAsia" w:ascii="宋体" w:hAnsi="宋体" w:eastAsia="宋体" w:cs="宋体"/>
          <w:color w:val="auto"/>
          <w:szCs w:val="21"/>
          <w:highlight w:val="none"/>
          <w:lang w:val="en-US" w:eastAsia="zh-CN"/>
        </w:rPr>
        <w:t>以联合体形式投标的，由联合体牵头人完成资格预审申请文件递交。</w:t>
      </w:r>
    </w:p>
    <w:p w14:paraId="62A74A0C">
      <w:pPr>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逾期递交到</w:t>
      </w:r>
      <w:r>
        <w:rPr>
          <w:rFonts w:hint="eastAsia" w:ascii="宋体" w:hAnsi="宋体" w:eastAsia="宋体" w:cs="宋体"/>
          <w:color w:val="auto"/>
          <w:highlight w:val="none"/>
          <w:lang w:val="en-US" w:eastAsia="zh-CN"/>
        </w:rPr>
        <w:t>指</w:t>
      </w:r>
      <w:r>
        <w:rPr>
          <w:rFonts w:hint="eastAsia" w:ascii="宋体" w:hAnsi="宋体" w:eastAsia="宋体" w:cs="宋体"/>
          <w:color w:val="auto"/>
          <w:highlight w:val="none"/>
        </w:rPr>
        <w:t>定“电子招标投标交易平台”的</w:t>
      </w:r>
      <w:r>
        <w:rPr>
          <w:rFonts w:hint="eastAsia" w:ascii="宋体" w:hAnsi="宋体" w:eastAsia="宋体" w:cs="宋体"/>
          <w:color w:val="auto"/>
          <w:highlight w:val="none"/>
          <w:lang w:val="en-US" w:eastAsia="zh-CN"/>
        </w:rPr>
        <w:t>资格预审申请</w:t>
      </w:r>
      <w:r>
        <w:rPr>
          <w:rFonts w:hint="eastAsia" w:ascii="宋体" w:hAnsi="宋体" w:eastAsia="宋体" w:cs="宋体"/>
          <w:color w:val="auto"/>
          <w:highlight w:val="none"/>
        </w:rPr>
        <w:t>文件，</w:t>
      </w:r>
      <w:r>
        <w:rPr>
          <w:rFonts w:hint="eastAsia" w:ascii="宋体" w:hAnsi="宋体" w:eastAsia="宋体" w:cs="宋体"/>
          <w:color w:val="auto"/>
          <w:highlight w:val="none"/>
          <w:lang w:val="en-US" w:eastAsia="zh-CN"/>
        </w:rPr>
        <w:t>电子招标投标交易平台将予以拒收</w:t>
      </w:r>
      <w:r>
        <w:rPr>
          <w:rFonts w:hint="eastAsia" w:ascii="宋体" w:hAnsi="宋体" w:eastAsia="宋体" w:cs="宋体"/>
          <w:color w:val="auto"/>
          <w:highlight w:val="none"/>
        </w:rPr>
        <w:t>。</w:t>
      </w:r>
    </w:p>
    <w:p w14:paraId="196C9834">
      <w:pPr>
        <w:pStyle w:val="4"/>
        <w:numPr>
          <w:ilvl w:val="0"/>
          <w:numId w:val="0"/>
        </w:numPr>
        <w:adjustRightInd/>
        <w:snapToGrid/>
        <w:spacing w:before="0" w:after="0" w:line="360" w:lineRule="auto"/>
        <w:rPr>
          <w:rFonts w:hint="eastAsia" w:ascii="宋体" w:hAnsi="宋体" w:eastAsia="宋体" w:cs="宋体"/>
          <w:b/>
          <w:bCs/>
          <w:color w:val="auto"/>
          <w:sz w:val="24"/>
          <w:szCs w:val="24"/>
          <w:highlight w:val="none"/>
          <w:lang w:val="en-US" w:eastAsia="zh-CN"/>
        </w:rPr>
      </w:pPr>
      <w:bookmarkStart w:id="211" w:name="_Toc27326"/>
      <w:bookmarkStart w:id="212" w:name="_Toc30660"/>
      <w:bookmarkStart w:id="213" w:name="_Toc287"/>
      <w:bookmarkStart w:id="214" w:name="_Toc8635"/>
      <w:bookmarkStart w:id="215" w:name="_Toc25551"/>
      <w:bookmarkStart w:id="216" w:name="_Toc12735"/>
      <w:bookmarkStart w:id="217" w:name="_Toc901"/>
      <w:bookmarkStart w:id="218" w:name="_Toc3360"/>
      <w:bookmarkStart w:id="219" w:name="_Toc8086"/>
      <w:bookmarkStart w:id="220" w:name="_Toc16399"/>
      <w:bookmarkStart w:id="221" w:name="_Toc9106"/>
      <w:bookmarkStart w:id="222" w:name="_Toc16874"/>
      <w:bookmarkStart w:id="223" w:name="_Toc5614"/>
      <w:bookmarkStart w:id="224" w:name="_Toc18956"/>
      <w:bookmarkStart w:id="225" w:name="_Toc2158"/>
      <w:bookmarkStart w:id="226" w:name="_Toc27529"/>
      <w:bookmarkStart w:id="227" w:name="_Toc3472"/>
      <w:bookmarkStart w:id="228" w:name="_Toc16077"/>
      <w:bookmarkStart w:id="229" w:name="_Toc5158"/>
      <w:bookmarkStart w:id="230" w:name="_Toc9140"/>
      <w:bookmarkStart w:id="231" w:name="_Toc17736"/>
      <w:r>
        <w:rPr>
          <w:rFonts w:hint="eastAsia" w:ascii="宋体" w:hAnsi="宋体" w:eastAsia="宋体" w:cs="宋体"/>
          <w:b/>
          <w:bCs/>
          <w:color w:val="auto"/>
          <w:kern w:val="2"/>
          <w:sz w:val="24"/>
          <w:szCs w:val="24"/>
          <w:highlight w:val="none"/>
          <w:lang w:val="en-US" w:eastAsia="zh-CN" w:bidi="ar-SA"/>
        </w:rPr>
        <w:t>8.</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其他要求</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13DA219">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8.1投标保证金：50万元人民币，具体要求详见招标公告栏附件。</w:t>
      </w:r>
    </w:p>
    <w:p w14:paraId="151C2E3C">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8.2</w:t>
      </w:r>
      <w:r>
        <w:rPr>
          <w:rFonts w:hint="eastAsia"/>
          <w:color w:val="auto"/>
          <w:szCs w:val="21"/>
          <w:highlight w:val="none"/>
        </w:rPr>
        <w:t>投标人为授权委托人及拟派工程总承包项目负责人缴纳近3个月（2025年</w:t>
      </w:r>
      <w:r>
        <w:rPr>
          <w:rFonts w:hint="eastAsia"/>
          <w:color w:val="auto"/>
          <w:szCs w:val="21"/>
          <w:highlight w:val="none"/>
          <w:lang w:val="en-US" w:eastAsia="zh-CN"/>
        </w:rPr>
        <w:t>11</w:t>
      </w:r>
      <w:r>
        <w:rPr>
          <w:rFonts w:hint="eastAsia"/>
          <w:color w:val="auto"/>
          <w:szCs w:val="21"/>
          <w:highlight w:val="none"/>
        </w:rPr>
        <w:t>月至202</w:t>
      </w:r>
      <w:r>
        <w:rPr>
          <w:rFonts w:hint="eastAsia"/>
          <w:color w:val="auto"/>
          <w:szCs w:val="21"/>
          <w:highlight w:val="none"/>
          <w:lang w:val="en-US" w:eastAsia="zh-CN"/>
        </w:rPr>
        <w:t>6</w:t>
      </w:r>
      <w:r>
        <w:rPr>
          <w:rFonts w:hint="eastAsia"/>
          <w:color w:val="auto"/>
          <w:szCs w:val="21"/>
          <w:highlight w:val="none"/>
        </w:rPr>
        <w:t>年</w:t>
      </w:r>
      <w:r>
        <w:rPr>
          <w:rFonts w:hint="eastAsia"/>
          <w:color w:val="auto"/>
          <w:szCs w:val="21"/>
          <w:highlight w:val="none"/>
          <w:lang w:val="en-US" w:eastAsia="zh-CN"/>
        </w:rPr>
        <w:t>1</w:t>
      </w:r>
      <w:r>
        <w:rPr>
          <w:rFonts w:hint="eastAsia"/>
          <w:color w:val="auto"/>
          <w:szCs w:val="21"/>
          <w:highlight w:val="none"/>
        </w:rPr>
        <w:t>月）任意一个月养老保险缴费证明，高等院校、科研机构、军事管理等部门从事工程设计、施工的技术人员不能提供养老保险缴纳证明的，由所在单位上级人事主管部门提供相应的证明材料，如当地社保管理部门明确的最大查询期与招标文件规定的月份不一致时，须提供社保管理部门的文件规定；已退休人员提供退休证明；投标截止日前成立不足三个月的新办企业，只需提供缴纳名册（名册中包含授权委托人、总承包项目负责人）；新成立企业距投标截止日不足30日的，可不提供证明材料（以新办企业营业执照发放日期为准）。</w:t>
      </w:r>
    </w:p>
    <w:p w14:paraId="09073B9E">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8.3申请人、拟派项目负责人未被《关于公布 2025 年元旦春节期间拖欠农民工工资引发群体性事件限制市场准人及批评提醒企业和人员名单的通知》（苏建函建管〔2025〕183 号）列入“全省限制市场准入企业（人员）名单”，或在投标文件递交截止时间前已被江苏省城乡与住房建设厅解除限制市场准入（如解除限制应提供省住建厅出具的证明材料）。</w:t>
      </w:r>
    </w:p>
    <w:p w14:paraId="0DA727A2">
      <w:pPr>
        <w:spacing w:line="360" w:lineRule="auto"/>
        <w:ind w:firstLine="420" w:firstLineChars="200"/>
        <w:rPr>
          <w:rFonts w:hint="eastAsia"/>
          <w:color w:val="auto"/>
          <w:szCs w:val="21"/>
          <w:highlight w:val="none"/>
        </w:rPr>
      </w:pPr>
      <w:r>
        <w:rPr>
          <w:rFonts w:hint="eastAsia"/>
          <w:color w:val="auto"/>
          <w:szCs w:val="21"/>
          <w:highlight w:val="none"/>
          <w:lang w:val="en-US" w:eastAsia="zh-CN"/>
        </w:rPr>
        <w:t>8.4</w:t>
      </w:r>
      <w:r>
        <w:rPr>
          <w:rFonts w:hint="eastAsia"/>
          <w:color w:val="auto"/>
          <w:szCs w:val="21"/>
          <w:highlight w:val="none"/>
        </w:rPr>
        <w:t>本项目采用“扬州市公共资源交易平台 7.0 版本”进行招投标活动。投标人应完成CA认证、电子签章和网上注册，并通过“扬州市公共资源交易平台 7.0 版本”完成网上投标登记，网上支付，招标文件下载，网上提问，答疑文件下载，最高投标限价文件下载，电子标书制作、上传，网上投标等一系列环节的操作流程。相关操作指南可在“扬州市公共资源交易平台—交易向导下载。技术人员联系方式：4009980000。</w:t>
      </w:r>
    </w:p>
    <w:p w14:paraId="19BC5C91">
      <w:pPr>
        <w:spacing w:line="360" w:lineRule="auto"/>
        <w:ind w:firstLine="420" w:firstLineChars="200"/>
        <w:rPr>
          <w:rFonts w:hint="default" w:eastAsia="宋体"/>
          <w:color w:val="auto"/>
          <w:szCs w:val="21"/>
          <w:highlight w:val="none"/>
          <w:lang w:val="en-US" w:eastAsia="zh-CN"/>
        </w:rPr>
      </w:pPr>
      <w:r>
        <w:rPr>
          <w:rFonts w:hint="eastAsia"/>
          <w:color w:val="auto"/>
          <w:szCs w:val="21"/>
          <w:highlight w:val="none"/>
          <w:lang w:val="en-US" w:eastAsia="zh-CN"/>
        </w:rPr>
        <w:t>8.5电子投标文件制作工具：由投标人自行选择与交易系统对接成功的供应商产品（即扬州市公共资源交易平台向社会公开征集发布并在响应方端提供下载的市场化“投标文件制作工具”），并自行支付相应费用。</w:t>
      </w:r>
    </w:p>
    <w:p w14:paraId="12674D27">
      <w:pPr>
        <w:spacing w:line="360" w:lineRule="auto"/>
        <w:ind w:firstLine="422" w:firstLineChars="200"/>
        <w:rPr>
          <w:rFonts w:hint="eastAsia"/>
          <w:b/>
          <w:bCs/>
          <w:color w:val="auto"/>
          <w:szCs w:val="21"/>
          <w:highlight w:val="none"/>
        </w:rPr>
      </w:pPr>
      <w:r>
        <w:rPr>
          <w:rFonts w:hint="eastAsia"/>
          <w:b/>
          <w:bCs/>
          <w:color w:val="auto"/>
          <w:szCs w:val="21"/>
          <w:highlight w:val="none"/>
          <w:lang w:val="en-US" w:eastAsia="zh-CN"/>
        </w:rPr>
        <w:t>8.6</w:t>
      </w:r>
      <w:r>
        <w:rPr>
          <w:rFonts w:hint="eastAsia"/>
          <w:b/>
          <w:bCs/>
          <w:color w:val="auto"/>
          <w:szCs w:val="21"/>
          <w:highlight w:val="none"/>
        </w:rPr>
        <w:t>由于招投标系统原因，本次发布的资格预审公告及资格预审文件的内容以附件为准。</w:t>
      </w:r>
    </w:p>
    <w:p w14:paraId="78B0BE76">
      <w:pPr>
        <w:pStyle w:val="4"/>
        <w:spacing w:line="360" w:lineRule="auto"/>
        <w:rPr>
          <w:rFonts w:hint="eastAsia" w:ascii="宋体" w:hAnsi="宋体" w:eastAsia="宋体" w:cs="宋体"/>
          <w:b/>
          <w:bCs/>
          <w:color w:val="auto"/>
          <w:sz w:val="24"/>
          <w:szCs w:val="24"/>
          <w:highlight w:val="none"/>
        </w:rPr>
      </w:pPr>
      <w:bookmarkStart w:id="232" w:name="_Toc29985"/>
      <w:bookmarkStart w:id="233" w:name="_Toc6870"/>
      <w:bookmarkStart w:id="234" w:name="_Toc20510"/>
      <w:bookmarkStart w:id="235" w:name="_Toc21006"/>
      <w:bookmarkStart w:id="236" w:name="_Toc11931"/>
      <w:bookmarkStart w:id="237" w:name="_Toc67753498"/>
      <w:bookmarkStart w:id="238" w:name="_Toc381873899"/>
      <w:bookmarkStart w:id="239" w:name="_Toc16966"/>
      <w:bookmarkStart w:id="240" w:name="_Toc19545"/>
      <w:bookmarkStart w:id="241" w:name="_Toc7778"/>
      <w:bookmarkStart w:id="242" w:name="_Toc382549581"/>
      <w:bookmarkStart w:id="243" w:name="_Toc381873675"/>
      <w:bookmarkStart w:id="244" w:name="_Toc17672"/>
      <w:bookmarkStart w:id="245" w:name="_Toc382549721"/>
      <w:bookmarkStart w:id="246" w:name="_Toc26801"/>
      <w:bookmarkStart w:id="247" w:name="_Toc25100"/>
      <w:bookmarkStart w:id="248" w:name="_Toc18975"/>
      <w:bookmarkStart w:id="249" w:name="_Toc14390"/>
      <w:bookmarkStart w:id="250" w:name="_Toc32338"/>
      <w:bookmarkStart w:id="251" w:name="_Toc16116"/>
      <w:bookmarkStart w:id="252" w:name="_Toc18920"/>
      <w:bookmarkStart w:id="253" w:name="_Toc8810"/>
      <w:bookmarkStart w:id="254" w:name="_Toc21380"/>
      <w:bookmarkStart w:id="255" w:name="_Toc4387"/>
      <w:bookmarkStart w:id="256" w:name="_Toc381873157"/>
      <w:bookmarkStart w:id="257" w:name="_Toc30836"/>
      <w:bookmarkStart w:id="258" w:name="_Toc20542"/>
      <w:bookmarkStart w:id="259" w:name="_Toc19544"/>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 发布公告的媒介</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F74D077">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9.1</w:t>
      </w:r>
      <w:r>
        <w:rPr>
          <w:rFonts w:hint="eastAsia" w:ascii="宋体" w:hAnsi="宋体" w:eastAsia="宋体" w:cs="宋体"/>
          <w:color w:val="auto"/>
          <w:szCs w:val="21"/>
          <w:highlight w:val="none"/>
        </w:rPr>
        <w:t>本次资格预审公告同时在</w:t>
      </w:r>
      <w:r>
        <w:rPr>
          <w:rFonts w:hint="eastAsia" w:ascii="宋体" w:hAnsi="宋体" w:eastAsia="宋体" w:cs="宋体"/>
          <w:color w:val="auto"/>
          <w:highlight w:val="none"/>
          <w:u w:val="single"/>
        </w:rPr>
        <w:t>江苏建设工程招标网、江苏省公共资源交易中心平台、扬州市公共资源交易中心平台、扬州市公共资源交易中心高邮分中心</w:t>
      </w:r>
      <w:r>
        <w:rPr>
          <w:rFonts w:hint="eastAsia" w:ascii="宋体" w:hAnsi="宋体" w:eastAsia="宋体" w:cs="宋体"/>
          <w:color w:val="auto"/>
          <w:szCs w:val="21"/>
          <w:highlight w:val="none"/>
        </w:rPr>
        <w:t>（发布公告的媒介名称）上发布。</w:t>
      </w:r>
    </w:p>
    <w:p w14:paraId="26189683">
      <w:pPr>
        <w:spacing w:line="360" w:lineRule="auto"/>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9.2</w:t>
      </w:r>
      <w:r>
        <w:rPr>
          <w:rFonts w:hint="eastAsia" w:ascii="宋体" w:hAnsi="宋体" w:eastAsia="宋体" w:cs="宋体"/>
          <w:color w:val="auto"/>
          <w:sz w:val="21"/>
          <w:szCs w:val="24"/>
          <w:highlight w:val="none"/>
        </w:rPr>
        <w:t>本次</w:t>
      </w:r>
      <w:r>
        <w:rPr>
          <w:rFonts w:hint="eastAsia" w:ascii="宋体" w:hAnsi="宋体" w:eastAsia="宋体" w:cs="宋体"/>
          <w:color w:val="auto"/>
          <w:sz w:val="21"/>
          <w:szCs w:val="24"/>
          <w:highlight w:val="none"/>
          <w:lang w:eastAsia="zh-CN"/>
        </w:rPr>
        <w:t>招标</w:t>
      </w:r>
      <w:r>
        <w:rPr>
          <w:rFonts w:hint="eastAsia" w:ascii="宋体" w:hAnsi="宋体" w:eastAsia="宋体" w:cs="宋体"/>
          <w:color w:val="auto"/>
          <w:sz w:val="21"/>
          <w:szCs w:val="24"/>
          <w:highlight w:val="none"/>
        </w:rPr>
        <w:t>公告为第</w:t>
      </w:r>
      <w:r>
        <w:rPr>
          <w:rFonts w:hint="eastAsia" w:ascii="宋体" w:hAnsi="宋体" w:eastAsia="宋体" w:cs="宋体"/>
          <w:color w:val="auto"/>
          <w:sz w:val="21"/>
          <w:szCs w:val="24"/>
          <w:highlight w:val="none"/>
          <w:u w:val="single"/>
          <w:lang w:val="en-US" w:eastAsia="zh-CN"/>
        </w:rPr>
        <w:t xml:space="preserve"> </w:t>
      </w:r>
      <w:r>
        <w:rPr>
          <w:rFonts w:hint="eastAsia" w:ascii="宋体" w:hAnsi="宋体" w:cs="宋体"/>
          <w:color w:val="auto"/>
          <w:sz w:val="21"/>
          <w:szCs w:val="24"/>
          <w:highlight w:val="none"/>
          <w:u w:val="single"/>
          <w:lang w:val="en-US" w:eastAsia="zh-CN"/>
        </w:rPr>
        <w:t>1</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rPr>
        <w:t>次发布。</w:t>
      </w:r>
    </w:p>
    <w:p w14:paraId="1F6D4D79">
      <w:pPr>
        <w:pStyle w:val="4"/>
        <w:spacing w:line="360" w:lineRule="auto"/>
        <w:rPr>
          <w:rFonts w:hint="eastAsia" w:ascii="宋体" w:hAnsi="宋体" w:eastAsia="宋体" w:cs="宋体"/>
          <w:b/>
          <w:bCs/>
          <w:color w:val="auto"/>
          <w:sz w:val="24"/>
          <w:szCs w:val="24"/>
          <w:highlight w:val="none"/>
        </w:rPr>
      </w:pPr>
      <w:bookmarkStart w:id="260" w:name="_Toc382549722"/>
      <w:bookmarkStart w:id="261" w:name="_Toc381873158"/>
      <w:bookmarkStart w:id="262" w:name="_Toc5324"/>
      <w:bookmarkStart w:id="263" w:name="_Toc16825"/>
      <w:bookmarkStart w:id="264" w:name="_Toc32518"/>
      <w:bookmarkStart w:id="265" w:name="_Toc6825"/>
      <w:bookmarkStart w:id="266" w:name="_Toc32673"/>
      <w:bookmarkStart w:id="267" w:name="_Toc28073"/>
      <w:bookmarkStart w:id="268" w:name="_Toc381873676"/>
      <w:bookmarkStart w:id="269" w:name="_Toc23397"/>
      <w:bookmarkStart w:id="270" w:name="_Toc28146"/>
      <w:bookmarkStart w:id="271" w:name="_Toc18872"/>
      <w:bookmarkStart w:id="272" w:name="_Toc381873900"/>
      <w:bookmarkStart w:id="273" w:name="_Toc1196"/>
      <w:bookmarkStart w:id="274" w:name="_Toc22903"/>
      <w:bookmarkStart w:id="275" w:name="_Toc25702"/>
      <w:bookmarkStart w:id="276" w:name="_Toc14447"/>
      <w:bookmarkStart w:id="277" w:name="_Toc9132"/>
      <w:bookmarkStart w:id="278" w:name="_Toc12557"/>
      <w:bookmarkStart w:id="279" w:name="_Toc9794"/>
      <w:bookmarkStart w:id="280" w:name="_Toc264"/>
      <w:bookmarkStart w:id="281" w:name="_Toc570"/>
      <w:bookmarkStart w:id="282" w:name="_Toc382549582"/>
      <w:bookmarkStart w:id="283" w:name="_Toc14208"/>
      <w:bookmarkStart w:id="284" w:name="_Toc14160"/>
      <w:bookmarkStart w:id="285" w:name="_Toc26807"/>
      <w:bookmarkStart w:id="286" w:name="_Toc19183"/>
      <w:bookmarkStart w:id="287" w:name="_Toc67753500"/>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.联系方式</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3A89EB48">
      <w:pPr>
        <w:spacing w:line="360" w:lineRule="auto"/>
        <w:ind w:firstLine="0" w:firstLineChars="0"/>
        <w:contextualSpacing/>
        <w:rPr>
          <w:rFonts w:hint="eastAsia" w:ascii="宋体" w:hAnsi="宋体" w:eastAsia="宋体" w:cs="宋体"/>
          <w:color w:val="auto"/>
          <w:highlight w:val="none"/>
        </w:rPr>
      </w:pPr>
      <w:bookmarkStart w:id="288" w:name="_Toc16375"/>
      <w:bookmarkStart w:id="289" w:name="_Toc22789"/>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.1招标主体</w:t>
      </w:r>
    </w:p>
    <w:p w14:paraId="2F4A55E2">
      <w:pPr>
        <w:keepNext w:val="0"/>
        <w:keepLines w:val="0"/>
        <w:pageBreakBefore w:val="0"/>
        <w:shd w:val="clear" w:color="auto" w:fill="auto"/>
        <w:tabs>
          <w:tab w:val="left" w:pos="315"/>
        </w:tabs>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rPr>
        <w:t>招标人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lang w:val="en-US" w:eastAsia="zh-CN"/>
        </w:rPr>
        <w:t>江苏众储冷链物流有限公司</w:t>
      </w:r>
      <w:r>
        <w:rPr>
          <w:rFonts w:hint="eastAsia" w:ascii="宋体" w:hAnsi="宋体" w:eastAsia="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招标代理机构</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lang w:val="en-US" w:eastAsia="zh-CN"/>
        </w:rPr>
        <w:t>江苏志诚工程咨询管理有限公司</w:t>
      </w:r>
      <w:r>
        <w:rPr>
          <w:rFonts w:hint="eastAsia" w:ascii="宋体" w:hAnsi="宋体" w:eastAsia="宋体" w:cs="宋体"/>
          <w:color w:val="auto"/>
          <w:kern w:val="0"/>
          <w:sz w:val="21"/>
          <w:szCs w:val="21"/>
          <w:highlight w:val="none"/>
          <w:lang w:val="en-US" w:eastAsia="zh-CN"/>
        </w:rPr>
        <w:t xml:space="preserve"> </w:t>
      </w:r>
    </w:p>
    <w:p w14:paraId="6338364E">
      <w:pPr>
        <w:keepNext w:val="0"/>
        <w:keepLines w:val="0"/>
        <w:pageBreakBefore w:val="0"/>
        <w:shd w:val="clear" w:color="auto" w:fill="auto"/>
        <w:tabs>
          <w:tab w:val="left" w:pos="315"/>
        </w:tabs>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 xml:space="preserve">招标人地址： </w:t>
      </w:r>
      <w:r>
        <w:rPr>
          <w:rFonts w:hint="eastAsia" w:ascii="宋体" w:hAnsi="宋体" w:cs="宋体"/>
          <w:color w:val="auto"/>
          <w:kern w:val="0"/>
          <w:sz w:val="21"/>
          <w:szCs w:val="21"/>
          <w:highlight w:val="none"/>
          <w:u w:val="single"/>
          <w:lang w:eastAsia="zh-CN"/>
        </w:rPr>
        <w:t>高邮市甘垛镇宜居路50-6号</w:t>
      </w:r>
      <w:r>
        <w:rPr>
          <w:rFonts w:hint="eastAsia" w:ascii="宋体" w:hAnsi="宋体" w:cs="宋体"/>
          <w:color w:val="auto"/>
          <w:kern w:val="0"/>
          <w:sz w:val="21"/>
          <w:szCs w:val="21"/>
          <w:highlight w:val="none"/>
          <w:u w:val="none"/>
          <w:lang w:val="en-US" w:eastAsia="zh-CN"/>
        </w:rPr>
        <w:t xml:space="preserve">  </w:t>
      </w:r>
      <w:r>
        <w:rPr>
          <w:rFonts w:hint="eastAsia" w:ascii="宋体" w:hAnsi="宋体" w:eastAsia="宋体" w:cs="宋体"/>
          <w:color w:val="auto"/>
          <w:kern w:val="0"/>
          <w:sz w:val="21"/>
          <w:szCs w:val="21"/>
          <w:highlight w:val="none"/>
        </w:rPr>
        <w:t>招标代理机构地址：</w:t>
      </w:r>
      <w:r>
        <w:rPr>
          <w:rFonts w:hint="eastAsia" w:ascii="宋体" w:hAnsi="宋体" w:eastAsia="宋体" w:cs="宋体"/>
          <w:color w:val="auto"/>
          <w:kern w:val="0"/>
          <w:sz w:val="21"/>
          <w:szCs w:val="21"/>
          <w:highlight w:val="none"/>
          <w:u w:val="single"/>
        </w:rPr>
        <w:t>高邮市金融大厦9楼</w:t>
      </w:r>
    </w:p>
    <w:p w14:paraId="12DE785D">
      <w:pPr>
        <w:keepNext w:val="0"/>
        <w:keepLines w:val="0"/>
        <w:pageBreakBefore w:val="0"/>
        <w:shd w:val="clear" w:color="auto" w:fill="auto"/>
        <w:tabs>
          <w:tab w:val="left" w:pos="315"/>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kern w:val="0"/>
          <w:sz w:val="21"/>
          <w:szCs w:val="21"/>
          <w:highlight w:val="none"/>
          <w:u w:val="single"/>
        </w:rPr>
        <w:t xml:space="preserve">       温栋春          </w:t>
      </w: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孙伟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38981CFB">
      <w:pPr>
        <w:keepNext w:val="0"/>
        <w:keepLines w:val="0"/>
        <w:pageBreakBefore w:val="0"/>
        <w:shd w:val="clear" w:color="auto" w:fill="auto"/>
        <w:tabs>
          <w:tab w:val="left" w:pos="315"/>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15852853921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19962503769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5BD08901">
      <w:pPr>
        <w:keepNext w:val="0"/>
        <w:keepLines w:val="0"/>
        <w:pageBreakBefore w:val="0"/>
        <w:shd w:val="clear" w:color="auto" w:fill="auto"/>
        <w:tabs>
          <w:tab w:val="left" w:pos="315"/>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田明姣</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2AF74C1C">
      <w:pPr>
        <w:keepNext w:val="0"/>
        <w:keepLines w:val="0"/>
        <w:pageBreakBefore w:val="0"/>
        <w:shd w:val="clear" w:color="auto" w:fill="auto"/>
        <w:tabs>
          <w:tab w:val="left" w:pos="315"/>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rPr>
        <w:t>邮编：</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p>
    <w:p w14:paraId="37253909">
      <w:pPr>
        <w:keepNext w:val="0"/>
        <w:keepLines w:val="0"/>
        <w:pageBreakBefore w:val="0"/>
        <w:shd w:val="clear" w:color="auto" w:fill="auto"/>
        <w:tabs>
          <w:tab w:val="left" w:pos="315"/>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rPr>
        <w:t>电子邮箱：</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rPr>
        <w:t xml:space="preserve"> </w:t>
      </w: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225600</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p>
    <w:p w14:paraId="1663741E">
      <w:pPr>
        <w:keepNext w:val="0"/>
        <w:keepLines w:val="0"/>
        <w:pageBreakBefore w:val="0"/>
        <w:shd w:val="clear" w:color="auto" w:fill="auto"/>
        <w:tabs>
          <w:tab w:val="left" w:pos="315"/>
        </w:tabs>
        <w:kinsoku/>
        <w:wordWrap/>
        <w:overflowPunct/>
        <w:topLinePunct w:val="0"/>
        <w:autoSpaceDE/>
        <w:autoSpaceDN/>
        <w:bidi w:val="0"/>
        <w:adjustRightInd w:val="0"/>
        <w:snapToGrid w:val="0"/>
        <w:spacing w:line="360" w:lineRule="auto"/>
        <w:ind w:firstLine="4200" w:firstLineChars="2000"/>
        <w:jc w:val="left"/>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rPr>
        <w:t>电子邮箱：</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1048144002@qq.com</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p>
    <w:p w14:paraId="3CAC8FB8">
      <w:pPr>
        <w:keepNext w:val="0"/>
        <w:keepLines w:val="0"/>
        <w:pageBreakBefore w:val="0"/>
        <w:shd w:val="clear" w:color="auto" w:fill="auto"/>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相关部门</w:t>
      </w:r>
    </w:p>
    <w:p w14:paraId="001A681B">
      <w:pPr>
        <w:keepNext w:val="0"/>
        <w:keepLines w:val="0"/>
        <w:pageBreakBefore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招投标行政监督部门： </w:t>
      </w:r>
      <w:r>
        <w:rPr>
          <w:rFonts w:hint="eastAsia" w:ascii="宋体" w:hAnsi="宋体" w:eastAsia="宋体" w:cs="宋体"/>
          <w:color w:val="auto"/>
          <w:sz w:val="21"/>
          <w:szCs w:val="21"/>
          <w:highlight w:val="none"/>
          <w:u w:val="single"/>
          <w:lang w:val="en-US" w:eastAsia="zh-CN"/>
        </w:rPr>
        <w:t>高邮市建设工程综合服务中心建设工程招投标管理科</w:t>
      </w:r>
      <w:r>
        <w:rPr>
          <w:rFonts w:hint="eastAsia" w:ascii="宋体" w:hAnsi="宋体" w:eastAsia="宋体" w:cs="宋体"/>
          <w:color w:val="auto"/>
          <w:sz w:val="21"/>
          <w:szCs w:val="21"/>
          <w:highlight w:val="none"/>
        </w:rPr>
        <w:t xml:space="preserve"> </w:t>
      </w:r>
    </w:p>
    <w:p w14:paraId="123D03F7">
      <w:pPr>
        <w:keepNext w:val="0"/>
        <w:keepLines w:val="0"/>
        <w:pageBreakBefore w:val="0"/>
        <w:shd w:val="clear" w:color="auto" w:fill="auto"/>
        <w:tabs>
          <w:tab w:val="left" w:pos="315"/>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u w:val="single"/>
          <w:lang w:val="en-US" w:eastAsia="zh-CN"/>
        </w:rPr>
        <w:t xml:space="preserve"> 0514-80351070 </w:t>
      </w:r>
    </w:p>
    <w:p w14:paraId="5E076077">
      <w:pPr>
        <w:keepNext w:val="0"/>
        <w:keepLines w:val="0"/>
        <w:pageBreakBefore w:val="0"/>
        <w:shd w:val="clear" w:color="auto" w:fill="auto"/>
        <w:tabs>
          <w:tab w:val="left" w:pos="315"/>
        </w:tabs>
        <w:kinsoku/>
        <w:wordWrap/>
        <w:overflowPunct/>
        <w:topLinePunct w:val="0"/>
        <w:autoSpaceDE/>
        <w:autoSpaceDN/>
        <w:bidi w:val="0"/>
        <w:adjustRightInd w:val="0"/>
        <w:snapToGrid w:val="0"/>
        <w:spacing w:line="360" w:lineRule="auto"/>
        <w:ind w:firstLine="0" w:firstLineChars="0"/>
        <w:jc w:val="left"/>
        <w:textAlignment w:val="auto"/>
        <w:rPr>
          <w:color w:val="auto"/>
          <w:highlight w:val="none"/>
        </w:rPr>
      </w:pPr>
      <w:r>
        <w:rPr>
          <w:rFonts w:hint="eastAsia" w:ascii="宋体" w:hAnsi="宋体" w:eastAsia="宋体" w:cs="宋体"/>
          <w:color w:val="auto"/>
          <w:sz w:val="21"/>
          <w:szCs w:val="21"/>
          <w:highlight w:val="none"/>
          <w:lang w:val="en-US" w:eastAsia="zh-CN"/>
        </w:rPr>
        <w:t>10.3异议渠道</w:t>
      </w:r>
    </w:p>
    <w:p w14:paraId="781D19C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color w:val="auto"/>
          <w:szCs w:val="21"/>
          <w:highlight w:val="none"/>
          <w:lang w:val="en-US" w:eastAsia="zh-CN"/>
        </w:rPr>
      </w:pPr>
      <w:r>
        <w:rPr>
          <w:rFonts w:hint="eastAsia" w:ascii="宋体" w:hAnsi="宋体" w:eastAsia="宋体" w:cs="宋体"/>
          <w:color w:val="auto"/>
          <w:szCs w:val="21"/>
          <w:highlight w:val="none"/>
          <w:lang w:val="en-US" w:eastAsia="zh-CN"/>
        </w:rPr>
        <w:t>潜在投标人及其他利害关系人有在法定时限内行使异议或者投诉的权利,该项目异议与投诉处理方法，按《江苏省房屋建筑和市政基础设施工程招标投标活动异议与投诉处理实施办法》(苏建规字(2016)4 号文)执行。异议受理联系人: 孙伟，联系方式: 19962503769；通讯地址: 高邮市金融大厦9楼；工程建设项目异议、投诉实行全流程网上办理，投标因招标公告模版设置问题，有不一致处，以招标公告备注栏内容为准。投标人须登录“扬州市公共资源电子交易平台(投标人)”界面，点击异议、投诉事项，按系统提示要求填写相关信息，并上传所需证明材料及附件。投诉要件、处理流程详见电子交易平台。</w:t>
      </w:r>
    </w:p>
    <w:bookmarkEnd w:id="288"/>
    <w:bookmarkEnd w:id="289"/>
    <w:p w14:paraId="7547B2DF">
      <w:pPr>
        <w:rPr>
          <w:rFonts w:hint="eastAsia"/>
          <w:color w:val="auto"/>
          <w:sz w:val="20"/>
          <w:highlight w:val="none"/>
        </w:rPr>
      </w:pPr>
      <w:r>
        <w:rPr>
          <w:rFonts w:hint="eastAsia"/>
          <w:color w:val="auto"/>
          <w:sz w:val="20"/>
          <w:highlight w:val="none"/>
        </w:rPr>
        <w:t xml:space="preserve"> </w:t>
      </w:r>
    </w:p>
    <w:p w14:paraId="7388F14D">
      <w:pPr>
        <w:spacing w:line="360" w:lineRule="auto"/>
        <w:jc w:val="righ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招标人或者其委托的招标代理机构 （</w:t>
      </w:r>
      <w:r>
        <w:rPr>
          <w:rFonts w:hint="eastAsia" w:ascii="宋体" w:hAnsi="宋体" w:cs="宋体"/>
          <w:color w:val="auto"/>
          <w:kern w:val="0"/>
          <w:szCs w:val="21"/>
          <w:highlight w:val="none"/>
          <w:lang w:val="en-US" w:eastAsia="zh-CN"/>
        </w:rPr>
        <w:t>盖单位</w:t>
      </w:r>
      <w:r>
        <w:rPr>
          <w:rFonts w:hint="eastAsia" w:ascii="宋体" w:hAnsi="宋体" w:cs="宋体"/>
          <w:color w:val="auto"/>
          <w:kern w:val="0"/>
          <w:szCs w:val="21"/>
          <w:highlight w:val="none"/>
        </w:rPr>
        <w:t>公章）：</w:t>
      </w:r>
      <w:r>
        <w:rPr>
          <w:rFonts w:hint="eastAsia" w:ascii="宋体" w:hAnsi="宋体" w:cs="宋体"/>
          <w:color w:val="auto"/>
          <w:kern w:val="0"/>
          <w:szCs w:val="21"/>
          <w:highlight w:val="none"/>
          <w:lang w:val="en-US" w:eastAsia="zh-CN"/>
        </w:rPr>
        <w:t>江苏志诚工程咨询管理有限公司</w:t>
      </w:r>
    </w:p>
    <w:p w14:paraId="48D3ED57">
      <w:bookmarkStart w:id="290" w:name="_GoBack"/>
      <w:bookmarkEnd w:id="29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35EAC"/>
    <w:rsid w:val="0CAF522B"/>
    <w:rsid w:val="3EE35EAC"/>
    <w:rsid w:val="791E3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tabs>
        <w:tab w:val="right" w:leader="dot" w:pos="8795"/>
      </w:tabs>
      <w:spacing w:beforeAutospacing="0" w:afterAutospacing="0" w:line="360" w:lineRule="auto"/>
      <w:ind w:left="0"/>
    </w:pPr>
    <w:rPr>
      <w:rFonts w:ascii="宋体" w:hAnsi="宋体" w:eastAsia="宋体" w:cs="宋体"/>
      <w:snapToGrid w:val="0"/>
      <w:color w:val="000000"/>
      <w:kern w:val="0"/>
      <w:lang w:eastAsia="en-US"/>
    </w:rPr>
  </w:style>
  <w:style w:type="paragraph" w:styleId="4">
    <w:name w:val="heading 2"/>
    <w:basedOn w:val="1"/>
    <w:next w:val="1"/>
    <w:qFormat/>
    <w:uiPriority w:val="0"/>
    <w:pPr>
      <w:keepNext/>
      <w:keepLines/>
      <w:spacing w:line="360" w:lineRule="auto"/>
      <w:outlineLvl w:val="1"/>
    </w:pPr>
    <w:rPr>
      <w:rFonts w:ascii="Arial" w:hAnsi="Arial" w:eastAsia="宋体"/>
      <w:b/>
      <w:bCs/>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2026-02-25T09:22:00Z</dcterms:created>
  <dc:creator>sun</dc:creator>
  <cp:lastModifiedBy>sun</cp:lastModifiedBy>
  <dcterms:modified xsi:type="dcterms:W3CDTF">2026-02-25T09:22:55Z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7E3C745375CB46038E3E79DA720AC1F7_11</vt:lpwstr>
  </property>
  <property fmtid="{D5CDD505-2E9C-101B-9397-08002B2CF9AE}" pid="4" name="KSOTemplateDocerSaveRecord">
    <vt:lpwstr>eyJoZGlkIjoiYzExYjM4MjFlYjAxMTYxYWY2MzZkN2YyMGE3ODYwNTIiLCJ1c2VySWQiOiI4ODQ4MjQxIn0=</vt:lpwstr>
  </property>
</Properties>
</file>