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E3FE9">
      <w:pPr>
        <w:spacing w:line="360" w:lineRule="auto"/>
        <w:rPr>
          <w:rFonts w:hint="eastAsia" w:ascii="仿宋" w:hAnsi="仿宋" w:eastAsia="仿宋" w:cs="仿宋"/>
          <w:b/>
          <w:sz w:val="28"/>
          <w:szCs w:val="28"/>
        </w:rPr>
      </w:pPr>
      <w:r>
        <w:rPr>
          <w:rFonts w:hint="eastAsia" w:ascii="仿宋" w:hAnsi="仿宋" w:eastAsia="仿宋" w:cs="仿宋"/>
          <w:b/>
          <w:sz w:val="28"/>
          <w:szCs w:val="28"/>
        </w:rPr>
        <w:t>基本格式：</w:t>
      </w:r>
    </w:p>
    <w:p w14:paraId="1240AE3F">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关于对******************项目的意见建议</w:t>
      </w:r>
    </w:p>
    <w:p w14:paraId="0124ADB5">
      <w:pPr>
        <w:spacing w:line="360" w:lineRule="auto"/>
        <w:rPr>
          <w:rFonts w:hint="eastAsia" w:ascii="仿宋" w:hAnsi="仿宋" w:eastAsia="仿宋" w:cs="仿宋"/>
          <w:sz w:val="28"/>
          <w:szCs w:val="28"/>
        </w:rPr>
      </w:pPr>
      <w:r>
        <w:rPr>
          <w:rFonts w:hint="eastAsia" w:ascii="仿宋" w:hAnsi="仿宋" w:eastAsia="仿宋" w:cs="仿宋"/>
          <w:sz w:val="28"/>
          <w:szCs w:val="28"/>
        </w:rPr>
        <w:t>致：绍兴衡业工程管理咨询有限公司</w:t>
      </w:r>
    </w:p>
    <w:p w14:paraId="7B34507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对于贵公司于2026年*月*日公示的*********************项目采购要素，我公司有如下意见建议：</w:t>
      </w:r>
    </w:p>
    <w:tbl>
      <w:tblPr>
        <w:tblStyle w:val="16"/>
        <w:tblW w:w="0" w:type="auto"/>
        <w:tblInd w:w="0" w:type="dxa"/>
        <w:tblLayout w:type="fixed"/>
        <w:tblCellMar>
          <w:top w:w="0" w:type="dxa"/>
          <w:left w:w="108" w:type="dxa"/>
          <w:bottom w:w="0" w:type="dxa"/>
          <w:right w:w="108" w:type="dxa"/>
        </w:tblCellMar>
      </w:tblPr>
      <w:tblGrid>
        <w:gridCol w:w="4261"/>
        <w:gridCol w:w="4261"/>
      </w:tblGrid>
      <w:tr w14:paraId="3CEAA454">
        <w:tblPrEx>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top"/>
          </w:tcPr>
          <w:p w14:paraId="5EBB3D88">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rPr>
                <w:rFonts w:hint="eastAsia" w:ascii="仿宋" w:hAnsi="仿宋" w:eastAsia="仿宋" w:cs="仿宋"/>
                <w:sz w:val="28"/>
                <w:szCs w:val="28"/>
              </w:rPr>
            </w:pPr>
            <w:r>
              <w:rPr>
                <w:rFonts w:hint="eastAsia" w:ascii="仿宋" w:hAnsi="仿宋" w:eastAsia="仿宋" w:cs="仿宋"/>
                <w:sz w:val="28"/>
                <w:szCs w:val="28"/>
              </w:rPr>
              <w:t>原条款</w:t>
            </w:r>
          </w:p>
        </w:tc>
        <w:tc>
          <w:tcPr>
            <w:tcW w:w="4261" w:type="dxa"/>
            <w:tcBorders>
              <w:top w:val="single" w:color="auto" w:sz="4" w:space="0"/>
              <w:left w:val="single" w:color="auto" w:sz="4" w:space="0"/>
              <w:bottom w:val="single" w:color="auto" w:sz="4" w:space="0"/>
              <w:right w:val="single" w:color="auto" w:sz="4" w:space="0"/>
            </w:tcBorders>
            <w:noWrap w:val="0"/>
            <w:vAlign w:val="top"/>
          </w:tcPr>
          <w:p w14:paraId="5A16B85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rPr>
                <w:rFonts w:hint="eastAsia" w:ascii="仿宋" w:hAnsi="仿宋" w:eastAsia="仿宋" w:cs="仿宋"/>
                <w:sz w:val="28"/>
                <w:szCs w:val="28"/>
              </w:rPr>
            </w:pPr>
            <w:r>
              <w:rPr>
                <w:rFonts w:hint="eastAsia" w:ascii="仿宋" w:hAnsi="仿宋" w:eastAsia="仿宋" w:cs="仿宋"/>
                <w:sz w:val="28"/>
                <w:szCs w:val="28"/>
              </w:rPr>
              <w:t>本公司意见建议</w:t>
            </w:r>
          </w:p>
        </w:tc>
      </w:tr>
      <w:tr w14:paraId="60858438">
        <w:tblPrEx>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top"/>
          </w:tcPr>
          <w:p w14:paraId="67DF2955">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rPr>
                <w:rFonts w:hint="eastAsia" w:ascii="仿宋" w:hAnsi="仿宋" w:eastAsia="仿宋" w:cs="仿宋"/>
                <w:sz w:val="28"/>
                <w:szCs w:val="28"/>
              </w:rPr>
            </w:pPr>
          </w:p>
        </w:tc>
        <w:tc>
          <w:tcPr>
            <w:tcW w:w="4261" w:type="dxa"/>
            <w:tcBorders>
              <w:top w:val="single" w:color="auto" w:sz="4" w:space="0"/>
              <w:left w:val="single" w:color="auto" w:sz="4" w:space="0"/>
              <w:bottom w:val="single" w:color="auto" w:sz="4" w:space="0"/>
              <w:right w:val="single" w:color="auto" w:sz="4" w:space="0"/>
            </w:tcBorders>
            <w:noWrap w:val="0"/>
            <w:vAlign w:val="top"/>
          </w:tcPr>
          <w:p w14:paraId="67CEED52">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rPr>
                <w:rFonts w:hint="eastAsia" w:ascii="仿宋" w:hAnsi="仿宋" w:eastAsia="仿宋" w:cs="仿宋"/>
                <w:sz w:val="28"/>
                <w:szCs w:val="28"/>
              </w:rPr>
            </w:pPr>
          </w:p>
        </w:tc>
      </w:tr>
      <w:tr w14:paraId="17FF47D1">
        <w:tblPrEx>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top"/>
          </w:tcPr>
          <w:p w14:paraId="3D172739">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rPr>
                <w:rFonts w:hint="eastAsia" w:ascii="仿宋" w:hAnsi="仿宋" w:eastAsia="仿宋" w:cs="仿宋"/>
                <w:sz w:val="28"/>
                <w:szCs w:val="28"/>
              </w:rPr>
            </w:pPr>
          </w:p>
        </w:tc>
        <w:tc>
          <w:tcPr>
            <w:tcW w:w="4261" w:type="dxa"/>
            <w:tcBorders>
              <w:top w:val="single" w:color="auto" w:sz="4" w:space="0"/>
              <w:left w:val="single" w:color="auto" w:sz="4" w:space="0"/>
              <w:bottom w:val="single" w:color="auto" w:sz="4" w:space="0"/>
              <w:right w:val="single" w:color="auto" w:sz="4" w:space="0"/>
            </w:tcBorders>
            <w:noWrap w:val="0"/>
            <w:vAlign w:val="top"/>
          </w:tcPr>
          <w:p w14:paraId="69042DA5">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rPr>
                <w:rFonts w:hint="eastAsia" w:ascii="仿宋" w:hAnsi="仿宋" w:eastAsia="仿宋" w:cs="仿宋"/>
                <w:sz w:val="28"/>
                <w:szCs w:val="28"/>
              </w:rPr>
            </w:pPr>
          </w:p>
        </w:tc>
      </w:tr>
      <w:tr w14:paraId="0F339F59">
        <w:tblPrEx>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top"/>
          </w:tcPr>
          <w:p w14:paraId="6C47F2B7">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rPr>
                <w:rFonts w:hint="eastAsia" w:ascii="仿宋" w:hAnsi="仿宋" w:eastAsia="仿宋" w:cs="仿宋"/>
                <w:sz w:val="28"/>
                <w:szCs w:val="28"/>
              </w:rPr>
            </w:pPr>
          </w:p>
        </w:tc>
        <w:tc>
          <w:tcPr>
            <w:tcW w:w="4261" w:type="dxa"/>
            <w:tcBorders>
              <w:top w:val="single" w:color="auto" w:sz="4" w:space="0"/>
              <w:left w:val="single" w:color="auto" w:sz="4" w:space="0"/>
              <w:bottom w:val="single" w:color="auto" w:sz="4" w:space="0"/>
              <w:right w:val="single" w:color="auto" w:sz="4" w:space="0"/>
            </w:tcBorders>
            <w:noWrap w:val="0"/>
            <w:vAlign w:val="top"/>
          </w:tcPr>
          <w:p w14:paraId="74B1B51E">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rPr>
                <w:rFonts w:hint="eastAsia" w:ascii="仿宋" w:hAnsi="仿宋" w:eastAsia="仿宋" w:cs="仿宋"/>
                <w:sz w:val="28"/>
                <w:szCs w:val="28"/>
              </w:rPr>
            </w:pPr>
          </w:p>
        </w:tc>
      </w:tr>
    </w:tbl>
    <w:p w14:paraId="594A2C94">
      <w:pPr>
        <w:spacing w:line="360" w:lineRule="auto"/>
        <w:rPr>
          <w:rFonts w:hint="eastAsia" w:ascii="仿宋" w:hAnsi="仿宋" w:eastAsia="仿宋" w:cs="仿宋"/>
          <w:sz w:val="28"/>
          <w:szCs w:val="28"/>
        </w:rPr>
      </w:pPr>
    </w:p>
    <w:p w14:paraId="2297C1E5">
      <w:pPr>
        <w:spacing w:line="360" w:lineRule="auto"/>
        <w:rPr>
          <w:rFonts w:hint="eastAsia" w:ascii="仿宋" w:hAnsi="仿宋" w:eastAsia="仿宋" w:cs="仿宋"/>
          <w:sz w:val="28"/>
          <w:szCs w:val="28"/>
        </w:rPr>
      </w:pPr>
      <w:r>
        <w:rPr>
          <w:rFonts w:hint="eastAsia" w:ascii="仿宋" w:hAnsi="仿宋" w:eastAsia="仿宋" w:cs="仿宋"/>
          <w:sz w:val="28"/>
          <w:szCs w:val="28"/>
        </w:rPr>
        <w:t>传真：********</w:t>
      </w:r>
    </w:p>
    <w:p w14:paraId="27073BB5">
      <w:pPr>
        <w:spacing w:line="360" w:lineRule="auto"/>
        <w:rPr>
          <w:rFonts w:hint="eastAsia" w:ascii="仿宋" w:hAnsi="仿宋" w:eastAsia="仿宋" w:cs="仿宋"/>
          <w:sz w:val="28"/>
          <w:szCs w:val="28"/>
        </w:rPr>
      </w:pPr>
      <w:r>
        <w:rPr>
          <w:rFonts w:hint="eastAsia" w:ascii="仿宋" w:hAnsi="仿宋" w:eastAsia="仿宋" w:cs="仿宋"/>
          <w:sz w:val="28"/>
          <w:szCs w:val="28"/>
        </w:rPr>
        <w:t>联系人：********</w:t>
      </w:r>
    </w:p>
    <w:p w14:paraId="59B866B8">
      <w:pPr>
        <w:spacing w:line="360" w:lineRule="auto"/>
        <w:rPr>
          <w:rFonts w:hint="eastAsia" w:ascii="仿宋" w:hAnsi="仿宋" w:eastAsia="仿宋" w:cs="仿宋"/>
          <w:sz w:val="28"/>
          <w:szCs w:val="28"/>
        </w:rPr>
      </w:pPr>
      <w:r>
        <w:rPr>
          <w:rFonts w:hint="eastAsia" w:ascii="仿宋" w:hAnsi="仿宋" w:eastAsia="仿宋" w:cs="仿宋"/>
          <w:sz w:val="28"/>
          <w:szCs w:val="28"/>
        </w:rPr>
        <w:t>联系电话：**********</w:t>
      </w:r>
    </w:p>
    <w:p w14:paraId="3E39017A">
      <w:pPr>
        <w:spacing w:line="360" w:lineRule="auto"/>
        <w:rPr>
          <w:rFonts w:ascii="仿宋" w:hAnsi="仿宋" w:eastAsia="仿宋" w:cs="仿宋"/>
          <w:sz w:val="28"/>
          <w:szCs w:val="28"/>
        </w:rPr>
      </w:pPr>
      <w:r>
        <w:rPr>
          <w:rFonts w:hint="eastAsia" w:ascii="仿宋" w:hAnsi="仿宋" w:eastAsia="仿宋" w:cs="仿宋"/>
          <w:sz w:val="28"/>
          <w:szCs w:val="28"/>
        </w:rPr>
        <w:t xml:space="preserve">联系手机：**********  </w:t>
      </w:r>
    </w:p>
    <w:p w14:paraId="4EAB2924">
      <w:pPr>
        <w:spacing w:line="360" w:lineRule="auto"/>
        <w:rPr>
          <w:rFonts w:hint="eastAsia" w:ascii="仿宋" w:hAnsi="仿宋" w:eastAsia="仿宋" w:cs="仿宋"/>
          <w:sz w:val="28"/>
          <w:szCs w:val="28"/>
        </w:rPr>
      </w:pPr>
    </w:p>
    <w:p w14:paraId="44974338">
      <w:pPr>
        <w:spacing w:line="360" w:lineRule="auto"/>
        <w:rPr>
          <w:rFonts w:hint="eastAsia" w:ascii="仿宋" w:hAnsi="仿宋" w:eastAsia="仿宋" w:cs="仿宋"/>
          <w:sz w:val="28"/>
          <w:szCs w:val="28"/>
        </w:rPr>
      </w:pPr>
    </w:p>
    <w:p w14:paraId="06403011">
      <w:pPr>
        <w:wordWrap w:val="0"/>
        <w:spacing w:line="360" w:lineRule="auto"/>
        <w:ind w:left="4480" w:hanging="4480" w:hangingChars="1600"/>
        <w:jc w:val="right"/>
        <w:rPr>
          <w:rFonts w:ascii="仿宋" w:hAnsi="仿宋" w:eastAsia="仿宋" w:cs="仿宋"/>
          <w:sz w:val="28"/>
          <w:szCs w:val="28"/>
        </w:rPr>
      </w:pPr>
      <w:r>
        <w:rPr>
          <w:rFonts w:hint="eastAsia" w:ascii="仿宋" w:hAnsi="仿宋" w:eastAsia="仿宋" w:cs="仿宋"/>
          <w:sz w:val="28"/>
          <w:szCs w:val="28"/>
        </w:rPr>
        <w:t>单位名称：</w:t>
      </w:r>
      <w:r>
        <w:rPr>
          <w:rFonts w:hint="eastAsia" w:ascii="仿宋" w:hAnsi="仿宋" w:eastAsia="仿宋" w:cs="仿宋"/>
          <w:sz w:val="28"/>
          <w:szCs w:val="28"/>
          <w:u w:val="single"/>
        </w:rPr>
        <w:t xml:space="preserve">  （加盖公章）   </w:t>
      </w:r>
    </w:p>
    <w:p w14:paraId="5F12E3EA">
      <w:pPr>
        <w:spacing w:line="360" w:lineRule="auto"/>
        <w:jc w:val="right"/>
        <w:rPr>
          <w:rFonts w:hint="eastAsia" w:ascii="仿宋" w:hAnsi="仿宋" w:eastAsia="仿宋" w:cs="仿宋"/>
          <w:b/>
          <w:color w:val="FF0000"/>
          <w:sz w:val="28"/>
          <w:szCs w:val="28"/>
        </w:rPr>
      </w:pPr>
      <w:r>
        <w:rPr>
          <w:rFonts w:hint="eastAsia" w:ascii="仿宋" w:hAnsi="仿宋" w:eastAsia="仿宋" w:cs="仿宋"/>
          <w:sz w:val="28"/>
          <w:szCs w:val="28"/>
        </w:rPr>
        <w:t>二O二六年*月*日</w:t>
      </w:r>
    </w:p>
    <w:p w14:paraId="012AAD43">
      <w:pPr>
        <w:spacing w:line="360" w:lineRule="auto"/>
        <w:jc w:val="right"/>
        <w:rPr>
          <w:rFonts w:hint="eastAsia" w:ascii="仿宋" w:hAnsi="仿宋" w:eastAsia="仿宋" w:cs="仿宋"/>
          <w:b/>
          <w:color w:val="FF0000"/>
          <w:sz w:val="28"/>
          <w:szCs w:val="28"/>
        </w:rPr>
        <w:sectPr>
          <w:headerReference r:id="rId4" w:type="first"/>
          <w:footerReference r:id="rId5" w:type="first"/>
          <w:headerReference r:id="rId3" w:type="default"/>
          <w:pgSz w:w="11906" w:h="16838"/>
          <w:pgMar w:top="1134" w:right="1418" w:bottom="1021" w:left="1418" w:header="0" w:footer="283" w:gutter="0"/>
          <w:pgNumType w:fmt="numberInDash" w:start="1"/>
          <w:cols w:space="720" w:num="1"/>
          <w:titlePg/>
          <w:docGrid w:type="linesAndChars" w:linePitch="312" w:charSpace="0"/>
        </w:sectPr>
      </w:pPr>
    </w:p>
    <w:p w14:paraId="4C0D96DB">
      <w:pPr>
        <w:adjustRightInd/>
        <w:spacing w:line="24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暨南街道2026年度建筑、市政及风景园林、公路工程设计服务采购项目采购要素</w:t>
      </w:r>
    </w:p>
    <w:p w14:paraId="6D5547D1">
      <w:pPr>
        <w:keepNext w:val="0"/>
        <w:keepLines w:val="0"/>
        <w:pageBreakBefore w:val="0"/>
        <w:widowControl w:val="0"/>
        <w:numPr>
          <w:ilvl w:val="0"/>
          <w:numId w:val="0"/>
        </w:numPr>
        <w:kinsoku/>
        <w:wordWrap/>
        <w:overflowPunct/>
        <w:topLinePunct w:val="0"/>
        <w:autoSpaceDE/>
        <w:autoSpaceDN/>
        <w:bidi w:val="0"/>
        <w:adjustRightInd w:val="0"/>
        <w:snapToGrid/>
        <w:spacing w:line="42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bookmarkStart w:id="0" w:name="_Toc91899870"/>
      <w:bookmarkStart w:id="1" w:name="_Toc91899871"/>
      <w:bookmarkStart w:id="2" w:name="第二部分"/>
      <w:r>
        <w:rPr>
          <w:rFonts w:hint="eastAsia" w:ascii="仿宋" w:hAnsi="仿宋" w:eastAsia="仿宋" w:cs="仿宋"/>
          <w:b/>
          <w:color w:val="auto"/>
          <w:sz w:val="24"/>
          <w:szCs w:val="24"/>
          <w:highlight w:val="none"/>
          <w:lang w:val="en-US" w:eastAsia="zh-CN"/>
        </w:rPr>
        <w:t>一、项目名称：</w:t>
      </w:r>
      <w:r>
        <w:rPr>
          <w:rFonts w:hint="eastAsia" w:ascii="仿宋" w:hAnsi="仿宋" w:eastAsia="仿宋" w:cs="仿宋"/>
          <w:b w:val="0"/>
          <w:bCs/>
          <w:color w:val="auto"/>
          <w:sz w:val="24"/>
          <w:szCs w:val="24"/>
          <w:highlight w:val="none"/>
          <w:lang w:val="en-US" w:eastAsia="zh-CN"/>
        </w:rPr>
        <w:t>暨南街道2026年度建筑、市政及风景园林、公路工程设计服务采购项目</w:t>
      </w:r>
    </w:p>
    <w:p w14:paraId="36A2EDD4">
      <w:pPr>
        <w:pStyle w:val="13"/>
        <w:keepNext w:val="0"/>
        <w:keepLines w:val="0"/>
        <w:pageBreakBefore w:val="0"/>
        <w:widowControl/>
        <w:kinsoku/>
        <w:wordWrap w:val="0"/>
        <w:overflowPunct/>
        <w:topLinePunct/>
        <w:autoSpaceDE/>
        <w:autoSpaceDN/>
        <w:bidi w:val="0"/>
        <w:adjustRightInd/>
        <w:snapToGrid/>
        <w:spacing w:before="0" w:beforeAutospacing="0" w:after="0" w:afterAutospacing="0" w:line="420" w:lineRule="exact"/>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b/>
          <w:color w:val="auto"/>
          <w:kern w:val="2"/>
          <w:sz w:val="24"/>
          <w:szCs w:val="24"/>
          <w:highlight w:val="none"/>
          <w:lang w:val="en-US" w:eastAsia="zh-CN" w:bidi="ar-SA"/>
        </w:rPr>
        <w:t>二、项目内容及规模：</w:t>
      </w:r>
      <w:r>
        <w:rPr>
          <w:rFonts w:hint="eastAsia" w:ascii="仿宋" w:hAnsi="仿宋" w:eastAsia="仿宋" w:cs="仿宋"/>
          <w:color w:val="auto"/>
          <w:sz w:val="24"/>
          <w:highlight w:val="none"/>
          <w:lang w:eastAsia="zh-CN"/>
        </w:rPr>
        <w:t>暨南街道2026年度建筑、市政及风景园林、公路工程设计服务采购项目</w:t>
      </w:r>
      <w:r>
        <w:rPr>
          <w:rFonts w:hint="eastAsia" w:ascii="仿宋" w:hAnsi="仿宋" w:eastAsia="仿宋" w:cs="仿宋"/>
          <w:color w:val="auto"/>
          <w:sz w:val="24"/>
          <w:szCs w:val="24"/>
          <w:highlight w:val="none"/>
        </w:rPr>
        <w:t>，本项目分为二个标项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每个标项的内容和预算金额</w:t>
      </w:r>
      <w:r>
        <w:rPr>
          <w:rFonts w:hint="eastAsia" w:ascii="仿宋" w:hAnsi="仿宋" w:eastAsia="仿宋" w:cs="仿宋"/>
          <w:color w:val="auto"/>
          <w:kern w:val="2"/>
          <w:sz w:val="24"/>
          <w:szCs w:val="24"/>
          <w:lang w:val="en-US" w:eastAsia="zh-CN" w:bidi="ar-SA"/>
        </w:rPr>
        <w:t>详见下表，</w:t>
      </w:r>
      <w:r>
        <w:rPr>
          <w:rFonts w:hint="eastAsia" w:ascii="仿宋" w:hAnsi="仿宋" w:eastAsia="仿宋" w:cs="仿宋"/>
          <w:b w:val="0"/>
          <w:bCs/>
          <w:color w:val="auto"/>
          <w:sz w:val="24"/>
          <w:szCs w:val="24"/>
          <w:highlight w:val="none"/>
          <w:lang w:val="en-US" w:eastAsia="zh-CN" w:bidi="ar-SA"/>
        </w:rPr>
        <w:t>按折扣招标，数量按实结算，具体内容详见采购需求。</w:t>
      </w:r>
    </w:p>
    <w:tbl>
      <w:tblPr>
        <w:tblStyle w:val="17"/>
        <w:tblpPr w:leftFromText="180" w:rightFromText="180" w:vertAnchor="text" w:horzAnchor="page" w:tblpX="1777" w:tblpY="211"/>
        <w:tblOverlap w:val="never"/>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4688"/>
        <w:gridCol w:w="1663"/>
        <w:gridCol w:w="1682"/>
      </w:tblGrid>
      <w:tr w14:paraId="3481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exact"/>
        </w:trPr>
        <w:tc>
          <w:tcPr>
            <w:tcW w:w="1127" w:type="dxa"/>
            <w:noWrap w:val="0"/>
            <w:vAlign w:val="center"/>
          </w:tcPr>
          <w:p w14:paraId="154DFEDE">
            <w:pPr>
              <w:keepNext w:val="0"/>
              <w:keepLines w:val="0"/>
              <w:pageBreakBefore w:val="0"/>
              <w:widowControl/>
              <w:kinsoku/>
              <w:wordWrap/>
              <w:overflowPunct/>
              <w:topLinePunct w:val="0"/>
              <w:bidi w:val="0"/>
              <w:adjustRightInd w:val="0"/>
              <w:snapToGrid w:val="0"/>
              <w:spacing w:line="400" w:lineRule="exact"/>
              <w:ind w:firstLine="240" w:firstLineChars="100"/>
              <w:jc w:val="left"/>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标项</w:t>
            </w:r>
          </w:p>
        </w:tc>
        <w:tc>
          <w:tcPr>
            <w:tcW w:w="4688" w:type="dxa"/>
            <w:noWrap w:val="0"/>
            <w:vAlign w:val="center"/>
          </w:tcPr>
          <w:p w14:paraId="5E5A7939">
            <w:pPr>
              <w:keepNext w:val="0"/>
              <w:keepLines w:val="0"/>
              <w:pageBreakBefore w:val="0"/>
              <w:widowControl/>
              <w:kinsoku/>
              <w:wordWrap/>
              <w:overflowPunct/>
              <w:topLinePunct w:val="0"/>
              <w:bidi w:val="0"/>
              <w:adjustRightInd w:val="0"/>
              <w:snapToGrid w:val="0"/>
              <w:spacing w:line="400" w:lineRule="exact"/>
              <w:jc w:val="center"/>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标项内容</w:t>
            </w:r>
          </w:p>
        </w:tc>
        <w:tc>
          <w:tcPr>
            <w:tcW w:w="1663" w:type="dxa"/>
            <w:noWrap w:val="0"/>
            <w:vAlign w:val="center"/>
          </w:tcPr>
          <w:p w14:paraId="3A9FF606">
            <w:pPr>
              <w:keepNext w:val="0"/>
              <w:keepLines w:val="0"/>
              <w:pageBreakBefore w:val="0"/>
              <w:widowControl/>
              <w:kinsoku/>
              <w:wordWrap/>
              <w:overflowPunct/>
              <w:topLinePunct w:val="0"/>
              <w:bidi w:val="0"/>
              <w:adjustRightInd w:val="0"/>
              <w:snapToGrid w:val="0"/>
              <w:spacing w:line="400" w:lineRule="exact"/>
              <w:ind w:left="480" w:hanging="480" w:hangingChars="200"/>
              <w:jc w:val="left"/>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最高折扣限价</w:t>
            </w:r>
          </w:p>
        </w:tc>
        <w:tc>
          <w:tcPr>
            <w:tcW w:w="1682" w:type="dxa"/>
            <w:noWrap w:val="0"/>
            <w:vAlign w:val="center"/>
          </w:tcPr>
          <w:p w14:paraId="373D7373">
            <w:pPr>
              <w:keepNext w:val="0"/>
              <w:keepLines w:val="0"/>
              <w:pageBreakBefore w:val="0"/>
              <w:widowControl/>
              <w:kinsoku/>
              <w:wordWrap/>
              <w:overflowPunct/>
              <w:topLinePunct w:val="0"/>
              <w:bidi w:val="0"/>
              <w:adjustRightInd w:val="0"/>
              <w:snapToGrid w:val="0"/>
              <w:spacing w:line="400" w:lineRule="exact"/>
              <w:jc w:val="center"/>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 xml:space="preserve">预算金额  </w:t>
            </w:r>
          </w:p>
        </w:tc>
      </w:tr>
      <w:tr w14:paraId="5208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rPr>
        <w:tc>
          <w:tcPr>
            <w:tcW w:w="1127" w:type="dxa"/>
            <w:noWrap w:val="0"/>
            <w:vAlign w:val="center"/>
          </w:tcPr>
          <w:p w14:paraId="542878BD">
            <w:pPr>
              <w:keepNext w:val="0"/>
              <w:keepLines w:val="0"/>
              <w:pageBreakBefore w:val="0"/>
              <w:widowControl/>
              <w:kinsoku/>
              <w:wordWrap/>
              <w:overflowPunct/>
              <w:topLinePunct w:val="0"/>
              <w:bidi w:val="0"/>
              <w:adjustRightInd w:val="0"/>
              <w:snapToGrid w:val="0"/>
              <w:spacing w:line="400" w:lineRule="exact"/>
              <w:jc w:val="center"/>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标项一</w:t>
            </w:r>
          </w:p>
        </w:tc>
        <w:tc>
          <w:tcPr>
            <w:tcW w:w="4688" w:type="dxa"/>
            <w:noWrap w:val="0"/>
            <w:vAlign w:val="center"/>
          </w:tcPr>
          <w:p w14:paraId="13730F79">
            <w:pPr>
              <w:tabs>
                <w:tab w:val="left" w:pos="142"/>
              </w:tabs>
              <w:snapToGrid w:val="0"/>
              <w:spacing w:line="400" w:lineRule="exact"/>
              <w:jc w:val="both"/>
              <w:rPr>
                <w:rFonts w:hint="eastAsia" w:ascii="仿宋" w:hAnsi="仿宋" w:eastAsia="仿宋" w:cs="仿宋"/>
                <w:bCs/>
                <w:color w:val="auto"/>
                <w:sz w:val="24"/>
                <w:szCs w:val="24"/>
                <w:lang w:val="en-US" w:eastAsia="zh-CN"/>
              </w:rPr>
            </w:pPr>
            <w:r>
              <w:rPr>
                <w:rFonts w:hint="eastAsia" w:ascii="仿宋" w:hAnsi="仿宋" w:eastAsia="仿宋" w:cs="仿宋"/>
                <w:color w:val="auto"/>
                <w:kern w:val="0"/>
                <w:sz w:val="24"/>
                <w:szCs w:val="24"/>
                <w:highlight w:val="none"/>
                <w:lang w:val="en-US" w:eastAsia="zh-CN" w:bidi="ar-SA"/>
              </w:rPr>
              <w:t>暨南街道2026年度建筑、市政及风景园林、公路工程设计服务采购项目（街亭片区）</w:t>
            </w:r>
          </w:p>
        </w:tc>
        <w:tc>
          <w:tcPr>
            <w:tcW w:w="1663" w:type="dxa"/>
            <w:vMerge w:val="restart"/>
            <w:noWrap w:val="0"/>
            <w:vAlign w:val="center"/>
          </w:tcPr>
          <w:p w14:paraId="7D3D77BF">
            <w:pPr>
              <w:keepNext w:val="0"/>
              <w:keepLines w:val="0"/>
              <w:pageBreakBefore w:val="0"/>
              <w:widowControl/>
              <w:kinsoku/>
              <w:wordWrap/>
              <w:overflowPunct/>
              <w:topLinePunct w:val="0"/>
              <w:bidi w:val="0"/>
              <w:adjustRightInd w:val="0"/>
              <w:snapToGrid w:val="0"/>
              <w:spacing w:line="400" w:lineRule="exact"/>
              <w:jc w:val="center"/>
              <w:textAlignment w:val="auto"/>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70.00%</w:t>
            </w:r>
          </w:p>
        </w:tc>
        <w:tc>
          <w:tcPr>
            <w:tcW w:w="1682" w:type="dxa"/>
            <w:noWrap w:val="0"/>
            <w:vAlign w:val="center"/>
          </w:tcPr>
          <w:p w14:paraId="4DA419AD">
            <w:pPr>
              <w:keepNext w:val="0"/>
              <w:keepLines w:val="0"/>
              <w:pageBreakBefore w:val="0"/>
              <w:widowControl/>
              <w:kinsoku/>
              <w:wordWrap/>
              <w:overflowPunct/>
              <w:topLinePunct w:val="0"/>
              <w:bidi w:val="0"/>
              <w:adjustRightInd w:val="0"/>
              <w:snapToGrid w:val="0"/>
              <w:spacing w:line="400" w:lineRule="exact"/>
              <w:ind w:firstLine="480" w:firstLineChars="200"/>
              <w:jc w:val="both"/>
              <w:textAlignment w:val="auto"/>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45万元</w:t>
            </w:r>
          </w:p>
        </w:tc>
      </w:tr>
      <w:tr w14:paraId="260C1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exact"/>
        </w:trPr>
        <w:tc>
          <w:tcPr>
            <w:tcW w:w="1127" w:type="dxa"/>
            <w:noWrap w:val="0"/>
            <w:vAlign w:val="center"/>
          </w:tcPr>
          <w:p w14:paraId="71E5A9D9">
            <w:pPr>
              <w:keepNext w:val="0"/>
              <w:keepLines w:val="0"/>
              <w:pageBreakBefore w:val="0"/>
              <w:widowControl/>
              <w:kinsoku/>
              <w:wordWrap/>
              <w:overflowPunct/>
              <w:topLinePunct w:val="0"/>
              <w:bidi w:val="0"/>
              <w:adjustRightInd w:val="0"/>
              <w:snapToGrid w:val="0"/>
              <w:spacing w:line="400" w:lineRule="exact"/>
              <w:jc w:val="center"/>
              <w:textAlignment w:val="auto"/>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标项二</w:t>
            </w:r>
          </w:p>
        </w:tc>
        <w:tc>
          <w:tcPr>
            <w:tcW w:w="4688" w:type="dxa"/>
            <w:noWrap w:val="0"/>
            <w:vAlign w:val="center"/>
          </w:tcPr>
          <w:p w14:paraId="6DA412E1">
            <w:pPr>
              <w:tabs>
                <w:tab w:val="left" w:pos="142"/>
              </w:tabs>
              <w:snapToGrid w:val="0"/>
              <w:spacing w:line="400" w:lineRule="exact"/>
              <w:jc w:val="both"/>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kern w:val="0"/>
                <w:sz w:val="24"/>
                <w:szCs w:val="24"/>
                <w:highlight w:val="none"/>
                <w:lang w:val="en-US" w:eastAsia="zh-CN" w:bidi="ar-SA"/>
              </w:rPr>
              <w:t>暨南街道2026年度建筑、市政及风景园林、公路工程设计服务采购项目（王家井片区）</w:t>
            </w:r>
          </w:p>
        </w:tc>
        <w:tc>
          <w:tcPr>
            <w:tcW w:w="1663" w:type="dxa"/>
            <w:vMerge w:val="continue"/>
            <w:noWrap w:val="0"/>
            <w:vAlign w:val="center"/>
          </w:tcPr>
          <w:p w14:paraId="20CC772A">
            <w:pPr>
              <w:keepNext w:val="0"/>
              <w:keepLines w:val="0"/>
              <w:pageBreakBefore w:val="0"/>
              <w:widowControl/>
              <w:kinsoku/>
              <w:wordWrap/>
              <w:overflowPunct/>
              <w:topLinePunct w:val="0"/>
              <w:bidi w:val="0"/>
              <w:adjustRightInd w:val="0"/>
              <w:snapToGrid w:val="0"/>
              <w:spacing w:line="400" w:lineRule="exact"/>
              <w:jc w:val="center"/>
              <w:textAlignment w:val="auto"/>
              <w:rPr>
                <w:rFonts w:hint="eastAsia" w:ascii="仿宋" w:hAnsi="仿宋" w:eastAsia="仿宋" w:cs="仿宋"/>
                <w:bCs/>
                <w:color w:val="auto"/>
                <w:sz w:val="24"/>
                <w:szCs w:val="24"/>
                <w:lang w:val="en-US" w:eastAsia="zh-CN"/>
              </w:rPr>
            </w:pPr>
          </w:p>
        </w:tc>
        <w:tc>
          <w:tcPr>
            <w:tcW w:w="1682" w:type="dxa"/>
            <w:noWrap w:val="0"/>
            <w:vAlign w:val="center"/>
          </w:tcPr>
          <w:p w14:paraId="67C30937">
            <w:pPr>
              <w:keepNext w:val="0"/>
              <w:keepLines w:val="0"/>
              <w:pageBreakBefore w:val="0"/>
              <w:widowControl/>
              <w:kinsoku/>
              <w:wordWrap/>
              <w:overflowPunct/>
              <w:topLinePunct w:val="0"/>
              <w:bidi w:val="0"/>
              <w:adjustRightInd w:val="0"/>
              <w:snapToGrid w:val="0"/>
              <w:spacing w:line="400" w:lineRule="exact"/>
              <w:ind w:firstLine="480" w:firstLineChars="200"/>
              <w:jc w:val="both"/>
              <w:textAlignment w:val="auto"/>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45万元</w:t>
            </w:r>
          </w:p>
        </w:tc>
      </w:tr>
    </w:tbl>
    <w:p w14:paraId="6F60203D">
      <w:pPr>
        <w:pStyle w:val="2"/>
        <w:numPr>
          <w:ilvl w:val="0"/>
          <w:numId w:val="0"/>
        </w:numPr>
        <w:ind w:left="0" w:leftChars="0" w:firstLine="0" w:firstLineChars="0"/>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三、投标人（供应商）资格要求</w:t>
      </w:r>
    </w:p>
    <w:p w14:paraId="08396BE5">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仿宋" w:hAnsi="仿宋" w:eastAsia="仿宋" w:cs="仿宋"/>
          <w:color w:val="auto"/>
          <w:sz w:val="24"/>
          <w:highlight w:val="none"/>
          <w:lang w:val="en-US" w:eastAsia="zh-CN"/>
        </w:rPr>
      </w:pPr>
      <w:bookmarkStart w:id="3" w:name="_Toc35393623"/>
      <w:bookmarkStart w:id="4" w:name="_Toc35393792"/>
      <w:r>
        <w:rPr>
          <w:rFonts w:hint="eastAsia" w:ascii="仿宋" w:hAnsi="仿宋" w:eastAsia="仿宋" w:cs="仿宋"/>
          <w:color w:val="auto"/>
          <w:sz w:val="24"/>
          <w:highlight w:val="none"/>
          <w:lang w:val="en-US" w:eastAsia="zh-CN"/>
        </w:rPr>
        <w:t>1、满足《中华人民共和国政府采购法》第二十二条规定；</w:t>
      </w:r>
    </w:p>
    <w:p w14:paraId="1C925651">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2、未被“信用中国”（www.creditchina.gov.cn）、中国政府采购网（www.ccgp.gov.cn）列入失信被执行人、重大税收违法案件当事人名单、政府采购严重违法失信行为记录名单；</w:t>
      </w:r>
    </w:p>
    <w:p w14:paraId="32DD259D">
      <w:pPr>
        <w:keepNext w:val="0"/>
        <w:keepLines w:val="0"/>
        <w:pageBreakBefore w:val="0"/>
        <w:widowControl w:val="0"/>
        <w:kinsoku/>
        <w:wordWrap/>
        <w:overflowPunct/>
        <w:topLinePunct w:val="0"/>
        <w:bidi w:val="0"/>
        <w:snapToGrid/>
        <w:spacing w:line="420" w:lineRule="exact"/>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3、落实政府采购政策需满足的资格要求：</w:t>
      </w:r>
      <w:r>
        <w:rPr>
          <w:rFonts w:hint="eastAsia" w:ascii="宋体" w:hAnsi="宋体" w:eastAsia="宋体" w:cs="宋体"/>
          <w:b w:val="0"/>
          <w:bCs w:val="0"/>
          <w:sz w:val="24"/>
          <w:lang w:val="en-US" w:eastAsia="zh-CN"/>
        </w:rPr>
        <w:t>【</w:t>
      </w:r>
      <w:r>
        <w:rPr>
          <w:rFonts w:hint="eastAsia" w:ascii="仿宋" w:hAnsi="仿宋" w:eastAsia="仿宋" w:cs="仿宋"/>
          <w:b w:val="0"/>
          <w:bCs w:val="0"/>
          <w:color w:val="auto"/>
          <w:sz w:val="24"/>
          <w:highlight w:val="none"/>
          <w:lang w:val="en-US" w:eastAsia="zh-CN"/>
        </w:rPr>
        <w:t>标项一、标项二</w:t>
      </w:r>
      <w:r>
        <w:rPr>
          <w:rFonts w:hint="eastAsia" w:ascii="宋体" w:hAnsi="宋体" w:eastAsia="宋体" w:cs="宋体"/>
          <w:b w:val="0"/>
          <w:bCs w:val="0"/>
          <w:sz w:val="24"/>
          <w:lang w:val="en-US" w:eastAsia="zh-CN"/>
        </w:rPr>
        <w:t>】</w:t>
      </w:r>
      <w:r>
        <w:rPr>
          <w:rFonts w:hint="eastAsia" w:ascii="仿宋" w:hAnsi="仿宋" w:eastAsia="仿宋" w:cs="仿宋"/>
          <w:color w:val="auto"/>
          <w:sz w:val="24"/>
          <w:highlight w:val="none"/>
          <w:lang w:val="en-US" w:eastAsia="zh-CN"/>
        </w:rPr>
        <w:t>专门面向中小企业，服务全部由符合政策要求的中小企业承接，提供中小企业声明函；</w:t>
      </w:r>
    </w:p>
    <w:p w14:paraId="4E56B3AB">
      <w:pPr>
        <w:keepNext w:val="0"/>
        <w:keepLines w:val="0"/>
        <w:pageBreakBefore w:val="0"/>
        <w:numPr>
          <w:ilvl w:val="0"/>
          <w:numId w:val="0"/>
        </w:numPr>
        <w:kinsoku/>
        <w:wordWrap/>
        <w:overflowPunct/>
        <w:topLinePunct w:val="0"/>
        <w:bidi w:val="0"/>
        <w:adjustRightInd w:val="0"/>
        <w:spacing w:line="420" w:lineRule="exact"/>
        <w:ind w:left="0" w:leftChars="0" w:firstLine="480" w:firstLineChars="0"/>
        <w:textAlignment w:val="auto"/>
        <w:rPr>
          <w:rFonts w:hint="eastAsia" w:ascii="仿宋" w:hAnsi="仿宋" w:eastAsia="仿宋" w:cs="仿宋"/>
          <w:b w:val="0"/>
          <w:bCs w:val="0"/>
          <w:color w:val="auto"/>
          <w:kern w:val="0"/>
          <w:sz w:val="24"/>
          <w:szCs w:val="21"/>
          <w:highlight w:val="none"/>
          <w:lang w:val="en-US" w:eastAsia="zh-CN" w:bidi="ar-SA"/>
        </w:rPr>
      </w:pPr>
      <w:r>
        <w:rPr>
          <w:rFonts w:hint="eastAsia" w:ascii="仿宋" w:hAnsi="仿宋" w:eastAsia="仿宋" w:cs="仿宋"/>
          <w:b w:val="0"/>
          <w:bCs/>
          <w:color w:val="auto"/>
          <w:kern w:val="0"/>
          <w:sz w:val="24"/>
          <w:szCs w:val="21"/>
          <w:lang w:val="en-US" w:eastAsia="zh-CN" w:bidi="ar-SA"/>
        </w:rPr>
        <w:t>4、</w:t>
      </w:r>
      <w:r>
        <w:rPr>
          <w:rFonts w:hint="eastAsia" w:ascii="仿宋" w:hAnsi="仿宋" w:eastAsia="仿宋" w:cs="仿宋"/>
          <w:color w:val="auto"/>
          <w:sz w:val="24"/>
          <w:highlight w:val="none"/>
          <w:lang w:val="en-US" w:eastAsia="zh-CN"/>
        </w:rPr>
        <w:t>本项目的特定资格要求：</w:t>
      </w:r>
      <w:bookmarkEnd w:id="3"/>
      <w:bookmarkEnd w:id="4"/>
      <w:r>
        <w:rPr>
          <w:rFonts w:hint="eastAsia" w:ascii="宋体" w:hAnsi="宋体" w:eastAsia="宋体" w:cs="宋体"/>
          <w:b w:val="0"/>
          <w:bCs w:val="0"/>
          <w:sz w:val="24"/>
          <w:lang w:val="en-US" w:eastAsia="zh-CN"/>
        </w:rPr>
        <w:t>【</w:t>
      </w:r>
      <w:r>
        <w:rPr>
          <w:rFonts w:hint="eastAsia" w:ascii="仿宋" w:hAnsi="仿宋" w:eastAsia="仿宋" w:cs="仿宋"/>
          <w:b w:val="0"/>
          <w:bCs w:val="0"/>
          <w:color w:val="auto"/>
          <w:sz w:val="24"/>
          <w:highlight w:val="none"/>
          <w:lang w:val="en-US" w:eastAsia="zh-CN"/>
        </w:rPr>
        <w:t>标项一、标项二</w:t>
      </w:r>
      <w:r>
        <w:rPr>
          <w:rFonts w:hint="eastAsia" w:ascii="宋体" w:hAnsi="宋体" w:eastAsia="宋体" w:cs="宋体"/>
          <w:b w:val="0"/>
          <w:bCs w:val="0"/>
          <w:sz w:val="24"/>
          <w:lang w:val="en-US" w:eastAsia="zh-CN"/>
        </w:rPr>
        <w:t>】</w:t>
      </w:r>
      <w:r>
        <w:rPr>
          <w:rFonts w:hint="eastAsia" w:ascii="仿宋" w:hAnsi="仿宋" w:eastAsia="仿宋" w:cs="仿宋"/>
          <w:b w:val="0"/>
          <w:bCs w:val="0"/>
          <w:color w:val="auto"/>
          <w:kern w:val="0"/>
          <w:sz w:val="24"/>
          <w:szCs w:val="21"/>
          <w:highlight w:val="none"/>
          <w:lang w:val="en-US" w:eastAsia="zh-CN" w:bidi="ar-SA"/>
        </w:rPr>
        <w:t>同时具有工程设计市政行业（道路工程、桥梁工程、给水工程、排水工程）专业乙级及以上、风景园林工程设计专项乙级及以上、建筑行业（建筑工程）乙级及以上、公路行业（公路）专业丙级及以上资质。</w:t>
      </w:r>
    </w:p>
    <w:p w14:paraId="2CF3A48A">
      <w:pPr>
        <w:autoSpaceDE w:val="0"/>
        <w:autoSpaceDN w:val="0"/>
        <w:adjustRightInd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000000"/>
          <w:sz w:val="24"/>
          <w:szCs w:val="20"/>
        </w:rPr>
        <w:t>5、本项目</w:t>
      </w:r>
      <w:r>
        <w:rPr>
          <w:rFonts w:hint="eastAsia" w:ascii="仿宋" w:hAnsi="仿宋" w:eastAsia="仿宋" w:cs="仿宋"/>
          <w:b/>
          <w:bCs/>
          <w:color w:val="000000"/>
          <w:sz w:val="24"/>
          <w:szCs w:val="20"/>
          <w:u w:val="single"/>
        </w:rPr>
        <w:t>不</w:t>
      </w:r>
      <w:r>
        <w:rPr>
          <w:rFonts w:hint="eastAsia" w:ascii="仿宋" w:hAnsi="仿宋" w:eastAsia="仿宋" w:cs="仿宋"/>
          <w:color w:val="000000"/>
          <w:sz w:val="24"/>
          <w:szCs w:val="20"/>
        </w:rPr>
        <w:t>接受联合体投标。</w:t>
      </w:r>
    </w:p>
    <w:p w14:paraId="532AED23">
      <w:pPr>
        <w:pStyle w:val="2"/>
        <w:numPr>
          <w:ilvl w:val="0"/>
          <w:numId w:val="0"/>
        </w:numPr>
        <w:ind w:left="0" w:leftChars="0" w:firstLine="0" w:firstLineChars="0"/>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四、评审办法</w:t>
      </w:r>
    </w:p>
    <w:p w14:paraId="7E60A158">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highlight w:val="none"/>
          <w:lang w:val="en-US" w:eastAsia="zh-CN"/>
        </w:rPr>
      </w:pPr>
      <w:bookmarkStart w:id="5" w:name="_Hlk36476656"/>
      <w:r>
        <w:rPr>
          <w:rFonts w:hint="eastAsia" w:ascii="仿宋" w:hAnsi="仿宋" w:eastAsia="仿宋" w:cs="仿宋"/>
          <w:color w:val="auto"/>
          <w:sz w:val="24"/>
          <w:highlight w:val="none"/>
          <w:lang w:val="en-US" w:eastAsia="zh-CN"/>
        </w:rPr>
        <w:t>1、本项目采用</w:t>
      </w:r>
      <w:r>
        <w:rPr>
          <w:rFonts w:hint="eastAsia" w:ascii="仿宋" w:hAnsi="仿宋" w:eastAsia="仿宋" w:cs="仿宋"/>
          <w:color w:val="auto"/>
          <w:sz w:val="24"/>
          <w:highlight w:val="none"/>
          <w:u w:val="single"/>
          <w:lang w:val="en-US" w:eastAsia="zh-CN"/>
        </w:rPr>
        <w:t>综合评分法</w:t>
      </w:r>
      <w:r>
        <w:rPr>
          <w:rFonts w:hint="eastAsia" w:ascii="仿宋" w:hAnsi="仿宋" w:eastAsia="仿宋" w:cs="仿宋"/>
          <w:color w:val="auto"/>
          <w:sz w:val="24"/>
          <w:highlight w:val="none"/>
          <w:lang w:val="en-US" w:eastAsia="zh-CN"/>
        </w:rPr>
        <w:t>，供应商的综合得分﹦商务技术得分＋报价得分，综合得分满分为100分。</w:t>
      </w:r>
    </w:p>
    <w:p w14:paraId="43992EED">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合格供应商的评审总得分为各项评审因素汇总得分，成交候选资格按评审总得分由高到低顺序排列，得分相同的，按最后报价由低到高顺序排列；得分且最后报价相同的，按技术指标优劣顺序排列。评分过程中采用四舍五入法，并保留小数2位。</w:t>
      </w:r>
    </w:p>
    <w:bookmarkEnd w:id="5"/>
    <w:p w14:paraId="280B751F">
      <w:pPr>
        <w:spacing w:line="300" w:lineRule="auto"/>
        <w:ind w:firstLine="480" w:firstLineChars="200"/>
        <w:rPr>
          <w:rFonts w:ascii="仿宋" w:hAnsi="仿宋" w:eastAsia="仿宋" w:cs="宋体"/>
          <w:b w:val="0"/>
          <w:bCs w:val="0"/>
          <w:sz w:val="24"/>
          <w:szCs w:val="24"/>
        </w:rPr>
      </w:pPr>
      <w:r>
        <w:rPr>
          <w:rFonts w:hint="eastAsia" w:ascii="仿宋" w:hAnsi="仿宋" w:eastAsia="仿宋" w:cs="宋体"/>
          <w:b w:val="0"/>
          <w:bCs w:val="0"/>
          <w:sz w:val="24"/>
          <w:szCs w:val="24"/>
          <w:lang w:val="en-US" w:eastAsia="zh-CN"/>
        </w:rPr>
        <w:t>3</w:t>
      </w:r>
      <w:r>
        <w:rPr>
          <w:rFonts w:hint="eastAsia" w:ascii="仿宋" w:hAnsi="仿宋" w:eastAsia="仿宋" w:cs="宋体"/>
          <w:b w:val="0"/>
          <w:bCs w:val="0"/>
          <w:sz w:val="24"/>
          <w:szCs w:val="24"/>
        </w:rPr>
        <w:t>、商务技术分（80分）</w:t>
      </w:r>
    </w:p>
    <w:p w14:paraId="07FD9BF9">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（1）商务技术得分=商务技术评分，商务技术评分=所有评委的有效评分的算术平均数。</w:t>
      </w:r>
    </w:p>
    <w:p w14:paraId="0E5F95BB">
      <w:pPr>
        <w:spacing w:line="30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（2）商务技术分评分细则</w:t>
      </w:r>
      <w:r>
        <w:rPr>
          <w:rFonts w:hint="eastAsia" w:ascii="仿宋" w:hAnsi="仿宋" w:eastAsia="仿宋" w:cs="仿宋"/>
          <w:color w:val="auto"/>
          <w:sz w:val="24"/>
          <w:highlight w:val="none"/>
        </w:rPr>
        <w:t>（标项</w:t>
      </w:r>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标项二</w:t>
      </w:r>
      <w:r>
        <w:rPr>
          <w:rFonts w:hint="eastAsia" w:ascii="仿宋" w:hAnsi="仿宋" w:eastAsia="仿宋" w:cs="仿宋"/>
          <w:color w:val="auto"/>
          <w:sz w:val="24"/>
          <w:highlight w:val="none"/>
        </w:rPr>
        <w:t>）</w:t>
      </w:r>
    </w:p>
    <w:tbl>
      <w:tblPr>
        <w:tblStyle w:val="16"/>
        <w:tblW w:w="101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3"/>
        <w:gridCol w:w="1187"/>
        <w:gridCol w:w="7145"/>
        <w:gridCol w:w="1005"/>
      </w:tblGrid>
      <w:tr w14:paraId="37621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2" w:hRule="atLeast"/>
          <w:jc w:val="center"/>
        </w:trPr>
        <w:tc>
          <w:tcPr>
            <w:tcW w:w="763" w:type="dxa"/>
            <w:tcBorders>
              <w:tl2br w:val="nil"/>
              <w:tr2bl w:val="nil"/>
            </w:tcBorders>
            <w:noWrap w:val="0"/>
            <w:vAlign w:val="center"/>
          </w:tcPr>
          <w:p w14:paraId="2ACB00F2">
            <w:pPr>
              <w:keepNext w:val="0"/>
              <w:keepLines w:val="0"/>
              <w:pageBreakBefore w:val="0"/>
              <w:widowControl w:val="0"/>
              <w:kinsoku/>
              <w:wordWrap/>
              <w:overflowPunct/>
              <w:topLinePunct w:val="0"/>
              <w:autoSpaceDE/>
              <w:autoSpaceDN/>
              <w:bidi w:val="0"/>
              <w:snapToGrid/>
              <w:spacing w:line="360" w:lineRule="exact"/>
              <w:jc w:val="center"/>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序号</w:t>
            </w:r>
          </w:p>
        </w:tc>
        <w:tc>
          <w:tcPr>
            <w:tcW w:w="1187" w:type="dxa"/>
            <w:tcBorders>
              <w:tl2br w:val="nil"/>
              <w:tr2bl w:val="nil"/>
            </w:tcBorders>
            <w:noWrap w:val="0"/>
            <w:vAlign w:val="center"/>
          </w:tcPr>
          <w:p w14:paraId="6C3DF623">
            <w:pPr>
              <w:keepNext w:val="0"/>
              <w:keepLines w:val="0"/>
              <w:pageBreakBefore w:val="0"/>
              <w:widowControl w:val="0"/>
              <w:kinsoku/>
              <w:wordWrap/>
              <w:overflowPunct/>
              <w:topLinePunct w:val="0"/>
              <w:autoSpaceDE/>
              <w:autoSpaceDN/>
              <w:bidi w:val="0"/>
              <w:snapToGrid/>
              <w:spacing w:line="360" w:lineRule="exact"/>
              <w:jc w:val="center"/>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项目</w:t>
            </w:r>
          </w:p>
        </w:tc>
        <w:tc>
          <w:tcPr>
            <w:tcW w:w="7145" w:type="dxa"/>
            <w:tcBorders>
              <w:tl2br w:val="nil"/>
              <w:tr2bl w:val="nil"/>
            </w:tcBorders>
            <w:noWrap w:val="0"/>
            <w:vAlign w:val="center"/>
          </w:tcPr>
          <w:p w14:paraId="56DA360D">
            <w:pPr>
              <w:keepNext w:val="0"/>
              <w:keepLines w:val="0"/>
              <w:pageBreakBefore w:val="0"/>
              <w:widowControl w:val="0"/>
              <w:kinsoku/>
              <w:wordWrap/>
              <w:overflowPunct/>
              <w:topLinePunct w:val="0"/>
              <w:autoSpaceDE/>
              <w:autoSpaceDN/>
              <w:bidi w:val="0"/>
              <w:snapToGrid/>
              <w:spacing w:line="360" w:lineRule="exact"/>
              <w:jc w:val="center"/>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评分标准</w:t>
            </w:r>
          </w:p>
        </w:tc>
        <w:tc>
          <w:tcPr>
            <w:tcW w:w="1005" w:type="dxa"/>
            <w:tcBorders>
              <w:tl2br w:val="nil"/>
              <w:tr2bl w:val="nil"/>
            </w:tcBorders>
            <w:noWrap w:val="0"/>
            <w:vAlign w:val="center"/>
          </w:tcPr>
          <w:p w14:paraId="56893905">
            <w:pPr>
              <w:keepNext w:val="0"/>
              <w:keepLines w:val="0"/>
              <w:pageBreakBefore w:val="0"/>
              <w:widowControl w:val="0"/>
              <w:kinsoku/>
              <w:wordWrap/>
              <w:overflowPunct/>
              <w:topLinePunct w:val="0"/>
              <w:autoSpaceDE/>
              <w:autoSpaceDN/>
              <w:bidi w:val="0"/>
              <w:snapToGrid/>
              <w:spacing w:line="360" w:lineRule="exact"/>
              <w:jc w:val="center"/>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分值</w:t>
            </w:r>
          </w:p>
          <w:p w14:paraId="021AF4E3">
            <w:pPr>
              <w:keepNext w:val="0"/>
              <w:keepLines w:val="0"/>
              <w:pageBreakBefore w:val="0"/>
              <w:widowControl w:val="0"/>
              <w:kinsoku/>
              <w:wordWrap/>
              <w:overflowPunct/>
              <w:topLinePunct w:val="0"/>
              <w:autoSpaceDE/>
              <w:autoSpaceDN/>
              <w:bidi w:val="0"/>
              <w:snapToGrid/>
              <w:spacing w:line="360" w:lineRule="exact"/>
              <w:jc w:val="center"/>
              <w:textAlignment w:val="auto"/>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范围</w:t>
            </w:r>
          </w:p>
        </w:tc>
      </w:tr>
      <w:tr w14:paraId="0E5430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16" w:hRule="atLeast"/>
          <w:jc w:val="center"/>
        </w:trPr>
        <w:tc>
          <w:tcPr>
            <w:tcW w:w="763" w:type="dxa"/>
            <w:tcBorders>
              <w:tl2br w:val="nil"/>
              <w:tr2bl w:val="nil"/>
            </w:tcBorders>
            <w:noWrap w:val="0"/>
            <w:vAlign w:val="center"/>
          </w:tcPr>
          <w:p w14:paraId="04023ED4">
            <w:pPr>
              <w:keepNext w:val="0"/>
              <w:keepLines w:val="0"/>
              <w:pageBreakBefore w:val="0"/>
              <w:widowControl w:val="0"/>
              <w:kinsoku/>
              <w:wordWrap/>
              <w:overflowPunct/>
              <w:topLinePunct w:val="0"/>
              <w:autoSpaceDE/>
              <w:autoSpaceDN/>
              <w:bidi w:val="0"/>
              <w:snapToGrid/>
              <w:spacing w:line="360" w:lineRule="exact"/>
              <w:jc w:val="center"/>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lang w:val="en-US" w:eastAsia="zh-CN"/>
              </w:rPr>
              <w:t>1</w:t>
            </w:r>
          </w:p>
        </w:tc>
        <w:tc>
          <w:tcPr>
            <w:tcW w:w="1187" w:type="dxa"/>
            <w:tcBorders>
              <w:tl2br w:val="nil"/>
              <w:tr2bl w:val="nil"/>
            </w:tcBorders>
            <w:noWrap w:val="0"/>
            <w:vAlign w:val="center"/>
          </w:tcPr>
          <w:p w14:paraId="4784E11F">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lang w:val="en-US" w:eastAsia="zh-CN"/>
              </w:rPr>
              <w:t>企业资信</w:t>
            </w:r>
          </w:p>
        </w:tc>
        <w:tc>
          <w:tcPr>
            <w:tcW w:w="7145" w:type="dxa"/>
            <w:tcBorders>
              <w:tl2br w:val="nil"/>
              <w:tr2bl w:val="nil"/>
            </w:tcBorders>
            <w:noWrap w:val="0"/>
            <w:vAlign w:val="center"/>
          </w:tcPr>
          <w:p w14:paraId="0DE94780">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bCs/>
                <w:sz w:val="24"/>
              </w:rPr>
            </w:pPr>
            <w:r>
              <w:rPr>
                <w:rFonts w:hint="eastAsia" w:ascii="仿宋" w:hAnsi="仿宋" w:eastAsia="仿宋" w:cs="仿宋"/>
                <w:bCs/>
                <w:color w:val="auto"/>
                <w:sz w:val="24"/>
                <w:lang w:val="en-US" w:eastAsia="zh-CN"/>
              </w:rPr>
              <w:t>供应商</w:t>
            </w:r>
            <w:r>
              <w:rPr>
                <w:rFonts w:hint="eastAsia" w:ascii="仿宋" w:hAnsi="仿宋" w:eastAsia="仿宋" w:cs="仿宋"/>
                <w:bCs/>
                <w:sz w:val="24"/>
              </w:rPr>
              <w:t>具有有效期内的质量管理体系认证证书、环境管理体系认证证书、职业健康安全管理体系认证证书的，每提供一项得</w:t>
            </w:r>
            <w:r>
              <w:rPr>
                <w:rFonts w:hint="eastAsia" w:ascii="仿宋" w:hAnsi="仿宋" w:eastAsia="仿宋" w:cs="仿宋"/>
                <w:bCs/>
                <w:sz w:val="24"/>
                <w:lang w:val="en-US" w:eastAsia="zh-CN"/>
              </w:rPr>
              <w:t>1</w:t>
            </w:r>
            <w:r>
              <w:rPr>
                <w:rFonts w:hint="eastAsia" w:ascii="仿宋" w:hAnsi="仿宋" w:eastAsia="仿宋" w:cs="仿宋"/>
                <w:bCs/>
                <w:sz w:val="24"/>
              </w:rPr>
              <w:t>分，本项最高得</w:t>
            </w:r>
            <w:r>
              <w:rPr>
                <w:rFonts w:hint="eastAsia" w:ascii="仿宋" w:hAnsi="仿宋" w:eastAsia="仿宋" w:cs="仿宋"/>
                <w:bCs/>
                <w:sz w:val="24"/>
                <w:lang w:val="en-US" w:eastAsia="zh-CN"/>
              </w:rPr>
              <w:t>3</w:t>
            </w:r>
            <w:r>
              <w:rPr>
                <w:rFonts w:hint="eastAsia" w:ascii="仿宋" w:hAnsi="仿宋" w:eastAsia="仿宋" w:cs="仿宋"/>
                <w:bCs/>
                <w:sz w:val="24"/>
              </w:rPr>
              <w:t>分。</w:t>
            </w:r>
          </w:p>
          <w:p w14:paraId="16EEB05C">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bCs/>
                <w:sz w:val="24"/>
              </w:rPr>
            </w:pPr>
            <w:r>
              <w:rPr>
                <w:rFonts w:hint="eastAsia" w:ascii="仿宋" w:hAnsi="仿宋" w:eastAsia="仿宋" w:cs="仿宋"/>
                <w:b/>
                <w:bCs w:val="0"/>
                <w:sz w:val="24"/>
                <w:lang w:val="en-US" w:eastAsia="zh-CN"/>
              </w:rPr>
              <w:t>注：需提供相关证书复印件及国家认证认可监督委员会官网截图并加盖供应商CA签章，</w:t>
            </w:r>
            <w:r>
              <w:rPr>
                <w:rFonts w:hint="eastAsia" w:ascii="仿宋" w:hAnsi="仿宋" w:eastAsia="仿宋" w:cs="仿宋"/>
                <w:b/>
                <w:bCs w:val="0"/>
                <w:color w:val="auto"/>
                <w:sz w:val="24"/>
                <w:szCs w:val="24"/>
              </w:rPr>
              <w:t>不提供或提供不全不得分</w:t>
            </w:r>
            <w:r>
              <w:rPr>
                <w:rFonts w:hint="eastAsia" w:ascii="仿宋" w:hAnsi="仿宋" w:eastAsia="仿宋" w:cs="仿宋"/>
                <w:b/>
                <w:bCs w:val="0"/>
                <w:sz w:val="24"/>
                <w:lang w:val="en-US" w:eastAsia="zh-CN"/>
              </w:rPr>
              <w:t>。</w:t>
            </w:r>
          </w:p>
        </w:tc>
        <w:tc>
          <w:tcPr>
            <w:tcW w:w="1005" w:type="dxa"/>
            <w:tcBorders>
              <w:tl2br w:val="nil"/>
              <w:tr2bl w:val="nil"/>
            </w:tcBorders>
            <w:noWrap w:val="0"/>
            <w:vAlign w:val="center"/>
          </w:tcPr>
          <w:p w14:paraId="47A52E15">
            <w:pPr>
              <w:keepNext w:val="0"/>
              <w:keepLines w:val="0"/>
              <w:pageBreakBefore w:val="0"/>
              <w:widowControl w:val="0"/>
              <w:kinsoku/>
              <w:wordWrap/>
              <w:overflowPunct/>
              <w:topLinePunct w:val="0"/>
              <w:autoSpaceDE/>
              <w:autoSpaceDN/>
              <w:bidi w:val="0"/>
              <w:snapToGrid/>
              <w:spacing w:line="360" w:lineRule="exact"/>
              <w:jc w:val="center"/>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lang w:val="en-US" w:eastAsia="zh-CN"/>
              </w:rPr>
              <w:t>0-3</w:t>
            </w:r>
            <w:r>
              <w:rPr>
                <w:rFonts w:hint="eastAsia" w:ascii="仿宋" w:hAnsi="仿宋" w:eastAsia="仿宋" w:cs="仿宋"/>
                <w:b/>
                <w:bCs w:val="0"/>
                <w:color w:val="auto"/>
                <w:sz w:val="24"/>
                <w:szCs w:val="24"/>
              </w:rPr>
              <w:t>分</w:t>
            </w:r>
          </w:p>
        </w:tc>
      </w:tr>
      <w:tr w14:paraId="2C6AFA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29" w:hRule="atLeast"/>
          <w:jc w:val="center"/>
        </w:trPr>
        <w:tc>
          <w:tcPr>
            <w:tcW w:w="763" w:type="dxa"/>
            <w:tcBorders>
              <w:tl2br w:val="nil"/>
              <w:tr2bl w:val="nil"/>
            </w:tcBorders>
            <w:noWrap w:val="0"/>
            <w:vAlign w:val="center"/>
          </w:tcPr>
          <w:p w14:paraId="526AC90B">
            <w:pPr>
              <w:keepNext w:val="0"/>
              <w:keepLines w:val="0"/>
              <w:pageBreakBefore w:val="0"/>
              <w:widowControl w:val="0"/>
              <w:kinsoku/>
              <w:wordWrap/>
              <w:overflowPunct/>
              <w:topLinePunct w:val="0"/>
              <w:autoSpaceDE/>
              <w:autoSpaceDN/>
              <w:bidi w:val="0"/>
              <w:snapToGrid/>
              <w:spacing w:line="360" w:lineRule="exact"/>
              <w:jc w:val="center"/>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lang w:val="en-US" w:eastAsia="zh-CN"/>
              </w:rPr>
              <w:t>2</w:t>
            </w:r>
          </w:p>
        </w:tc>
        <w:tc>
          <w:tcPr>
            <w:tcW w:w="1187" w:type="dxa"/>
            <w:tcBorders>
              <w:tl2br w:val="nil"/>
              <w:tr2bl w:val="nil"/>
            </w:tcBorders>
            <w:noWrap w:val="0"/>
            <w:vAlign w:val="center"/>
          </w:tcPr>
          <w:p w14:paraId="3D53B12F">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项目经验</w:t>
            </w:r>
          </w:p>
        </w:tc>
        <w:tc>
          <w:tcPr>
            <w:tcW w:w="7145" w:type="dxa"/>
            <w:tcBorders>
              <w:tl2br w:val="nil"/>
              <w:tr2bl w:val="nil"/>
            </w:tcBorders>
            <w:noWrap w:val="0"/>
            <w:vAlign w:val="center"/>
          </w:tcPr>
          <w:p w14:paraId="12B0BA9C">
            <w:pPr>
              <w:keepNext w:val="0"/>
              <w:keepLines w:val="0"/>
              <w:pageBreakBefore w:val="0"/>
              <w:widowControl w:val="0"/>
              <w:kinsoku/>
              <w:wordWrap/>
              <w:overflowPunct/>
              <w:topLinePunct w:val="0"/>
              <w:autoSpaceDE w:val="0"/>
              <w:autoSpaceDN w:val="0"/>
              <w:bidi w:val="0"/>
              <w:adjustRightInd w:val="0"/>
              <w:spacing w:line="400" w:lineRule="exact"/>
              <w:jc w:val="left"/>
              <w:textAlignment w:val="auto"/>
              <w:rPr>
                <w:rFonts w:hint="eastAsia" w:ascii="仿宋" w:hAnsi="仿宋" w:eastAsia="仿宋" w:cs="仿宋"/>
                <w:bCs/>
                <w:color w:val="auto"/>
                <w:sz w:val="24"/>
              </w:rPr>
            </w:pPr>
            <w:r>
              <w:rPr>
                <w:rFonts w:hint="eastAsia" w:ascii="仿宋" w:hAnsi="仿宋" w:eastAsia="仿宋" w:cs="仿宋"/>
                <w:bCs/>
                <w:color w:val="auto"/>
                <w:sz w:val="24"/>
                <w:lang w:val="en-US" w:eastAsia="zh-CN"/>
              </w:rPr>
              <w:t>供应商</w:t>
            </w:r>
            <w:r>
              <w:rPr>
                <w:rFonts w:hint="eastAsia" w:ascii="仿宋" w:hAnsi="仿宋" w:eastAsia="仿宋" w:cs="仿宋"/>
                <w:bCs/>
                <w:color w:val="auto"/>
                <w:sz w:val="24"/>
              </w:rPr>
              <w:t>自202</w:t>
            </w:r>
            <w:r>
              <w:rPr>
                <w:rFonts w:hint="eastAsia" w:ascii="仿宋" w:hAnsi="仿宋" w:eastAsia="仿宋" w:cs="仿宋"/>
                <w:bCs/>
                <w:color w:val="auto"/>
                <w:sz w:val="24"/>
                <w:lang w:val="en-US" w:eastAsia="zh-CN"/>
              </w:rPr>
              <w:t>3</w:t>
            </w:r>
            <w:r>
              <w:rPr>
                <w:rFonts w:hint="eastAsia" w:ascii="仿宋" w:hAnsi="仿宋" w:eastAsia="仿宋" w:cs="仿宋"/>
                <w:bCs/>
                <w:color w:val="auto"/>
                <w:sz w:val="24"/>
              </w:rPr>
              <w:t>年1月1日以来（以合同签订时间为准），具有同类项目经验的，每提供一</w:t>
            </w:r>
            <w:r>
              <w:rPr>
                <w:rFonts w:hint="eastAsia" w:ascii="仿宋" w:hAnsi="仿宋" w:eastAsia="仿宋" w:cs="仿宋"/>
                <w:bCs/>
                <w:color w:val="auto"/>
                <w:sz w:val="24"/>
                <w:lang w:val="en-US" w:eastAsia="zh-CN"/>
              </w:rPr>
              <w:t>个</w:t>
            </w:r>
            <w:r>
              <w:rPr>
                <w:rFonts w:hint="eastAsia" w:ascii="仿宋" w:hAnsi="仿宋" w:eastAsia="仿宋" w:cs="仿宋"/>
                <w:bCs/>
                <w:color w:val="auto"/>
                <w:sz w:val="24"/>
              </w:rPr>
              <w:t>得1分，本项最高得2分。（注：“同类项目经验”是指单个合同中包含</w:t>
            </w:r>
            <w:r>
              <w:rPr>
                <w:rFonts w:hint="eastAsia" w:ascii="仿宋" w:hAnsi="仿宋" w:eastAsia="仿宋" w:cs="仿宋"/>
                <w:bCs/>
                <w:color w:val="auto"/>
                <w:sz w:val="24"/>
                <w:lang w:val="en-US" w:eastAsia="zh-CN"/>
              </w:rPr>
              <w:t>建筑工程设计或</w:t>
            </w:r>
            <w:r>
              <w:rPr>
                <w:rFonts w:hint="eastAsia" w:ascii="仿宋" w:hAnsi="仿宋" w:eastAsia="仿宋" w:cs="仿宋"/>
                <w:bCs/>
                <w:color w:val="auto"/>
                <w:sz w:val="24"/>
              </w:rPr>
              <w:t>市政工程设计或风景园林工程设计或公路类工程设计服务内容的业绩；</w:t>
            </w:r>
          </w:p>
          <w:p w14:paraId="27BD8C9F">
            <w:pPr>
              <w:keepNext w:val="0"/>
              <w:keepLines w:val="0"/>
              <w:pageBreakBefore w:val="0"/>
              <w:widowControl w:val="0"/>
              <w:kinsoku/>
              <w:wordWrap/>
              <w:overflowPunct/>
              <w:topLinePunct w:val="0"/>
              <w:autoSpaceDE w:val="0"/>
              <w:autoSpaceDN w:val="0"/>
              <w:bidi w:val="0"/>
              <w:adjustRightInd w:val="0"/>
              <w:spacing w:line="400" w:lineRule="exact"/>
              <w:jc w:val="left"/>
              <w:textAlignment w:val="auto"/>
              <w:rPr>
                <w:rFonts w:hint="eastAsia" w:ascii="仿宋" w:hAnsi="仿宋" w:eastAsia="仿宋" w:cs="仿宋"/>
                <w:bCs/>
                <w:sz w:val="24"/>
              </w:rPr>
            </w:pPr>
            <w:r>
              <w:rPr>
                <w:rFonts w:hint="eastAsia" w:ascii="仿宋" w:hAnsi="仿宋" w:eastAsia="仿宋" w:cs="仿宋"/>
                <w:b/>
                <w:bCs w:val="0"/>
                <w:color w:val="auto"/>
                <w:sz w:val="24"/>
                <w:lang w:val="en-US" w:eastAsia="zh-CN"/>
              </w:rPr>
              <w:t>注：</w:t>
            </w:r>
            <w:r>
              <w:rPr>
                <w:rFonts w:hint="eastAsia" w:ascii="仿宋" w:hAnsi="仿宋" w:eastAsia="仿宋" w:cs="仿宋"/>
                <w:b/>
                <w:bCs w:val="0"/>
                <w:color w:val="auto"/>
                <w:sz w:val="24"/>
              </w:rPr>
              <w:t>需提供</w:t>
            </w:r>
            <w:r>
              <w:rPr>
                <w:rFonts w:hint="eastAsia" w:ascii="仿宋" w:hAnsi="仿宋" w:eastAsia="仿宋" w:cs="仿宋"/>
                <w:b/>
                <w:bCs w:val="0"/>
                <w:color w:val="auto"/>
                <w:sz w:val="24"/>
                <w:lang w:val="en-US" w:eastAsia="zh-CN"/>
              </w:rPr>
              <w:t>项目</w:t>
            </w:r>
            <w:r>
              <w:rPr>
                <w:rFonts w:hint="eastAsia" w:ascii="仿宋" w:hAnsi="仿宋" w:eastAsia="仿宋" w:cs="仿宋"/>
                <w:b/>
                <w:bCs w:val="0"/>
                <w:color w:val="auto"/>
                <w:sz w:val="24"/>
              </w:rPr>
              <w:t>合同复印件并加盖供应商CA签章，</w:t>
            </w:r>
            <w:r>
              <w:rPr>
                <w:rFonts w:hint="eastAsia" w:ascii="仿宋" w:hAnsi="仿宋" w:eastAsia="仿宋" w:cs="仿宋"/>
                <w:b/>
                <w:bCs w:val="0"/>
                <w:color w:val="auto"/>
                <w:sz w:val="24"/>
                <w:szCs w:val="24"/>
              </w:rPr>
              <w:t>不提供或提供不全不得分</w:t>
            </w:r>
            <w:r>
              <w:rPr>
                <w:rFonts w:hint="eastAsia" w:ascii="仿宋" w:hAnsi="仿宋" w:eastAsia="仿宋" w:cs="仿宋"/>
                <w:b/>
                <w:bCs w:val="0"/>
                <w:color w:val="auto"/>
                <w:sz w:val="24"/>
              </w:rPr>
              <w:t>；同一个合同不重复计分，时间认定以合同签订时间为准。</w:t>
            </w:r>
          </w:p>
        </w:tc>
        <w:tc>
          <w:tcPr>
            <w:tcW w:w="1005" w:type="dxa"/>
            <w:tcBorders>
              <w:tl2br w:val="nil"/>
              <w:tr2bl w:val="nil"/>
            </w:tcBorders>
            <w:noWrap w:val="0"/>
            <w:vAlign w:val="center"/>
          </w:tcPr>
          <w:p w14:paraId="574A8131">
            <w:pPr>
              <w:keepNext w:val="0"/>
              <w:keepLines w:val="0"/>
              <w:pageBreakBefore w:val="0"/>
              <w:widowControl w:val="0"/>
              <w:kinsoku/>
              <w:wordWrap/>
              <w:overflowPunct/>
              <w:topLinePunct w:val="0"/>
              <w:autoSpaceDE/>
              <w:autoSpaceDN/>
              <w:bidi w:val="0"/>
              <w:snapToGrid/>
              <w:spacing w:line="360" w:lineRule="exact"/>
              <w:jc w:val="center"/>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lang w:val="en-US" w:eastAsia="zh-CN"/>
              </w:rPr>
              <w:t>0-2</w:t>
            </w:r>
            <w:r>
              <w:rPr>
                <w:rFonts w:hint="eastAsia" w:ascii="仿宋" w:hAnsi="仿宋" w:eastAsia="仿宋" w:cs="仿宋"/>
                <w:b/>
                <w:bCs w:val="0"/>
                <w:color w:val="auto"/>
                <w:sz w:val="24"/>
                <w:szCs w:val="24"/>
              </w:rPr>
              <w:t>分</w:t>
            </w:r>
          </w:p>
        </w:tc>
      </w:tr>
      <w:tr w14:paraId="146346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6" w:hRule="atLeast"/>
          <w:jc w:val="center"/>
        </w:trPr>
        <w:tc>
          <w:tcPr>
            <w:tcW w:w="763" w:type="dxa"/>
            <w:vMerge w:val="restart"/>
            <w:tcBorders>
              <w:tl2br w:val="nil"/>
              <w:tr2bl w:val="nil"/>
            </w:tcBorders>
            <w:noWrap w:val="0"/>
            <w:vAlign w:val="center"/>
          </w:tcPr>
          <w:p w14:paraId="390CA63A">
            <w:pPr>
              <w:keepNext w:val="0"/>
              <w:keepLines w:val="0"/>
              <w:pageBreakBefore w:val="0"/>
              <w:widowControl w:val="0"/>
              <w:kinsoku/>
              <w:wordWrap/>
              <w:overflowPunct/>
              <w:topLinePunct w:val="0"/>
              <w:autoSpaceDE/>
              <w:autoSpaceDN/>
              <w:bidi w:val="0"/>
              <w:snapToGrid/>
              <w:spacing w:line="360" w:lineRule="exact"/>
              <w:jc w:val="center"/>
              <w:textAlignment w:val="auto"/>
              <w:rPr>
                <w:rFonts w:hint="default"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3</w:t>
            </w:r>
          </w:p>
        </w:tc>
        <w:tc>
          <w:tcPr>
            <w:tcW w:w="1187" w:type="dxa"/>
            <w:vMerge w:val="restart"/>
            <w:tcBorders>
              <w:tl2br w:val="nil"/>
              <w:tr2bl w:val="nil"/>
            </w:tcBorders>
            <w:noWrap w:val="0"/>
            <w:vAlign w:val="center"/>
          </w:tcPr>
          <w:p w14:paraId="1C3BEC6C">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bCs w:val="0"/>
                <w:color w:val="auto"/>
                <w:sz w:val="24"/>
                <w:szCs w:val="24"/>
              </w:rPr>
            </w:pPr>
            <w:r>
              <w:rPr>
                <w:rFonts w:hint="eastAsia" w:ascii="宋体" w:hAnsi="宋体" w:eastAsia="宋体" w:cs="宋体"/>
                <w:b/>
                <w:bCs/>
                <w:color w:val="auto"/>
                <w:sz w:val="24"/>
                <w:szCs w:val="24"/>
                <w:highlight w:val="none"/>
              </w:rPr>
              <w:t>人员配置</w:t>
            </w:r>
          </w:p>
        </w:tc>
        <w:tc>
          <w:tcPr>
            <w:tcW w:w="7145" w:type="dxa"/>
            <w:tcBorders>
              <w:tl2br w:val="nil"/>
              <w:tr2bl w:val="nil"/>
            </w:tcBorders>
            <w:noWrap w:val="0"/>
            <w:vAlign w:val="center"/>
          </w:tcPr>
          <w:p w14:paraId="68760DCD">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b/>
                <w:bCs w:val="0"/>
                <w:color w:val="auto"/>
                <w:sz w:val="24"/>
              </w:rPr>
            </w:pPr>
            <w:r>
              <w:rPr>
                <w:rFonts w:hint="eastAsia" w:ascii="仿宋" w:hAnsi="仿宋" w:eastAsia="仿宋" w:cs="仿宋"/>
                <w:b/>
                <w:bCs w:val="0"/>
                <w:color w:val="auto"/>
                <w:sz w:val="24"/>
              </w:rPr>
              <w:t>项目总负责人：</w:t>
            </w:r>
          </w:p>
          <w:p w14:paraId="6320A390">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bCs/>
                <w:color w:val="auto"/>
                <w:sz w:val="24"/>
              </w:rPr>
            </w:pPr>
            <w:r>
              <w:rPr>
                <w:rFonts w:hint="eastAsia" w:ascii="仿宋" w:hAnsi="仿宋" w:eastAsia="仿宋" w:cs="仿宋"/>
                <w:bCs/>
                <w:color w:val="auto"/>
                <w:sz w:val="24"/>
              </w:rPr>
              <w:t>具有市政道桥或给排水专业高级及以上工程师职称的得2分，同时具备注册土木工程师（道路工程）或注册公用设备工程师（给排水）的加2分，本项最高得4分。</w:t>
            </w:r>
          </w:p>
          <w:p w14:paraId="79E20C04">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bCs/>
                <w:color w:val="auto"/>
                <w:sz w:val="24"/>
                <w:lang w:val="en-US" w:eastAsia="zh-CN"/>
              </w:rPr>
            </w:pPr>
            <w:r>
              <w:rPr>
                <w:rFonts w:hint="eastAsia" w:ascii="仿宋" w:hAnsi="仿宋" w:eastAsia="仿宋" w:cs="仿宋"/>
                <w:b/>
                <w:bCs w:val="0"/>
                <w:color w:val="auto"/>
                <w:sz w:val="24"/>
              </w:rPr>
              <w:t>注：需提供人员清单及供应商为其缴纳的近三个月</w:t>
            </w:r>
            <w:r>
              <w:rPr>
                <w:rFonts w:hint="eastAsia" w:ascii="仿宋" w:hAnsi="仿宋" w:eastAsia="仿宋" w:cs="仿宋"/>
                <w:b/>
                <w:bCs w:val="0"/>
                <w:color w:val="auto"/>
                <w:sz w:val="24"/>
                <w:lang w:val="en-US" w:eastAsia="zh-CN"/>
              </w:rPr>
              <w:t>任意一个月</w:t>
            </w:r>
            <w:r>
              <w:rPr>
                <w:rFonts w:hint="eastAsia" w:ascii="仿宋" w:hAnsi="仿宋" w:eastAsia="仿宋" w:cs="仿宋"/>
                <w:b/>
                <w:bCs w:val="0"/>
                <w:color w:val="auto"/>
                <w:sz w:val="24"/>
              </w:rPr>
              <w:t>社保证明资料并加盖供应商CA签章，不提供或提供不全的不得分。</w:t>
            </w:r>
          </w:p>
        </w:tc>
        <w:tc>
          <w:tcPr>
            <w:tcW w:w="1005" w:type="dxa"/>
            <w:tcBorders>
              <w:tl2br w:val="nil"/>
              <w:tr2bl w:val="nil"/>
            </w:tcBorders>
            <w:noWrap w:val="0"/>
            <w:vAlign w:val="center"/>
          </w:tcPr>
          <w:p w14:paraId="6AB7A4DD">
            <w:pPr>
              <w:keepNext w:val="0"/>
              <w:keepLines w:val="0"/>
              <w:pageBreakBefore w:val="0"/>
              <w:widowControl w:val="0"/>
              <w:kinsoku/>
              <w:wordWrap/>
              <w:overflowPunct/>
              <w:topLinePunct w:val="0"/>
              <w:autoSpaceDE/>
              <w:autoSpaceDN/>
              <w:bidi w:val="0"/>
              <w:snapToGrid/>
              <w:spacing w:line="360" w:lineRule="exact"/>
              <w:jc w:val="center"/>
              <w:textAlignment w:val="auto"/>
              <w:rPr>
                <w:rFonts w:hint="default"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0-4分</w:t>
            </w:r>
          </w:p>
        </w:tc>
      </w:tr>
      <w:tr w14:paraId="174A09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6" w:hRule="atLeast"/>
          <w:jc w:val="center"/>
        </w:trPr>
        <w:tc>
          <w:tcPr>
            <w:tcW w:w="763" w:type="dxa"/>
            <w:vMerge w:val="continue"/>
            <w:tcBorders>
              <w:tl2br w:val="nil"/>
              <w:tr2bl w:val="nil"/>
            </w:tcBorders>
            <w:noWrap w:val="0"/>
            <w:vAlign w:val="center"/>
          </w:tcPr>
          <w:p w14:paraId="1AD4B23E">
            <w:pPr>
              <w:keepNext w:val="0"/>
              <w:keepLines w:val="0"/>
              <w:pageBreakBefore w:val="0"/>
              <w:widowControl w:val="0"/>
              <w:kinsoku/>
              <w:wordWrap/>
              <w:overflowPunct/>
              <w:topLinePunct w:val="0"/>
              <w:autoSpaceDE w:val="0"/>
              <w:autoSpaceDN w:val="0"/>
              <w:bidi w:val="0"/>
              <w:adjustRightInd w:val="0"/>
              <w:spacing w:line="400" w:lineRule="exact"/>
              <w:jc w:val="left"/>
              <w:textAlignment w:val="auto"/>
            </w:pPr>
          </w:p>
        </w:tc>
        <w:tc>
          <w:tcPr>
            <w:tcW w:w="1187" w:type="dxa"/>
            <w:vMerge w:val="continue"/>
            <w:tcBorders>
              <w:tl2br w:val="nil"/>
              <w:tr2bl w:val="nil"/>
            </w:tcBorders>
            <w:noWrap w:val="0"/>
            <w:vAlign w:val="center"/>
          </w:tcPr>
          <w:p w14:paraId="2E17E407">
            <w:pPr>
              <w:keepNext w:val="0"/>
              <w:keepLines w:val="0"/>
              <w:pageBreakBefore w:val="0"/>
              <w:widowControl w:val="0"/>
              <w:kinsoku/>
              <w:wordWrap/>
              <w:overflowPunct/>
              <w:topLinePunct w:val="0"/>
              <w:autoSpaceDE w:val="0"/>
              <w:autoSpaceDN w:val="0"/>
              <w:bidi w:val="0"/>
              <w:adjustRightInd w:val="0"/>
              <w:spacing w:line="400" w:lineRule="exact"/>
              <w:jc w:val="left"/>
              <w:textAlignment w:val="auto"/>
            </w:pPr>
          </w:p>
        </w:tc>
        <w:tc>
          <w:tcPr>
            <w:tcW w:w="7145" w:type="dxa"/>
            <w:tcBorders>
              <w:tl2br w:val="nil"/>
              <w:tr2bl w:val="nil"/>
            </w:tcBorders>
            <w:noWrap w:val="0"/>
            <w:vAlign w:val="center"/>
          </w:tcPr>
          <w:p w14:paraId="07044B0B">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b/>
                <w:bCs w:val="0"/>
                <w:color w:val="auto"/>
                <w:sz w:val="24"/>
              </w:rPr>
            </w:pPr>
            <w:r>
              <w:rPr>
                <w:rFonts w:hint="eastAsia" w:ascii="仿宋" w:hAnsi="仿宋" w:eastAsia="仿宋" w:cs="仿宋"/>
                <w:b/>
                <w:bCs w:val="0"/>
                <w:color w:val="auto"/>
                <w:sz w:val="24"/>
              </w:rPr>
              <w:t>配备人员（不包括项目总负责人）：</w:t>
            </w:r>
          </w:p>
          <w:p w14:paraId="120C670C">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bCs/>
                <w:color w:val="auto"/>
                <w:sz w:val="24"/>
              </w:rPr>
            </w:pPr>
            <w:r>
              <w:rPr>
                <w:rFonts w:hint="eastAsia" w:ascii="仿宋" w:hAnsi="仿宋" w:eastAsia="仿宋" w:cs="仿宋"/>
                <w:bCs/>
                <w:color w:val="auto"/>
                <w:sz w:val="24"/>
              </w:rPr>
              <w:t>（1）市政道路专业项目负责人：具有市政道路高级及以上工程师职称的得2分，本项最高得2分；</w:t>
            </w:r>
          </w:p>
          <w:p w14:paraId="44B4FA9C">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bCs/>
                <w:color w:val="auto"/>
                <w:sz w:val="24"/>
              </w:rPr>
            </w:pPr>
            <w:r>
              <w:rPr>
                <w:rFonts w:hint="eastAsia" w:ascii="仿宋" w:hAnsi="仿宋" w:eastAsia="仿宋" w:cs="仿宋"/>
                <w:bCs/>
                <w:color w:val="auto"/>
                <w:sz w:val="24"/>
              </w:rPr>
              <w:t>（2）建筑专业项目负责人：具有建筑设计专业高级及以上工程师职称的得2分,本项最高得2分；</w:t>
            </w:r>
          </w:p>
          <w:p w14:paraId="3498F7B8">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bCs/>
                <w:color w:val="auto"/>
                <w:sz w:val="24"/>
              </w:rPr>
            </w:pPr>
            <w:r>
              <w:rPr>
                <w:rFonts w:hint="eastAsia" w:ascii="仿宋" w:hAnsi="仿宋" w:eastAsia="仿宋" w:cs="仿宋"/>
                <w:bCs/>
                <w:color w:val="auto"/>
                <w:sz w:val="24"/>
              </w:rPr>
              <w:t>（3）交通专业负责人：具有道桥工程中级及以上工程师职称的得2分，本项最高得2分；</w:t>
            </w:r>
          </w:p>
          <w:p w14:paraId="5A4D08CA">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bCs/>
                <w:color w:val="auto"/>
                <w:sz w:val="24"/>
              </w:rPr>
            </w:pPr>
            <w:r>
              <w:rPr>
                <w:rFonts w:hint="eastAsia" w:ascii="仿宋" w:hAnsi="仿宋" w:eastAsia="仿宋" w:cs="仿宋"/>
                <w:bCs/>
                <w:color w:val="auto"/>
                <w:sz w:val="24"/>
              </w:rPr>
              <w:t>（4）其他团队人员：具有市政、风景园林、建筑、交通等相关专业中级及以上工程师职称的，每人得2分，本项最高得12分。</w:t>
            </w:r>
          </w:p>
          <w:p w14:paraId="2413A72C">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bCs/>
                <w:color w:val="auto"/>
                <w:sz w:val="24"/>
              </w:rPr>
            </w:pPr>
            <w:r>
              <w:rPr>
                <w:rFonts w:hint="eastAsia" w:ascii="仿宋" w:hAnsi="仿宋" w:eastAsia="仿宋" w:cs="仿宋"/>
                <w:bCs/>
                <w:color w:val="auto"/>
                <w:sz w:val="24"/>
                <w:lang w:val="en-US" w:eastAsia="zh-CN"/>
              </w:rPr>
              <w:t>以上人员</w:t>
            </w:r>
            <w:r>
              <w:rPr>
                <w:rFonts w:hint="eastAsia" w:ascii="仿宋" w:hAnsi="仿宋" w:eastAsia="仿宋" w:cs="仿宋"/>
                <w:bCs/>
                <w:color w:val="auto"/>
                <w:sz w:val="24"/>
              </w:rPr>
              <w:t>一人拥有多个专业、多本证书不能重复得分。</w:t>
            </w:r>
          </w:p>
          <w:p w14:paraId="2B7C2E90">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bCs/>
                <w:color w:val="auto"/>
                <w:sz w:val="24"/>
                <w:lang w:val="en-US" w:eastAsia="zh-CN"/>
              </w:rPr>
            </w:pPr>
            <w:r>
              <w:rPr>
                <w:rFonts w:hint="eastAsia" w:ascii="仿宋" w:hAnsi="仿宋" w:eastAsia="仿宋" w:cs="仿宋"/>
                <w:b/>
                <w:bCs w:val="0"/>
                <w:color w:val="auto"/>
                <w:sz w:val="24"/>
              </w:rPr>
              <w:t>注：需提供人员清单、相关人员证书和供应商为其缴纳的近三个月</w:t>
            </w:r>
            <w:r>
              <w:rPr>
                <w:rFonts w:hint="eastAsia" w:ascii="仿宋" w:hAnsi="仿宋" w:eastAsia="仿宋" w:cs="仿宋"/>
                <w:b/>
                <w:bCs w:val="0"/>
                <w:color w:val="auto"/>
                <w:sz w:val="24"/>
                <w:lang w:val="en-US" w:eastAsia="zh-CN"/>
              </w:rPr>
              <w:t>任意一个月</w:t>
            </w:r>
            <w:r>
              <w:rPr>
                <w:rFonts w:hint="eastAsia" w:ascii="仿宋" w:hAnsi="仿宋" w:eastAsia="仿宋" w:cs="仿宋"/>
                <w:b/>
                <w:bCs w:val="0"/>
                <w:color w:val="auto"/>
                <w:sz w:val="24"/>
              </w:rPr>
              <w:t>社保证明材料(1、具有事业双重性质的单位人员社保情况需出具主管部门的意见，视同供应商缴纳；2、如成员组中含退休人员的，需提供该人员的退休证明和聘用合同且该人员不得超过65周岁)并加盖供应商CA签章；未按要求提供社保证明的，不视为供应商所配置人员，以上材料缺一不得分。</w:t>
            </w:r>
          </w:p>
        </w:tc>
        <w:tc>
          <w:tcPr>
            <w:tcW w:w="1005" w:type="dxa"/>
            <w:tcBorders>
              <w:tl2br w:val="nil"/>
              <w:tr2bl w:val="nil"/>
            </w:tcBorders>
            <w:noWrap w:val="0"/>
            <w:vAlign w:val="center"/>
          </w:tcPr>
          <w:p w14:paraId="6651803F">
            <w:pPr>
              <w:keepNext w:val="0"/>
              <w:keepLines w:val="0"/>
              <w:pageBreakBefore w:val="0"/>
              <w:widowControl w:val="0"/>
              <w:kinsoku/>
              <w:wordWrap/>
              <w:overflowPunct/>
              <w:topLinePunct w:val="0"/>
              <w:autoSpaceDE w:val="0"/>
              <w:autoSpaceDN w:val="0"/>
              <w:bidi w:val="0"/>
              <w:adjustRightInd w:val="0"/>
              <w:spacing w:line="400" w:lineRule="exact"/>
              <w:jc w:val="left"/>
              <w:textAlignment w:val="auto"/>
              <w:rPr>
                <w:rFonts w:hint="default" w:ascii="仿宋" w:hAnsi="仿宋" w:eastAsia="仿宋" w:cs="仿宋"/>
                <w:bCs/>
                <w:color w:val="auto"/>
                <w:sz w:val="24"/>
                <w:lang w:val="en-US" w:eastAsia="zh-CN"/>
              </w:rPr>
            </w:pPr>
            <w:r>
              <w:rPr>
                <w:rFonts w:hint="eastAsia" w:ascii="仿宋" w:hAnsi="仿宋" w:eastAsia="仿宋" w:cs="仿宋"/>
                <w:b/>
                <w:bCs w:val="0"/>
                <w:color w:val="auto"/>
                <w:sz w:val="24"/>
                <w:lang w:val="en-US" w:eastAsia="zh-CN"/>
              </w:rPr>
              <w:t>0-18分</w:t>
            </w:r>
          </w:p>
        </w:tc>
      </w:tr>
      <w:tr w14:paraId="6BBAF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63" w:type="dxa"/>
            <w:tcBorders>
              <w:tl2br w:val="nil"/>
              <w:tr2bl w:val="nil"/>
            </w:tcBorders>
            <w:noWrap w:val="0"/>
            <w:vAlign w:val="center"/>
          </w:tcPr>
          <w:p w14:paraId="18F39A78">
            <w:pPr>
              <w:keepNext w:val="0"/>
              <w:keepLines w:val="0"/>
              <w:pageBreakBefore w:val="0"/>
              <w:widowControl w:val="0"/>
              <w:kinsoku/>
              <w:wordWrap/>
              <w:overflowPunct/>
              <w:topLinePunct w:val="0"/>
              <w:autoSpaceDE/>
              <w:autoSpaceDN/>
              <w:bidi w:val="0"/>
              <w:snapToGrid/>
              <w:spacing w:line="360" w:lineRule="exact"/>
              <w:jc w:val="center"/>
              <w:textAlignment w:val="auto"/>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4</w:t>
            </w:r>
          </w:p>
        </w:tc>
        <w:tc>
          <w:tcPr>
            <w:tcW w:w="1187" w:type="dxa"/>
            <w:tcBorders>
              <w:tl2br w:val="nil"/>
              <w:tr2bl w:val="nil"/>
            </w:tcBorders>
            <w:noWrap w:val="0"/>
            <w:vAlign w:val="center"/>
          </w:tcPr>
          <w:p w14:paraId="0C50354A">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bCs w:val="0"/>
                <w:color w:val="auto"/>
                <w:sz w:val="24"/>
                <w:szCs w:val="24"/>
              </w:rPr>
            </w:pPr>
            <w:r>
              <w:rPr>
                <w:rFonts w:hint="eastAsia" w:ascii="仿宋" w:hAnsi="仿宋" w:eastAsia="仿宋" w:cs="仿宋"/>
                <w:b/>
                <w:bCs/>
                <w:sz w:val="24"/>
                <w:szCs w:val="24"/>
                <w:highlight w:val="none"/>
              </w:rPr>
              <w:t>项目</w:t>
            </w:r>
            <w:r>
              <w:rPr>
                <w:rFonts w:hint="eastAsia" w:ascii="仿宋" w:hAnsi="仿宋" w:eastAsia="仿宋" w:cs="仿宋"/>
                <w:b/>
                <w:bCs/>
                <w:sz w:val="24"/>
                <w:szCs w:val="24"/>
                <w:highlight w:val="none"/>
                <w:lang w:val="en-US" w:eastAsia="zh-CN"/>
              </w:rPr>
              <w:t>的了解</w:t>
            </w:r>
            <w:r>
              <w:rPr>
                <w:rFonts w:hint="eastAsia" w:ascii="仿宋" w:hAnsi="仿宋" w:eastAsia="仿宋" w:cs="仿宋"/>
                <w:b/>
                <w:bCs/>
                <w:sz w:val="24"/>
                <w:szCs w:val="24"/>
                <w:highlight w:val="none"/>
              </w:rPr>
              <w:t>与</w:t>
            </w:r>
            <w:r>
              <w:rPr>
                <w:rFonts w:hint="eastAsia" w:ascii="仿宋" w:hAnsi="仿宋" w:eastAsia="仿宋" w:cs="仿宋"/>
                <w:b/>
                <w:bCs/>
                <w:sz w:val="24"/>
                <w:szCs w:val="24"/>
                <w:highlight w:val="none"/>
                <w:lang w:val="en-US" w:eastAsia="zh-CN"/>
              </w:rPr>
              <w:t>分析</w:t>
            </w:r>
          </w:p>
        </w:tc>
        <w:tc>
          <w:tcPr>
            <w:tcW w:w="7145" w:type="dxa"/>
            <w:tcBorders>
              <w:tl2br w:val="nil"/>
              <w:tr2bl w:val="nil"/>
            </w:tcBorders>
            <w:noWrap w:val="0"/>
            <w:vAlign w:val="center"/>
          </w:tcPr>
          <w:p w14:paraId="3213F007">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bCs/>
                <w:color w:val="auto"/>
                <w:sz w:val="24"/>
              </w:rPr>
            </w:pPr>
            <w:r>
              <w:rPr>
                <w:rFonts w:hint="eastAsia" w:ascii="仿宋" w:hAnsi="仿宋" w:eastAsia="仿宋" w:cs="仿宋"/>
                <w:bCs/>
                <w:color w:val="auto"/>
                <w:sz w:val="24"/>
              </w:rPr>
              <w:t>根据</w:t>
            </w:r>
            <w:r>
              <w:rPr>
                <w:rFonts w:hint="eastAsia" w:ascii="仿宋" w:hAnsi="仿宋" w:eastAsia="仿宋" w:cs="仿宋"/>
                <w:bCs/>
                <w:color w:val="auto"/>
                <w:sz w:val="24"/>
                <w:lang w:val="en-US" w:eastAsia="zh-CN"/>
              </w:rPr>
              <w:t>供应商</w:t>
            </w:r>
            <w:r>
              <w:rPr>
                <w:rFonts w:hint="eastAsia" w:ascii="仿宋" w:hAnsi="仿宋" w:eastAsia="仿宋" w:cs="仿宋"/>
                <w:bCs/>
                <w:color w:val="auto"/>
                <w:sz w:val="24"/>
              </w:rPr>
              <w:t>对本项目实际情况，针对本项目提出的设计思路和各专业设计方案是否理解透彻、分析全面，由评审专家</w:t>
            </w:r>
            <w:r>
              <w:rPr>
                <w:rFonts w:hint="eastAsia" w:ascii="仿宋" w:hAnsi="仿宋" w:eastAsia="仿宋" w:cs="仿宋"/>
                <w:bCs/>
                <w:color w:val="auto"/>
                <w:sz w:val="24"/>
                <w:lang w:val="en-US" w:eastAsia="zh-CN"/>
              </w:rPr>
              <w:t>进行</w:t>
            </w:r>
            <w:r>
              <w:rPr>
                <w:rFonts w:hint="eastAsia" w:ascii="仿宋" w:hAnsi="仿宋" w:eastAsia="仿宋" w:cs="仿宋"/>
                <w:bCs/>
                <w:color w:val="auto"/>
                <w:sz w:val="24"/>
              </w:rPr>
              <w:t>综合打分。</w:t>
            </w:r>
          </w:p>
          <w:p w14:paraId="3907E04F">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bCs/>
                <w:sz w:val="24"/>
              </w:rPr>
            </w:pPr>
            <w:r>
              <w:rPr>
                <w:rFonts w:hint="eastAsia" w:ascii="仿宋" w:hAnsi="仿宋" w:eastAsia="仿宋" w:cs="仿宋"/>
                <w:bCs/>
                <w:sz w:val="24"/>
              </w:rPr>
              <w:t>①</w:t>
            </w:r>
            <w:r>
              <w:rPr>
                <w:rFonts w:hint="eastAsia" w:ascii="仿宋" w:hAnsi="仿宋" w:eastAsia="仿宋" w:cs="仿宋"/>
                <w:bCs/>
                <w:sz w:val="24"/>
                <w:lang w:val="en-US" w:eastAsia="zh-CN"/>
              </w:rPr>
              <w:t>提出分析和建议详细具体、合理有效的得（5，7]</w:t>
            </w:r>
            <w:r>
              <w:rPr>
                <w:rFonts w:hint="eastAsia" w:ascii="仿宋" w:hAnsi="仿宋" w:eastAsia="仿宋" w:cs="仿宋"/>
                <w:bCs/>
                <w:sz w:val="24"/>
              </w:rPr>
              <w:t>分；</w:t>
            </w:r>
          </w:p>
          <w:p w14:paraId="68AFC1FC">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bCs/>
                <w:sz w:val="24"/>
              </w:rPr>
            </w:pPr>
            <w:r>
              <w:rPr>
                <w:rFonts w:hint="eastAsia" w:ascii="仿宋" w:hAnsi="仿宋" w:eastAsia="仿宋" w:cs="仿宋"/>
                <w:bCs/>
                <w:sz w:val="24"/>
              </w:rPr>
              <w:t>②</w:t>
            </w:r>
            <w:r>
              <w:rPr>
                <w:rFonts w:hint="eastAsia" w:ascii="仿宋" w:hAnsi="仿宋" w:eastAsia="仿宋" w:cs="仿宋"/>
                <w:bCs/>
                <w:sz w:val="24"/>
                <w:lang w:val="en-US" w:eastAsia="zh-CN"/>
              </w:rPr>
              <w:t>提出分析、建议基本符合项目需求、较合理的得（3，5]</w:t>
            </w:r>
            <w:r>
              <w:rPr>
                <w:rFonts w:hint="eastAsia" w:ascii="仿宋" w:hAnsi="仿宋" w:eastAsia="仿宋" w:cs="仿宋"/>
                <w:bCs/>
                <w:sz w:val="24"/>
              </w:rPr>
              <w:t>分；</w:t>
            </w:r>
          </w:p>
          <w:p w14:paraId="71EE9B74">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bCs/>
                <w:sz w:val="24"/>
              </w:rPr>
            </w:pPr>
            <w:r>
              <w:rPr>
                <w:rFonts w:hint="eastAsia" w:ascii="仿宋" w:hAnsi="仿宋" w:eastAsia="仿宋" w:cs="仿宋"/>
                <w:bCs/>
                <w:sz w:val="24"/>
              </w:rPr>
              <w:t>③</w:t>
            </w:r>
            <w:r>
              <w:rPr>
                <w:rFonts w:hint="eastAsia" w:ascii="仿宋" w:hAnsi="仿宋" w:eastAsia="仿宋" w:cs="仿宋"/>
                <w:bCs/>
                <w:sz w:val="24"/>
                <w:lang w:val="en-US" w:eastAsia="zh-CN"/>
              </w:rPr>
              <w:t>提出分析、建议内容阐述相对简陋、层次模糊的得（0，3]</w:t>
            </w:r>
            <w:r>
              <w:rPr>
                <w:rFonts w:hint="eastAsia" w:ascii="仿宋" w:hAnsi="仿宋" w:eastAsia="仿宋" w:cs="仿宋"/>
                <w:bCs/>
                <w:sz w:val="24"/>
              </w:rPr>
              <w:t>分；</w:t>
            </w:r>
          </w:p>
          <w:p w14:paraId="7D766FB4">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bCs/>
                <w:sz w:val="24"/>
                <w:lang w:val="en-US" w:eastAsia="zh-CN"/>
              </w:rPr>
            </w:pPr>
            <w:r>
              <w:rPr>
                <w:rFonts w:hint="eastAsia" w:ascii="仿宋" w:hAnsi="仿宋" w:eastAsia="仿宋" w:cs="仿宋"/>
                <w:bCs/>
                <w:sz w:val="24"/>
              </w:rPr>
              <w:t>④</w:t>
            </w:r>
            <w:r>
              <w:rPr>
                <w:rFonts w:hint="eastAsia" w:ascii="仿宋" w:hAnsi="仿宋" w:eastAsia="仿宋" w:cs="仿宋"/>
                <w:bCs/>
                <w:sz w:val="24"/>
                <w:lang w:val="en-US" w:eastAsia="zh-CN"/>
              </w:rPr>
              <w:t>无相关内容阐述或不符合项目的不得分</w:t>
            </w:r>
            <w:r>
              <w:rPr>
                <w:rFonts w:hint="eastAsia" w:ascii="仿宋" w:hAnsi="仿宋" w:eastAsia="仿宋" w:cs="仿宋"/>
                <w:bCs/>
                <w:sz w:val="24"/>
              </w:rPr>
              <w:t>。</w:t>
            </w:r>
          </w:p>
        </w:tc>
        <w:tc>
          <w:tcPr>
            <w:tcW w:w="1005" w:type="dxa"/>
            <w:tcBorders>
              <w:tl2br w:val="nil"/>
              <w:tr2bl w:val="nil"/>
            </w:tcBorders>
            <w:noWrap w:val="0"/>
            <w:vAlign w:val="center"/>
          </w:tcPr>
          <w:p w14:paraId="1CDE1545">
            <w:pPr>
              <w:keepNext w:val="0"/>
              <w:keepLines w:val="0"/>
              <w:pageBreakBefore w:val="0"/>
              <w:widowControl w:val="0"/>
              <w:kinsoku/>
              <w:wordWrap/>
              <w:overflowPunct/>
              <w:topLinePunct w:val="0"/>
              <w:autoSpaceDE/>
              <w:autoSpaceDN/>
              <w:bidi w:val="0"/>
              <w:snapToGrid/>
              <w:spacing w:line="360" w:lineRule="exact"/>
              <w:jc w:val="center"/>
              <w:textAlignment w:val="auto"/>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0-7分</w:t>
            </w:r>
          </w:p>
        </w:tc>
      </w:tr>
      <w:tr w14:paraId="352E9C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9" w:hRule="atLeast"/>
          <w:jc w:val="center"/>
        </w:trPr>
        <w:tc>
          <w:tcPr>
            <w:tcW w:w="763" w:type="dxa"/>
            <w:vMerge w:val="restart"/>
            <w:tcBorders>
              <w:tl2br w:val="nil"/>
              <w:tr2bl w:val="nil"/>
            </w:tcBorders>
            <w:noWrap w:val="0"/>
            <w:vAlign w:val="center"/>
          </w:tcPr>
          <w:p w14:paraId="4817ED3F">
            <w:pPr>
              <w:keepNext w:val="0"/>
              <w:keepLines w:val="0"/>
              <w:pageBreakBefore w:val="0"/>
              <w:widowControl w:val="0"/>
              <w:kinsoku/>
              <w:wordWrap/>
              <w:overflowPunct/>
              <w:topLinePunct w:val="0"/>
              <w:autoSpaceDE/>
              <w:autoSpaceDN/>
              <w:bidi w:val="0"/>
              <w:snapToGrid/>
              <w:spacing w:line="360" w:lineRule="exact"/>
              <w:jc w:val="center"/>
              <w:textAlignment w:val="auto"/>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5</w:t>
            </w:r>
          </w:p>
        </w:tc>
        <w:tc>
          <w:tcPr>
            <w:tcW w:w="1187" w:type="dxa"/>
            <w:vMerge w:val="restart"/>
            <w:tcBorders>
              <w:tl2br w:val="nil"/>
              <w:tr2bl w:val="nil"/>
            </w:tcBorders>
            <w:noWrap w:val="0"/>
            <w:vAlign w:val="center"/>
          </w:tcPr>
          <w:p w14:paraId="2CB4491B">
            <w:pPr>
              <w:keepNext w:val="0"/>
              <w:keepLines w:val="0"/>
              <w:pageBreakBefore w:val="0"/>
              <w:widowControl w:val="0"/>
              <w:kinsoku/>
              <w:wordWrap/>
              <w:overflowPunct/>
              <w:topLinePunct w:val="0"/>
              <w:autoSpaceDE/>
              <w:autoSpaceDN/>
              <w:bidi w:val="0"/>
              <w:adjustRightInd/>
              <w:spacing w:line="240" w:lineRule="auto"/>
              <w:jc w:val="center"/>
              <w:rPr>
                <w:rFonts w:hint="eastAsia" w:ascii="仿宋" w:hAnsi="仿宋" w:eastAsia="仿宋" w:cs="仿宋"/>
                <w:b/>
                <w:bCs/>
                <w:color w:val="auto"/>
                <w:sz w:val="24"/>
                <w:szCs w:val="24"/>
                <w:lang w:val="en-US" w:eastAsia="zh-CN"/>
              </w:rPr>
            </w:pPr>
            <w:r>
              <w:rPr>
                <w:rFonts w:hint="eastAsia" w:ascii="仿宋" w:hAnsi="仿宋" w:eastAsia="仿宋" w:cs="仿宋"/>
                <w:b/>
                <w:bCs/>
                <w:kern w:val="2"/>
                <w:sz w:val="24"/>
                <w:szCs w:val="24"/>
                <w:lang w:val="en-US" w:eastAsia="zh-CN"/>
              </w:rPr>
              <w:t>技术</w:t>
            </w:r>
            <w:r>
              <w:rPr>
                <w:rFonts w:hint="eastAsia" w:ascii="仿宋" w:hAnsi="仿宋" w:eastAsia="仿宋" w:cs="仿宋"/>
                <w:b/>
                <w:bCs/>
                <w:kern w:val="2"/>
                <w:sz w:val="24"/>
                <w:szCs w:val="24"/>
              </w:rPr>
              <w:t>方案</w:t>
            </w:r>
          </w:p>
        </w:tc>
        <w:tc>
          <w:tcPr>
            <w:tcW w:w="7145" w:type="dxa"/>
            <w:tcBorders>
              <w:tl2br w:val="nil"/>
              <w:tr2bl w:val="nil"/>
            </w:tcBorders>
            <w:noWrap w:val="0"/>
            <w:vAlign w:val="center"/>
          </w:tcPr>
          <w:p w14:paraId="2D2388F9">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rPr>
            </w:pPr>
            <w:r>
              <w:rPr>
                <w:rFonts w:hint="eastAsia" w:ascii="仿宋" w:hAnsi="仿宋" w:eastAsia="仿宋" w:cs="仿宋"/>
                <w:sz w:val="24"/>
                <w:szCs w:val="24"/>
              </w:rPr>
              <w:t>根据</w:t>
            </w:r>
            <w:r>
              <w:rPr>
                <w:rFonts w:hint="eastAsia" w:ascii="仿宋" w:hAnsi="仿宋" w:eastAsia="仿宋" w:cs="仿宋"/>
                <w:sz w:val="24"/>
                <w:szCs w:val="24"/>
                <w:lang w:eastAsia="zh-CN"/>
              </w:rPr>
              <w:t>供应商</w:t>
            </w:r>
            <w:r>
              <w:rPr>
                <w:rFonts w:hint="eastAsia" w:ascii="仿宋" w:hAnsi="仿宋" w:eastAsia="仿宋" w:cs="仿宋"/>
                <w:sz w:val="24"/>
                <w:szCs w:val="24"/>
                <w:lang w:val="en-US" w:eastAsia="zh-CN"/>
              </w:rPr>
              <w:t>提供的</w:t>
            </w:r>
            <w:r>
              <w:rPr>
                <w:rFonts w:hint="eastAsia" w:ascii="仿宋" w:hAnsi="仿宋" w:eastAsia="仿宋" w:cs="仿宋"/>
                <w:sz w:val="24"/>
                <w:szCs w:val="24"/>
              </w:rPr>
              <w:t>组织机构是否健全、管理运作流程（包括内部校审制度等）</w:t>
            </w:r>
            <w:r>
              <w:rPr>
                <w:rFonts w:hint="eastAsia" w:ascii="仿宋" w:hAnsi="仿宋" w:eastAsia="仿宋" w:cs="仿宋"/>
                <w:sz w:val="24"/>
                <w:szCs w:val="24"/>
                <w:lang w:val="en-US" w:eastAsia="zh-CN"/>
              </w:rPr>
              <w:t>的合理性、科学性</w:t>
            </w:r>
            <w:r>
              <w:rPr>
                <w:rFonts w:hint="eastAsia" w:ascii="仿宋" w:hAnsi="仿宋" w:eastAsia="仿宋" w:cs="仿宋"/>
                <w:sz w:val="24"/>
                <w:szCs w:val="24"/>
              </w:rPr>
              <w:t>，</w:t>
            </w:r>
            <w:r>
              <w:rPr>
                <w:rFonts w:hint="eastAsia" w:ascii="仿宋" w:hAnsi="仿宋" w:eastAsia="仿宋" w:cs="仿宋"/>
                <w:sz w:val="24"/>
                <w:szCs w:val="24"/>
                <w:lang w:eastAsia="zh-CN"/>
              </w:rPr>
              <w:t>由评审专家进行综合打分</w:t>
            </w:r>
            <w:r>
              <w:rPr>
                <w:rFonts w:hint="eastAsia" w:ascii="仿宋" w:hAnsi="仿宋" w:eastAsia="仿宋" w:cs="仿宋"/>
                <w:sz w:val="24"/>
                <w:szCs w:val="24"/>
              </w:rPr>
              <w:t>。</w:t>
            </w:r>
          </w:p>
          <w:p w14:paraId="4C870327">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①阐述详尽、合理，切合项目的得</w:t>
            </w:r>
            <w:r>
              <w:rPr>
                <w:rFonts w:hint="eastAsia" w:ascii="仿宋" w:hAnsi="仿宋" w:eastAsia="仿宋" w:cs="仿宋"/>
                <w:bCs/>
                <w:sz w:val="24"/>
                <w:lang w:val="en-US" w:eastAsia="zh-CN"/>
              </w:rPr>
              <w:t>（4，6]</w:t>
            </w:r>
            <w:r>
              <w:rPr>
                <w:rFonts w:hint="eastAsia" w:ascii="仿宋" w:hAnsi="仿宋" w:eastAsia="仿宋" w:cs="仿宋"/>
                <w:sz w:val="24"/>
                <w:szCs w:val="24"/>
                <w:lang w:val="en-US" w:eastAsia="zh-CN"/>
              </w:rPr>
              <w:t>分；</w:t>
            </w:r>
          </w:p>
          <w:p w14:paraId="71D6F816">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②阐述较为详尽、合理，较为切合项目的得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2，4</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分；</w:t>
            </w:r>
          </w:p>
          <w:p w14:paraId="371EA2BA">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③阐述粗略，缺陷较多、欠缺合理性，部分切合项目的得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0，2</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分；</w:t>
            </w:r>
          </w:p>
          <w:p w14:paraId="25A15CF7">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④无相关内容阐述或不符合项目的不得分。</w:t>
            </w:r>
          </w:p>
        </w:tc>
        <w:tc>
          <w:tcPr>
            <w:tcW w:w="1005" w:type="dxa"/>
            <w:tcBorders>
              <w:tl2br w:val="nil"/>
              <w:tr2bl w:val="nil"/>
            </w:tcBorders>
            <w:noWrap w:val="0"/>
            <w:vAlign w:val="center"/>
          </w:tcPr>
          <w:p w14:paraId="395777BD">
            <w:pPr>
              <w:keepNext w:val="0"/>
              <w:keepLines w:val="0"/>
              <w:pageBreakBefore w:val="0"/>
              <w:widowControl w:val="0"/>
              <w:kinsoku/>
              <w:wordWrap/>
              <w:overflowPunct/>
              <w:topLinePunct w:val="0"/>
              <w:autoSpaceDE/>
              <w:autoSpaceDN/>
              <w:bidi w:val="0"/>
              <w:spacing w:line="360" w:lineRule="exact"/>
              <w:jc w:val="center"/>
              <w:rPr>
                <w:rFonts w:hint="eastAsia" w:ascii="仿宋" w:hAnsi="仿宋" w:eastAsia="仿宋" w:cs="仿宋"/>
                <w:b/>
                <w:bCs w:val="0"/>
                <w:color w:val="auto"/>
                <w:sz w:val="24"/>
                <w:szCs w:val="24"/>
                <w:lang w:val="en-US" w:eastAsia="zh-CN"/>
              </w:rPr>
            </w:pPr>
            <w:r>
              <w:rPr>
                <w:rFonts w:hint="eastAsia" w:ascii="仿宋" w:hAnsi="仿宋" w:eastAsia="仿宋" w:cs="仿宋"/>
                <w:b/>
                <w:bCs/>
                <w:color w:val="auto"/>
                <w:sz w:val="24"/>
                <w:szCs w:val="24"/>
                <w:lang w:val="en-US" w:eastAsia="zh-CN"/>
              </w:rPr>
              <w:t>0-6</w:t>
            </w:r>
            <w:r>
              <w:rPr>
                <w:rFonts w:hint="eastAsia" w:ascii="仿宋" w:hAnsi="仿宋" w:eastAsia="仿宋" w:cs="仿宋"/>
                <w:b/>
                <w:bCs/>
                <w:color w:val="auto"/>
                <w:sz w:val="24"/>
                <w:szCs w:val="24"/>
              </w:rPr>
              <w:t>分</w:t>
            </w:r>
          </w:p>
        </w:tc>
      </w:tr>
      <w:tr w14:paraId="60A7C5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9" w:hRule="atLeast"/>
          <w:jc w:val="center"/>
        </w:trPr>
        <w:tc>
          <w:tcPr>
            <w:tcW w:w="763" w:type="dxa"/>
            <w:vMerge w:val="continue"/>
            <w:tcBorders>
              <w:tl2br w:val="nil"/>
              <w:tr2bl w:val="nil"/>
            </w:tcBorders>
            <w:noWrap w:val="0"/>
            <w:vAlign w:val="center"/>
          </w:tcPr>
          <w:p w14:paraId="11BE09FE">
            <w:pPr>
              <w:keepNext w:val="0"/>
              <w:keepLines w:val="0"/>
              <w:pageBreakBefore w:val="0"/>
              <w:widowControl w:val="0"/>
              <w:kinsoku/>
              <w:wordWrap/>
              <w:overflowPunct/>
              <w:topLinePunct w:val="0"/>
              <w:autoSpaceDE/>
              <w:autoSpaceDN/>
              <w:bidi w:val="0"/>
              <w:snapToGrid/>
              <w:spacing w:line="360" w:lineRule="exact"/>
              <w:jc w:val="center"/>
              <w:textAlignment w:val="auto"/>
              <w:rPr>
                <w:rFonts w:hint="eastAsia" w:ascii="仿宋" w:hAnsi="仿宋" w:eastAsia="仿宋" w:cs="仿宋"/>
                <w:b/>
                <w:bCs w:val="0"/>
                <w:color w:val="auto"/>
                <w:sz w:val="24"/>
                <w:szCs w:val="24"/>
                <w:lang w:val="en-US" w:eastAsia="zh-CN"/>
              </w:rPr>
            </w:pPr>
          </w:p>
        </w:tc>
        <w:tc>
          <w:tcPr>
            <w:tcW w:w="1187" w:type="dxa"/>
            <w:vMerge w:val="continue"/>
            <w:tcBorders>
              <w:tl2br w:val="nil"/>
              <w:tr2bl w:val="nil"/>
            </w:tcBorders>
            <w:noWrap w:val="0"/>
            <w:vAlign w:val="center"/>
          </w:tcPr>
          <w:p w14:paraId="2CAB6DFB">
            <w:pPr>
              <w:keepNext w:val="0"/>
              <w:keepLines w:val="0"/>
              <w:pageBreakBefore w:val="0"/>
              <w:widowControl w:val="0"/>
              <w:kinsoku/>
              <w:wordWrap/>
              <w:overflowPunct/>
              <w:topLinePunct w:val="0"/>
              <w:autoSpaceDE/>
              <w:autoSpaceDN/>
              <w:bidi w:val="0"/>
              <w:adjustRightInd/>
              <w:spacing w:line="240" w:lineRule="auto"/>
              <w:jc w:val="center"/>
              <w:rPr>
                <w:rFonts w:hint="eastAsia" w:ascii="仿宋" w:hAnsi="仿宋" w:eastAsia="仿宋" w:cs="仿宋"/>
                <w:b/>
                <w:bCs/>
                <w:snapToGrid w:val="0"/>
                <w:color w:val="000000"/>
                <w:spacing w:val="-6"/>
                <w:kern w:val="0"/>
                <w:sz w:val="24"/>
                <w:szCs w:val="24"/>
                <w:lang w:val="en-US" w:eastAsia="en-US" w:bidi="ar-SA"/>
              </w:rPr>
            </w:pPr>
          </w:p>
        </w:tc>
        <w:tc>
          <w:tcPr>
            <w:tcW w:w="7145" w:type="dxa"/>
            <w:tcBorders>
              <w:tl2br w:val="nil"/>
              <w:tr2bl w:val="nil"/>
            </w:tcBorders>
            <w:noWrap w:val="0"/>
            <w:vAlign w:val="center"/>
          </w:tcPr>
          <w:p w14:paraId="499522AF">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rPr>
            </w:pPr>
            <w:r>
              <w:rPr>
                <w:rFonts w:hint="eastAsia" w:ascii="仿宋" w:hAnsi="仿宋" w:eastAsia="仿宋" w:cs="仿宋"/>
                <w:sz w:val="24"/>
                <w:szCs w:val="24"/>
              </w:rPr>
              <w:t>根据</w:t>
            </w:r>
            <w:r>
              <w:rPr>
                <w:rFonts w:hint="eastAsia" w:ascii="仿宋" w:hAnsi="仿宋" w:eastAsia="仿宋" w:cs="仿宋"/>
                <w:sz w:val="24"/>
                <w:szCs w:val="24"/>
                <w:lang w:eastAsia="zh-CN"/>
              </w:rPr>
              <w:t>供应商</w:t>
            </w:r>
            <w:r>
              <w:rPr>
                <w:rFonts w:hint="eastAsia" w:ascii="仿宋" w:hAnsi="仿宋" w:eastAsia="仿宋" w:cs="仿宋"/>
                <w:sz w:val="24"/>
                <w:szCs w:val="24"/>
                <w:lang w:val="en-US" w:eastAsia="zh-CN"/>
              </w:rPr>
              <w:t>提供的项目实施进度方案（包括项目进度计划及相应的进度控制措施）的合理性、可行性</w:t>
            </w:r>
            <w:r>
              <w:rPr>
                <w:rFonts w:hint="eastAsia" w:ascii="仿宋" w:hAnsi="仿宋" w:eastAsia="仿宋" w:cs="仿宋"/>
                <w:sz w:val="24"/>
                <w:szCs w:val="24"/>
              </w:rPr>
              <w:t>，</w:t>
            </w:r>
            <w:r>
              <w:rPr>
                <w:rFonts w:hint="eastAsia" w:ascii="仿宋" w:hAnsi="仿宋" w:eastAsia="仿宋" w:cs="仿宋"/>
                <w:sz w:val="24"/>
                <w:szCs w:val="24"/>
                <w:lang w:eastAsia="zh-CN"/>
              </w:rPr>
              <w:t>由评审专家进行综合打分</w:t>
            </w:r>
            <w:r>
              <w:rPr>
                <w:rFonts w:hint="eastAsia" w:ascii="仿宋" w:hAnsi="仿宋" w:eastAsia="仿宋" w:cs="仿宋"/>
                <w:sz w:val="24"/>
                <w:szCs w:val="24"/>
              </w:rPr>
              <w:t>。</w:t>
            </w:r>
          </w:p>
          <w:p w14:paraId="4B486D92">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①阐述详尽、合理，切合项目的得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4，6</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分；</w:t>
            </w:r>
          </w:p>
          <w:p w14:paraId="41D6961E">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②阐述较为详尽、合理，较为切合项目的得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2，4</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分；</w:t>
            </w:r>
          </w:p>
          <w:p w14:paraId="526AE85F">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③阐述粗略，缺陷较多、欠缺合理性，部分切合项目的得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0，2</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分；</w:t>
            </w:r>
          </w:p>
          <w:p w14:paraId="3DE734D5">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rPr>
            </w:pPr>
            <w:r>
              <w:rPr>
                <w:rFonts w:hint="eastAsia" w:ascii="仿宋" w:hAnsi="仿宋" w:eastAsia="仿宋" w:cs="仿宋"/>
                <w:sz w:val="24"/>
                <w:szCs w:val="24"/>
                <w:lang w:val="en-US" w:eastAsia="zh-CN"/>
              </w:rPr>
              <w:t>④无相关内容阐述或不符合项目的不得分。</w:t>
            </w:r>
          </w:p>
        </w:tc>
        <w:tc>
          <w:tcPr>
            <w:tcW w:w="1005" w:type="dxa"/>
            <w:tcBorders>
              <w:tl2br w:val="nil"/>
              <w:tr2bl w:val="nil"/>
            </w:tcBorders>
            <w:noWrap w:val="0"/>
            <w:vAlign w:val="center"/>
          </w:tcPr>
          <w:p w14:paraId="031F6FE5">
            <w:pPr>
              <w:keepNext w:val="0"/>
              <w:keepLines w:val="0"/>
              <w:pageBreakBefore w:val="0"/>
              <w:widowControl w:val="0"/>
              <w:kinsoku/>
              <w:wordWrap/>
              <w:overflowPunct/>
              <w:topLinePunct w:val="0"/>
              <w:autoSpaceDE/>
              <w:autoSpaceDN/>
              <w:bidi w:val="0"/>
              <w:spacing w:line="360" w:lineRule="exact"/>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0-6</w:t>
            </w:r>
            <w:r>
              <w:rPr>
                <w:rFonts w:hint="eastAsia" w:ascii="仿宋" w:hAnsi="仿宋" w:eastAsia="仿宋" w:cs="仿宋"/>
                <w:b/>
                <w:bCs/>
                <w:color w:val="auto"/>
                <w:sz w:val="24"/>
                <w:szCs w:val="24"/>
              </w:rPr>
              <w:t>分</w:t>
            </w:r>
          </w:p>
        </w:tc>
      </w:tr>
      <w:tr w14:paraId="014FD8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9" w:hRule="atLeast"/>
          <w:jc w:val="center"/>
        </w:trPr>
        <w:tc>
          <w:tcPr>
            <w:tcW w:w="763" w:type="dxa"/>
            <w:vMerge w:val="continue"/>
            <w:tcBorders>
              <w:tl2br w:val="nil"/>
              <w:tr2bl w:val="nil"/>
            </w:tcBorders>
            <w:noWrap w:val="0"/>
            <w:vAlign w:val="center"/>
          </w:tcPr>
          <w:p w14:paraId="150E47D9">
            <w:pPr>
              <w:keepNext w:val="0"/>
              <w:keepLines w:val="0"/>
              <w:pageBreakBefore w:val="0"/>
              <w:widowControl w:val="0"/>
              <w:kinsoku/>
              <w:wordWrap/>
              <w:overflowPunct/>
              <w:topLinePunct w:val="0"/>
              <w:autoSpaceDE/>
              <w:autoSpaceDN/>
              <w:bidi w:val="0"/>
              <w:snapToGrid/>
              <w:spacing w:line="360" w:lineRule="exact"/>
              <w:jc w:val="center"/>
              <w:textAlignment w:val="auto"/>
              <w:rPr>
                <w:rFonts w:hint="eastAsia" w:ascii="仿宋" w:hAnsi="仿宋" w:eastAsia="仿宋" w:cs="仿宋"/>
                <w:b/>
                <w:bCs w:val="0"/>
                <w:color w:val="auto"/>
                <w:sz w:val="24"/>
                <w:szCs w:val="24"/>
                <w:lang w:val="en-US" w:eastAsia="zh-CN"/>
              </w:rPr>
            </w:pPr>
          </w:p>
        </w:tc>
        <w:tc>
          <w:tcPr>
            <w:tcW w:w="1187" w:type="dxa"/>
            <w:vMerge w:val="continue"/>
            <w:tcBorders>
              <w:tl2br w:val="nil"/>
              <w:tr2bl w:val="nil"/>
            </w:tcBorders>
            <w:noWrap w:val="0"/>
            <w:vAlign w:val="center"/>
          </w:tcPr>
          <w:p w14:paraId="57FF8895">
            <w:pPr>
              <w:keepNext w:val="0"/>
              <w:keepLines w:val="0"/>
              <w:pageBreakBefore w:val="0"/>
              <w:widowControl w:val="0"/>
              <w:kinsoku/>
              <w:wordWrap/>
              <w:overflowPunct/>
              <w:topLinePunct w:val="0"/>
              <w:autoSpaceDE/>
              <w:autoSpaceDN/>
              <w:bidi w:val="0"/>
              <w:adjustRightInd/>
              <w:spacing w:line="240" w:lineRule="auto"/>
              <w:jc w:val="center"/>
              <w:rPr>
                <w:rFonts w:hint="eastAsia" w:ascii="仿宋" w:hAnsi="仿宋" w:eastAsia="仿宋" w:cs="仿宋"/>
                <w:b/>
                <w:bCs/>
                <w:snapToGrid w:val="0"/>
                <w:color w:val="000000"/>
                <w:spacing w:val="-6"/>
                <w:kern w:val="0"/>
                <w:sz w:val="24"/>
                <w:szCs w:val="24"/>
                <w:lang w:val="en-US" w:eastAsia="en-US" w:bidi="ar-SA"/>
              </w:rPr>
            </w:pPr>
          </w:p>
        </w:tc>
        <w:tc>
          <w:tcPr>
            <w:tcW w:w="7145" w:type="dxa"/>
            <w:tcBorders>
              <w:tl2br w:val="nil"/>
              <w:tr2bl w:val="nil"/>
            </w:tcBorders>
            <w:noWrap w:val="0"/>
            <w:vAlign w:val="center"/>
          </w:tcPr>
          <w:p w14:paraId="1FB45957">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rPr>
            </w:pPr>
            <w:r>
              <w:rPr>
                <w:rFonts w:hint="eastAsia" w:ascii="仿宋" w:hAnsi="仿宋" w:eastAsia="仿宋" w:cs="仿宋"/>
                <w:i w:val="0"/>
                <w:iCs w:val="0"/>
                <w:color w:val="auto"/>
                <w:sz w:val="24"/>
                <w:szCs w:val="24"/>
                <w:highlight w:val="none"/>
                <w:lang w:val="en-US"/>
              </w:rPr>
              <w:t>根据</w:t>
            </w:r>
            <w:r>
              <w:rPr>
                <w:rFonts w:hint="eastAsia" w:ascii="仿宋" w:hAnsi="仿宋" w:eastAsia="仿宋" w:cs="仿宋"/>
                <w:sz w:val="24"/>
                <w:szCs w:val="24"/>
                <w:lang w:eastAsia="zh-CN"/>
              </w:rPr>
              <w:t>供应商</w:t>
            </w:r>
            <w:r>
              <w:rPr>
                <w:rFonts w:hint="eastAsia" w:ascii="仿宋" w:hAnsi="仿宋" w:eastAsia="仿宋" w:cs="仿宋"/>
                <w:i w:val="0"/>
                <w:iCs w:val="0"/>
                <w:color w:val="auto"/>
                <w:sz w:val="24"/>
                <w:szCs w:val="24"/>
                <w:highlight w:val="none"/>
                <w:lang w:val="en-US"/>
              </w:rPr>
              <w:t>提供的针对本项目的质量保证方案（包括质量目标、质量承诺及相应的质量保障措施</w:t>
            </w:r>
            <w:r>
              <w:rPr>
                <w:rFonts w:hint="eastAsia" w:ascii="仿宋" w:hAnsi="仿宋" w:eastAsia="仿宋" w:cs="仿宋"/>
                <w:i w:val="0"/>
                <w:iCs w:val="0"/>
                <w:color w:val="auto"/>
                <w:sz w:val="24"/>
                <w:szCs w:val="24"/>
                <w:highlight w:val="none"/>
                <w:lang w:val="en-US" w:eastAsia="zh-CN"/>
              </w:rPr>
              <w:t>）的完整性</w:t>
            </w:r>
            <w:r>
              <w:rPr>
                <w:rFonts w:hint="eastAsia" w:ascii="仿宋" w:hAnsi="仿宋" w:eastAsia="仿宋" w:cs="仿宋"/>
                <w:i w:val="0"/>
                <w:iCs w:val="0"/>
                <w:color w:val="auto"/>
                <w:sz w:val="24"/>
                <w:szCs w:val="24"/>
                <w:highlight w:val="none"/>
                <w:lang w:val="en-US"/>
              </w:rPr>
              <w:t>、合理性</w:t>
            </w:r>
            <w:r>
              <w:rPr>
                <w:rFonts w:hint="eastAsia" w:ascii="仿宋" w:hAnsi="仿宋" w:eastAsia="仿宋" w:cs="仿宋"/>
                <w:sz w:val="24"/>
                <w:szCs w:val="24"/>
              </w:rPr>
              <w:t>，</w:t>
            </w:r>
            <w:r>
              <w:rPr>
                <w:rFonts w:hint="eastAsia" w:ascii="仿宋" w:hAnsi="仿宋" w:eastAsia="仿宋" w:cs="仿宋"/>
                <w:sz w:val="24"/>
                <w:szCs w:val="24"/>
                <w:lang w:eastAsia="zh-CN"/>
              </w:rPr>
              <w:t>由评审专家进行综合打分</w:t>
            </w:r>
            <w:r>
              <w:rPr>
                <w:rFonts w:hint="eastAsia" w:ascii="仿宋" w:hAnsi="仿宋" w:eastAsia="仿宋" w:cs="仿宋"/>
                <w:sz w:val="24"/>
                <w:szCs w:val="24"/>
              </w:rPr>
              <w:t>。</w:t>
            </w:r>
          </w:p>
          <w:p w14:paraId="5E5875D5">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①阐述详尽、合理，切合项目的得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4，6</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分；</w:t>
            </w:r>
          </w:p>
          <w:p w14:paraId="636FD316">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②阐述较为详尽、合理，较为切合项目的得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2，4</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分；</w:t>
            </w:r>
          </w:p>
          <w:p w14:paraId="46A3BBD7">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③阐述粗略，缺陷较多、欠缺合理性，部分切合项目的得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0，2</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分；</w:t>
            </w:r>
          </w:p>
          <w:p w14:paraId="1AE33175">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④无相关内容阐述或不符合项目的不得分。</w:t>
            </w:r>
          </w:p>
        </w:tc>
        <w:tc>
          <w:tcPr>
            <w:tcW w:w="1005" w:type="dxa"/>
            <w:tcBorders>
              <w:tl2br w:val="nil"/>
              <w:tr2bl w:val="nil"/>
            </w:tcBorders>
            <w:noWrap w:val="0"/>
            <w:vAlign w:val="center"/>
          </w:tcPr>
          <w:p w14:paraId="2D29F2F6">
            <w:pPr>
              <w:keepNext w:val="0"/>
              <w:keepLines w:val="0"/>
              <w:pageBreakBefore w:val="0"/>
              <w:widowControl w:val="0"/>
              <w:kinsoku/>
              <w:wordWrap/>
              <w:overflowPunct/>
              <w:topLinePunct w:val="0"/>
              <w:autoSpaceDE/>
              <w:autoSpaceDN/>
              <w:bidi w:val="0"/>
              <w:spacing w:line="360" w:lineRule="exact"/>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0-6</w:t>
            </w:r>
            <w:r>
              <w:rPr>
                <w:rFonts w:hint="eastAsia" w:ascii="仿宋" w:hAnsi="仿宋" w:eastAsia="仿宋" w:cs="仿宋"/>
                <w:b/>
                <w:bCs/>
                <w:color w:val="auto"/>
                <w:sz w:val="24"/>
                <w:szCs w:val="24"/>
              </w:rPr>
              <w:t>分</w:t>
            </w:r>
          </w:p>
        </w:tc>
      </w:tr>
      <w:tr w14:paraId="37D11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9" w:hRule="atLeast"/>
          <w:jc w:val="center"/>
        </w:trPr>
        <w:tc>
          <w:tcPr>
            <w:tcW w:w="763" w:type="dxa"/>
            <w:vMerge w:val="continue"/>
            <w:tcBorders>
              <w:tl2br w:val="nil"/>
              <w:tr2bl w:val="nil"/>
            </w:tcBorders>
            <w:noWrap w:val="0"/>
            <w:vAlign w:val="center"/>
          </w:tcPr>
          <w:p w14:paraId="7F5745F6">
            <w:pPr>
              <w:keepNext w:val="0"/>
              <w:keepLines w:val="0"/>
              <w:pageBreakBefore w:val="0"/>
              <w:widowControl w:val="0"/>
              <w:kinsoku/>
              <w:wordWrap/>
              <w:overflowPunct/>
              <w:topLinePunct w:val="0"/>
              <w:autoSpaceDE/>
              <w:autoSpaceDN/>
              <w:bidi w:val="0"/>
              <w:snapToGrid/>
              <w:spacing w:line="360" w:lineRule="exact"/>
              <w:jc w:val="center"/>
              <w:textAlignment w:val="auto"/>
              <w:rPr>
                <w:rFonts w:hint="eastAsia" w:ascii="仿宋" w:hAnsi="仿宋" w:eastAsia="仿宋" w:cs="仿宋"/>
                <w:b/>
                <w:bCs w:val="0"/>
                <w:color w:val="auto"/>
                <w:sz w:val="24"/>
                <w:szCs w:val="24"/>
                <w:lang w:val="en-US" w:eastAsia="zh-CN"/>
              </w:rPr>
            </w:pPr>
          </w:p>
        </w:tc>
        <w:tc>
          <w:tcPr>
            <w:tcW w:w="1187" w:type="dxa"/>
            <w:vMerge w:val="continue"/>
            <w:tcBorders>
              <w:tl2br w:val="nil"/>
              <w:tr2bl w:val="nil"/>
            </w:tcBorders>
            <w:noWrap w:val="0"/>
            <w:vAlign w:val="center"/>
          </w:tcPr>
          <w:p w14:paraId="553968F6">
            <w:pPr>
              <w:keepNext w:val="0"/>
              <w:keepLines w:val="0"/>
              <w:pageBreakBefore w:val="0"/>
              <w:widowControl w:val="0"/>
              <w:kinsoku/>
              <w:wordWrap/>
              <w:overflowPunct/>
              <w:topLinePunct w:val="0"/>
              <w:autoSpaceDE/>
              <w:autoSpaceDN/>
              <w:bidi w:val="0"/>
              <w:adjustRightInd/>
              <w:spacing w:line="240" w:lineRule="auto"/>
              <w:jc w:val="center"/>
              <w:rPr>
                <w:rFonts w:hint="eastAsia" w:ascii="仿宋" w:hAnsi="仿宋" w:eastAsia="仿宋" w:cs="仿宋"/>
                <w:b/>
                <w:bCs/>
                <w:color w:val="auto"/>
                <w:sz w:val="24"/>
                <w:szCs w:val="24"/>
                <w:lang w:val="en-US" w:eastAsia="zh-CN"/>
              </w:rPr>
            </w:pPr>
          </w:p>
        </w:tc>
        <w:tc>
          <w:tcPr>
            <w:tcW w:w="7145" w:type="dxa"/>
            <w:tcBorders>
              <w:tl2br w:val="nil"/>
              <w:tr2bl w:val="nil"/>
            </w:tcBorders>
            <w:noWrap w:val="0"/>
            <w:vAlign w:val="center"/>
          </w:tcPr>
          <w:p w14:paraId="553F973B">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rPr>
            </w:pPr>
            <w:r>
              <w:rPr>
                <w:rFonts w:hint="eastAsia" w:ascii="仿宋" w:hAnsi="仿宋" w:eastAsia="仿宋" w:cs="仿宋"/>
                <w:i w:val="0"/>
                <w:iCs w:val="0"/>
                <w:color w:val="auto"/>
                <w:sz w:val="24"/>
                <w:szCs w:val="24"/>
                <w:highlight w:val="none"/>
              </w:rPr>
              <w:t>根据</w:t>
            </w:r>
            <w:r>
              <w:rPr>
                <w:rFonts w:hint="eastAsia" w:ascii="仿宋" w:hAnsi="仿宋" w:eastAsia="仿宋" w:cs="仿宋"/>
                <w:sz w:val="24"/>
                <w:szCs w:val="24"/>
                <w:lang w:eastAsia="zh-CN"/>
              </w:rPr>
              <w:t>供应商</w:t>
            </w:r>
            <w:r>
              <w:rPr>
                <w:rFonts w:hint="eastAsia" w:ascii="仿宋" w:hAnsi="仿宋" w:eastAsia="仿宋" w:cs="仿宋"/>
                <w:i w:val="0"/>
                <w:iCs w:val="0"/>
                <w:color w:val="auto"/>
                <w:sz w:val="24"/>
                <w:szCs w:val="24"/>
                <w:highlight w:val="none"/>
              </w:rPr>
              <w:t>提供的针对本项目的前期对接、设计过程及项目实施中与各方沟通协调的措施的合理性、可行性</w:t>
            </w:r>
            <w:r>
              <w:rPr>
                <w:rFonts w:hint="eastAsia" w:ascii="仿宋" w:hAnsi="仿宋" w:eastAsia="仿宋" w:cs="仿宋"/>
                <w:sz w:val="24"/>
                <w:szCs w:val="24"/>
              </w:rPr>
              <w:t>，</w:t>
            </w:r>
            <w:r>
              <w:rPr>
                <w:rFonts w:hint="eastAsia" w:ascii="仿宋" w:hAnsi="仿宋" w:eastAsia="仿宋" w:cs="仿宋"/>
                <w:sz w:val="24"/>
                <w:szCs w:val="24"/>
                <w:lang w:eastAsia="zh-CN"/>
              </w:rPr>
              <w:t>由评审专家进行综合打分</w:t>
            </w:r>
            <w:r>
              <w:rPr>
                <w:rFonts w:hint="eastAsia" w:ascii="仿宋" w:hAnsi="仿宋" w:eastAsia="仿宋" w:cs="仿宋"/>
                <w:sz w:val="24"/>
                <w:szCs w:val="24"/>
              </w:rPr>
              <w:t>。</w:t>
            </w:r>
          </w:p>
          <w:p w14:paraId="7F3882EC">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①阐述详尽、合理，切合项目的得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4，6</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分；</w:t>
            </w:r>
          </w:p>
          <w:p w14:paraId="03E40DD5">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②阐述较为详尽、合理，较为切合项目的得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2，4</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分；</w:t>
            </w:r>
          </w:p>
          <w:p w14:paraId="51636FA5">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③阐述粗略，缺陷较多、欠缺合理性，部分切合项目的得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0，2</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分；</w:t>
            </w:r>
          </w:p>
          <w:p w14:paraId="5F7D35D8">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④无相关内容阐述或不符合项目的不得分。</w:t>
            </w:r>
          </w:p>
        </w:tc>
        <w:tc>
          <w:tcPr>
            <w:tcW w:w="1005" w:type="dxa"/>
            <w:tcBorders>
              <w:tl2br w:val="nil"/>
              <w:tr2bl w:val="nil"/>
            </w:tcBorders>
            <w:noWrap w:val="0"/>
            <w:vAlign w:val="center"/>
          </w:tcPr>
          <w:p w14:paraId="4F644D6C">
            <w:pPr>
              <w:keepNext w:val="0"/>
              <w:keepLines w:val="0"/>
              <w:pageBreakBefore w:val="0"/>
              <w:widowControl w:val="0"/>
              <w:kinsoku/>
              <w:wordWrap/>
              <w:overflowPunct/>
              <w:topLinePunct w:val="0"/>
              <w:autoSpaceDE/>
              <w:autoSpaceDN/>
              <w:bidi w:val="0"/>
              <w:spacing w:line="360" w:lineRule="exact"/>
              <w:jc w:val="center"/>
              <w:rPr>
                <w:rFonts w:hint="eastAsia" w:ascii="仿宋" w:hAnsi="仿宋" w:eastAsia="仿宋" w:cs="仿宋"/>
                <w:b/>
                <w:bCs w:val="0"/>
                <w:color w:val="auto"/>
                <w:sz w:val="24"/>
                <w:szCs w:val="24"/>
                <w:lang w:val="en-US" w:eastAsia="zh-CN"/>
              </w:rPr>
            </w:pPr>
            <w:r>
              <w:rPr>
                <w:rFonts w:hint="eastAsia" w:ascii="仿宋" w:hAnsi="仿宋" w:eastAsia="仿宋" w:cs="仿宋"/>
                <w:b/>
                <w:bCs/>
                <w:color w:val="auto"/>
                <w:sz w:val="24"/>
                <w:szCs w:val="24"/>
                <w:lang w:val="en-US" w:eastAsia="zh-CN"/>
              </w:rPr>
              <w:t>0-6</w:t>
            </w:r>
            <w:r>
              <w:rPr>
                <w:rFonts w:hint="eastAsia" w:ascii="仿宋" w:hAnsi="仿宋" w:eastAsia="仿宋" w:cs="仿宋"/>
                <w:b/>
                <w:bCs/>
                <w:color w:val="auto"/>
                <w:sz w:val="24"/>
                <w:szCs w:val="24"/>
              </w:rPr>
              <w:t>分</w:t>
            </w:r>
          </w:p>
        </w:tc>
      </w:tr>
      <w:tr w14:paraId="432F3E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2" w:hRule="atLeast"/>
          <w:jc w:val="center"/>
        </w:trPr>
        <w:tc>
          <w:tcPr>
            <w:tcW w:w="763" w:type="dxa"/>
            <w:tcBorders>
              <w:tl2br w:val="nil"/>
              <w:tr2bl w:val="nil"/>
            </w:tcBorders>
            <w:noWrap w:val="0"/>
            <w:vAlign w:val="center"/>
          </w:tcPr>
          <w:p w14:paraId="54AF1AE6">
            <w:pPr>
              <w:keepNext w:val="0"/>
              <w:keepLines w:val="0"/>
              <w:pageBreakBefore w:val="0"/>
              <w:widowControl w:val="0"/>
              <w:tabs>
                <w:tab w:val="left" w:pos="0"/>
              </w:tabs>
              <w:kinsoku/>
              <w:wordWrap/>
              <w:overflowPunct/>
              <w:topLinePunct w:val="0"/>
              <w:autoSpaceDE/>
              <w:autoSpaceDN/>
              <w:bidi w:val="0"/>
              <w:snapToGrid w:val="0"/>
              <w:spacing w:line="360" w:lineRule="exact"/>
              <w:jc w:val="center"/>
              <w:rPr>
                <w:rFonts w:hint="default"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6</w:t>
            </w:r>
          </w:p>
        </w:tc>
        <w:tc>
          <w:tcPr>
            <w:tcW w:w="1187" w:type="dxa"/>
            <w:tcBorders>
              <w:tl2br w:val="nil"/>
              <w:tr2bl w:val="nil"/>
            </w:tcBorders>
            <w:noWrap w:val="0"/>
            <w:vAlign w:val="center"/>
          </w:tcPr>
          <w:p w14:paraId="7D6FB882">
            <w:pPr>
              <w:keepNext w:val="0"/>
              <w:keepLines w:val="0"/>
              <w:pageBreakBefore w:val="0"/>
              <w:kinsoku w:val="0"/>
              <w:wordWrap/>
              <w:overflowPunct/>
              <w:topLinePunct w:val="0"/>
              <w:autoSpaceDE w:val="0"/>
              <w:autoSpaceDN w:val="0"/>
              <w:bidi w:val="0"/>
              <w:adjustRightInd w:val="0"/>
              <w:snapToGrid w:val="0"/>
              <w:spacing w:line="288" w:lineRule="auto"/>
              <w:ind w:left="0" w:leftChars="0" w:right="0" w:rightChars="0" w:firstLine="0" w:firstLineChars="0"/>
              <w:jc w:val="center"/>
              <w:textAlignment w:val="baseline"/>
              <w:rPr>
                <w:rFonts w:hint="eastAsia" w:ascii="仿宋" w:hAnsi="仿宋" w:eastAsia="仿宋" w:cs="仿宋"/>
                <w:b/>
                <w:bCs/>
                <w:color w:val="auto"/>
                <w:sz w:val="24"/>
                <w:szCs w:val="24"/>
                <w:lang w:val="en-US" w:eastAsia="zh-CN"/>
              </w:rPr>
            </w:pPr>
            <w:r>
              <w:rPr>
                <w:rFonts w:ascii="仿宋" w:hAnsi="仿宋" w:eastAsia="仿宋" w:cs="仿宋"/>
                <w:b/>
                <w:bCs/>
                <w:snapToGrid w:val="0"/>
                <w:color w:val="000000"/>
                <w:spacing w:val="-7"/>
                <w:kern w:val="0"/>
                <w:sz w:val="24"/>
                <w:szCs w:val="24"/>
                <w:lang w:val="en-US" w:eastAsia="en-US" w:bidi="ar-SA"/>
              </w:rPr>
              <w:t>造价</w:t>
            </w:r>
            <w:r>
              <w:rPr>
                <w:rFonts w:hint="eastAsia" w:ascii="仿宋" w:hAnsi="仿宋" w:eastAsia="仿宋" w:cs="仿宋"/>
                <w:b/>
                <w:bCs/>
                <w:snapToGrid w:val="0"/>
                <w:color w:val="000000"/>
                <w:spacing w:val="-7"/>
                <w:kern w:val="0"/>
                <w:sz w:val="24"/>
                <w:szCs w:val="24"/>
                <w:lang w:val="en-US" w:eastAsia="zh-CN" w:bidi="ar-SA"/>
              </w:rPr>
              <w:t>控制</w:t>
            </w:r>
            <w:r>
              <w:rPr>
                <w:rFonts w:ascii="仿宋" w:hAnsi="仿宋" w:eastAsia="仿宋" w:cs="仿宋"/>
                <w:b/>
                <w:bCs/>
                <w:snapToGrid w:val="0"/>
                <w:color w:val="000000"/>
                <w:spacing w:val="-11"/>
                <w:kern w:val="0"/>
                <w:sz w:val="24"/>
                <w:szCs w:val="24"/>
                <w:lang w:val="en-US" w:eastAsia="en-US" w:bidi="ar-SA"/>
              </w:rPr>
              <w:t>措施</w:t>
            </w:r>
          </w:p>
        </w:tc>
        <w:tc>
          <w:tcPr>
            <w:tcW w:w="7145" w:type="dxa"/>
            <w:tcBorders>
              <w:tl2br w:val="nil"/>
              <w:tr2bl w:val="nil"/>
            </w:tcBorders>
            <w:noWrap w:val="0"/>
            <w:vAlign w:val="top"/>
          </w:tcPr>
          <w:p w14:paraId="08159F0A">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rPr>
            </w:pPr>
            <w:r>
              <w:rPr>
                <w:rFonts w:hint="eastAsia" w:ascii="仿宋" w:hAnsi="仿宋" w:eastAsia="仿宋" w:cs="仿宋"/>
                <w:sz w:val="24"/>
                <w:szCs w:val="24"/>
              </w:rPr>
              <w:t>根据</w:t>
            </w:r>
            <w:r>
              <w:rPr>
                <w:rFonts w:hint="eastAsia" w:ascii="仿宋" w:hAnsi="仿宋" w:eastAsia="仿宋" w:cs="仿宋"/>
                <w:sz w:val="24"/>
                <w:szCs w:val="24"/>
                <w:lang w:eastAsia="zh-CN"/>
              </w:rPr>
              <w:t>供应商</w:t>
            </w:r>
            <w:r>
              <w:rPr>
                <w:rFonts w:hint="eastAsia" w:ascii="仿宋" w:hAnsi="仿宋" w:eastAsia="仿宋" w:cs="仿宋"/>
                <w:i w:val="0"/>
                <w:iCs w:val="0"/>
                <w:color w:val="auto"/>
                <w:sz w:val="24"/>
                <w:szCs w:val="24"/>
                <w:highlight w:val="none"/>
              </w:rPr>
              <w:t>提供的针对</w:t>
            </w:r>
            <w:r>
              <w:rPr>
                <w:rFonts w:hint="eastAsia" w:ascii="仿宋" w:hAnsi="仿宋" w:eastAsia="仿宋" w:cs="仿宋"/>
                <w:sz w:val="24"/>
                <w:szCs w:val="24"/>
              </w:rPr>
              <w:t>采购单位政府性投资项目对工程设计阶段控制造价措施</w:t>
            </w:r>
            <w:r>
              <w:rPr>
                <w:rFonts w:hint="eastAsia" w:ascii="仿宋" w:hAnsi="仿宋" w:eastAsia="仿宋" w:cs="仿宋"/>
                <w:i w:val="0"/>
                <w:iCs w:val="0"/>
                <w:color w:val="auto"/>
                <w:sz w:val="24"/>
                <w:szCs w:val="24"/>
                <w:highlight w:val="none"/>
              </w:rPr>
              <w:t>情况的合理性、可行性</w:t>
            </w:r>
            <w:r>
              <w:rPr>
                <w:rFonts w:hint="eastAsia" w:ascii="仿宋" w:hAnsi="仿宋" w:eastAsia="仿宋" w:cs="仿宋"/>
                <w:sz w:val="24"/>
                <w:szCs w:val="24"/>
              </w:rPr>
              <w:t>，</w:t>
            </w:r>
            <w:r>
              <w:rPr>
                <w:rFonts w:hint="eastAsia" w:ascii="仿宋" w:hAnsi="仿宋" w:eastAsia="仿宋" w:cs="仿宋"/>
                <w:sz w:val="24"/>
                <w:szCs w:val="24"/>
                <w:lang w:eastAsia="zh-CN"/>
              </w:rPr>
              <w:t>由评审专家进行综合打分</w:t>
            </w:r>
            <w:r>
              <w:rPr>
                <w:rFonts w:hint="eastAsia" w:ascii="仿宋" w:hAnsi="仿宋" w:eastAsia="仿宋" w:cs="仿宋"/>
                <w:sz w:val="24"/>
                <w:szCs w:val="24"/>
              </w:rPr>
              <w:t>。</w:t>
            </w:r>
          </w:p>
          <w:p w14:paraId="31B26438">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①阐述详尽、合理，切合项目的得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6，8</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分；</w:t>
            </w:r>
          </w:p>
          <w:p w14:paraId="26844C0F">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②阐述较为详尽、合理，较为切合项目的得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3，6</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分；</w:t>
            </w:r>
          </w:p>
          <w:p w14:paraId="3ADD93A0">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③阐述粗略，缺陷较多、欠缺合理性，部分切合项目的得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0，3</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分；</w:t>
            </w:r>
          </w:p>
          <w:p w14:paraId="1741742B">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④无相关内容阐述或不符合项目的不得分。</w:t>
            </w:r>
          </w:p>
        </w:tc>
        <w:tc>
          <w:tcPr>
            <w:tcW w:w="1005" w:type="dxa"/>
            <w:tcBorders>
              <w:tl2br w:val="nil"/>
              <w:tr2bl w:val="nil"/>
            </w:tcBorders>
            <w:noWrap w:val="0"/>
            <w:vAlign w:val="center"/>
          </w:tcPr>
          <w:p w14:paraId="7954A214">
            <w:pPr>
              <w:keepNext w:val="0"/>
              <w:keepLines w:val="0"/>
              <w:pageBreakBefore w:val="0"/>
              <w:widowControl w:val="0"/>
              <w:tabs>
                <w:tab w:val="left" w:pos="0"/>
              </w:tabs>
              <w:kinsoku/>
              <w:wordWrap/>
              <w:overflowPunct/>
              <w:topLinePunct w:val="0"/>
              <w:autoSpaceDE/>
              <w:autoSpaceDN/>
              <w:bidi w:val="0"/>
              <w:snapToGrid w:val="0"/>
              <w:spacing w:line="360" w:lineRule="exact"/>
              <w:jc w:val="center"/>
              <w:rPr>
                <w:rFonts w:hint="eastAsia" w:ascii="仿宋" w:hAnsi="仿宋" w:eastAsia="仿宋" w:cs="仿宋"/>
                <w:b/>
                <w:bCs w:val="0"/>
                <w:color w:val="auto"/>
                <w:sz w:val="24"/>
                <w:szCs w:val="24"/>
                <w:lang w:val="en-US" w:eastAsia="zh-CN"/>
              </w:rPr>
            </w:pPr>
            <w:r>
              <w:rPr>
                <w:rFonts w:hint="eastAsia" w:ascii="仿宋" w:hAnsi="仿宋" w:eastAsia="仿宋" w:cs="仿宋"/>
                <w:b/>
                <w:bCs/>
                <w:color w:val="auto"/>
                <w:sz w:val="24"/>
                <w:szCs w:val="24"/>
                <w:lang w:val="en-US" w:eastAsia="zh-CN"/>
              </w:rPr>
              <w:t>0-8</w:t>
            </w:r>
            <w:r>
              <w:rPr>
                <w:rFonts w:hint="eastAsia" w:ascii="仿宋" w:hAnsi="仿宋" w:eastAsia="仿宋" w:cs="仿宋"/>
                <w:b/>
                <w:bCs/>
                <w:color w:val="auto"/>
                <w:sz w:val="24"/>
                <w:szCs w:val="24"/>
              </w:rPr>
              <w:t>分</w:t>
            </w:r>
          </w:p>
        </w:tc>
      </w:tr>
      <w:tr w14:paraId="5313AD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763" w:type="dxa"/>
            <w:tcBorders>
              <w:tl2br w:val="nil"/>
              <w:tr2bl w:val="nil"/>
            </w:tcBorders>
            <w:noWrap w:val="0"/>
            <w:vAlign w:val="center"/>
          </w:tcPr>
          <w:p w14:paraId="36680DE4">
            <w:pPr>
              <w:keepNext w:val="0"/>
              <w:keepLines w:val="0"/>
              <w:pageBreakBefore w:val="0"/>
              <w:widowControl w:val="0"/>
              <w:tabs>
                <w:tab w:val="left" w:pos="0"/>
              </w:tabs>
              <w:kinsoku/>
              <w:wordWrap/>
              <w:overflowPunct/>
              <w:topLinePunct w:val="0"/>
              <w:autoSpaceDE/>
              <w:autoSpaceDN/>
              <w:bidi w:val="0"/>
              <w:snapToGrid w:val="0"/>
              <w:spacing w:line="360" w:lineRule="exact"/>
              <w:jc w:val="center"/>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color w:val="auto"/>
                <w:sz w:val="24"/>
                <w:szCs w:val="24"/>
                <w:lang w:val="en-US" w:eastAsia="zh-CN"/>
              </w:rPr>
              <w:t>7</w:t>
            </w:r>
          </w:p>
        </w:tc>
        <w:tc>
          <w:tcPr>
            <w:tcW w:w="1187" w:type="dxa"/>
            <w:tcBorders>
              <w:tl2br w:val="nil"/>
              <w:tr2bl w:val="nil"/>
            </w:tcBorders>
            <w:noWrap w:val="0"/>
            <w:vAlign w:val="center"/>
          </w:tcPr>
          <w:p w14:paraId="7721B805">
            <w:pPr>
              <w:spacing w:line="240" w:lineRule="auto"/>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highlight w:val="none"/>
              </w:rPr>
              <w:t>应急预案</w:t>
            </w:r>
          </w:p>
        </w:tc>
        <w:tc>
          <w:tcPr>
            <w:tcW w:w="7145" w:type="dxa"/>
            <w:tcBorders>
              <w:tl2br w:val="nil"/>
              <w:tr2bl w:val="nil"/>
            </w:tcBorders>
            <w:noWrap w:val="0"/>
            <w:vAlign w:val="center"/>
          </w:tcPr>
          <w:p w14:paraId="2DD76552">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rPr>
            </w:pPr>
            <w:r>
              <w:rPr>
                <w:rFonts w:hint="eastAsia" w:ascii="仿宋" w:hAnsi="仿宋" w:eastAsia="仿宋" w:cs="仿宋"/>
                <w:sz w:val="24"/>
                <w:szCs w:val="24"/>
              </w:rPr>
              <w:t>根据</w:t>
            </w:r>
            <w:r>
              <w:rPr>
                <w:rFonts w:hint="eastAsia" w:ascii="仿宋" w:hAnsi="仿宋" w:eastAsia="仿宋" w:cs="仿宋"/>
                <w:sz w:val="24"/>
                <w:szCs w:val="24"/>
                <w:lang w:eastAsia="zh-CN"/>
              </w:rPr>
              <w:t>供应商</w:t>
            </w:r>
            <w:r>
              <w:rPr>
                <w:rFonts w:hint="eastAsia" w:ascii="仿宋" w:hAnsi="仿宋" w:eastAsia="仿宋" w:cs="仿宋"/>
                <w:sz w:val="24"/>
                <w:szCs w:val="24"/>
                <w:lang w:val="en-US" w:eastAsia="zh-CN"/>
              </w:rPr>
              <w:t>提供的</w:t>
            </w:r>
            <w:r>
              <w:rPr>
                <w:rFonts w:hint="eastAsia" w:ascii="仿宋" w:hAnsi="仿宋" w:eastAsia="仿宋" w:cs="仿宋"/>
                <w:sz w:val="24"/>
                <w:szCs w:val="24"/>
              </w:rPr>
              <w:t>针对</w:t>
            </w:r>
            <w:r>
              <w:rPr>
                <w:rFonts w:hint="eastAsia" w:ascii="仿宋" w:hAnsi="仿宋" w:eastAsia="仿宋" w:cs="仿宋"/>
                <w:i w:val="0"/>
                <w:iCs w:val="0"/>
                <w:color w:val="auto"/>
                <w:sz w:val="24"/>
                <w:szCs w:val="24"/>
                <w:highlight w:val="none"/>
                <w:lang w:val="en-US" w:eastAsia="en-US"/>
              </w:rPr>
              <w:t>本项目编制的应急服务方案，包括但不限于项目实施过程中可能出现的应急情况的判断与分析、应急处理措施等内容的合理及完整程度等是否科学可行</w:t>
            </w:r>
            <w:r>
              <w:rPr>
                <w:rFonts w:hint="eastAsia" w:ascii="仿宋" w:hAnsi="仿宋" w:eastAsia="仿宋" w:cs="仿宋"/>
                <w:sz w:val="24"/>
                <w:szCs w:val="24"/>
              </w:rPr>
              <w:t>，</w:t>
            </w:r>
            <w:r>
              <w:rPr>
                <w:rFonts w:hint="eastAsia" w:ascii="仿宋" w:hAnsi="仿宋" w:eastAsia="仿宋" w:cs="仿宋"/>
                <w:sz w:val="24"/>
                <w:szCs w:val="24"/>
                <w:lang w:eastAsia="zh-CN"/>
              </w:rPr>
              <w:t>由评审专家进行综合打分</w:t>
            </w:r>
            <w:r>
              <w:rPr>
                <w:rFonts w:hint="eastAsia" w:ascii="仿宋" w:hAnsi="仿宋" w:eastAsia="仿宋" w:cs="仿宋"/>
                <w:sz w:val="24"/>
                <w:szCs w:val="24"/>
              </w:rPr>
              <w:t>。</w:t>
            </w:r>
          </w:p>
          <w:p w14:paraId="19E6E22D">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rPr>
            </w:pPr>
            <w:r>
              <w:rPr>
                <w:rFonts w:hint="eastAsia" w:ascii="仿宋" w:hAnsi="仿宋" w:eastAsia="仿宋" w:cs="仿宋"/>
                <w:sz w:val="24"/>
                <w:szCs w:val="24"/>
              </w:rPr>
              <w:t>①有效避免风险或者能够及时有效处理风险的得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4，6</w:t>
            </w:r>
            <w:r>
              <w:rPr>
                <w:rFonts w:hint="eastAsia" w:ascii="仿宋" w:hAnsi="仿宋" w:eastAsia="仿宋" w:cs="仿宋"/>
                <w:bCs/>
                <w:sz w:val="24"/>
                <w:lang w:val="en-US" w:eastAsia="zh-CN"/>
              </w:rPr>
              <w:t>]</w:t>
            </w:r>
            <w:r>
              <w:rPr>
                <w:rFonts w:hint="eastAsia" w:ascii="仿宋" w:hAnsi="仿宋" w:eastAsia="仿宋" w:cs="仿宋"/>
                <w:sz w:val="24"/>
                <w:szCs w:val="24"/>
              </w:rPr>
              <w:t>分；</w:t>
            </w:r>
          </w:p>
          <w:p w14:paraId="1279A8B6">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rPr>
            </w:pPr>
            <w:r>
              <w:rPr>
                <w:rFonts w:hint="eastAsia" w:ascii="仿宋" w:hAnsi="仿宋" w:eastAsia="仿宋" w:cs="仿宋"/>
                <w:sz w:val="24"/>
                <w:szCs w:val="24"/>
              </w:rPr>
              <w:t>②有提出一定的风险说明，制定的措施存在欠缺但基本合理明确，具有一定可行性的得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2，4</w:t>
            </w:r>
            <w:r>
              <w:rPr>
                <w:rFonts w:hint="eastAsia" w:ascii="仿宋" w:hAnsi="仿宋" w:eastAsia="仿宋" w:cs="仿宋"/>
                <w:bCs/>
                <w:sz w:val="24"/>
                <w:lang w:val="en-US" w:eastAsia="zh-CN"/>
              </w:rPr>
              <w:t>]</w:t>
            </w:r>
            <w:r>
              <w:rPr>
                <w:rFonts w:hint="eastAsia" w:ascii="仿宋" w:hAnsi="仿宋" w:eastAsia="仿宋" w:cs="仿宋"/>
                <w:sz w:val="24"/>
                <w:szCs w:val="24"/>
              </w:rPr>
              <w:t>分；</w:t>
            </w:r>
          </w:p>
          <w:p w14:paraId="2EA83D0B">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rPr>
            </w:pPr>
            <w:r>
              <w:rPr>
                <w:rFonts w:hint="eastAsia" w:ascii="仿宋" w:hAnsi="仿宋" w:eastAsia="仿宋" w:cs="仿宋"/>
                <w:sz w:val="24"/>
                <w:szCs w:val="24"/>
              </w:rPr>
              <w:t>③有提出风险说明，但措施等内容阐述粗略、欠缺合理性，可行性较弱的得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0，2</w:t>
            </w:r>
            <w:r>
              <w:rPr>
                <w:rFonts w:hint="eastAsia" w:ascii="仿宋" w:hAnsi="仿宋" w:eastAsia="仿宋" w:cs="仿宋"/>
                <w:bCs/>
                <w:sz w:val="24"/>
                <w:lang w:val="en-US" w:eastAsia="zh-CN"/>
              </w:rPr>
              <w:t>]</w:t>
            </w:r>
            <w:r>
              <w:rPr>
                <w:rFonts w:hint="eastAsia" w:ascii="仿宋" w:hAnsi="仿宋" w:eastAsia="仿宋" w:cs="仿宋"/>
                <w:sz w:val="24"/>
                <w:szCs w:val="24"/>
              </w:rPr>
              <w:t>分；</w:t>
            </w:r>
          </w:p>
          <w:p w14:paraId="75EC56AC">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rPr>
              <w:t>④未提供相关内容阐述或不符合项目的不得分。</w:t>
            </w:r>
          </w:p>
        </w:tc>
        <w:tc>
          <w:tcPr>
            <w:tcW w:w="1005" w:type="dxa"/>
            <w:tcBorders>
              <w:tl2br w:val="nil"/>
              <w:tr2bl w:val="nil"/>
            </w:tcBorders>
            <w:noWrap w:val="0"/>
            <w:vAlign w:val="center"/>
          </w:tcPr>
          <w:p w14:paraId="1B9C3BF6">
            <w:pPr>
              <w:keepNext w:val="0"/>
              <w:keepLines w:val="0"/>
              <w:pageBreakBefore w:val="0"/>
              <w:widowControl w:val="0"/>
              <w:tabs>
                <w:tab w:val="left" w:pos="0"/>
              </w:tabs>
              <w:kinsoku/>
              <w:wordWrap/>
              <w:overflowPunct/>
              <w:topLinePunct w:val="0"/>
              <w:autoSpaceDE/>
              <w:autoSpaceDN/>
              <w:bidi w:val="0"/>
              <w:snapToGrid w:val="0"/>
              <w:spacing w:line="360" w:lineRule="exact"/>
              <w:jc w:val="center"/>
              <w:rPr>
                <w:rFonts w:hint="eastAsia" w:ascii="仿宋" w:hAnsi="仿宋" w:eastAsia="仿宋" w:cs="仿宋"/>
                <w:b/>
                <w:bCs w:val="0"/>
                <w:color w:val="auto"/>
                <w:sz w:val="24"/>
                <w:szCs w:val="24"/>
                <w:lang w:val="en-US" w:eastAsia="zh-CN"/>
              </w:rPr>
            </w:pPr>
            <w:r>
              <w:rPr>
                <w:rFonts w:hint="eastAsia" w:ascii="仿宋" w:hAnsi="仿宋" w:eastAsia="仿宋" w:cs="仿宋"/>
                <w:b/>
                <w:bCs/>
                <w:color w:val="auto"/>
                <w:sz w:val="24"/>
                <w:szCs w:val="24"/>
                <w:lang w:val="en-US" w:eastAsia="zh-CN"/>
              </w:rPr>
              <w:t>0-6</w:t>
            </w:r>
            <w:r>
              <w:rPr>
                <w:rFonts w:hint="eastAsia" w:ascii="仿宋" w:hAnsi="仿宋" w:eastAsia="仿宋" w:cs="仿宋"/>
                <w:b/>
                <w:bCs/>
                <w:color w:val="auto"/>
                <w:sz w:val="24"/>
                <w:szCs w:val="24"/>
              </w:rPr>
              <w:t>分</w:t>
            </w:r>
          </w:p>
        </w:tc>
      </w:tr>
      <w:tr w14:paraId="31E517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9" w:hRule="atLeast"/>
          <w:jc w:val="center"/>
        </w:trPr>
        <w:tc>
          <w:tcPr>
            <w:tcW w:w="763" w:type="dxa"/>
            <w:tcBorders>
              <w:tl2br w:val="nil"/>
              <w:tr2bl w:val="nil"/>
            </w:tcBorders>
            <w:noWrap w:val="0"/>
            <w:vAlign w:val="center"/>
          </w:tcPr>
          <w:p w14:paraId="4C5B7B7B">
            <w:pPr>
              <w:keepNext w:val="0"/>
              <w:keepLines w:val="0"/>
              <w:pageBreakBefore w:val="0"/>
              <w:widowControl w:val="0"/>
              <w:tabs>
                <w:tab w:val="left" w:pos="0"/>
              </w:tabs>
              <w:kinsoku/>
              <w:wordWrap/>
              <w:overflowPunct/>
              <w:topLinePunct w:val="0"/>
              <w:autoSpaceDE/>
              <w:autoSpaceDN/>
              <w:bidi w:val="0"/>
              <w:snapToGrid w:val="0"/>
              <w:spacing w:line="360" w:lineRule="exact"/>
              <w:jc w:val="center"/>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color w:val="auto"/>
                <w:sz w:val="24"/>
                <w:szCs w:val="24"/>
                <w:lang w:val="en-US" w:eastAsia="zh-CN"/>
              </w:rPr>
              <w:t>8</w:t>
            </w:r>
          </w:p>
        </w:tc>
        <w:tc>
          <w:tcPr>
            <w:tcW w:w="1187" w:type="dxa"/>
            <w:tcBorders>
              <w:tl2br w:val="nil"/>
              <w:tr2bl w:val="nil"/>
            </w:tcBorders>
            <w:noWrap w:val="0"/>
            <w:vAlign w:val="center"/>
          </w:tcPr>
          <w:p w14:paraId="5FF150E1">
            <w:pPr>
              <w:keepNext w:val="0"/>
              <w:keepLines w:val="0"/>
              <w:pageBreakBefore w:val="0"/>
              <w:widowControl/>
              <w:kinsoku/>
              <w:wordWrap/>
              <w:overflowPunct/>
              <w:topLinePunct w:val="0"/>
              <w:bidi w:val="0"/>
              <w:snapToGrid/>
              <w:spacing w:line="240" w:lineRule="auto"/>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廉洁服务</w:t>
            </w:r>
          </w:p>
          <w:p w14:paraId="3E782D69">
            <w:pPr>
              <w:keepNext w:val="0"/>
              <w:keepLines w:val="0"/>
              <w:pageBreakBefore w:val="0"/>
              <w:widowControl/>
              <w:kinsoku/>
              <w:wordWrap/>
              <w:overflowPunct/>
              <w:topLinePunct w:val="0"/>
              <w:bidi w:val="0"/>
              <w:snapToGrid/>
              <w:spacing w:line="240" w:lineRule="auto"/>
              <w:jc w:val="center"/>
              <w:textAlignment w:val="auto"/>
              <w:rPr>
                <w:rFonts w:hint="eastAsia" w:ascii="仿宋" w:hAnsi="仿宋" w:eastAsia="仿宋" w:cs="仿宋"/>
                <w:b/>
                <w:bCs w:val="0"/>
                <w:color w:val="auto"/>
                <w:sz w:val="24"/>
                <w:szCs w:val="24"/>
                <w:lang w:val="en-US" w:eastAsia="zh-CN"/>
              </w:rPr>
            </w:pPr>
            <w:r>
              <w:rPr>
                <w:rFonts w:hint="eastAsia" w:ascii="仿宋" w:hAnsi="仿宋" w:eastAsia="仿宋" w:cs="仿宋"/>
                <w:b/>
                <w:bCs/>
                <w:color w:val="auto"/>
                <w:sz w:val="24"/>
                <w:szCs w:val="24"/>
                <w:lang w:val="en-US" w:eastAsia="zh-CN"/>
              </w:rPr>
              <w:t>措施</w:t>
            </w:r>
          </w:p>
        </w:tc>
        <w:tc>
          <w:tcPr>
            <w:tcW w:w="7145" w:type="dxa"/>
            <w:tcBorders>
              <w:tl2br w:val="nil"/>
              <w:tr2bl w:val="nil"/>
            </w:tcBorders>
            <w:noWrap w:val="0"/>
            <w:vAlign w:val="center"/>
          </w:tcPr>
          <w:p w14:paraId="0D9F370A">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rPr>
            </w:pPr>
            <w:r>
              <w:rPr>
                <w:rFonts w:hint="eastAsia" w:ascii="仿宋" w:hAnsi="仿宋" w:eastAsia="仿宋" w:cs="仿宋"/>
                <w:sz w:val="24"/>
                <w:szCs w:val="24"/>
              </w:rPr>
              <w:t>根据</w:t>
            </w:r>
            <w:r>
              <w:rPr>
                <w:rFonts w:hint="eastAsia" w:ascii="仿宋" w:hAnsi="仿宋" w:eastAsia="仿宋" w:cs="仿宋"/>
                <w:sz w:val="24"/>
                <w:szCs w:val="24"/>
                <w:lang w:eastAsia="zh-CN"/>
              </w:rPr>
              <w:t>供应商</w:t>
            </w:r>
            <w:r>
              <w:rPr>
                <w:rFonts w:hint="eastAsia" w:ascii="仿宋" w:hAnsi="仿宋" w:eastAsia="仿宋" w:cs="仿宋"/>
                <w:sz w:val="24"/>
                <w:szCs w:val="24"/>
                <w:lang w:val="en-US" w:eastAsia="zh-CN"/>
              </w:rPr>
              <w:t>提供的</w:t>
            </w:r>
            <w:r>
              <w:rPr>
                <w:rFonts w:hint="eastAsia" w:ascii="仿宋" w:hAnsi="仿宋" w:eastAsia="仿宋" w:cs="仿宋"/>
                <w:sz w:val="24"/>
                <w:szCs w:val="24"/>
              </w:rPr>
              <w:t>针对本项目从业人员廉洁方面的控制及采取的措施</w:t>
            </w:r>
            <w:r>
              <w:rPr>
                <w:rFonts w:hint="eastAsia" w:ascii="仿宋" w:hAnsi="仿宋" w:eastAsia="仿宋" w:cs="仿宋"/>
                <w:sz w:val="24"/>
                <w:szCs w:val="24"/>
                <w:lang w:eastAsia="zh-CN"/>
              </w:rPr>
              <w:t>，由评审专家进行综合打分</w:t>
            </w:r>
            <w:r>
              <w:rPr>
                <w:rFonts w:hint="eastAsia" w:ascii="仿宋" w:hAnsi="仿宋" w:eastAsia="仿宋" w:cs="仿宋"/>
                <w:sz w:val="24"/>
                <w:szCs w:val="24"/>
              </w:rPr>
              <w:t>。</w:t>
            </w:r>
          </w:p>
          <w:p w14:paraId="2755F8A5">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rPr>
            </w:pPr>
            <w:r>
              <w:rPr>
                <w:rFonts w:hint="eastAsia" w:ascii="仿宋" w:hAnsi="仿宋" w:eastAsia="仿宋" w:cs="仿宋"/>
                <w:sz w:val="24"/>
                <w:szCs w:val="24"/>
              </w:rPr>
              <w:t>①内容阐述详细，措施合理明确，可行性强的得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2，4</w:t>
            </w:r>
            <w:r>
              <w:rPr>
                <w:rFonts w:hint="eastAsia" w:ascii="仿宋" w:hAnsi="仿宋" w:eastAsia="仿宋" w:cs="仿宋"/>
                <w:bCs/>
                <w:sz w:val="24"/>
                <w:lang w:val="en-US" w:eastAsia="zh-CN"/>
              </w:rPr>
              <w:t>]</w:t>
            </w:r>
            <w:r>
              <w:rPr>
                <w:rFonts w:hint="eastAsia" w:ascii="仿宋" w:hAnsi="仿宋" w:eastAsia="仿宋" w:cs="仿宋"/>
                <w:sz w:val="24"/>
                <w:szCs w:val="24"/>
              </w:rPr>
              <w:t>分；</w:t>
            </w:r>
          </w:p>
          <w:p w14:paraId="0E26CE15">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rPr>
            </w:pPr>
            <w:r>
              <w:rPr>
                <w:rFonts w:hint="eastAsia" w:ascii="仿宋" w:hAnsi="仿宋" w:eastAsia="仿宋" w:cs="仿宋"/>
                <w:sz w:val="24"/>
                <w:szCs w:val="24"/>
              </w:rPr>
              <w:t>②内容阐述较为详细，措施较为合理，具有一定可行性的得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1，2</w:t>
            </w:r>
            <w:r>
              <w:rPr>
                <w:rFonts w:hint="eastAsia" w:ascii="仿宋" w:hAnsi="仿宋" w:eastAsia="仿宋" w:cs="仿宋"/>
                <w:bCs/>
                <w:sz w:val="24"/>
                <w:lang w:val="en-US" w:eastAsia="zh-CN"/>
              </w:rPr>
              <w:t>]</w:t>
            </w:r>
            <w:r>
              <w:rPr>
                <w:rFonts w:hint="eastAsia" w:ascii="仿宋" w:hAnsi="仿宋" w:eastAsia="仿宋" w:cs="仿宋"/>
                <w:sz w:val="24"/>
                <w:szCs w:val="24"/>
              </w:rPr>
              <w:t>分；</w:t>
            </w:r>
          </w:p>
          <w:p w14:paraId="2F55FBF5">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rPr>
            </w:pPr>
            <w:r>
              <w:rPr>
                <w:rFonts w:hint="eastAsia" w:ascii="仿宋" w:hAnsi="仿宋" w:eastAsia="仿宋" w:cs="仿宋"/>
                <w:sz w:val="24"/>
                <w:szCs w:val="24"/>
              </w:rPr>
              <w:t>③内容阐述较为粗略，措施欠缺合理性，可行性较弱的得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0，1</w:t>
            </w:r>
            <w:r>
              <w:rPr>
                <w:rFonts w:hint="eastAsia" w:ascii="仿宋" w:hAnsi="仿宋" w:eastAsia="仿宋" w:cs="仿宋"/>
                <w:bCs/>
                <w:sz w:val="24"/>
                <w:lang w:val="en-US" w:eastAsia="zh-CN"/>
              </w:rPr>
              <w:t>]</w:t>
            </w:r>
            <w:r>
              <w:rPr>
                <w:rFonts w:hint="eastAsia" w:ascii="仿宋" w:hAnsi="仿宋" w:eastAsia="仿宋" w:cs="仿宋"/>
                <w:sz w:val="24"/>
                <w:szCs w:val="24"/>
              </w:rPr>
              <w:t>分；</w:t>
            </w:r>
          </w:p>
          <w:p w14:paraId="155B0EB8">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rPr>
              <w:t>④未提供相关内容阐述或不符合项目的不得分。</w:t>
            </w:r>
          </w:p>
        </w:tc>
        <w:tc>
          <w:tcPr>
            <w:tcW w:w="1005" w:type="dxa"/>
            <w:tcBorders>
              <w:tl2br w:val="nil"/>
              <w:tr2bl w:val="nil"/>
            </w:tcBorders>
            <w:noWrap w:val="0"/>
            <w:vAlign w:val="center"/>
          </w:tcPr>
          <w:p w14:paraId="12A048E1">
            <w:pPr>
              <w:keepNext w:val="0"/>
              <w:keepLines w:val="0"/>
              <w:pageBreakBefore w:val="0"/>
              <w:widowControl w:val="0"/>
              <w:tabs>
                <w:tab w:val="left" w:pos="0"/>
              </w:tabs>
              <w:kinsoku/>
              <w:wordWrap/>
              <w:overflowPunct/>
              <w:topLinePunct w:val="0"/>
              <w:autoSpaceDE/>
              <w:autoSpaceDN/>
              <w:bidi w:val="0"/>
              <w:snapToGrid w:val="0"/>
              <w:spacing w:line="360" w:lineRule="exact"/>
              <w:jc w:val="center"/>
              <w:rPr>
                <w:rFonts w:hint="eastAsia" w:ascii="仿宋" w:hAnsi="仿宋" w:eastAsia="仿宋" w:cs="仿宋"/>
                <w:b/>
                <w:bCs w:val="0"/>
                <w:color w:val="auto"/>
                <w:sz w:val="24"/>
                <w:szCs w:val="24"/>
                <w:lang w:val="en-US" w:eastAsia="zh-CN"/>
              </w:rPr>
            </w:pPr>
            <w:r>
              <w:rPr>
                <w:rFonts w:hint="eastAsia" w:ascii="仿宋" w:hAnsi="仿宋" w:eastAsia="仿宋" w:cs="仿宋"/>
                <w:b/>
                <w:bCs/>
                <w:color w:val="auto"/>
                <w:sz w:val="24"/>
                <w:szCs w:val="24"/>
                <w:lang w:val="en-US" w:eastAsia="zh-CN"/>
              </w:rPr>
              <w:t>0-4</w:t>
            </w:r>
            <w:r>
              <w:rPr>
                <w:rFonts w:hint="eastAsia" w:ascii="仿宋" w:hAnsi="仿宋" w:eastAsia="仿宋" w:cs="仿宋"/>
                <w:b/>
                <w:bCs/>
                <w:color w:val="auto"/>
                <w:sz w:val="24"/>
                <w:szCs w:val="24"/>
              </w:rPr>
              <w:t>分</w:t>
            </w:r>
          </w:p>
        </w:tc>
      </w:tr>
      <w:tr w14:paraId="7AC05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9" w:hRule="atLeast"/>
          <w:jc w:val="center"/>
        </w:trPr>
        <w:tc>
          <w:tcPr>
            <w:tcW w:w="0" w:type="auto"/>
            <w:noWrap w:val="0"/>
            <w:vAlign w:val="center"/>
          </w:tcPr>
          <w:p w14:paraId="072A2E8F">
            <w:pPr>
              <w:keepNext w:val="0"/>
              <w:keepLines w:val="0"/>
              <w:pageBreakBefore w:val="0"/>
              <w:widowControl w:val="0"/>
              <w:tabs>
                <w:tab w:val="left" w:pos="0"/>
              </w:tabs>
              <w:kinsoku/>
              <w:wordWrap/>
              <w:overflowPunct/>
              <w:topLinePunct w:val="0"/>
              <w:autoSpaceDE/>
              <w:autoSpaceDN/>
              <w:bidi w:val="0"/>
              <w:snapToGrid w:val="0"/>
              <w:spacing w:line="360" w:lineRule="exact"/>
              <w:jc w:val="center"/>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color w:val="auto"/>
                <w:sz w:val="24"/>
                <w:szCs w:val="24"/>
                <w:lang w:val="en-US" w:eastAsia="zh-CN"/>
              </w:rPr>
              <w:t>9</w:t>
            </w:r>
          </w:p>
        </w:tc>
        <w:tc>
          <w:tcPr>
            <w:tcW w:w="1187" w:type="dxa"/>
            <w:noWrap w:val="0"/>
            <w:vAlign w:val="center"/>
          </w:tcPr>
          <w:p w14:paraId="49A8761D">
            <w:pPr>
              <w:widowControl/>
              <w:spacing w:line="240" w:lineRule="auto"/>
              <w:jc w:val="center"/>
              <w:rPr>
                <w:rFonts w:hint="eastAsia" w:ascii="仿宋" w:hAnsi="仿宋" w:eastAsia="仿宋" w:cs="仿宋"/>
                <w:b/>
                <w:bCs w:val="0"/>
                <w:color w:val="auto"/>
                <w:sz w:val="24"/>
                <w:szCs w:val="24"/>
                <w:lang w:val="en-US" w:eastAsia="zh-CN"/>
              </w:rPr>
            </w:pPr>
            <w:r>
              <w:rPr>
                <w:rFonts w:hint="eastAsia" w:ascii="仿宋" w:hAnsi="仿宋" w:eastAsia="仿宋" w:cs="仿宋"/>
                <w:b/>
                <w:bCs/>
                <w:color w:val="auto"/>
                <w:sz w:val="24"/>
                <w:szCs w:val="24"/>
                <w:lang w:val="en-US" w:eastAsia="zh-CN"/>
              </w:rPr>
              <w:t>售后服务方案</w:t>
            </w:r>
          </w:p>
        </w:tc>
        <w:tc>
          <w:tcPr>
            <w:tcW w:w="7145" w:type="dxa"/>
            <w:noWrap w:val="0"/>
            <w:vAlign w:val="center"/>
          </w:tcPr>
          <w:p w14:paraId="3ADD529E">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rPr>
            </w:pPr>
            <w:r>
              <w:rPr>
                <w:rFonts w:hint="eastAsia" w:ascii="仿宋" w:hAnsi="仿宋" w:eastAsia="仿宋" w:cs="仿宋"/>
                <w:sz w:val="24"/>
                <w:szCs w:val="24"/>
              </w:rPr>
              <w:t>根据</w:t>
            </w:r>
            <w:r>
              <w:rPr>
                <w:rFonts w:hint="eastAsia" w:ascii="仿宋" w:hAnsi="仿宋" w:eastAsia="仿宋" w:cs="仿宋"/>
                <w:sz w:val="24"/>
                <w:szCs w:val="24"/>
                <w:lang w:eastAsia="zh-CN"/>
              </w:rPr>
              <w:t>供应商</w:t>
            </w:r>
            <w:r>
              <w:rPr>
                <w:rFonts w:hint="eastAsia" w:ascii="仿宋" w:hAnsi="仿宋" w:eastAsia="仿宋" w:cs="仿宋"/>
                <w:sz w:val="24"/>
                <w:szCs w:val="24"/>
                <w:lang w:val="en-US" w:eastAsia="zh-CN"/>
              </w:rPr>
              <w:t>提供的</w:t>
            </w:r>
            <w:r>
              <w:rPr>
                <w:rFonts w:hint="eastAsia" w:ascii="仿宋" w:hAnsi="仿宋" w:eastAsia="仿宋" w:cs="仿宋"/>
                <w:sz w:val="24"/>
                <w:szCs w:val="24"/>
              </w:rPr>
              <w:t>针对本项目</w:t>
            </w:r>
            <w:r>
              <w:rPr>
                <w:rFonts w:hint="eastAsia" w:ascii="仿宋" w:hAnsi="仿宋" w:eastAsia="仿宋" w:cs="仿宋"/>
                <w:i w:val="0"/>
                <w:iCs w:val="0"/>
                <w:color w:val="auto"/>
                <w:sz w:val="24"/>
                <w:szCs w:val="24"/>
                <w:highlight w:val="none"/>
              </w:rPr>
              <w:t>拟投入人员制定</w:t>
            </w:r>
            <w:r>
              <w:rPr>
                <w:rFonts w:hint="eastAsia" w:ascii="仿宋" w:hAnsi="仿宋" w:eastAsia="仿宋" w:cs="仿宋"/>
                <w:i w:val="0"/>
                <w:iCs w:val="0"/>
                <w:color w:val="auto"/>
                <w:sz w:val="24"/>
                <w:szCs w:val="24"/>
                <w:highlight w:val="none"/>
                <w:lang w:val="en-US" w:eastAsia="zh-CN"/>
              </w:rPr>
              <w:t>的</w:t>
            </w:r>
            <w:r>
              <w:rPr>
                <w:rFonts w:hint="eastAsia" w:ascii="仿宋" w:hAnsi="仿宋" w:eastAsia="仿宋" w:cs="仿宋"/>
                <w:i w:val="0"/>
                <w:iCs w:val="0"/>
                <w:color w:val="auto"/>
                <w:sz w:val="24"/>
                <w:szCs w:val="24"/>
                <w:highlight w:val="none"/>
              </w:rPr>
              <w:t>服务工作计划，确保技术人员到位的保障措施</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lang w:val="en-US" w:eastAsia="zh-CN"/>
              </w:rPr>
              <w:t>承诺的其他增值服务的</w:t>
            </w:r>
            <w:r>
              <w:rPr>
                <w:rFonts w:hint="eastAsia" w:ascii="仿宋" w:hAnsi="仿宋" w:eastAsia="仿宋" w:cs="仿宋"/>
                <w:i w:val="0"/>
                <w:iCs w:val="0"/>
                <w:color w:val="auto"/>
                <w:sz w:val="24"/>
                <w:szCs w:val="24"/>
                <w:highlight w:val="none"/>
              </w:rPr>
              <w:t>详细</w:t>
            </w:r>
            <w:r>
              <w:rPr>
                <w:rFonts w:hint="eastAsia" w:ascii="仿宋" w:hAnsi="仿宋" w:eastAsia="仿宋" w:cs="仿宋"/>
                <w:i w:val="0"/>
                <w:iCs w:val="0"/>
                <w:color w:val="auto"/>
                <w:sz w:val="24"/>
                <w:szCs w:val="24"/>
                <w:highlight w:val="none"/>
                <w:lang w:val="en-US" w:eastAsia="zh-CN"/>
              </w:rPr>
              <w:t>性、完整性</w:t>
            </w:r>
            <w:r>
              <w:rPr>
                <w:rFonts w:hint="eastAsia" w:ascii="仿宋" w:hAnsi="仿宋" w:eastAsia="仿宋" w:cs="仿宋"/>
                <w:i w:val="0"/>
                <w:iCs w:val="0"/>
                <w:color w:val="auto"/>
                <w:sz w:val="24"/>
                <w:szCs w:val="24"/>
                <w:highlight w:val="none"/>
              </w:rPr>
              <w:t>、可行</w:t>
            </w:r>
            <w:r>
              <w:rPr>
                <w:rFonts w:hint="eastAsia" w:ascii="仿宋" w:hAnsi="仿宋" w:eastAsia="仿宋" w:cs="仿宋"/>
                <w:i w:val="0"/>
                <w:iCs w:val="0"/>
                <w:color w:val="auto"/>
                <w:sz w:val="24"/>
                <w:szCs w:val="24"/>
                <w:highlight w:val="none"/>
                <w:lang w:val="en-US"/>
              </w:rPr>
              <w:t>性</w:t>
            </w:r>
            <w:r>
              <w:rPr>
                <w:rFonts w:hint="eastAsia" w:ascii="仿宋" w:hAnsi="仿宋" w:eastAsia="仿宋" w:cs="仿宋"/>
                <w:sz w:val="24"/>
                <w:szCs w:val="24"/>
                <w:lang w:eastAsia="zh-CN"/>
              </w:rPr>
              <w:t>，由评审专家进行综合打分</w:t>
            </w:r>
            <w:r>
              <w:rPr>
                <w:rFonts w:hint="eastAsia" w:ascii="仿宋" w:hAnsi="仿宋" w:eastAsia="仿宋" w:cs="仿宋"/>
                <w:sz w:val="24"/>
                <w:szCs w:val="24"/>
              </w:rPr>
              <w:t>。</w:t>
            </w:r>
          </w:p>
          <w:p w14:paraId="6E919072">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rPr>
            </w:pPr>
            <w:r>
              <w:rPr>
                <w:rFonts w:hint="eastAsia" w:ascii="仿宋" w:hAnsi="仿宋" w:eastAsia="仿宋" w:cs="仿宋"/>
                <w:sz w:val="24"/>
                <w:szCs w:val="24"/>
              </w:rPr>
              <w:t>①售后服务方案内容科学、完整、详细、全面、可行性高的得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2，4</w:t>
            </w:r>
            <w:r>
              <w:rPr>
                <w:rFonts w:hint="eastAsia" w:ascii="仿宋" w:hAnsi="仿宋" w:eastAsia="仿宋" w:cs="仿宋"/>
                <w:bCs/>
                <w:sz w:val="24"/>
                <w:lang w:val="en-US" w:eastAsia="zh-CN"/>
              </w:rPr>
              <w:t>]</w:t>
            </w:r>
            <w:r>
              <w:rPr>
                <w:rFonts w:hint="eastAsia" w:ascii="仿宋" w:hAnsi="仿宋" w:eastAsia="仿宋" w:cs="仿宋"/>
                <w:sz w:val="24"/>
                <w:szCs w:val="24"/>
              </w:rPr>
              <w:t>分；</w:t>
            </w:r>
          </w:p>
          <w:p w14:paraId="6A4BAEC7">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rPr>
            </w:pPr>
            <w:r>
              <w:rPr>
                <w:rFonts w:hint="eastAsia" w:ascii="仿宋" w:hAnsi="仿宋" w:eastAsia="仿宋" w:cs="仿宋"/>
                <w:sz w:val="24"/>
                <w:szCs w:val="24"/>
              </w:rPr>
              <w:t>②售后服务方案方案内容比较科学完整、详细、全面的得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1，2</w:t>
            </w:r>
            <w:r>
              <w:rPr>
                <w:rFonts w:hint="eastAsia" w:ascii="仿宋" w:hAnsi="仿宋" w:eastAsia="仿宋" w:cs="仿宋"/>
                <w:bCs/>
                <w:sz w:val="24"/>
                <w:lang w:val="en-US" w:eastAsia="zh-CN"/>
              </w:rPr>
              <w:t>]</w:t>
            </w:r>
            <w:r>
              <w:rPr>
                <w:rFonts w:hint="eastAsia" w:ascii="仿宋" w:hAnsi="仿宋" w:eastAsia="仿宋" w:cs="仿宋"/>
                <w:sz w:val="24"/>
                <w:szCs w:val="24"/>
              </w:rPr>
              <w:t>分；</w:t>
            </w:r>
          </w:p>
          <w:p w14:paraId="338C3AF1">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rPr>
            </w:pPr>
            <w:r>
              <w:rPr>
                <w:rFonts w:hint="eastAsia" w:ascii="仿宋" w:hAnsi="仿宋" w:eastAsia="仿宋" w:cs="仿宋"/>
                <w:sz w:val="24"/>
                <w:szCs w:val="24"/>
              </w:rPr>
              <w:t>③售后服务方案方案内容完整、详细、但不够全面的得</w:t>
            </w:r>
            <w:r>
              <w:rPr>
                <w:rFonts w:hint="eastAsia" w:ascii="仿宋" w:hAnsi="仿宋" w:eastAsia="仿宋" w:cs="仿宋"/>
                <w:bCs/>
                <w:sz w:val="24"/>
                <w:lang w:val="en-US" w:eastAsia="zh-CN"/>
              </w:rPr>
              <w:t>（</w:t>
            </w:r>
            <w:r>
              <w:rPr>
                <w:rFonts w:hint="eastAsia" w:ascii="仿宋" w:hAnsi="仿宋" w:eastAsia="仿宋" w:cs="仿宋"/>
                <w:sz w:val="24"/>
                <w:szCs w:val="24"/>
                <w:lang w:val="en-US" w:eastAsia="zh-CN"/>
              </w:rPr>
              <w:t>0，1</w:t>
            </w:r>
            <w:r>
              <w:rPr>
                <w:rFonts w:hint="eastAsia" w:ascii="仿宋" w:hAnsi="仿宋" w:eastAsia="仿宋" w:cs="仿宋"/>
                <w:bCs/>
                <w:sz w:val="24"/>
                <w:lang w:val="en-US" w:eastAsia="zh-CN"/>
              </w:rPr>
              <w:t>]</w:t>
            </w:r>
            <w:r>
              <w:rPr>
                <w:rFonts w:hint="eastAsia" w:ascii="仿宋" w:hAnsi="仿宋" w:eastAsia="仿宋" w:cs="仿宋"/>
                <w:sz w:val="24"/>
                <w:szCs w:val="24"/>
              </w:rPr>
              <w:t>分；</w:t>
            </w:r>
          </w:p>
          <w:p w14:paraId="3F39F091">
            <w:pPr>
              <w:keepNext w:val="0"/>
              <w:keepLines w:val="0"/>
              <w:pageBreakBefore w:val="0"/>
              <w:widowControl w:val="0"/>
              <w:kinsoku/>
              <w:wordWrap/>
              <w:overflowPunct/>
              <w:topLinePunct w:val="0"/>
              <w:autoSpaceDE/>
              <w:autoSpaceDN/>
              <w:bidi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rPr>
              <w:t>④未提供相关内容或不符合项目的不得分</w:t>
            </w:r>
            <w:r>
              <w:rPr>
                <w:rFonts w:hint="eastAsia" w:ascii="仿宋" w:hAnsi="仿宋" w:eastAsia="仿宋" w:cs="仿宋"/>
                <w:sz w:val="24"/>
                <w:szCs w:val="24"/>
                <w:lang w:eastAsia="zh-CN"/>
              </w:rPr>
              <w:t>。</w:t>
            </w:r>
          </w:p>
        </w:tc>
        <w:tc>
          <w:tcPr>
            <w:tcW w:w="1005" w:type="dxa"/>
            <w:noWrap w:val="0"/>
            <w:vAlign w:val="center"/>
          </w:tcPr>
          <w:p w14:paraId="1736C255">
            <w:pPr>
              <w:keepNext w:val="0"/>
              <w:keepLines w:val="0"/>
              <w:pageBreakBefore w:val="0"/>
              <w:widowControl w:val="0"/>
              <w:tabs>
                <w:tab w:val="left" w:pos="0"/>
              </w:tabs>
              <w:kinsoku/>
              <w:wordWrap/>
              <w:overflowPunct/>
              <w:topLinePunct w:val="0"/>
              <w:autoSpaceDE/>
              <w:autoSpaceDN/>
              <w:bidi w:val="0"/>
              <w:snapToGrid w:val="0"/>
              <w:spacing w:line="360" w:lineRule="exact"/>
              <w:jc w:val="center"/>
              <w:rPr>
                <w:rFonts w:hint="eastAsia" w:ascii="仿宋" w:hAnsi="仿宋" w:eastAsia="仿宋" w:cs="仿宋"/>
                <w:b/>
                <w:bCs w:val="0"/>
                <w:color w:val="auto"/>
                <w:sz w:val="24"/>
                <w:szCs w:val="24"/>
                <w:lang w:val="en-US" w:eastAsia="zh-CN"/>
              </w:rPr>
            </w:pPr>
            <w:r>
              <w:rPr>
                <w:rFonts w:hint="eastAsia" w:ascii="仿宋" w:hAnsi="仿宋" w:eastAsia="仿宋" w:cs="仿宋"/>
                <w:b/>
                <w:bCs/>
                <w:color w:val="auto"/>
                <w:sz w:val="24"/>
                <w:szCs w:val="24"/>
                <w:lang w:val="en-US" w:eastAsia="zh-CN"/>
              </w:rPr>
              <w:t>0-4</w:t>
            </w:r>
            <w:r>
              <w:rPr>
                <w:rFonts w:hint="eastAsia" w:ascii="仿宋" w:hAnsi="仿宋" w:eastAsia="仿宋" w:cs="仿宋"/>
                <w:b/>
                <w:bCs/>
                <w:color w:val="auto"/>
                <w:sz w:val="24"/>
                <w:szCs w:val="24"/>
              </w:rPr>
              <w:t>分</w:t>
            </w:r>
          </w:p>
        </w:tc>
      </w:tr>
    </w:tbl>
    <w:p w14:paraId="659C371E">
      <w:pPr>
        <w:snapToGrid w:val="0"/>
        <w:spacing w:line="420" w:lineRule="exact"/>
        <w:rPr>
          <w:rFonts w:hint="eastAsia" w:ascii="仿宋" w:hAnsi="仿宋" w:eastAsia="仿宋" w:cs="仿宋"/>
          <w:b w:val="0"/>
          <w:bCs/>
          <w:sz w:val="24"/>
        </w:rPr>
      </w:pPr>
      <w:r>
        <w:rPr>
          <w:rFonts w:hint="eastAsia" w:ascii="仿宋" w:hAnsi="仿宋" w:eastAsia="仿宋" w:cs="宋体"/>
          <w:b w:val="0"/>
          <w:bCs/>
          <w:sz w:val="24"/>
          <w:szCs w:val="24"/>
          <w:lang w:eastAsia="zh-CN"/>
        </w:rPr>
        <w:t>（</w:t>
      </w:r>
      <w:r>
        <w:rPr>
          <w:rFonts w:hint="eastAsia" w:ascii="仿宋" w:hAnsi="仿宋" w:eastAsia="仿宋" w:cs="宋体"/>
          <w:b w:val="0"/>
          <w:bCs/>
          <w:sz w:val="24"/>
          <w:szCs w:val="24"/>
          <w:lang w:val="en-US" w:eastAsia="zh-CN"/>
        </w:rPr>
        <w:t>3</w:t>
      </w:r>
      <w:r>
        <w:rPr>
          <w:rFonts w:hint="eastAsia" w:ascii="仿宋" w:hAnsi="仿宋" w:eastAsia="仿宋" w:cs="宋体"/>
          <w:b w:val="0"/>
          <w:bCs/>
          <w:sz w:val="24"/>
          <w:szCs w:val="24"/>
          <w:lang w:eastAsia="zh-CN"/>
        </w:rPr>
        <w:t>）</w:t>
      </w:r>
      <w:r>
        <w:rPr>
          <w:rFonts w:hint="eastAsia" w:ascii="仿宋" w:hAnsi="仿宋" w:eastAsia="仿宋" w:cs="宋体"/>
          <w:b w:val="0"/>
          <w:bCs/>
          <w:color w:val="auto"/>
          <w:sz w:val="24"/>
          <w:szCs w:val="24"/>
          <w:highlight w:val="none"/>
          <w:lang w:eastAsia="zh-CN"/>
        </w:rPr>
        <w:t>通过资格评审和符合性评审的供应商全部入围进行报价评审</w:t>
      </w:r>
      <w:r>
        <w:rPr>
          <w:rFonts w:hint="eastAsia" w:ascii="仿宋" w:hAnsi="仿宋" w:eastAsia="仿宋" w:cs="宋体"/>
          <w:b w:val="0"/>
          <w:bCs/>
          <w:sz w:val="24"/>
          <w:szCs w:val="24"/>
        </w:rPr>
        <w:t>。</w:t>
      </w:r>
    </w:p>
    <w:p w14:paraId="5FB14689">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（4</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特别说明</w:t>
      </w:r>
      <w:r>
        <w:rPr>
          <w:rFonts w:hint="eastAsia" w:ascii="仿宋" w:hAnsi="仿宋" w:eastAsia="仿宋" w:cs="仿宋"/>
          <w:b w:val="0"/>
          <w:bCs/>
          <w:color w:val="auto"/>
          <w:sz w:val="24"/>
          <w:szCs w:val="24"/>
          <w:lang w:eastAsia="zh-CN"/>
        </w:rPr>
        <w:t>：</w:t>
      </w:r>
    </w:p>
    <w:p w14:paraId="5C72698C">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720" w:firstLineChars="3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①本项目二个标项均采用同一商务技术评分细则，按标项一到标项二的先后顺序依次进行评审；</w:t>
      </w:r>
    </w:p>
    <w:p w14:paraId="3A1FEA13">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720" w:firstLineChars="3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②投标人可以选择单个或多个标项投标，各标项有效投标人三家及以上时每个投标人只能中一个标项，中标后自动退出后续标项的评审。若后续标项不足三家有效投标人时所有有效投标人均进入后续标项的评审程序，此时一个投标人允许中标多个标项。</w:t>
      </w:r>
    </w:p>
    <w:p w14:paraId="35816176">
      <w:pPr>
        <w:keepNext w:val="0"/>
        <w:keepLines w:val="0"/>
        <w:pageBreakBefore w:val="0"/>
        <w:widowControl w:val="0"/>
        <w:kinsoku/>
        <w:wordWrap/>
        <w:overflowPunct/>
        <w:topLinePunct w:val="0"/>
        <w:autoSpaceDE/>
        <w:autoSpaceDN/>
        <w:bidi w:val="0"/>
        <w:adjustRightInd w:val="0"/>
        <w:snapToGrid/>
        <w:spacing w:line="312" w:lineRule="auto"/>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w:t>
      </w:r>
    </w:p>
    <w:p w14:paraId="7E2F6307">
      <w:pPr>
        <w:keepNext w:val="0"/>
        <w:keepLines w:val="0"/>
        <w:pageBreakBefore w:val="0"/>
        <w:widowControl w:val="0"/>
        <w:kinsoku/>
        <w:wordWrap/>
        <w:overflowPunct/>
        <w:topLinePunct w:val="0"/>
        <w:autoSpaceDE/>
        <w:autoSpaceDN/>
        <w:bidi w:val="0"/>
        <w:adjustRightInd w:val="0"/>
        <w:snapToGrid/>
        <w:spacing w:line="312" w:lineRule="auto"/>
        <w:ind w:firstLine="480" w:firstLineChars="200"/>
        <w:textAlignment w:val="auto"/>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val="en-US" w:eastAsia="zh-CN"/>
        </w:rPr>
        <w:t>①</w:t>
      </w:r>
      <w:r>
        <w:rPr>
          <w:rFonts w:hint="eastAsia" w:ascii="仿宋" w:hAnsi="仿宋" w:eastAsia="仿宋" w:cs="仿宋"/>
          <w:b w:val="0"/>
          <w:bCs/>
          <w:color w:val="auto"/>
          <w:sz w:val="24"/>
          <w:highlight w:val="none"/>
        </w:rPr>
        <w:t>相关评分资质、证书等证明材料必须在有效期内，否则对应项不得分；</w:t>
      </w:r>
    </w:p>
    <w:p w14:paraId="2D121F65">
      <w:pPr>
        <w:keepNext w:val="0"/>
        <w:keepLines w:val="0"/>
        <w:pageBreakBefore w:val="0"/>
        <w:widowControl w:val="0"/>
        <w:kinsoku/>
        <w:wordWrap/>
        <w:overflowPunct/>
        <w:topLinePunct w:val="0"/>
        <w:autoSpaceDE/>
        <w:autoSpaceDN/>
        <w:bidi w:val="0"/>
        <w:adjustRightInd w:val="0"/>
        <w:snapToGrid/>
        <w:spacing w:line="312"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②供应商</w:t>
      </w:r>
      <w:r>
        <w:rPr>
          <w:rFonts w:hint="eastAsia" w:ascii="仿宋" w:hAnsi="仿宋" w:eastAsia="仿宋" w:cs="仿宋"/>
          <w:color w:val="auto"/>
          <w:sz w:val="24"/>
          <w:highlight w:val="none"/>
        </w:rPr>
        <w:t>编制</w:t>
      </w:r>
      <w:r>
        <w:rPr>
          <w:rFonts w:hint="eastAsia" w:ascii="仿宋" w:hAnsi="仿宋" w:eastAsia="仿宋" w:cs="仿宋"/>
          <w:color w:val="auto"/>
          <w:sz w:val="24"/>
          <w:highlight w:val="none"/>
          <w:lang w:val="en-US" w:eastAsia="zh-CN"/>
        </w:rPr>
        <w:t>响应</w:t>
      </w:r>
      <w:r>
        <w:rPr>
          <w:rFonts w:hint="eastAsia" w:ascii="仿宋" w:hAnsi="仿宋" w:eastAsia="仿宋" w:cs="仿宋"/>
          <w:color w:val="auto"/>
          <w:sz w:val="24"/>
          <w:highlight w:val="none"/>
        </w:rPr>
        <w:t>文件（商务技术文件部分）时，建议按上述评审细则的顺序提供评分标准相应的商务技术资料。</w:t>
      </w:r>
    </w:p>
    <w:p w14:paraId="7461A244">
      <w:pPr>
        <w:spacing w:line="300" w:lineRule="auto"/>
        <w:ind w:firstLine="480" w:firstLineChars="200"/>
        <w:rPr>
          <w:rFonts w:ascii="仿宋" w:hAnsi="仿宋" w:eastAsia="仿宋" w:cs="宋体"/>
          <w:b w:val="0"/>
          <w:bCs w:val="0"/>
          <w:sz w:val="24"/>
          <w:szCs w:val="24"/>
        </w:rPr>
      </w:pPr>
      <w:r>
        <w:rPr>
          <w:rFonts w:hint="eastAsia" w:ascii="仿宋" w:hAnsi="仿宋" w:eastAsia="仿宋" w:cs="宋体"/>
          <w:b w:val="0"/>
          <w:bCs w:val="0"/>
          <w:sz w:val="24"/>
          <w:szCs w:val="24"/>
          <w:lang w:val="en-US" w:eastAsia="zh-CN"/>
        </w:rPr>
        <w:t>4</w:t>
      </w:r>
      <w:r>
        <w:rPr>
          <w:rFonts w:hint="eastAsia" w:ascii="仿宋" w:hAnsi="仿宋" w:eastAsia="仿宋" w:cs="宋体"/>
          <w:b w:val="0"/>
          <w:bCs w:val="0"/>
          <w:sz w:val="24"/>
          <w:szCs w:val="24"/>
        </w:rPr>
        <w:t>、报价分（20分）</w:t>
      </w:r>
    </w:p>
    <w:p w14:paraId="4DFDE28C">
      <w:pPr>
        <w:spacing w:line="300" w:lineRule="auto"/>
        <w:ind w:firstLine="480" w:firstLineChars="200"/>
        <w:rPr>
          <w:rFonts w:ascii="仿宋" w:hAnsi="仿宋" w:eastAsia="仿宋" w:cs="宋体"/>
          <w:sz w:val="24"/>
          <w:szCs w:val="24"/>
        </w:rPr>
      </w:pPr>
      <w:r>
        <w:rPr>
          <w:rFonts w:hint="eastAsia" w:ascii="仿宋" w:hAnsi="仿宋" w:eastAsia="仿宋" w:cs="宋体"/>
          <w:color w:val="auto"/>
          <w:sz w:val="24"/>
          <w:szCs w:val="24"/>
        </w:rPr>
        <w:t>报价得分计算方法：</w:t>
      </w:r>
    </w:p>
    <w:p w14:paraId="7A7DE537">
      <w:pPr>
        <w:spacing w:line="30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报价得分统一采用低价优先法计算，</w:t>
      </w:r>
      <w:r>
        <w:rPr>
          <w:rFonts w:ascii="仿宋" w:hAnsi="仿宋" w:eastAsia="仿宋" w:cs="宋体"/>
          <w:sz w:val="24"/>
          <w:szCs w:val="24"/>
        </w:rPr>
        <w:t>满足磋商文件要求且最后报价最低的供应商的价格为基准价，其报价得分为满分（</w:t>
      </w:r>
      <w:r>
        <w:rPr>
          <w:rFonts w:hint="eastAsia" w:ascii="仿宋" w:hAnsi="仿宋" w:eastAsia="仿宋" w:cs="宋体"/>
          <w:sz w:val="24"/>
          <w:szCs w:val="24"/>
        </w:rPr>
        <w:t>20分</w:t>
      </w:r>
      <w:r>
        <w:rPr>
          <w:rFonts w:ascii="仿宋" w:hAnsi="仿宋" w:eastAsia="仿宋" w:cs="宋体"/>
          <w:sz w:val="24"/>
          <w:szCs w:val="24"/>
        </w:rPr>
        <w:t>）。其他供应商的报价得分统一按照下列公式计算：报价得分=（基准价／</w:t>
      </w:r>
      <w:r>
        <w:rPr>
          <w:rFonts w:hint="eastAsia" w:ascii="仿宋" w:hAnsi="仿宋" w:eastAsia="仿宋" w:cs="宋体"/>
          <w:sz w:val="24"/>
          <w:szCs w:val="24"/>
          <w:lang w:val="en-US" w:eastAsia="zh-CN"/>
        </w:rPr>
        <w:t>投标</w:t>
      </w:r>
      <w:r>
        <w:rPr>
          <w:rFonts w:ascii="仿宋" w:hAnsi="仿宋" w:eastAsia="仿宋" w:cs="宋体"/>
          <w:sz w:val="24"/>
          <w:szCs w:val="24"/>
        </w:rPr>
        <w:t>最后报价）×</w:t>
      </w:r>
      <w:r>
        <w:rPr>
          <w:rFonts w:hint="eastAsia" w:ascii="仿宋" w:hAnsi="仿宋" w:eastAsia="仿宋" w:cs="宋体"/>
          <w:sz w:val="24"/>
          <w:szCs w:val="24"/>
        </w:rPr>
        <w:t>价格权值×100，价格权值=20%。</w:t>
      </w:r>
    </w:p>
    <w:bookmarkEnd w:id="0"/>
    <w:bookmarkEnd w:id="1"/>
    <w:bookmarkEnd w:id="2"/>
    <w:p w14:paraId="585F3111">
      <w:pPr>
        <w:pStyle w:val="2"/>
        <w:numPr>
          <w:ilvl w:val="0"/>
          <w:numId w:val="1"/>
        </w:numPr>
        <w:ind w:left="0" w:leftChars="0" w:firstLine="0" w:firstLineChars="0"/>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采购需求</w:t>
      </w:r>
    </w:p>
    <w:p w14:paraId="27A2FE36">
      <w:pPr>
        <w:keepNext w:val="0"/>
        <w:keepLines w:val="0"/>
        <w:pageBreakBefore w:val="0"/>
        <w:widowControl w:val="0"/>
        <w:kinsoku/>
        <w:wordWrap/>
        <w:overflowPunct/>
        <w:topLinePunct w:val="0"/>
        <w:autoSpaceDE/>
        <w:autoSpaceDN/>
        <w:bidi w:val="0"/>
        <w:spacing w:line="420" w:lineRule="exact"/>
        <w:textAlignment w:val="auto"/>
        <w:rPr>
          <w:rFonts w:ascii="仿宋" w:hAnsi="仿宋" w:eastAsia="仿宋"/>
          <w:b/>
          <w:bCs/>
          <w:sz w:val="24"/>
          <w:szCs w:val="24"/>
          <w:u w:val="none"/>
        </w:rPr>
      </w:pPr>
      <w:r>
        <w:rPr>
          <w:rFonts w:hint="eastAsia" w:ascii="仿宋" w:hAnsi="仿宋" w:eastAsia="仿宋"/>
          <w:b/>
          <w:bCs/>
          <w:sz w:val="24"/>
          <w:szCs w:val="24"/>
          <w:u w:val="none"/>
          <w:lang w:eastAsia="zh-CN"/>
        </w:rPr>
        <w:t>（</w:t>
      </w:r>
      <w:r>
        <w:rPr>
          <w:rFonts w:hint="eastAsia" w:ascii="仿宋" w:hAnsi="仿宋" w:eastAsia="仿宋"/>
          <w:b/>
          <w:bCs/>
          <w:sz w:val="24"/>
          <w:szCs w:val="24"/>
          <w:u w:val="none"/>
        </w:rPr>
        <w:t>一</w:t>
      </w:r>
      <w:r>
        <w:rPr>
          <w:rFonts w:hint="eastAsia" w:ascii="仿宋" w:hAnsi="仿宋" w:eastAsia="仿宋"/>
          <w:b/>
          <w:bCs/>
          <w:sz w:val="24"/>
          <w:szCs w:val="24"/>
          <w:u w:val="none"/>
          <w:lang w:eastAsia="zh-CN"/>
        </w:rPr>
        <w:t>）</w:t>
      </w:r>
      <w:r>
        <w:rPr>
          <w:rFonts w:hint="eastAsia" w:ascii="仿宋" w:hAnsi="仿宋" w:eastAsia="仿宋"/>
          <w:b/>
          <w:bCs/>
          <w:sz w:val="24"/>
          <w:szCs w:val="24"/>
          <w:u w:val="none"/>
        </w:rPr>
        <w:t>项目概况</w:t>
      </w:r>
    </w:p>
    <w:p w14:paraId="3EF84822">
      <w:pPr>
        <w:pStyle w:val="13"/>
        <w:keepNext w:val="0"/>
        <w:keepLines w:val="0"/>
        <w:pageBreakBefore w:val="0"/>
        <w:widowControl/>
        <w:kinsoku/>
        <w:wordWrap w:val="0"/>
        <w:overflowPunct/>
        <w:topLinePunct/>
        <w:autoSpaceDE/>
        <w:autoSpaceDN/>
        <w:bidi w:val="0"/>
        <w:adjustRightInd/>
        <w:snapToGrid/>
        <w:spacing w:before="0" w:beforeAutospacing="0" w:after="0" w:afterAutospacing="0" w:line="420" w:lineRule="exact"/>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bCs/>
          <w:sz w:val="24"/>
          <w:szCs w:val="24"/>
        </w:rPr>
        <w:t>1</w:t>
      </w:r>
      <w:r>
        <w:rPr>
          <w:rFonts w:hint="eastAsia" w:ascii="仿宋" w:hAnsi="仿宋" w:eastAsia="仿宋"/>
          <w:bCs/>
          <w:sz w:val="24"/>
          <w:szCs w:val="24"/>
          <w:lang w:eastAsia="zh-CN"/>
        </w:rPr>
        <w:t>、</w:t>
      </w:r>
      <w:r>
        <w:rPr>
          <w:rFonts w:hint="eastAsia" w:ascii="仿宋" w:hAnsi="仿宋" w:eastAsia="仿宋"/>
          <w:bCs/>
          <w:sz w:val="24"/>
          <w:szCs w:val="24"/>
          <w:lang w:val="en-US" w:eastAsia="zh-CN"/>
        </w:rPr>
        <w:t>项目</w:t>
      </w:r>
      <w:r>
        <w:rPr>
          <w:rFonts w:hint="eastAsia" w:ascii="仿宋" w:hAnsi="仿宋" w:eastAsia="仿宋"/>
          <w:bCs/>
          <w:sz w:val="24"/>
          <w:szCs w:val="24"/>
        </w:rPr>
        <w:t>规模：</w:t>
      </w:r>
      <w:r>
        <w:rPr>
          <w:rFonts w:hint="eastAsia" w:ascii="仿宋" w:hAnsi="仿宋" w:eastAsia="仿宋" w:cs="仿宋"/>
          <w:color w:val="auto"/>
          <w:sz w:val="24"/>
          <w:highlight w:val="none"/>
          <w:lang w:eastAsia="zh-CN"/>
        </w:rPr>
        <w:t>暨南街道2026年度建筑、市政及风景园林、公路工程设计服务采购项目</w:t>
      </w:r>
      <w:r>
        <w:rPr>
          <w:rFonts w:hint="eastAsia" w:ascii="仿宋" w:hAnsi="仿宋" w:eastAsia="仿宋" w:cs="仿宋"/>
          <w:sz w:val="24"/>
          <w:szCs w:val="24"/>
          <w:highlight w:val="none"/>
        </w:rPr>
        <w:t>，</w:t>
      </w:r>
      <w:r>
        <w:rPr>
          <w:rFonts w:hint="eastAsia" w:ascii="仿宋" w:hAnsi="仿宋" w:eastAsia="仿宋" w:cs="仿宋"/>
          <w:sz w:val="24"/>
          <w:szCs w:val="24"/>
        </w:rPr>
        <w:t>采购预算金额为</w:t>
      </w:r>
      <w:r>
        <w:rPr>
          <w:rFonts w:hint="eastAsia" w:ascii="仿宋" w:hAnsi="仿宋" w:eastAsia="仿宋" w:cs="仿宋"/>
          <w:sz w:val="24"/>
          <w:szCs w:val="24"/>
          <w:highlight w:val="none"/>
        </w:rPr>
        <w:t>人民币</w:t>
      </w:r>
      <w:r>
        <w:rPr>
          <w:rFonts w:hint="eastAsia" w:ascii="仿宋" w:hAnsi="仿宋" w:eastAsia="仿宋" w:cs="宋体"/>
          <w:sz w:val="24"/>
          <w:szCs w:val="24"/>
          <w:highlight w:val="none"/>
          <w:lang w:val="en-US" w:eastAsia="zh-CN"/>
        </w:rPr>
        <w:t>玖拾万</w:t>
      </w:r>
      <w:r>
        <w:rPr>
          <w:rFonts w:hint="eastAsia" w:ascii="仿宋" w:hAnsi="仿宋" w:eastAsia="仿宋" w:cs="宋体"/>
          <w:sz w:val="24"/>
          <w:szCs w:val="24"/>
          <w:highlight w:val="none"/>
        </w:rPr>
        <w:t>元</w:t>
      </w:r>
      <w:r>
        <w:rPr>
          <w:rFonts w:hint="eastAsia" w:ascii="仿宋" w:hAnsi="仿宋" w:eastAsia="仿宋" w:cs="宋体"/>
          <w:bCs/>
          <w:sz w:val="24"/>
          <w:szCs w:val="24"/>
          <w:highlight w:val="none"/>
        </w:rPr>
        <w:t>整</w:t>
      </w:r>
      <w:r>
        <w:rPr>
          <w:rFonts w:hint="eastAsia" w:ascii="仿宋_GB2312" w:hAnsi="仿宋_GB2312" w:eastAsia="仿宋_GB2312" w:cs="仿宋_GB2312"/>
          <w:bCs/>
          <w:sz w:val="24"/>
          <w:szCs w:val="24"/>
          <w:highlight w:val="none"/>
        </w:rPr>
        <w:t>（¥</w:t>
      </w:r>
      <w:r>
        <w:rPr>
          <w:rFonts w:hint="eastAsia" w:ascii="仿宋" w:hAnsi="仿宋" w:eastAsia="仿宋" w:cs="宋体"/>
          <w:bCs/>
          <w:sz w:val="24"/>
          <w:szCs w:val="24"/>
          <w:highlight w:val="none"/>
          <w:lang w:val="en-US" w:eastAsia="zh-CN"/>
        </w:rPr>
        <w:t>900000</w:t>
      </w:r>
      <w:r>
        <w:rPr>
          <w:rFonts w:hint="eastAsia" w:ascii="仿宋" w:hAnsi="仿宋" w:eastAsia="仿宋" w:cs="宋体"/>
          <w:bCs/>
          <w:sz w:val="24"/>
          <w:szCs w:val="24"/>
          <w:highlight w:val="none"/>
        </w:rPr>
        <w:t>.00）</w:t>
      </w:r>
      <w:r>
        <w:rPr>
          <w:rFonts w:hint="eastAsia" w:ascii="仿宋" w:hAnsi="仿宋" w:eastAsia="仿宋" w:cs="仿宋"/>
          <w:sz w:val="24"/>
          <w:szCs w:val="24"/>
        </w:rPr>
        <w:t>。</w:t>
      </w:r>
      <w:r>
        <w:rPr>
          <w:rFonts w:hint="eastAsia" w:ascii="仿宋" w:hAnsi="仿宋" w:eastAsia="仿宋" w:cs="仿宋"/>
          <w:sz w:val="24"/>
          <w:szCs w:val="24"/>
          <w:highlight w:val="none"/>
        </w:rPr>
        <w:t>本项目分为二个标项</w:t>
      </w:r>
      <w:r>
        <w:rPr>
          <w:rFonts w:hint="eastAsia" w:ascii="仿宋" w:hAnsi="仿宋" w:eastAsia="仿宋" w:cs="仿宋"/>
          <w:sz w:val="24"/>
          <w:szCs w:val="24"/>
          <w:highlight w:val="none"/>
          <w:lang w:eastAsia="zh-CN"/>
        </w:rPr>
        <w:t>，</w:t>
      </w:r>
      <w:r>
        <w:rPr>
          <w:rFonts w:hint="eastAsia" w:ascii="仿宋" w:hAnsi="仿宋" w:eastAsia="仿宋" w:cs="仿宋"/>
          <w:b w:val="0"/>
          <w:bCs/>
          <w:color w:val="000000"/>
          <w:sz w:val="24"/>
          <w:szCs w:val="24"/>
          <w:highlight w:val="none"/>
          <w:lang w:val="en-US" w:eastAsia="zh-CN" w:bidi="ar-SA"/>
        </w:rPr>
        <w:t>按折扣招标</w:t>
      </w:r>
      <w:r>
        <w:rPr>
          <w:rFonts w:hint="eastAsia" w:ascii="仿宋" w:hAnsi="仿宋" w:eastAsia="仿宋" w:cs="仿宋"/>
          <w:b w:val="0"/>
          <w:bCs/>
          <w:color w:val="auto"/>
          <w:sz w:val="24"/>
          <w:szCs w:val="24"/>
          <w:highlight w:val="none"/>
          <w:lang w:val="en-US" w:eastAsia="zh-CN" w:bidi="ar-SA"/>
        </w:rPr>
        <w:t>，数量按实结算，</w:t>
      </w:r>
      <w:r>
        <w:rPr>
          <w:rFonts w:hint="eastAsia" w:ascii="仿宋" w:hAnsi="仿宋" w:eastAsia="仿宋" w:cs="仿宋"/>
          <w:color w:val="auto"/>
          <w:sz w:val="24"/>
          <w:highlight w:val="none"/>
          <w:lang w:eastAsia="zh-CN"/>
        </w:rPr>
        <w:t>累计结算金额均不超过各标项采购预算金额。</w:t>
      </w:r>
    </w:p>
    <w:p w14:paraId="0F70F83C">
      <w:pPr>
        <w:pStyle w:val="13"/>
        <w:keepNext w:val="0"/>
        <w:keepLines w:val="0"/>
        <w:pageBreakBefore w:val="0"/>
        <w:widowControl/>
        <w:kinsoku/>
        <w:wordWrap w:val="0"/>
        <w:overflowPunct/>
        <w:topLinePunct/>
        <w:autoSpaceDE/>
        <w:autoSpaceDN/>
        <w:bidi w:val="0"/>
        <w:adjustRightInd/>
        <w:snapToGrid/>
        <w:spacing w:before="0" w:beforeAutospacing="0" w:after="0" w:afterAutospacing="0" w:line="42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各标项采购预算金额详见下表：</w:t>
      </w:r>
    </w:p>
    <w:tbl>
      <w:tblPr>
        <w:tblStyle w:val="17"/>
        <w:tblpPr w:leftFromText="180" w:rightFromText="180" w:vertAnchor="text" w:horzAnchor="page" w:tblpX="1777" w:tblpY="211"/>
        <w:tblOverlap w:val="never"/>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4688"/>
        <w:gridCol w:w="1545"/>
        <w:gridCol w:w="1800"/>
      </w:tblGrid>
      <w:tr w14:paraId="6A15E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trPr>
        <w:tc>
          <w:tcPr>
            <w:tcW w:w="1127" w:type="dxa"/>
            <w:noWrap w:val="0"/>
            <w:vAlign w:val="center"/>
          </w:tcPr>
          <w:p w14:paraId="42ADED2C">
            <w:pPr>
              <w:keepNext w:val="0"/>
              <w:keepLines w:val="0"/>
              <w:pageBreakBefore w:val="0"/>
              <w:widowControl/>
              <w:kinsoku/>
              <w:wordWrap/>
              <w:overflowPunct/>
              <w:topLinePunct w:val="0"/>
              <w:bidi w:val="0"/>
              <w:adjustRightInd w:val="0"/>
              <w:snapToGrid w:val="0"/>
              <w:spacing w:line="400" w:lineRule="exact"/>
              <w:ind w:firstLine="240" w:firstLineChars="100"/>
              <w:jc w:val="left"/>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标项</w:t>
            </w:r>
          </w:p>
        </w:tc>
        <w:tc>
          <w:tcPr>
            <w:tcW w:w="4688" w:type="dxa"/>
            <w:noWrap w:val="0"/>
            <w:vAlign w:val="center"/>
          </w:tcPr>
          <w:p w14:paraId="16DB4EE7">
            <w:pPr>
              <w:keepNext w:val="0"/>
              <w:keepLines w:val="0"/>
              <w:pageBreakBefore w:val="0"/>
              <w:widowControl/>
              <w:kinsoku/>
              <w:wordWrap/>
              <w:overflowPunct/>
              <w:topLinePunct w:val="0"/>
              <w:bidi w:val="0"/>
              <w:adjustRightInd w:val="0"/>
              <w:snapToGrid w:val="0"/>
              <w:spacing w:line="400" w:lineRule="exact"/>
              <w:jc w:val="center"/>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采购内容</w:t>
            </w:r>
          </w:p>
        </w:tc>
        <w:tc>
          <w:tcPr>
            <w:tcW w:w="1545" w:type="dxa"/>
            <w:noWrap w:val="0"/>
            <w:vAlign w:val="center"/>
          </w:tcPr>
          <w:p w14:paraId="1F5ACA48">
            <w:pPr>
              <w:keepNext w:val="0"/>
              <w:keepLines w:val="0"/>
              <w:pageBreakBefore w:val="0"/>
              <w:widowControl/>
              <w:kinsoku/>
              <w:wordWrap/>
              <w:overflowPunct/>
              <w:topLinePunct w:val="0"/>
              <w:bidi w:val="0"/>
              <w:adjustRightInd w:val="0"/>
              <w:snapToGrid w:val="0"/>
              <w:spacing w:line="400" w:lineRule="exact"/>
              <w:jc w:val="center"/>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最高折扣限价</w:t>
            </w:r>
          </w:p>
        </w:tc>
        <w:tc>
          <w:tcPr>
            <w:tcW w:w="1800" w:type="dxa"/>
            <w:noWrap w:val="0"/>
            <w:vAlign w:val="center"/>
          </w:tcPr>
          <w:p w14:paraId="7B463017">
            <w:pPr>
              <w:keepNext w:val="0"/>
              <w:keepLines w:val="0"/>
              <w:pageBreakBefore w:val="0"/>
              <w:widowControl/>
              <w:kinsoku/>
              <w:wordWrap/>
              <w:overflowPunct/>
              <w:topLinePunct w:val="0"/>
              <w:bidi w:val="0"/>
              <w:adjustRightInd w:val="0"/>
              <w:snapToGrid w:val="0"/>
              <w:spacing w:line="400" w:lineRule="exact"/>
              <w:jc w:val="center"/>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预算金额</w:t>
            </w:r>
          </w:p>
        </w:tc>
      </w:tr>
      <w:tr w14:paraId="36137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rPr>
        <w:tc>
          <w:tcPr>
            <w:tcW w:w="1127" w:type="dxa"/>
            <w:noWrap w:val="0"/>
            <w:vAlign w:val="center"/>
          </w:tcPr>
          <w:p w14:paraId="5CADC4A4">
            <w:pPr>
              <w:keepNext w:val="0"/>
              <w:keepLines w:val="0"/>
              <w:pageBreakBefore w:val="0"/>
              <w:widowControl/>
              <w:kinsoku/>
              <w:wordWrap/>
              <w:overflowPunct/>
              <w:topLinePunct w:val="0"/>
              <w:bidi w:val="0"/>
              <w:adjustRightInd w:val="0"/>
              <w:snapToGrid w:val="0"/>
              <w:spacing w:line="400" w:lineRule="exact"/>
              <w:jc w:val="center"/>
              <w:textAlignment w:val="auto"/>
              <w:rPr>
                <w:rFonts w:hint="eastAsia" w:ascii="仿宋" w:hAnsi="仿宋" w:eastAsia="仿宋" w:cs="仿宋"/>
                <w:bCs/>
                <w:color w:val="auto"/>
                <w:sz w:val="24"/>
                <w:szCs w:val="24"/>
                <w:lang w:val="en-US" w:eastAsia="zh-CN"/>
              </w:rPr>
            </w:pPr>
            <w:bookmarkStart w:id="6" w:name="_GoBack" w:colFirst="0" w:colLast="1"/>
            <w:r>
              <w:rPr>
                <w:rFonts w:hint="eastAsia" w:ascii="仿宋" w:hAnsi="仿宋" w:eastAsia="仿宋" w:cs="仿宋"/>
                <w:bCs/>
                <w:color w:val="auto"/>
                <w:sz w:val="24"/>
                <w:szCs w:val="24"/>
                <w:lang w:val="en-US" w:eastAsia="zh-CN"/>
              </w:rPr>
              <w:t>标项一</w:t>
            </w:r>
          </w:p>
        </w:tc>
        <w:tc>
          <w:tcPr>
            <w:tcW w:w="4688" w:type="dxa"/>
            <w:noWrap w:val="0"/>
            <w:vAlign w:val="center"/>
          </w:tcPr>
          <w:p w14:paraId="529132DA">
            <w:pPr>
              <w:tabs>
                <w:tab w:val="left" w:pos="142"/>
              </w:tabs>
              <w:snapToGrid w:val="0"/>
              <w:spacing w:line="400" w:lineRule="exact"/>
              <w:jc w:val="both"/>
              <w:rPr>
                <w:rFonts w:hint="eastAsia" w:ascii="仿宋" w:hAnsi="仿宋" w:eastAsia="仿宋" w:cs="仿宋"/>
                <w:bCs/>
                <w:color w:val="auto"/>
                <w:sz w:val="24"/>
                <w:szCs w:val="24"/>
                <w:lang w:val="en-US" w:eastAsia="zh-CN"/>
              </w:rPr>
            </w:pPr>
            <w:r>
              <w:rPr>
                <w:rFonts w:hint="eastAsia" w:ascii="仿宋" w:hAnsi="仿宋" w:eastAsia="仿宋" w:cs="仿宋"/>
                <w:color w:val="auto"/>
                <w:kern w:val="0"/>
                <w:sz w:val="24"/>
                <w:szCs w:val="24"/>
                <w:highlight w:val="none"/>
                <w:lang w:val="en-US" w:eastAsia="zh-CN" w:bidi="ar-SA"/>
              </w:rPr>
              <w:t>暨南街道2026年度建筑、市政及风景园林、公路工程设计服务采购项目（街亭片区）</w:t>
            </w:r>
          </w:p>
        </w:tc>
        <w:tc>
          <w:tcPr>
            <w:tcW w:w="1545" w:type="dxa"/>
            <w:vMerge w:val="restart"/>
            <w:noWrap w:val="0"/>
            <w:vAlign w:val="center"/>
          </w:tcPr>
          <w:p w14:paraId="0F2BEFE6">
            <w:pPr>
              <w:keepNext w:val="0"/>
              <w:keepLines w:val="0"/>
              <w:pageBreakBefore w:val="0"/>
              <w:widowControl/>
              <w:kinsoku/>
              <w:wordWrap/>
              <w:overflowPunct/>
              <w:topLinePunct w:val="0"/>
              <w:bidi w:val="0"/>
              <w:adjustRightInd w:val="0"/>
              <w:snapToGrid w:val="0"/>
              <w:spacing w:line="400" w:lineRule="exact"/>
              <w:jc w:val="center"/>
              <w:textAlignment w:val="auto"/>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70.00%</w:t>
            </w:r>
          </w:p>
        </w:tc>
        <w:tc>
          <w:tcPr>
            <w:tcW w:w="1800" w:type="dxa"/>
            <w:noWrap w:val="0"/>
            <w:vAlign w:val="center"/>
          </w:tcPr>
          <w:p w14:paraId="76412F8E">
            <w:pPr>
              <w:keepNext w:val="0"/>
              <w:keepLines w:val="0"/>
              <w:pageBreakBefore w:val="0"/>
              <w:widowControl/>
              <w:kinsoku/>
              <w:wordWrap/>
              <w:overflowPunct/>
              <w:topLinePunct w:val="0"/>
              <w:bidi w:val="0"/>
              <w:adjustRightInd w:val="0"/>
              <w:snapToGrid w:val="0"/>
              <w:spacing w:line="400" w:lineRule="exact"/>
              <w:ind w:firstLine="480" w:firstLineChars="200"/>
              <w:jc w:val="both"/>
              <w:textAlignment w:val="auto"/>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45万元</w:t>
            </w:r>
          </w:p>
        </w:tc>
      </w:tr>
      <w:tr w14:paraId="30A0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exact"/>
        </w:trPr>
        <w:tc>
          <w:tcPr>
            <w:tcW w:w="1127" w:type="dxa"/>
            <w:noWrap w:val="0"/>
            <w:vAlign w:val="center"/>
          </w:tcPr>
          <w:p w14:paraId="1AB5F575">
            <w:pPr>
              <w:keepNext w:val="0"/>
              <w:keepLines w:val="0"/>
              <w:pageBreakBefore w:val="0"/>
              <w:widowControl/>
              <w:kinsoku/>
              <w:wordWrap/>
              <w:overflowPunct/>
              <w:topLinePunct w:val="0"/>
              <w:bidi w:val="0"/>
              <w:adjustRightInd w:val="0"/>
              <w:snapToGrid w:val="0"/>
              <w:spacing w:line="400" w:lineRule="exact"/>
              <w:jc w:val="center"/>
              <w:textAlignment w:val="auto"/>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标项二</w:t>
            </w:r>
          </w:p>
        </w:tc>
        <w:tc>
          <w:tcPr>
            <w:tcW w:w="4688" w:type="dxa"/>
            <w:noWrap w:val="0"/>
            <w:vAlign w:val="center"/>
          </w:tcPr>
          <w:p w14:paraId="0BD35ABF">
            <w:pPr>
              <w:tabs>
                <w:tab w:val="left" w:pos="142"/>
              </w:tabs>
              <w:snapToGrid w:val="0"/>
              <w:spacing w:line="400" w:lineRule="exact"/>
              <w:jc w:val="both"/>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kern w:val="0"/>
                <w:sz w:val="24"/>
                <w:szCs w:val="24"/>
                <w:highlight w:val="none"/>
                <w:lang w:val="en-US" w:eastAsia="zh-CN" w:bidi="ar-SA"/>
              </w:rPr>
              <w:t>暨南街道2026年度建筑、市政及风景园林、公路工程设计服务采购项目（王家井片区）</w:t>
            </w:r>
          </w:p>
        </w:tc>
        <w:tc>
          <w:tcPr>
            <w:tcW w:w="1545" w:type="dxa"/>
            <w:vMerge w:val="continue"/>
            <w:noWrap w:val="0"/>
            <w:vAlign w:val="center"/>
          </w:tcPr>
          <w:p w14:paraId="2A219073">
            <w:pPr>
              <w:keepNext w:val="0"/>
              <w:keepLines w:val="0"/>
              <w:pageBreakBefore w:val="0"/>
              <w:widowControl/>
              <w:kinsoku/>
              <w:wordWrap/>
              <w:overflowPunct/>
              <w:topLinePunct w:val="0"/>
              <w:bidi w:val="0"/>
              <w:adjustRightInd w:val="0"/>
              <w:snapToGrid w:val="0"/>
              <w:spacing w:line="400" w:lineRule="exact"/>
              <w:jc w:val="center"/>
              <w:textAlignment w:val="auto"/>
              <w:rPr>
                <w:rFonts w:hint="eastAsia" w:ascii="仿宋" w:hAnsi="仿宋" w:eastAsia="仿宋" w:cs="仿宋"/>
                <w:bCs/>
                <w:color w:val="auto"/>
                <w:sz w:val="24"/>
                <w:szCs w:val="24"/>
                <w:lang w:val="en-US" w:eastAsia="zh-CN"/>
              </w:rPr>
            </w:pPr>
          </w:p>
        </w:tc>
        <w:tc>
          <w:tcPr>
            <w:tcW w:w="1800" w:type="dxa"/>
            <w:noWrap w:val="0"/>
            <w:vAlign w:val="center"/>
          </w:tcPr>
          <w:p w14:paraId="68E82186">
            <w:pPr>
              <w:keepNext w:val="0"/>
              <w:keepLines w:val="0"/>
              <w:pageBreakBefore w:val="0"/>
              <w:widowControl/>
              <w:kinsoku/>
              <w:wordWrap/>
              <w:overflowPunct/>
              <w:topLinePunct w:val="0"/>
              <w:bidi w:val="0"/>
              <w:adjustRightInd w:val="0"/>
              <w:snapToGrid w:val="0"/>
              <w:spacing w:line="400" w:lineRule="exact"/>
              <w:ind w:firstLine="480" w:firstLineChars="200"/>
              <w:jc w:val="both"/>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45万元</w:t>
            </w:r>
          </w:p>
        </w:tc>
      </w:tr>
      <w:bookmarkEnd w:id="6"/>
    </w:tbl>
    <w:p w14:paraId="2236BDF9">
      <w:pPr>
        <w:pStyle w:val="13"/>
        <w:keepNext w:val="0"/>
        <w:keepLines w:val="0"/>
        <w:pageBreakBefore w:val="0"/>
        <w:widowControl/>
        <w:kinsoku/>
        <w:wordWrap w:val="0"/>
        <w:overflowPunct/>
        <w:topLinePunct/>
        <w:autoSpaceDE/>
        <w:autoSpaceDN/>
        <w:bidi w:val="0"/>
        <w:adjustRightInd/>
        <w:snapToGrid/>
        <w:spacing w:before="0" w:beforeAutospacing="0" w:after="0" w:afterAutospacing="0" w:line="420" w:lineRule="exact"/>
        <w:ind w:firstLine="480" w:firstLineChars="200"/>
        <w:textAlignment w:val="auto"/>
        <w:rPr>
          <w:rFonts w:hint="eastAsia" w:ascii="仿宋" w:hAnsi="仿宋" w:eastAsia="仿宋" w:cs="仿宋"/>
          <w:color w:val="auto"/>
          <w:kern w:val="2"/>
          <w:sz w:val="24"/>
          <w:szCs w:val="24"/>
          <w:lang w:val="en-US" w:eastAsia="zh-CN" w:bidi="ar-SA"/>
        </w:rPr>
      </w:pPr>
    </w:p>
    <w:p w14:paraId="23E1CF65">
      <w:pPr>
        <w:pStyle w:val="13"/>
        <w:keepNext w:val="0"/>
        <w:keepLines w:val="0"/>
        <w:pageBreakBefore w:val="0"/>
        <w:widowControl/>
        <w:kinsoku/>
        <w:wordWrap w:val="0"/>
        <w:overflowPunct/>
        <w:topLinePunct/>
        <w:autoSpaceDE/>
        <w:autoSpaceDN/>
        <w:bidi w:val="0"/>
        <w:adjustRightInd/>
        <w:snapToGrid/>
        <w:spacing w:before="0" w:beforeAutospacing="0" w:after="0" w:afterAutospacing="0" w:line="420" w:lineRule="exact"/>
        <w:ind w:firstLine="480" w:firstLineChars="200"/>
        <w:textAlignment w:val="auto"/>
        <w:rPr>
          <w:rFonts w:hint="eastAsia" w:ascii="仿宋" w:hAnsi="仿宋" w:eastAsia="仿宋" w:cs="仿宋"/>
          <w:color w:val="auto"/>
          <w:kern w:val="2"/>
          <w:sz w:val="24"/>
          <w:szCs w:val="24"/>
          <w:lang w:val="en-US" w:eastAsia="zh-CN" w:bidi="ar-SA"/>
        </w:rPr>
      </w:pPr>
    </w:p>
    <w:p w14:paraId="3F0AC91D">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ascii="仿宋" w:hAnsi="仿宋" w:eastAsia="仿宋"/>
          <w:b/>
          <w:bCs/>
          <w:sz w:val="24"/>
          <w:szCs w:val="24"/>
        </w:rPr>
      </w:pPr>
      <w:r>
        <w:rPr>
          <w:rFonts w:hint="eastAsia" w:ascii="仿宋" w:hAnsi="仿宋" w:eastAsia="仿宋"/>
          <w:bCs/>
          <w:sz w:val="24"/>
          <w:szCs w:val="24"/>
        </w:rPr>
        <w:t>2</w:t>
      </w:r>
      <w:r>
        <w:rPr>
          <w:rFonts w:hint="eastAsia" w:ascii="仿宋" w:hAnsi="仿宋" w:eastAsia="仿宋"/>
          <w:bCs/>
          <w:sz w:val="24"/>
          <w:szCs w:val="24"/>
          <w:lang w:eastAsia="zh-CN"/>
        </w:rPr>
        <w:t>、</w:t>
      </w:r>
      <w:r>
        <w:rPr>
          <w:rFonts w:hint="eastAsia" w:ascii="仿宋" w:hAnsi="仿宋" w:eastAsia="仿宋"/>
          <w:sz w:val="24"/>
        </w:rPr>
        <w:t>收费标准：</w:t>
      </w:r>
    </w:p>
    <w:p w14:paraId="72D0F7A4">
      <w:pPr>
        <w:keepNext w:val="0"/>
        <w:keepLines w:val="0"/>
        <w:pageBreakBefore w:val="0"/>
        <w:widowControl w:val="0"/>
        <w:kinsoku/>
        <w:wordWrap/>
        <w:overflowPunct/>
        <w:topLinePunct w:val="0"/>
        <w:autoSpaceDE/>
        <w:autoSpaceDN/>
        <w:bidi w:val="0"/>
        <w:spacing w:line="420" w:lineRule="exact"/>
        <w:ind w:firstLine="470" w:firstLineChars="196"/>
        <w:textAlignment w:val="auto"/>
        <w:rPr>
          <w:rFonts w:hint="eastAsia" w:ascii="仿宋" w:hAnsi="仿宋" w:eastAsia="仿宋" w:cs="宋体"/>
          <w:color w:val="auto"/>
          <w:sz w:val="24"/>
          <w:szCs w:val="24"/>
        </w:rPr>
      </w:pPr>
      <w:r>
        <w:rPr>
          <w:rFonts w:hint="eastAsia" w:ascii="仿宋" w:hAnsi="仿宋" w:eastAsia="仿宋" w:cs="宋体"/>
          <w:sz w:val="24"/>
          <w:szCs w:val="24"/>
        </w:rPr>
        <w:t>以《工程勘察设计收费标准》（2002 年修订本），按中标折扣和</w:t>
      </w:r>
      <w:r>
        <w:rPr>
          <w:rFonts w:hint="eastAsia" w:ascii="仿宋" w:hAnsi="仿宋" w:eastAsia="仿宋" w:cs="宋体"/>
          <w:color w:val="auto"/>
          <w:sz w:val="24"/>
          <w:szCs w:val="24"/>
        </w:rPr>
        <w:t>施工中标价（设计费取费基数）结算服务费。按实结算，两个标的额不超各自预算。</w:t>
      </w:r>
    </w:p>
    <w:p w14:paraId="43331BF8">
      <w:pPr>
        <w:keepNext w:val="0"/>
        <w:keepLines w:val="0"/>
        <w:pageBreakBefore w:val="0"/>
        <w:widowControl w:val="0"/>
        <w:kinsoku/>
        <w:wordWrap/>
        <w:overflowPunct/>
        <w:topLinePunct w:val="0"/>
        <w:autoSpaceDE/>
        <w:autoSpaceDN/>
        <w:bidi w:val="0"/>
        <w:spacing w:line="420" w:lineRule="exact"/>
        <w:ind w:firstLine="470" w:firstLineChars="196"/>
        <w:textAlignment w:val="auto"/>
        <w:rPr>
          <w:rFonts w:ascii="仿宋" w:hAnsi="仿宋" w:eastAsia="仿宋" w:cs="宋体"/>
          <w:color w:val="auto"/>
          <w:sz w:val="24"/>
          <w:szCs w:val="24"/>
        </w:rPr>
      </w:pPr>
      <w:r>
        <w:rPr>
          <w:rFonts w:hint="eastAsia" w:ascii="仿宋" w:hAnsi="仿宋" w:eastAsia="仿宋" w:cs="宋体"/>
          <w:color w:val="auto"/>
          <w:sz w:val="24"/>
          <w:szCs w:val="24"/>
        </w:rPr>
        <w:t>基本设计收费=工程设计收费基价×专业调整系数×工程复杂程度调整系数×工程附加调整系数（</w:t>
      </w:r>
      <w:r>
        <w:rPr>
          <w:rFonts w:hint="eastAsia" w:ascii="仿宋" w:hAnsi="仿宋" w:eastAsia="仿宋" w:cs="宋体"/>
          <w:color w:val="auto"/>
          <w:sz w:val="24"/>
          <w:szCs w:val="24"/>
          <w:lang w:val="en-US" w:eastAsia="zh-CN"/>
        </w:rPr>
        <w:t>本项目</w:t>
      </w:r>
      <w:r>
        <w:rPr>
          <w:rFonts w:hint="eastAsia" w:ascii="仿宋" w:hAnsi="仿宋" w:eastAsia="仿宋" w:cs="宋体"/>
          <w:color w:val="auto"/>
          <w:sz w:val="24"/>
          <w:szCs w:val="24"/>
        </w:rPr>
        <w:t>专业调整系数</w:t>
      </w:r>
      <w:r>
        <w:rPr>
          <w:rFonts w:hint="eastAsia" w:ascii="仿宋" w:hAnsi="仿宋" w:eastAsia="仿宋" w:cs="宋体"/>
          <w:color w:val="auto"/>
          <w:sz w:val="24"/>
          <w:szCs w:val="24"/>
          <w:lang w:val="en-US" w:eastAsia="zh-CN"/>
        </w:rPr>
        <w:t>按1.0计取</w:t>
      </w:r>
      <w:r>
        <w:rPr>
          <w:rFonts w:hint="eastAsia" w:ascii="仿宋" w:hAnsi="仿宋" w:eastAsia="仿宋" w:cs="宋体"/>
          <w:color w:val="auto"/>
          <w:sz w:val="24"/>
          <w:szCs w:val="24"/>
        </w:rPr>
        <w:t>，工程附加调整系数</w:t>
      </w:r>
      <w:r>
        <w:rPr>
          <w:rFonts w:hint="eastAsia" w:ascii="仿宋" w:hAnsi="仿宋" w:eastAsia="仿宋" w:cs="宋体"/>
          <w:color w:val="auto"/>
          <w:sz w:val="24"/>
          <w:szCs w:val="24"/>
          <w:lang w:val="en-US" w:eastAsia="zh-CN"/>
        </w:rPr>
        <w:t>按1.0计取</w:t>
      </w:r>
      <w:r>
        <w:rPr>
          <w:rFonts w:hint="eastAsia" w:ascii="仿宋" w:hAnsi="仿宋" w:eastAsia="仿宋" w:cs="宋体"/>
          <w:color w:val="auto"/>
          <w:sz w:val="24"/>
          <w:szCs w:val="24"/>
        </w:rPr>
        <w:t>，工程复杂程度调整系数</w:t>
      </w:r>
      <w:r>
        <w:rPr>
          <w:rFonts w:hint="eastAsia" w:ascii="仿宋" w:hAnsi="仿宋" w:eastAsia="仿宋" w:cs="宋体"/>
          <w:color w:val="auto"/>
          <w:sz w:val="24"/>
          <w:szCs w:val="24"/>
          <w:lang w:val="en-US" w:eastAsia="zh-CN"/>
        </w:rPr>
        <w:t>按1.0</w:t>
      </w:r>
      <w:r>
        <w:rPr>
          <w:rFonts w:hint="eastAsia" w:ascii="宋体" w:hAnsi="宋体" w:eastAsia="宋体" w:cs="宋体"/>
          <w:bCs/>
          <w:color w:val="auto"/>
          <w:sz w:val="24"/>
          <w:szCs w:val="24"/>
          <w:highlight w:val="none"/>
          <w:lang w:val="en-US" w:eastAsia="zh-CN"/>
        </w:rPr>
        <w:t>计取</w:t>
      </w:r>
      <w:r>
        <w:rPr>
          <w:rFonts w:hint="eastAsia" w:ascii="仿宋" w:hAnsi="仿宋" w:eastAsia="仿宋" w:cs="宋体"/>
          <w:color w:val="auto"/>
          <w:sz w:val="24"/>
          <w:szCs w:val="24"/>
        </w:rPr>
        <w:t>）；</w:t>
      </w:r>
    </w:p>
    <w:p w14:paraId="2FD3DBC3">
      <w:pPr>
        <w:keepNext w:val="0"/>
        <w:keepLines w:val="0"/>
        <w:pageBreakBefore w:val="0"/>
        <w:widowControl w:val="0"/>
        <w:kinsoku/>
        <w:wordWrap/>
        <w:overflowPunct/>
        <w:topLinePunct w:val="0"/>
        <w:autoSpaceDE/>
        <w:autoSpaceDN/>
        <w:bidi w:val="0"/>
        <w:spacing w:line="420" w:lineRule="exact"/>
        <w:ind w:firstLine="470" w:firstLineChars="196"/>
        <w:textAlignment w:val="auto"/>
        <w:rPr>
          <w:rFonts w:ascii="仿宋" w:hAnsi="仿宋" w:eastAsia="仿宋" w:cs="宋体"/>
          <w:color w:val="auto"/>
          <w:sz w:val="24"/>
          <w:szCs w:val="24"/>
        </w:rPr>
      </w:pPr>
      <w:r>
        <w:rPr>
          <w:rFonts w:hint="eastAsia" w:ascii="仿宋" w:hAnsi="仿宋" w:eastAsia="仿宋" w:cs="宋体"/>
          <w:color w:val="auto"/>
          <w:sz w:val="24"/>
          <w:szCs w:val="24"/>
        </w:rPr>
        <w:t>本项目最终设计收费=基本设计收费×中标折扣。</w:t>
      </w:r>
    </w:p>
    <w:p w14:paraId="5D8E19EC">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ascii="仿宋" w:hAnsi="仿宋" w:eastAsia="仿宋" w:cs="宋体"/>
          <w:color w:val="auto"/>
          <w:sz w:val="24"/>
          <w:szCs w:val="24"/>
        </w:rPr>
      </w:pPr>
      <w:r>
        <w:rPr>
          <w:rFonts w:hint="eastAsia" w:ascii="仿宋" w:hAnsi="仿宋" w:eastAsia="仿宋" w:cs="宋体"/>
          <w:color w:val="auto"/>
          <w:sz w:val="24"/>
          <w:szCs w:val="24"/>
        </w:rPr>
        <w:t>3</w:t>
      </w:r>
      <w:r>
        <w:rPr>
          <w:rFonts w:hint="eastAsia" w:ascii="仿宋" w:hAnsi="仿宋" w:eastAsia="仿宋" w:cs="宋体"/>
          <w:color w:val="auto"/>
          <w:sz w:val="24"/>
          <w:szCs w:val="24"/>
          <w:lang w:eastAsia="zh-CN"/>
        </w:rPr>
        <w:t>、</w:t>
      </w:r>
      <w:r>
        <w:rPr>
          <w:rFonts w:hint="eastAsia" w:ascii="仿宋" w:hAnsi="仿宋" w:eastAsia="仿宋" w:cs="宋体"/>
          <w:color w:val="auto"/>
          <w:sz w:val="24"/>
          <w:szCs w:val="24"/>
        </w:rPr>
        <w:t>服务期限：</w:t>
      </w:r>
      <w:r>
        <w:rPr>
          <w:rFonts w:hint="eastAsia" w:ascii="仿宋" w:hAnsi="仿宋" w:eastAsia="仿宋" w:cs="仿宋"/>
          <w:bCs/>
          <w:color w:val="auto"/>
          <w:sz w:val="24"/>
          <w:szCs w:val="24"/>
          <w:lang w:val="en-US" w:eastAsia="zh-CN"/>
        </w:rPr>
        <w:t>标项一、标项二</w:t>
      </w:r>
      <w:r>
        <w:rPr>
          <w:rFonts w:hint="eastAsia" w:ascii="仿宋" w:hAnsi="仿宋" w:eastAsia="仿宋" w:cs="仿宋"/>
          <w:b w:val="0"/>
          <w:bCs/>
          <w:color w:val="auto"/>
          <w:sz w:val="24"/>
        </w:rPr>
        <w:t>自合同签订生效之日起1年或合同累计结算金额达到采购预算金额时止，两者以先到者为准。</w:t>
      </w:r>
    </w:p>
    <w:p w14:paraId="06679A14">
      <w:pPr>
        <w:keepNext w:val="0"/>
        <w:keepLines w:val="0"/>
        <w:pageBreakBefore w:val="0"/>
        <w:widowControl w:val="0"/>
        <w:kinsoku/>
        <w:wordWrap/>
        <w:overflowPunct/>
        <w:topLinePunct w:val="0"/>
        <w:autoSpaceDE/>
        <w:autoSpaceDN/>
        <w:bidi w:val="0"/>
        <w:spacing w:line="420" w:lineRule="exact"/>
        <w:textAlignment w:val="auto"/>
        <w:rPr>
          <w:rFonts w:ascii="仿宋" w:hAnsi="仿宋" w:eastAsia="仿宋"/>
          <w:b/>
          <w:bCs/>
          <w:sz w:val="24"/>
          <w:szCs w:val="24"/>
          <w:u w:val="none"/>
        </w:rPr>
      </w:pPr>
      <w:r>
        <w:rPr>
          <w:rFonts w:hint="eastAsia" w:ascii="仿宋" w:hAnsi="仿宋" w:eastAsia="仿宋"/>
          <w:b/>
          <w:bCs/>
          <w:sz w:val="24"/>
          <w:szCs w:val="24"/>
          <w:u w:val="none"/>
          <w:lang w:eastAsia="zh-CN"/>
        </w:rPr>
        <w:t>（</w:t>
      </w:r>
      <w:r>
        <w:rPr>
          <w:rFonts w:hint="eastAsia" w:ascii="仿宋" w:hAnsi="仿宋" w:eastAsia="仿宋"/>
          <w:b/>
          <w:bCs/>
          <w:sz w:val="24"/>
          <w:szCs w:val="24"/>
          <w:u w:val="none"/>
        </w:rPr>
        <w:t>二</w:t>
      </w:r>
      <w:r>
        <w:rPr>
          <w:rFonts w:hint="eastAsia" w:ascii="仿宋" w:hAnsi="仿宋" w:eastAsia="仿宋"/>
          <w:b/>
          <w:bCs/>
          <w:sz w:val="24"/>
          <w:szCs w:val="24"/>
          <w:u w:val="none"/>
          <w:lang w:eastAsia="zh-CN"/>
        </w:rPr>
        <w:t>）</w:t>
      </w:r>
      <w:r>
        <w:rPr>
          <w:rFonts w:hint="eastAsia" w:ascii="仿宋" w:hAnsi="仿宋" w:eastAsia="仿宋"/>
          <w:b/>
          <w:bCs/>
          <w:sz w:val="24"/>
          <w:szCs w:val="24"/>
          <w:u w:val="none"/>
        </w:rPr>
        <w:t>基本要求</w:t>
      </w:r>
    </w:p>
    <w:p w14:paraId="588C72F8">
      <w:pPr>
        <w:keepNext w:val="0"/>
        <w:keepLines w:val="0"/>
        <w:pageBreakBefore w:val="0"/>
        <w:widowControl w:val="0"/>
        <w:kinsoku/>
        <w:wordWrap/>
        <w:overflowPunct/>
        <w:topLinePunct w:val="0"/>
        <w:autoSpaceDE/>
        <w:autoSpaceDN/>
        <w:bidi w:val="0"/>
        <w:spacing w:line="420" w:lineRule="exact"/>
        <w:ind w:firstLine="470" w:firstLineChars="196"/>
        <w:textAlignment w:val="auto"/>
        <w:rPr>
          <w:rFonts w:ascii="仿宋" w:hAnsi="仿宋" w:eastAsia="仿宋"/>
          <w:b/>
          <w:bCs/>
          <w:sz w:val="24"/>
          <w:szCs w:val="24"/>
          <w:u w:val="single"/>
        </w:rPr>
      </w:pPr>
      <w:r>
        <w:rPr>
          <w:rFonts w:ascii="仿宋" w:hAnsi="仿宋" w:eastAsia="仿宋"/>
          <w:bCs/>
          <w:sz w:val="24"/>
          <w:szCs w:val="24"/>
        </w:rPr>
        <w:t>完成项目方案设计及深化、初步设计、施工图设计、概算编制、报批审查配合、按审查和招标人意见对整个设计过程的修改、深化整合和优化设计；按文件要求提供纸质和电子图纸；设计补图和工程施工阶段的变更联系单；施工配合、验收配合等相关服务；根据工程实际需要提供现场服务等。</w:t>
      </w:r>
    </w:p>
    <w:p w14:paraId="3F3049F7">
      <w:pPr>
        <w:keepNext w:val="0"/>
        <w:keepLines w:val="0"/>
        <w:pageBreakBefore w:val="0"/>
        <w:widowControl w:val="0"/>
        <w:kinsoku/>
        <w:wordWrap/>
        <w:overflowPunct/>
        <w:topLinePunct w:val="0"/>
        <w:autoSpaceDE/>
        <w:autoSpaceDN/>
        <w:bidi w:val="0"/>
        <w:spacing w:line="420" w:lineRule="exact"/>
        <w:textAlignment w:val="auto"/>
        <w:rPr>
          <w:rFonts w:ascii="仿宋" w:hAnsi="仿宋" w:eastAsia="仿宋"/>
          <w:b/>
          <w:bCs/>
          <w:sz w:val="24"/>
          <w:szCs w:val="24"/>
          <w:u w:val="none"/>
        </w:rPr>
      </w:pPr>
      <w:r>
        <w:rPr>
          <w:rFonts w:hint="eastAsia" w:ascii="仿宋" w:hAnsi="仿宋" w:eastAsia="仿宋"/>
          <w:b/>
          <w:bCs/>
          <w:sz w:val="24"/>
          <w:szCs w:val="24"/>
          <w:u w:val="none"/>
          <w:lang w:eastAsia="zh-CN"/>
        </w:rPr>
        <w:t>（</w:t>
      </w:r>
      <w:r>
        <w:rPr>
          <w:rFonts w:hint="eastAsia" w:ascii="仿宋" w:hAnsi="仿宋" w:eastAsia="仿宋"/>
          <w:b/>
          <w:bCs/>
          <w:sz w:val="24"/>
          <w:szCs w:val="24"/>
          <w:u w:val="none"/>
        </w:rPr>
        <w:t>三</w:t>
      </w:r>
      <w:r>
        <w:rPr>
          <w:rFonts w:hint="eastAsia" w:ascii="仿宋" w:hAnsi="仿宋" w:eastAsia="仿宋"/>
          <w:b/>
          <w:bCs/>
          <w:sz w:val="24"/>
          <w:szCs w:val="24"/>
          <w:u w:val="none"/>
          <w:lang w:eastAsia="zh-CN"/>
        </w:rPr>
        <w:t>）</w:t>
      </w:r>
      <w:r>
        <w:rPr>
          <w:rFonts w:hint="eastAsia" w:ascii="仿宋" w:hAnsi="仿宋" w:eastAsia="仿宋"/>
          <w:b/>
          <w:bCs/>
          <w:sz w:val="24"/>
          <w:szCs w:val="24"/>
          <w:u w:val="none"/>
        </w:rPr>
        <w:t>主要技术标准</w:t>
      </w:r>
    </w:p>
    <w:p w14:paraId="475542F9">
      <w:pPr>
        <w:keepNext w:val="0"/>
        <w:keepLines w:val="0"/>
        <w:pageBreakBefore w:val="0"/>
        <w:widowControl w:val="0"/>
        <w:kinsoku/>
        <w:wordWrap/>
        <w:overflowPunct/>
        <w:topLinePunct w:val="0"/>
        <w:autoSpaceDE/>
        <w:autoSpaceDN/>
        <w:bidi w:val="0"/>
        <w:spacing w:line="420" w:lineRule="exact"/>
        <w:ind w:firstLine="480"/>
        <w:textAlignment w:val="auto"/>
        <w:rPr>
          <w:rFonts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设计过程和成果必须符合国家有关标准强制性条文现行的标准、规范、规程、定额、办法、示例，以及招标项目所在地设计方面的文件、规定。</w:t>
      </w:r>
    </w:p>
    <w:p w14:paraId="1C5138D3">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成交供应商</w:t>
      </w:r>
      <w:r>
        <w:rPr>
          <w:rFonts w:hint="eastAsia" w:ascii="仿宋" w:hAnsi="仿宋" w:eastAsia="仿宋" w:cs="仿宋"/>
          <w:sz w:val="24"/>
          <w:szCs w:val="24"/>
        </w:rPr>
        <w:t>在工作中使用或参考上述标准、规范以外的技术标准、规范时，应征得采购人或采购人的指定代表人的同意。</w:t>
      </w:r>
    </w:p>
    <w:p w14:paraId="0A78E14D">
      <w:pPr>
        <w:keepNext w:val="0"/>
        <w:keepLines w:val="0"/>
        <w:pageBreakBefore w:val="0"/>
        <w:widowControl w:val="0"/>
        <w:kinsoku/>
        <w:wordWrap/>
        <w:overflowPunct/>
        <w:topLinePunct w:val="0"/>
        <w:autoSpaceDE/>
        <w:autoSpaceDN/>
        <w:bidi w:val="0"/>
        <w:spacing w:line="420" w:lineRule="exact"/>
        <w:ind w:firstLine="480"/>
        <w:textAlignment w:val="auto"/>
        <w:rPr>
          <w:rFonts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在合同履行过程中，如果国家或有关部门颁布了新的技术标准或规范，则应采用新的标准或规范进行设计。</w:t>
      </w:r>
    </w:p>
    <w:p w14:paraId="0912AA9E">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ascii="仿宋" w:hAnsi="仿宋" w:eastAsia="仿宋"/>
          <w:b/>
          <w:bCs/>
          <w:sz w:val="24"/>
          <w:szCs w:val="24"/>
          <w:u w:val="single"/>
        </w:rPr>
      </w:pP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成交供应商</w:t>
      </w:r>
      <w:r>
        <w:rPr>
          <w:rFonts w:hint="eastAsia" w:ascii="仿宋" w:hAnsi="仿宋" w:eastAsia="仿宋" w:cs="仿宋"/>
          <w:sz w:val="24"/>
          <w:szCs w:val="24"/>
        </w:rPr>
        <w:t>在工作中使用下述标准、规范（包含但不限于）：</w:t>
      </w:r>
    </w:p>
    <w:p w14:paraId="71F9EBBD">
      <w:pPr>
        <w:keepNext w:val="0"/>
        <w:keepLines w:val="0"/>
        <w:pageBreakBefore w:val="0"/>
        <w:widowControl w:val="0"/>
        <w:kinsoku/>
        <w:wordWrap/>
        <w:overflowPunct/>
        <w:topLinePunct w:val="0"/>
        <w:autoSpaceDE/>
        <w:autoSpaceDN/>
        <w:bidi w:val="0"/>
        <w:spacing w:line="420" w:lineRule="exact"/>
        <w:ind w:right="210" w:rightChars="100" w:firstLine="480" w:firstLineChars="200"/>
        <w:textAlignment w:val="auto"/>
        <w:rPr>
          <w:rFonts w:ascii="仿宋" w:hAnsi="仿宋" w:eastAsia="仿宋" w:cs="宋体"/>
          <w:sz w:val="24"/>
          <w:szCs w:val="24"/>
        </w:rPr>
      </w:pPr>
      <w:r>
        <w:rPr>
          <w:rFonts w:ascii="仿宋" w:hAnsi="仿宋" w:eastAsia="仿宋" w:cs="宋体"/>
          <w:sz w:val="24"/>
          <w:szCs w:val="24"/>
        </w:rPr>
        <w:t xml:space="preserve">《城市道路工程设计规范》（CJJ37-2012）; </w:t>
      </w:r>
    </w:p>
    <w:p w14:paraId="34EEBDD3">
      <w:pPr>
        <w:keepNext w:val="0"/>
        <w:keepLines w:val="0"/>
        <w:pageBreakBefore w:val="0"/>
        <w:widowControl w:val="0"/>
        <w:kinsoku/>
        <w:wordWrap/>
        <w:overflowPunct/>
        <w:topLinePunct w:val="0"/>
        <w:autoSpaceDE/>
        <w:autoSpaceDN/>
        <w:bidi w:val="0"/>
        <w:spacing w:line="420" w:lineRule="exact"/>
        <w:ind w:right="210" w:rightChars="100" w:firstLine="480" w:firstLineChars="200"/>
        <w:textAlignment w:val="auto"/>
        <w:rPr>
          <w:rFonts w:ascii="仿宋" w:hAnsi="仿宋" w:eastAsia="仿宋" w:cs="宋体"/>
          <w:sz w:val="24"/>
          <w:szCs w:val="24"/>
        </w:rPr>
      </w:pPr>
      <w:r>
        <w:rPr>
          <w:rFonts w:ascii="仿宋" w:hAnsi="仿宋" w:eastAsia="仿宋" w:cs="宋体"/>
          <w:sz w:val="24"/>
          <w:szCs w:val="24"/>
        </w:rPr>
        <w:t xml:space="preserve">《城镇道路路面设计规范》（CJJ169-2012）； </w:t>
      </w:r>
    </w:p>
    <w:p w14:paraId="059E628A">
      <w:pPr>
        <w:keepNext w:val="0"/>
        <w:keepLines w:val="0"/>
        <w:pageBreakBefore w:val="0"/>
        <w:widowControl w:val="0"/>
        <w:kinsoku/>
        <w:wordWrap/>
        <w:overflowPunct/>
        <w:topLinePunct w:val="0"/>
        <w:autoSpaceDE/>
        <w:autoSpaceDN/>
        <w:bidi w:val="0"/>
        <w:spacing w:line="420" w:lineRule="exact"/>
        <w:ind w:right="210" w:rightChars="100" w:firstLine="480" w:firstLineChars="200"/>
        <w:textAlignment w:val="auto"/>
        <w:rPr>
          <w:rFonts w:ascii="仿宋" w:hAnsi="仿宋" w:eastAsia="仿宋" w:cs="宋体"/>
          <w:sz w:val="24"/>
          <w:szCs w:val="24"/>
        </w:rPr>
      </w:pPr>
      <w:r>
        <w:rPr>
          <w:rFonts w:ascii="仿宋" w:hAnsi="仿宋" w:eastAsia="仿宋" w:cs="宋体"/>
          <w:sz w:val="24"/>
          <w:szCs w:val="24"/>
        </w:rPr>
        <w:t xml:space="preserve">《道路交通标志和标线》（GB5768-2009）; </w:t>
      </w:r>
    </w:p>
    <w:p w14:paraId="368CC5F3">
      <w:pPr>
        <w:keepNext w:val="0"/>
        <w:keepLines w:val="0"/>
        <w:pageBreakBefore w:val="0"/>
        <w:widowControl w:val="0"/>
        <w:kinsoku/>
        <w:wordWrap/>
        <w:overflowPunct/>
        <w:topLinePunct w:val="0"/>
        <w:autoSpaceDE/>
        <w:autoSpaceDN/>
        <w:bidi w:val="0"/>
        <w:spacing w:line="420" w:lineRule="exact"/>
        <w:ind w:right="210" w:rightChars="100" w:firstLine="480" w:firstLineChars="200"/>
        <w:textAlignment w:val="auto"/>
        <w:rPr>
          <w:rFonts w:ascii="仿宋" w:hAnsi="仿宋" w:eastAsia="仿宋" w:cs="宋体"/>
          <w:sz w:val="24"/>
          <w:szCs w:val="24"/>
        </w:rPr>
      </w:pPr>
      <w:r>
        <w:rPr>
          <w:rFonts w:ascii="仿宋" w:hAnsi="仿宋" w:eastAsia="仿宋" w:cs="宋体"/>
          <w:sz w:val="24"/>
          <w:szCs w:val="24"/>
        </w:rPr>
        <w:t xml:space="preserve">《建筑基础处理技术规范》（JGJ50-2001）; </w:t>
      </w:r>
    </w:p>
    <w:p w14:paraId="630BC9F0">
      <w:pPr>
        <w:keepNext w:val="0"/>
        <w:keepLines w:val="0"/>
        <w:pageBreakBefore w:val="0"/>
        <w:widowControl w:val="0"/>
        <w:kinsoku/>
        <w:wordWrap/>
        <w:overflowPunct/>
        <w:topLinePunct w:val="0"/>
        <w:autoSpaceDE/>
        <w:autoSpaceDN/>
        <w:bidi w:val="0"/>
        <w:spacing w:line="420" w:lineRule="exact"/>
        <w:ind w:right="210" w:rightChars="100" w:firstLine="480" w:firstLineChars="200"/>
        <w:textAlignment w:val="auto"/>
        <w:rPr>
          <w:rFonts w:ascii="仿宋" w:hAnsi="仿宋" w:eastAsia="仿宋" w:cs="宋体"/>
          <w:sz w:val="24"/>
          <w:szCs w:val="24"/>
        </w:rPr>
      </w:pPr>
      <w:r>
        <w:rPr>
          <w:rFonts w:ascii="仿宋" w:hAnsi="仿宋" w:eastAsia="仿宋" w:cs="宋体"/>
          <w:sz w:val="24"/>
          <w:szCs w:val="24"/>
        </w:rPr>
        <w:t xml:space="preserve">《城市道路和建筑物无障碍设计规范》（JGJ50-2011）; </w:t>
      </w:r>
    </w:p>
    <w:p w14:paraId="436FED4B">
      <w:pPr>
        <w:keepNext w:val="0"/>
        <w:keepLines w:val="0"/>
        <w:pageBreakBefore w:val="0"/>
        <w:widowControl w:val="0"/>
        <w:kinsoku/>
        <w:wordWrap/>
        <w:overflowPunct/>
        <w:topLinePunct w:val="0"/>
        <w:autoSpaceDE/>
        <w:autoSpaceDN/>
        <w:bidi w:val="0"/>
        <w:spacing w:line="420" w:lineRule="exact"/>
        <w:ind w:right="210" w:rightChars="100" w:firstLine="480" w:firstLineChars="200"/>
        <w:textAlignment w:val="auto"/>
        <w:rPr>
          <w:rFonts w:ascii="仿宋" w:hAnsi="仿宋" w:eastAsia="仿宋" w:cs="宋体"/>
          <w:sz w:val="24"/>
          <w:szCs w:val="24"/>
        </w:rPr>
      </w:pPr>
      <w:r>
        <w:rPr>
          <w:rFonts w:ascii="仿宋" w:hAnsi="仿宋" w:eastAsia="仿宋" w:cs="宋体"/>
          <w:sz w:val="24"/>
          <w:szCs w:val="24"/>
        </w:rPr>
        <w:t xml:space="preserve">《城镇道路工程施工与验收规范》（CJJ1-2008）； </w:t>
      </w:r>
    </w:p>
    <w:p w14:paraId="32A6E604">
      <w:pPr>
        <w:keepNext w:val="0"/>
        <w:keepLines w:val="0"/>
        <w:pageBreakBefore w:val="0"/>
        <w:widowControl w:val="0"/>
        <w:kinsoku/>
        <w:wordWrap/>
        <w:overflowPunct/>
        <w:topLinePunct w:val="0"/>
        <w:autoSpaceDE/>
        <w:autoSpaceDN/>
        <w:bidi w:val="0"/>
        <w:spacing w:line="420" w:lineRule="exact"/>
        <w:ind w:right="210" w:rightChars="100" w:firstLine="480" w:firstLineChars="200"/>
        <w:textAlignment w:val="auto"/>
        <w:rPr>
          <w:rFonts w:ascii="仿宋" w:hAnsi="仿宋" w:eastAsia="仿宋" w:cs="宋体"/>
          <w:sz w:val="24"/>
          <w:szCs w:val="24"/>
        </w:rPr>
      </w:pPr>
      <w:r>
        <w:rPr>
          <w:rFonts w:ascii="仿宋" w:hAnsi="仿宋" w:eastAsia="仿宋" w:cs="宋体"/>
          <w:sz w:val="24"/>
          <w:szCs w:val="24"/>
        </w:rPr>
        <w:t xml:space="preserve">《城镇道路养护技术规范》（CJJ36-2006）； </w:t>
      </w:r>
    </w:p>
    <w:p w14:paraId="7C8DCBE7">
      <w:pPr>
        <w:keepNext w:val="0"/>
        <w:keepLines w:val="0"/>
        <w:pageBreakBefore w:val="0"/>
        <w:widowControl w:val="0"/>
        <w:kinsoku/>
        <w:wordWrap/>
        <w:overflowPunct/>
        <w:topLinePunct w:val="0"/>
        <w:autoSpaceDE/>
        <w:autoSpaceDN/>
        <w:bidi w:val="0"/>
        <w:spacing w:line="420" w:lineRule="exact"/>
        <w:ind w:right="210" w:rightChars="100" w:firstLine="480" w:firstLineChars="200"/>
        <w:textAlignment w:val="auto"/>
        <w:rPr>
          <w:rFonts w:ascii="仿宋" w:hAnsi="仿宋" w:eastAsia="仿宋" w:cs="宋体"/>
          <w:sz w:val="24"/>
          <w:szCs w:val="24"/>
        </w:rPr>
      </w:pPr>
      <w:r>
        <w:rPr>
          <w:rFonts w:ascii="仿宋" w:hAnsi="仿宋" w:eastAsia="仿宋" w:cs="宋体"/>
          <w:sz w:val="24"/>
          <w:szCs w:val="24"/>
        </w:rPr>
        <w:t xml:space="preserve">《室外排水设计规范》（GB50014-2006）； </w:t>
      </w:r>
    </w:p>
    <w:p w14:paraId="146DACAE">
      <w:pPr>
        <w:keepNext w:val="0"/>
        <w:keepLines w:val="0"/>
        <w:pageBreakBefore w:val="0"/>
        <w:widowControl w:val="0"/>
        <w:kinsoku/>
        <w:wordWrap/>
        <w:overflowPunct/>
        <w:topLinePunct w:val="0"/>
        <w:autoSpaceDE/>
        <w:autoSpaceDN/>
        <w:bidi w:val="0"/>
        <w:spacing w:line="420" w:lineRule="exact"/>
        <w:ind w:right="210" w:rightChars="100" w:firstLine="480" w:firstLineChars="200"/>
        <w:textAlignment w:val="auto"/>
        <w:rPr>
          <w:rFonts w:ascii="仿宋" w:hAnsi="仿宋" w:eastAsia="仿宋" w:cs="宋体"/>
          <w:sz w:val="24"/>
          <w:szCs w:val="24"/>
        </w:rPr>
      </w:pPr>
      <w:r>
        <w:rPr>
          <w:rFonts w:ascii="仿宋" w:hAnsi="仿宋" w:eastAsia="仿宋" w:cs="宋体"/>
          <w:sz w:val="24"/>
          <w:szCs w:val="24"/>
        </w:rPr>
        <w:t xml:space="preserve">《给水排水工程构筑物结构设计规范》（GB50069-2002）； </w:t>
      </w:r>
    </w:p>
    <w:p w14:paraId="324FCDD4">
      <w:pPr>
        <w:keepNext w:val="0"/>
        <w:keepLines w:val="0"/>
        <w:pageBreakBefore w:val="0"/>
        <w:widowControl w:val="0"/>
        <w:kinsoku/>
        <w:wordWrap/>
        <w:overflowPunct/>
        <w:topLinePunct w:val="0"/>
        <w:autoSpaceDE/>
        <w:autoSpaceDN/>
        <w:bidi w:val="0"/>
        <w:spacing w:line="420" w:lineRule="exact"/>
        <w:ind w:right="210" w:rightChars="100" w:firstLine="480" w:firstLineChars="200"/>
        <w:textAlignment w:val="auto"/>
        <w:rPr>
          <w:rFonts w:ascii="仿宋" w:hAnsi="仿宋" w:eastAsia="仿宋" w:cs="宋体"/>
          <w:sz w:val="24"/>
          <w:szCs w:val="24"/>
        </w:rPr>
      </w:pPr>
      <w:r>
        <w:rPr>
          <w:rFonts w:ascii="仿宋" w:hAnsi="仿宋" w:eastAsia="仿宋" w:cs="宋体"/>
          <w:sz w:val="24"/>
          <w:szCs w:val="24"/>
        </w:rPr>
        <w:t xml:space="preserve">《给水排水工程管道结构设计规范》（GB50332-2002）； </w:t>
      </w:r>
    </w:p>
    <w:p w14:paraId="45A9C51C">
      <w:pPr>
        <w:keepNext w:val="0"/>
        <w:keepLines w:val="0"/>
        <w:pageBreakBefore w:val="0"/>
        <w:widowControl w:val="0"/>
        <w:kinsoku/>
        <w:wordWrap/>
        <w:overflowPunct/>
        <w:topLinePunct w:val="0"/>
        <w:autoSpaceDE/>
        <w:autoSpaceDN/>
        <w:bidi w:val="0"/>
        <w:spacing w:line="420" w:lineRule="exact"/>
        <w:ind w:right="210" w:rightChars="100" w:firstLine="480" w:firstLineChars="200"/>
        <w:textAlignment w:val="auto"/>
        <w:rPr>
          <w:rFonts w:ascii="仿宋" w:hAnsi="仿宋" w:eastAsia="仿宋" w:cs="宋体"/>
          <w:sz w:val="24"/>
          <w:szCs w:val="24"/>
        </w:rPr>
      </w:pPr>
      <w:r>
        <w:rPr>
          <w:rFonts w:ascii="仿宋" w:hAnsi="仿宋" w:eastAsia="仿宋" w:cs="宋体"/>
          <w:sz w:val="24"/>
          <w:szCs w:val="24"/>
        </w:rPr>
        <w:t xml:space="preserve">《给水排水工程管道工程施工及验收规范》（GB50268-2008）； </w:t>
      </w:r>
    </w:p>
    <w:p w14:paraId="3F94E26D">
      <w:pPr>
        <w:keepNext w:val="0"/>
        <w:keepLines w:val="0"/>
        <w:pageBreakBefore w:val="0"/>
        <w:widowControl w:val="0"/>
        <w:kinsoku/>
        <w:wordWrap/>
        <w:overflowPunct/>
        <w:topLinePunct w:val="0"/>
        <w:autoSpaceDE/>
        <w:autoSpaceDN/>
        <w:bidi w:val="0"/>
        <w:spacing w:line="420" w:lineRule="exact"/>
        <w:ind w:right="210" w:rightChars="100" w:firstLine="480" w:firstLineChars="200"/>
        <w:textAlignment w:val="auto"/>
        <w:rPr>
          <w:rFonts w:ascii="仿宋" w:hAnsi="仿宋" w:eastAsia="仿宋" w:cs="宋体"/>
          <w:sz w:val="24"/>
          <w:szCs w:val="24"/>
        </w:rPr>
      </w:pPr>
      <w:r>
        <w:rPr>
          <w:rFonts w:ascii="仿宋" w:hAnsi="仿宋" w:eastAsia="仿宋" w:cs="宋体"/>
          <w:sz w:val="24"/>
          <w:szCs w:val="24"/>
        </w:rPr>
        <w:t>《给水排水构筑物工程施工及验收规范》（GB50332-2002）；</w:t>
      </w:r>
    </w:p>
    <w:p w14:paraId="0059B0E2">
      <w:pPr>
        <w:keepNext w:val="0"/>
        <w:keepLines w:val="0"/>
        <w:pageBreakBefore w:val="0"/>
        <w:widowControl w:val="0"/>
        <w:kinsoku/>
        <w:wordWrap/>
        <w:overflowPunct/>
        <w:topLinePunct w:val="0"/>
        <w:autoSpaceDE/>
        <w:autoSpaceDN/>
        <w:bidi w:val="0"/>
        <w:spacing w:line="420" w:lineRule="exact"/>
        <w:ind w:right="210" w:rightChars="100" w:firstLine="480" w:firstLineChars="200"/>
        <w:textAlignment w:val="auto"/>
        <w:rPr>
          <w:rFonts w:ascii="仿宋" w:hAnsi="仿宋" w:eastAsia="仿宋" w:cs="宋体"/>
          <w:sz w:val="24"/>
          <w:szCs w:val="24"/>
        </w:rPr>
      </w:pPr>
      <w:r>
        <w:rPr>
          <w:rFonts w:ascii="仿宋" w:hAnsi="仿宋" w:eastAsia="仿宋" w:cs="宋体"/>
          <w:sz w:val="24"/>
          <w:szCs w:val="24"/>
        </w:rPr>
        <w:t>《城市绿化条例》（国务院1992.08.01实施）</w:t>
      </w:r>
      <w:r>
        <w:rPr>
          <w:rFonts w:hint="eastAsia" w:ascii="仿宋" w:hAnsi="仿宋" w:eastAsia="仿宋" w:cs="宋体"/>
          <w:sz w:val="24"/>
          <w:szCs w:val="24"/>
        </w:rPr>
        <w:t>；</w:t>
      </w:r>
    </w:p>
    <w:p w14:paraId="55BCA17D">
      <w:pPr>
        <w:keepNext w:val="0"/>
        <w:keepLines w:val="0"/>
        <w:pageBreakBefore w:val="0"/>
        <w:widowControl w:val="0"/>
        <w:kinsoku/>
        <w:wordWrap/>
        <w:overflowPunct/>
        <w:topLinePunct w:val="0"/>
        <w:autoSpaceDE/>
        <w:autoSpaceDN/>
        <w:bidi w:val="0"/>
        <w:spacing w:line="420" w:lineRule="exact"/>
        <w:ind w:right="210" w:rightChars="100" w:firstLine="480" w:firstLineChars="200"/>
        <w:textAlignment w:val="auto"/>
        <w:rPr>
          <w:rFonts w:ascii="仿宋" w:hAnsi="仿宋" w:eastAsia="仿宋" w:cs="宋体"/>
          <w:sz w:val="24"/>
          <w:szCs w:val="24"/>
        </w:rPr>
      </w:pPr>
      <w:r>
        <w:rPr>
          <w:rFonts w:ascii="仿宋" w:hAnsi="仿宋" w:eastAsia="仿宋" w:cs="宋体"/>
          <w:sz w:val="24"/>
          <w:szCs w:val="24"/>
        </w:rPr>
        <w:t>《城市绿地设计规范》（GB 50420-2007）</w:t>
      </w:r>
      <w:r>
        <w:rPr>
          <w:rFonts w:hint="eastAsia" w:ascii="仿宋" w:hAnsi="仿宋" w:eastAsia="仿宋" w:cs="宋体"/>
          <w:sz w:val="24"/>
          <w:szCs w:val="24"/>
        </w:rPr>
        <w:t>；</w:t>
      </w:r>
    </w:p>
    <w:p w14:paraId="7934E3DB">
      <w:pPr>
        <w:keepNext w:val="0"/>
        <w:keepLines w:val="0"/>
        <w:pageBreakBefore w:val="0"/>
        <w:widowControl w:val="0"/>
        <w:kinsoku/>
        <w:wordWrap/>
        <w:overflowPunct/>
        <w:topLinePunct w:val="0"/>
        <w:autoSpaceDE/>
        <w:autoSpaceDN/>
        <w:bidi w:val="0"/>
        <w:spacing w:line="420" w:lineRule="exact"/>
        <w:ind w:right="210" w:rightChars="100" w:firstLine="480" w:firstLineChars="200"/>
        <w:textAlignment w:val="auto"/>
        <w:rPr>
          <w:rFonts w:ascii="仿宋" w:hAnsi="仿宋" w:eastAsia="仿宋" w:cs="宋体"/>
          <w:sz w:val="24"/>
          <w:szCs w:val="24"/>
        </w:rPr>
      </w:pPr>
      <w:r>
        <w:rPr>
          <w:rFonts w:ascii="仿宋" w:hAnsi="仿宋" w:eastAsia="仿宋" w:cs="宋体"/>
          <w:sz w:val="24"/>
          <w:szCs w:val="24"/>
        </w:rPr>
        <w:t>《城市道路绿化规划与设计规范》（CJJ 75-97）</w:t>
      </w:r>
      <w:r>
        <w:rPr>
          <w:rFonts w:hint="eastAsia" w:ascii="仿宋" w:hAnsi="仿宋" w:eastAsia="仿宋" w:cs="宋体"/>
          <w:sz w:val="24"/>
          <w:szCs w:val="24"/>
        </w:rPr>
        <w:t>；</w:t>
      </w:r>
    </w:p>
    <w:p w14:paraId="6FD570C1">
      <w:pPr>
        <w:keepNext w:val="0"/>
        <w:keepLines w:val="0"/>
        <w:pageBreakBefore w:val="0"/>
        <w:widowControl w:val="0"/>
        <w:kinsoku/>
        <w:wordWrap/>
        <w:overflowPunct/>
        <w:topLinePunct w:val="0"/>
        <w:autoSpaceDE/>
        <w:autoSpaceDN/>
        <w:bidi w:val="0"/>
        <w:spacing w:line="420" w:lineRule="exact"/>
        <w:ind w:right="210" w:rightChars="100" w:firstLine="480" w:firstLineChars="200"/>
        <w:textAlignment w:val="auto"/>
        <w:rPr>
          <w:rFonts w:ascii="仿宋" w:hAnsi="仿宋" w:eastAsia="仿宋" w:cs="宋体"/>
          <w:sz w:val="24"/>
          <w:szCs w:val="24"/>
        </w:rPr>
      </w:pPr>
      <w:r>
        <w:rPr>
          <w:rFonts w:ascii="仿宋" w:hAnsi="仿宋" w:eastAsia="仿宋" w:cs="宋体"/>
          <w:sz w:val="24"/>
          <w:szCs w:val="24"/>
        </w:rPr>
        <w:t>《园林绿化工程施工及验收规范》（CJJ 82-2012）</w:t>
      </w:r>
      <w:r>
        <w:rPr>
          <w:rFonts w:hint="eastAsia" w:ascii="仿宋" w:hAnsi="仿宋" w:eastAsia="仿宋" w:cs="宋体"/>
          <w:sz w:val="24"/>
          <w:szCs w:val="24"/>
        </w:rPr>
        <w:t>；</w:t>
      </w:r>
      <w:r>
        <w:rPr>
          <w:rFonts w:ascii="仿宋" w:hAnsi="仿宋" w:eastAsia="仿宋" w:cs="宋体"/>
          <w:sz w:val="24"/>
          <w:szCs w:val="24"/>
        </w:rPr>
        <w:t xml:space="preserve"> </w:t>
      </w:r>
    </w:p>
    <w:p w14:paraId="65A3ECD4">
      <w:pPr>
        <w:keepNext w:val="0"/>
        <w:keepLines w:val="0"/>
        <w:pageBreakBefore w:val="0"/>
        <w:widowControl w:val="0"/>
        <w:kinsoku/>
        <w:wordWrap/>
        <w:overflowPunct/>
        <w:topLinePunct w:val="0"/>
        <w:autoSpaceDE/>
        <w:autoSpaceDN/>
        <w:bidi w:val="0"/>
        <w:spacing w:line="420" w:lineRule="exact"/>
        <w:ind w:right="210" w:rightChars="100" w:firstLine="480" w:firstLineChars="200"/>
        <w:textAlignment w:val="auto"/>
        <w:rPr>
          <w:rFonts w:ascii="仿宋" w:hAnsi="仿宋" w:eastAsia="仿宋" w:cs="宋体"/>
          <w:sz w:val="24"/>
          <w:szCs w:val="24"/>
        </w:rPr>
      </w:pPr>
      <w:r>
        <w:rPr>
          <w:rFonts w:ascii="仿宋" w:hAnsi="仿宋" w:eastAsia="仿宋" w:cs="宋体"/>
          <w:sz w:val="24"/>
          <w:szCs w:val="24"/>
        </w:rPr>
        <w:t>《绿道设计与施工技术规程》（DB33/T1130-2016）</w:t>
      </w:r>
      <w:r>
        <w:rPr>
          <w:rFonts w:hint="eastAsia" w:ascii="仿宋" w:hAnsi="仿宋" w:eastAsia="仿宋" w:cs="宋体"/>
          <w:sz w:val="24"/>
          <w:szCs w:val="24"/>
        </w:rPr>
        <w:t>；</w:t>
      </w:r>
    </w:p>
    <w:p w14:paraId="69DADD95">
      <w:pPr>
        <w:keepNext w:val="0"/>
        <w:keepLines w:val="0"/>
        <w:pageBreakBefore w:val="0"/>
        <w:widowControl w:val="0"/>
        <w:kinsoku/>
        <w:wordWrap/>
        <w:overflowPunct/>
        <w:topLinePunct w:val="0"/>
        <w:autoSpaceDE/>
        <w:autoSpaceDN/>
        <w:bidi w:val="0"/>
        <w:spacing w:line="420" w:lineRule="exact"/>
        <w:ind w:right="210" w:rightChars="100" w:firstLine="480" w:firstLineChars="200"/>
        <w:textAlignment w:val="auto"/>
        <w:rPr>
          <w:rFonts w:hint="eastAsia" w:ascii="仿宋" w:hAnsi="仿宋" w:eastAsia="仿宋" w:cs="宋体"/>
          <w:sz w:val="24"/>
          <w:szCs w:val="24"/>
        </w:rPr>
      </w:pPr>
      <w:r>
        <w:rPr>
          <w:rFonts w:hint="eastAsia" w:ascii="仿宋" w:hAnsi="仿宋" w:eastAsia="仿宋" w:cs="宋体"/>
          <w:sz w:val="24"/>
          <w:szCs w:val="24"/>
        </w:rPr>
        <w:t>《建筑工程设计文件编制深度规定》 (2008 年版)；</w:t>
      </w:r>
    </w:p>
    <w:p w14:paraId="15F55F56">
      <w:pPr>
        <w:keepNext w:val="0"/>
        <w:keepLines w:val="0"/>
        <w:pageBreakBefore w:val="0"/>
        <w:widowControl w:val="0"/>
        <w:kinsoku/>
        <w:wordWrap/>
        <w:overflowPunct/>
        <w:topLinePunct w:val="0"/>
        <w:autoSpaceDE/>
        <w:autoSpaceDN/>
        <w:bidi w:val="0"/>
        <w:spacing w:line="420" w:lineRule="exact"/>
        <w:ind w:right="210" w:rightChars="100" w:firstLine="480" w:firstLineChars="200"/>
        <w:textAlignment w:val="auto"/>
        <w:rPr>
          <w:rFonts w:hint="eastAsia" w:ascii="仿宋" w:hAnsi="仿宋" w:eastAsia="仿宋" w:cs="宋体"/>
          <w:sz w:val="24"/>
          <w:szCs w:val="24"/>
        </w:rPr>
      </w:pPr>
      <w:r>
        <w:rPr>
          <w:rFonts w:hint="eastAsia" w:ascii="仿宋" w:hAnsi="仿宋" w:eastAsia="仿宋" w:cs="宋体"/>
          <w:sz w:val="24"/>
          <w:szCs w:val="24"/>
        </w:rPr>
        <w:t>《房屋建筑制图统一标准》 (GB/T 50001--2010)；</w:t>
      </w:r>
    </w:p>
    <w:p w14:paraId="42702FE0">
      <w:pPr>
        <w:keepNext w:val="0"/>
        <w:keepLines w:val="0"/>
        <w:pageBreakBefore w:val="0"/>
        <w:widowControl w:val="0"/>
        <w:kinsoku/>
        <w:wordWrap/>
        <w:overflowPunct/>
        <w:topLinePunct w:val="0"/>
        <w:autoSpaceDE/>
        <w:autoSpaceDN/>
        <w:bidi w:val="0"/>
        <w:spacing w:line="420" w:lineRule="exact"/>
        <w:ind w:right="210" w:rightChars="100" w:firstLine="480" w:firstLineChars="200"/>
        <w:textAlignment w:val="auto"/>
        <w:rPr>
          <w:rFonts w:hint="eastAsia" w:ascii="仿宋" w:hAnsi="仿宋" w:eastAsia="仿宋" w:cs="宋体"/>
          <w:sz w:val="24"/>
          <w:szCs w:val="24"/>
        </w:rPr>
      </w:pPr>
      <w:r>
        <w:rPr>
          <w:rFonts w:hint="eastAsia" w:ascii="仿宋" w:hAnsi="仿宋" w:eastAsia="仿宋" w:cs="宋体"/>
          <w:sz w:val="24"/>
          <w:szCs w:val="24"/>
        </w:rPr>
        <w:t>《建筑制图标准》 (GB/T 50104--2010)；</w:t>
      </w:r>
    </w:p>
    <w:p w14:paraId="2A5E9C83">
      <w:pPr>
        <w:keepNext w:val="0"/>
        <w:keepLines w:val="0"/>
        <w:pageBreakBefore w:val="0"/>
        <w:widowControl w:val="0"/>
        <w:kinsoku/>
        <w:wordWrap/>
        <w:overflowPunct/>
        <w:topLinePunct w:val="0"/>
        <w:autoSpaceDE/>
        <w:autoSpaceDN/>
        <w:bidi w:val="0"/>
        <w:spacing w:line="420" w:lineRule="exact"/>
        <w:ind w:right="210" w:rightChars="100" w:firstLine="480" w:firstLineChars="200"/>
        <w:textAlignment w:val="auto"/>
        <w:rPr>
          <w:rFonts w:hint="eastAsia" w:ascii="仿宋" w:hAnsi="仿宋" w:eastAsia="仿宋" w:cs="宋体"/>
          <w:sz w:val="24"/>
          <w:szCs w:val="24"/>
        </w:rPr>
      </w:pPr>
      <w:r>
        <w:rPr>
          <w:rFonts w:hint="eastAsia" w:ascii="仿宋" w:hAnsi="仿宋" w:eastAsia="仿宋" w:cs="宋体"/>
          <w:sz w:val="24"/>
          <w:szCs w:val="24"/>
        </w:rPr>
        <w:t>《民用建筑设计通则》 (GB 50352--2005)；</w:t>
      </w:r>
    </w:p>
    <w:p w14:paraId="7F04E587">
      <w:pPr>
        <w:keepNext w:val="0"/>
        <w:keepLines w:val="0"/>
        <w:pageBreakBefore w:val="0"/>
        <w:widowControl w:val="0"/>
        <w:kinsoku/>
        <w:wordWrap/>
        <w:overflowPunct/>
        <w:topLinePunct w:val="0"/>
        <w:autoSpaceDE/>
        <w:autoSpaceDN/>
        <w:bidi w:val="0"/>
        <w:spacing w:line="420" w:lineRule="exact"/>
        <w:ind w:right="210" w:rightChars="100" w:firstLine="480" w:firstLineChars="200"/>
        <w:textAlignment w:val="auto"/>
        <w:rPr>
          <w:rFonts w:hint="eastAsia" w:ascii="仿宋" w:hAnsi="仿宋" w:eastAsia="仿宋" w:cs="宋体"/>
          <w:sz w:val="24"/>
          <w:szCs w:val="24"/>
        </w:rPr>
      </w:pPr>
      <w:r>
        <w:rPr>
          <w:rFonts w:hint="eastAsia" w:ascii="仿宋" w:hAnsi="仿宋" w:eastAsia="仿宋" w:cs="宋体"/>
          <w:sz w:val="24"/>
          <w:szCs w:val="24"/>
        </w:rPr>
        <w:t>《总图制图标准》 (GB/T 50103--2010)；</w:t>
      </w:r>
    </w:p>
    <w:p w14:paraId="4B0E6326">
      <w:pPr>
        <w:keepNext w:val="0"/>
        <w:keepLines w:val="0"/>
        <w:pageBreakBefore w:val="0"/>
        <w:widowControl w:val="0"/>
        <w:kinsoku/>
        <w:wordWrap/>
        <w:overflowPunct/>
        <w:topLinePunct w:val="0"/>
        <w:autoSpaceDE/>
        <w:autoSpaceDN/>
        <w:bidi w:val="0"/>
        <w:spacing w:line="420" w:lineRule="exact"/>
        <w:ind w:right="210" w:rightChars="100" w:firstLine="480" w:firstLineChars="200"/>
        <w:textAlignment w:val="auto"/>
        <w:rPr>
          <w:rFonts w:hint="eastAsia" w:ascii="仿宋" w:hAnsi="仿宋" w:eastAsia="仿宋" w:cs="宋体"/>
          <w:sz w:val="24"/>
          <w:szCs w:val="24"/>
        </w:rPr>
      </w:pPr>
      <w:r>
        <w:rPr>
          <w:rFonts w:hint="eastAsia" w:ascii="仿宋" w:hAnsi="仿宋" w:eastAsia="仿宋" w:cs="宋体"/>
          <w:sz w:val="24"/>
          <w:szCs w:val="24"/>
        </w:rPr>
        <w:t>《建筑模数协调标准》 (GB/T 50002--2013)；</w:t>
      </w:r>
    </w:p>
    <w:p w14:paraId="47B52D83">
      <w:pPr>
        <w:keepNext w:val="0"/>
        <w:keepLines w:val="0"/>
        <w:pageBreakBefore w:val="0"/>
        <w:widowControl w:val="0"/>
        <w:kinsoku/>
        <w:wordWrap/>
        <w:overflowPunct/>
        <w:topLinePunct w:val="0"/>
        <w:autoSpaceDE/>
        <w:autoSpaceDN/>
        <w:bidi w:val="0"/>
        <w:spacing w:line="420" w:lineRule="exact"/>
        <w:ind w:right="210" w:rightChars="100" w:firstLine="480" w:firstLineChars="200"/>
        <w:textAlignment w:val="auto"/>
        <w:rPr>
          <w:rFonts w:hint="eastAsia" w:ascii="仿宋" w:hAnsi="仿宋" w:eastAsia="仿宋" w:cs="宋体"/>
          <w:sz w:val="24"/>
          <w:szCs w:val="24"/>
        </w:rPr>
      </w:pPr>
      <w:r>
        <w:rPr>
          <w:rFonts w:hint="eastAsia" w:ascii="仿宋" w:hAnsi="仿宋" w:eastAsia="仿宋" w:cs="宋体"/>
          <w:sz w:val="24"/>
          <w:szCs w:val="24"/>
        </w:rPr>
        <w:t>《建筑设计防火规范》 (GB 50016--2014)；</w:t>
      </w:r>
    </w:p>
    <w:p w14:paraId="1D12045A">
      <w:pPr>
        <w:keepNext w:val="0"/>
        <w:keepLines w:val="0"/>
        <w:pageBreakBefore w:val="0"/>
        <w:widowControl w:val="0"/>
        <w:kinsoku/>
        <w:wordWrap/>
        <w:overflowPunct/>
        <w:topLinePunct w:val="0"/>
        <w:autoSpaceDE/>
        <w:autoSpaceDN/>
        <w:bidi w:val="0"/>
        <w:spacing w:line="420" w:lineRule="exact"/>
        <w:ind w:right="210" w:rightChars="100" w:firstLine="480" w:firstLineChars="200"/>
        <w:textAlignment w:val="auto"/>
        <w:rPr>
          <w:rFonts w:hint="eastAsia" w:ascii="仿宋" w:hAnsi="仿宋" w:eastAsia="仿宋" w:cs="宋体"/>
          <w:sz w:val="24"/>
          <w:szCs w:val="24"/>
        </w:rPr>
      </w:pPr>
      <w:r>
        <w:rPr>
          <w:rFonts w:hint="eastAsia" w:ascii="仿宋" w:hAnsi="仿宋" w:eastAsia="仿宋" w:cs="宋体"/>
          <w:sz w:val="24"/>
          <w:szCs w:val="24"/>
        </w:rPr>
        <w:t>《建筑内部装修设计防火规范》 (GB 50222—1995)(2001 年修订版) 《公路工程技术标准》 (JTG B01-2014)；</w:t>
      </w:r>
    </w:p>
    <w:p w14:paraId="10D2D3AE">
      <w:pPr>
        <w:keepNext w:val="0"/>
        <w:keepLines w:val="0"/>
        <w:pageBreakBefore w:val="0"/>
        <w:widowControl w:val="0"/>
        <w:kinsoku/>
        <w:wordWrap/>
        <w:overflowPunct/>
        <w:topLinePunct w:val="0"/>
        <w:autoSpaceDE/>
        <w:autoSpaceDN/>
        <w:bidi w:val="0"/>
        <w:spacing w:line="420" w:lineRule="exact"/>
        <w:ind w:right="210" w:rightChars="100" w:firstLine="480" w:firstLineChars="200"/>
        <w:textAlignment w:val="auto"/>
        <w:rPr>
          <w:rFonts w:hint="eastAsia" w:ascii="仿宋" w:hAnsi="仿宋" w:eastAsia="仿宋" w:cs="宋体"/>
          <w:sz w:val="24"/>
          <w:szCs w:val="24"/>
        </w:rPr>
      </w:pPr>
      <w:r>
        <w:rPr>
          <w:rFonts w:hint="eastAsia" w:ascii="仿宋" w:hAnsi="仿宋" w:eastAsia="仿宋" w:cs="宋体"/>
          <w:sz w:val="24"/>
          <w:szCs w:val="24"/>
        </w:rPr>
        <w:t>《公路路线设计规范》 (JTG D20-2017)；</w:t>
      </w:r>
    </w:p>
    <w:p w14:paraId="1878A81F">
      <w:pPr>
        <w:keepNext w:val="0"/>
        <w:keepLines w:val="0"/>
        <w:pageBreakBefore w:val="0"/>
        <w:widowControl w:val="0"/>
        <w:kinsoku/>
        <w:wordWrap/>
        <w:overflowPunct/>
        <w:topLinePunct w:val="0"/>
        <w:autoSpaceDE/>
        <w:autoSpaceDN/>
        <w:bidi w:val="0"/>
        <w:spacing w:line="420" w:lineRule="exact"/>
        <w:ind w:right="210" w:rightChars="100" w:firstLine="480" w:firstLineChars="200"/>
        <w:textAlignment w:val="auto"/>
        <w:rPr>
          <w:rFonts w:hint="eastAsia" w:ascii="仿宋" w:hAnsi="仿宋" w:eastAsia="仿宋" w:cs="宋体"/>
          <w:sz w:val="24"/>
          <w:szCs w:val="24"/>
        </w:rPr>
      </w:pPr>
      <w:r>
        <w:rPr>
          <w:rFonts w:hint="eastAsia" w:ascii="仿宋" w:hAnsi="仿宋" w:eastAsia="仿宋" w:cs="宋体"/>
          <w:sz w:val="24"/>
          <w:szCs w:val="24"/>
        </w:rPr>
        <w:t>《公路路基设计规范》 (JTG D30-2015)；</w:t>
      </w:r>
    </w:p>
    <w:p w14:paraId="0AB3AC8E">
      <w:pPr>
        <w:keepNext w:val="0"/>
        <w:keepLines w:val="0"/>
        <w:pageBreakBefore w:val="0"/>
        <w:widowControl w:val="0"/>
        <w:kinsoku/>
        <w:wordWrap/>
        <w:overflowPunct/>
        <w:topLinePunct w:val="0"/>
        <w:autoSpaceDE/>
        <w:autoSpaceDN/>
        <w:bidi w:val="0"/>
        <w:spacing w:line="420" w:lineRule="exact"/>
        <w:ind w:right="210" w:rightChars="100" w:firstLine="480" w:firstLineChars="200"/>
        <w:textAlignment w:val="auto"/>
        <w:rPr>
          <w:rFonts w:hint="eastAsia" w:ascii="仿宋" w:hAnsi="仿宋" w:eastAsia="仿宋" w:cs="宋体"/>
          <w:sz w:val="24"/>
          <w:szCs w:val="24"/>
        </w:rPr>
      </w:pPr>
      <w:r>
        <w:rPr>
          <w:rFonts w:hint="eastAsia" w:ascii="仿宋" w:hAnsi="仿宋" w:eastAsia="仿宋" w:cs="宋体"/>
          <w:sz w:val="24"/>
          <w:szCs w:val="24"/>
        </w:rPr>
        <w:t>《公路沥青路面设计规范》（JTG D50-2017）；</w:t>
      </w:r>
    </w:p>
    <w:p w14:paraId="0B38F747">
      <w:pPr>
        <w:keepNext w:val="0"/>
        <w:keepLines w:val="0"/>
        <w:pageBreakBefore w:val="0"/>
        <w:widowControl w:val="0"/>
        <w:kinsoku/>
        <w:wordWrap/>
        <w:overflowPunct/>
        <w:topLinePunct w:val="0"/>
        <w:autoSpaceDE/>
        <w:autoSpaceDN/>
        <w:bidi w:val="0"/>
        <w:spacing w:line="420" w:lineRule="exact"/>
        <w:ind w:right="210" w:rightChars="100" w:firstLine="480" w:firstLineChars="200"/>
        <w:textAlignment w:val="auto"/>
        <w:rPr>
          <w:rFonts w:hint="eastAsia" w:ascii="仿宋" w:hAnsi="仿宋" w:eastAsia="仿宋" w:cs="宋体"/>
          <w:sz w:val="24"/>
          <w:szCs w:val="24"/>
        </w:rPr>
      </w:pPr>
      <w:r>
        <w:rPr>
          <w:rFonts w:hint="eastAsia" w:ascii="仿宋" w:hAnsi="仿宋" w:eastAsia="仿宋" w:cs="宋体"/>
          <w:sz w:val="24"/>
          <w:szCs w:val="24"/>
        </w:rPr>
        <w:t>《公路沥青路面养护技术规范》（JTJ 073.2-2001）；</w:t>
      </w:r>
    </w:p>
    <w:p w14:paraId="1A8D7933">
      <w:pPr>
        <w:keepNext w:val="0"/>
        <w:keepLines w:val="0"/>
        <w:pageBreakBefore w:val="0"/>
        <w:widowControl w:val="0"/>
        <w:kinsoku/>
        <w:wordWrap/>
        <w:overflowPunct/>
        <w:topLinePunct w:val="0"/>
        <w:autoSpaceDE/>
        <w:autoSpaceDN/>
        <w:bidi w:val="0"/>
        <w:spacing w:line="420" w:lineRule="exact"/>
        <w:ind w:right="210" w:rightChars="100" w:firstLine="480" w:firstLineChars="200"/>
        <w:textAlignment w:val="auto"/>
        <w:rPr>
          <w:rFonts w:hint="eastAsia" w:ascii="仿宋" w:hAnsi="仿宋" w:eastAsia="仿宋" w:cs="宋体"/>
          <w:sz w:val="24"/>
          <w:szCs w:val="24"/>
        </w:rPr>
      </w:pPr>
      <w:r>
        <w:rPr>
          <w:rFonts w:hint="eastAsia" w:ascii="仿宋" w:hAnsi="仿宋" w:eastAsia="仿宋" w:cs="宋体"/>
          <w:sz w:val="24"/>
          <w:szCs w:val="24"/>
        </w:rPr>
        <w:t>《公路排水设计规范》（JTG/T D33-2012）；</w:t>
      </w:r>
    </w:p>
    <w:p w14:paraId="51EB2839">
      <w:pPr>
        <w:keepNext w:val="0"/>
        <w:keepLines w:val="0"/>
        <w:pageBreakBefore w:val="0"/>
        <w:widowControl w:val="0"/>
        <w:kinsoku/>
        <w:wordWrap/>
        <w:overflowPunct/>
        <w:topLinePunct w:val="0"/>
        <w:autoSpaceDE/>
        <w:autoSpaceDN/>
        <w:bidi w:val="0"/>
        <w:spacing w:line="420" w:lineRule="exact"/>
        <w:ind w:right="210" w:rightChars="100" w:firstLine="480" w:firstLineChars="200"/>
        <w:textAlignment w:val="auto"/>
        <w:rPr>
          <w:rFonts w:hint="eastAsia" w:ascii="仿宋" w:hAnsi="仿宋" w:eastAsia="仿宋" w:cs="宋体"/>
          <w:sz w:val="24"/>
          <w:szCs w:val="24"/>
        </w:rPr>
      </w:pPr>
      <w:r>
        <w:rPr>
          <w:rFonts w:hint="eastAsia" w:ascii="仿宋" w:hAnsi="仿宋" w:eastAsia="仿宋" w:cs="宋体"/>
          <w:sz w:val="24"/>
          <w:szCs w:val="24"/>
        </w:rPr>
        <w:t>《公路沥青路面施工技术规范》（JTJ F40-2004）；</w:t>
      </w:r>
    </w:p>
    <w:p w14:paraId="3FAE9BD0">
      <w:pPr>
        <w:keepNext w:val="0"/>
        <w:keepLines w:val="0"/>
        <w:pageBreakBefore w:val="0"/>
        <w:widowControl w:val="0"/>
        <w:kinsoku/>
        <w:wordWrap/>
        <w:overflowPunct/>
        <w:topLinePunct w:val="0"/>
        <w:autoSpaceDE/>
        <w:autoSpaceDN/>
        <w:bidi w:val="0"/>
        <w:spacing w:line="420" w:lineRule="exact"/>
        <w:ind w:right="210" w:rightChars="100" w:firstLine="480" w:firstLineChars="200"/>
        <w:textAlignment w:val="auto"/>
        <w:rPr>
          <w:rFonts w:hint="eastAsia" w:ascii="仿宋" w:hAnsi="仿宋" w:eastAsia="仿宋" w:cs="宋体"/>
          <w:sz w:val="24"/>
          <w:szCs w:val="24"/>
        </w:rPr>
      </w:pPr>
      <w:r>
        <w:rPr>
          <w:rFonts w:hint="eastAsia" w:ascii="仿宋" w:hAnsi="仿宋" w:eastAsia="仿宋" w:cs="宋体"/>
          <w:sz w:val="24"/>
          <w:szCs w:val="24"/>
        </w:rPr>
        <w:t>《公路路基施工技术规范》（JTG/T 3610-2019）；</w:t>
      </w:r>
    </w:p>
    <w:p w14:paraId="2D2069D5">
      <w:pPr>
        <w:keepNext w:val="0"/>
        <w:keepLines w:val="0"/>
        <w:pageBreakBefore w:val="0"/>
        <w:widowControl w:val="0"/>
        <w:kinsoku/>
        <w:wordWrap/>
        <w:overflowPunct/>
        <w:topLinePunct w:val="0"/>
        <w:autoSpaceDE/>
        <w:autoSpaceDN/>
        <w:bidi w:val="0"/>
        <w:spacing w:line="420" w:lineRule="exact"/>
        <w:ind w:right="210" w:rightChars="100" w:firstLine="480" w:firstLineChars="200"/>
        <w:textAlignment w:val="auto"/>
        <w:rPr>
          <w:rFonts w:hint="eastAsia" w:ascii="仿宋" w:hAnsi="仿宋" w:eastAsia="仿宋" w:cs="宋体"/>
          <w:sz w:val="24"/>
          <w:szCs w:val="24"/>
        </w:rPr>
      </w:pPr>
      <w:r>
        <w:rPr>
          <w:rFonts w:hint="eastAsia" w:ascii="仿宋" w:hAnsi="仿宋" w:eastAsia="仿宋" w:cs="宋体"/>
          <w:sz w:val="24"/>
          <w:szCs w:val="24"/>
        </w:rPr>
        <w:t>《公路桥涵设计通用规范》（JTG D60-2015）；</w:t>
      </w:r>
    </w:p>
    <w:p w14:paraId="072C5518">
      <w:pPr>
        <w:keepNext w:val="0"/>
        <w:keepLines w:val="0"/>
        <w:pageBreakBefore w:val="0"/>
        <w:widowControl w:val="0"/>
        <w:kinsoku/>
        <w:wordWrap/>
        <w:overflowPunct/>
        <w:topLinePunct w:val="0"/>
        <w:autoSpaceDE/>
        <w:autoSpaceDN/>
        <w:bidi w:val="0"/>
        <w:spacing w:line="420" w:lineRule="exact"/>
        <w:ind w:right="210" w:rightChars="100" w:firstLine="480" w:firstLineChars="200"/>
        <w:textAlignment w:val="auto"/>
        <w:rPr>
          <w:rFonts w:hint="eastAsia" w:ascii="仿宋" w:hAnsi="仿宋" w:eastAsia="仿宋" w:cs="宋体"/>
          <w:sz w:val="24"/>
          <w:szCs w:val="24"/>
        </w:rPr>
      </w:pPr>
      <w:r>
        <w:rPr>
          <w:rFonts w:hint="eastAsia" w:ascii="仿宋" w:hAnsi="仿宋" w:eastAsia="仿宋" w:cs="宋体"/>
          <w:sz w:val="24"/>
          <w:szCs w:val="24"/>
        </w:rPr>
        <w:t>《公路圬工桥涵设计规范》（JTG D61-2005）；</w:t>
      </w:r>
    </w:p>
    <w:p w14:paraId="525C4ACA">
      <w:pPr>
        <w:keepNext w:val="0"/>
        <w:keepLines w:val="0"/>
        <w:pageBreakBefore w:val="0"/>
        <w:widowControl w:val="0"/>
        <w:kinsoku/>
        <w:wordWrap/>
        <w:overflowPunct/>
        <w:topLinePunct w:val="0"/>
        <w:autoSpaceDE/>
        <w:autoSpaceDN/>
        <w:bidi w:val="0"/>
        <w:spacing w:line="420" w:lineRule="exact"/>
        <w:ind w:right="210" w:rightChars="100" w:firstLine="480" w:firstLineChars="200"/>
        <w:textAlignment w:val="auto"/>
        <w:rPr>
          <w:rFonts w:hint="eastAsia" w:ascii="仿宋" w:hAnsi="仿宋" w:eastAsia="仿宋" w:cs="宋体"/>
          <w:sz w:val="24"/>
          <w:szCs w:val="24"/>
        </w:rPr>
      </w:pPr>
      <w:r>
        <w:rPr>
          <w:rFonts w:hint="eastAsia" w:ascii="仿宋" w:hAnsi="仿宋" w:eastAsia="仿宋" w:cs="宋体"/>
          <w:sz w:val="24"/>
          <w:szCs w:val="24"/>
        </w:rPr>
        <w:t>《公路钢筋混凝土及预应力混凝土桥涵设计规范》（JTG 3362-2018）；</w:t>
      </w:r>
    </w:p>
    <w:p w14:paraId="3BE7CBEA">
      <w:pPr>
        <w:keepNext w:val="0"/>
        <w:keepLines w:val="0"/>
        <w:pageBreakBefore w:val="0"/>
        <w:widowControl w:val="0"/>
        <w:kinsoku/>
        <w:wordWrap/>
        <w:overflowPunct/>
        <w:topLinePunct w:val="0"/>
        <w:autoSpaceDE/>
        <w:autoSpaceDN/>
        <w:bidi w:val="0"/>
        <w:spacing w:line="420" w:lineRule="exact"/>
        <w:ind w:right="210" w:rightChars="100" w:firstLine="480" w:firstLineChars="200"/>
        <w:textAlignment w:val="auto"/>
        <w:rPr>
          <w:rFonts w:hint="eastAsia" w:ascii="仿宋" w:hAnsi="仿宋" w:eastAsia="仿宋" w:cs="宋体"/>
          <w:sz w:val="24"/>
          <w:szCs w:val="24"/>
        </w:rPr>
      </w:pPr>
      <w:r>
        <w:rPr>
          <w:rFonts w:hint="eastAsia" w:ascii="仿宋" w:hAnsi="仿宋" w:eastAsia="仿宋" w:cs="宋体"/>
          <w:sz w:val="24"/>
          <w:szCs w:val="24"/>
        </w:rPr>
        <w:t>《公路桥涵地基与基础设计规范》（JTG 3363-2019）；</w:t>
      </w:r>
    </w:p>
    <w:p w14:paraId="072A0D81">
      <w:pPr>
        <w:keepNext w:val="0"/>
        <w:keepLines w:val="0"/>
        <w:pageBreakBefore w:val="0"/>
        <w:widowControl w:val="0"/>
        <w:kinsoku/>
        <w:wordWrap/>
        <w:overflowPunct/>
        <w:topLinePunct w:val="0"/>
        <w:autoSpaceDE/>
        <w:autoSpaceDN/>
        <w:bidi w:val="0"/>
        <w:spacing w:line="420" w:lineRule="exact"/>
        <w:ind w:right="210" w:rightChars="100" w:firstLine="480" w:firstLineChars="200"/>
        <w:textAlignment w:val="auto"/>
        <w:rPr>
          <w:rFonts w:hint="eastAsia" w:ascii="仿宋" w:hAnsi="仿宋" w:eastAsia="仿宋" w:cs="宋体"/>
          <w:sz w:val="24"/>
          <w:szCs w:val="24"/>
        </w:rPr>
      </w:pPr>
      <w:r>
        <w:rPr>
          <w:rFonts w:hint="eastAsia" w:ascii="仿宋" w:hAnsi="仿宋" w:eastAsia="仿宋" w:cs="宋体"/>
          <w:sz w:val="24"/>
          <w:szCs w:val="24"/>
        </w:rPr>
        <w:t>《公路交通安全设施设计规范》 (JTG D81-2017)。</w:t>
      </w:r>
    </w:p>
    <w:p w14:paraId="1619FDA4">
      <w:pPr>
        <w:keepNext w:val="0"/>
        <w:keepLines w:val="0"/>
        <w:pageBreakBefore w:val="0"/>
        <w:widowControl w:val="0"/>
        <w:kinsoku/>
        <w:wordWrap/>
        <w:overflowPunct/>
        <w:topLinePunct w:val="0"/>
        <w:autoSpaceDE/>
        <w:autoSpaceDN/>
        <w:bidi w:val="0"/>
        <w:spacing w:line="420" w:lineRule="exact"/>
        <w:ind w:right="210" w:rightChars="100" w:firstLine="720" w:firstLineChars="300"/>
        <w:textAlignment w:val="auto"/>
        <w:rPr>
          <w:rFonts w:hint="eastAsia" w:ascii="仿宋" w:hAnsi="仿宋" w:eastAsia="仿宋" w:cs="宋体"/>
          <w:sz w:val="24"/>
          <w:szCs w:val="24"/>
        </w:rPr>
      </w:pPr>
      <w:r>
        <w:rPr>
          <w:rFonts w:hint="eastAsia" w:ascii="仿宋" w:hAnsi="仿宋" w:eastAsia="仿宋" w:cs="宋体"/>
          <w:sz w:val="24"/>
          <w:szCs w:val="24"/>
        </w:rPr>
        <w:t>交通运输部关于推进“ 四好农村公路 ”建设的意见交公路发【2015】73 号文件；</w:t>
      </w:r>
    </w:p>
    <w:p w14:paraId="62CAF475">
      <w:pPr>
        <w:keepNext w:val="0"/>
        <w:keepLines w:val="0"/>
        <w:pageBreakBefore w:val="0"/>
        <w:widowControl w:val="0"/>
        <w:kinsoku/>
        <w:wordWrap/>
        <w:overflowPunct/>
        <w:topLinePunct w:val="0"/>
        <w:autoSpaceDE/>
        <w:autoSpaceDN/>
        <w:bidi w:val="0"/>
        <w:spacing w:line="420" w:lineRule="exact"/>
        <w:ind w:firstLine="600" w:firstLineChars="250"/>
        <w:textAlignment w:val="auto"/>
        <w:rPr>
          <w:rFonts w:ascii="仿宋" w:hAnsi="仿宋" w:eastAsia="仿宋" w:cs="宋体"/>
          <w:sz w:val="24"/>
          <w:szCs w:val="24"/>
        </w:rPr>
      </w:pPr>
      <w:r>
        <w:rPr>
          <w:rFonts w:ascii="仿宋" w:hAnsi="仿宋" w:eastAsia="仿宋" w:cs="宋体"/>
          <w:sz w:val="24"/>
          <w:szCs w:val="24"/>
        </w:rPr>
        <w:t>其他相关现行的国家标准及行业标准。</w:t>
      </w:r>
    </w:p>
    <w:p w14:paraId="71B138D5">
      <w:pPr>
        <w:keepNext w:val="0"/>
        <w:keepLines w:val="0"/>
        <w:pageBreakBefore w:val="0"/>
        <w:widowControl w:val="0"/>
        <w:kinsoku/>
        <w:wordWrap/>
        <w:overflowPunct/>
        <w:topLinePunct w:val="0"/>
        <w:autoSpaceDE/>
        <w:autoSpaceDN/>
        <w:bidi w:val="0"/>
        <w:spacing w:line="420" w:lineRule="exact"/>
        <w:textAlignment w:val="auto"/>
        <w:rPr>
          <w:rFonts w:ascii="仿宋" w:hAnsi="仿宋" w:eastAsia="仿宋"/>
          <w:b/>
          <w:bCs/>
          <w:sz w:val="24"/>
          <w:szCs w:val="24"/>
          <w:u w:val="none"/>
        </w:rPr>
      </w:pPr>
      <w:r>
        <w:rPr>
          <w:rFonts w:hint="eastAsia" w:ascii="仿宋" w:hAnsi="仿宋" w:eastAsia="仿宋"/>
          <w:b/>
          <w:bCs/>
          <w:sz w:val="24"/>
          <w:szCs w:val="24"/>
          <w:u w:val="none"/>
          <w:lang w:eastAsia="zh-CN"/>
        </w:rPr>
        <w:t>（</w:t>
      </w:r>
      <w:r>
        <w:rPr>
          <w:rFonts w:hint="eastAsia" w:ascii="仿宋" w:hAnsi="仿宋" w:eastAsia="仿宋"/>
          <w:b/>
          <w:bCs/>
          <w:sz w:val="24"/>
          <w:szCs w:val="24"/>
          <w:u w:val="none"/>
        </w:rPr>
        <w:t>四</w:t>
      </w:r>
      <w:r>
        <w:rPr>
          <w:rFonts w:hint="eastAsia" w:ascii="仿宋" w:hAnsi="仿宋" w:eastAsia="仿宋"/>
          <w:b/>
          <w:bCs/>
          <w:sz w:val="24"/>
          <w:szCs w:val="24"/>
          <w:u w:val="none"/>
          <w:lang w:eastAsia="zh-CN"/>
        </w:rPr>
        <w:t>）</w:t>
      </w:r>
      <w:r>
        <w:rPr>
          <w:rFonts w:hint="eastAsia" w:ascii="仿宋" w:hAnsi="仿宋" w:eastAsia="仿宋"/>
          <w:b/>
          <w:bCs/>
          <w:sz w:val="24"/>
          <w:szCs w:val="24"/>
          <w:u w:val="none"/>
        </w:rPr>
        <w:t>主要服务内容</w:t>
      </w:r>
    </w:p>
    <w:p w14:paraId="7006E656">
      <w:pPr>
        <w:keepNext w:val="0"/>
        <w:keepLines w:val="0"/>
        <w:pageBreakBefore w:val="0"/>
        <w:widowControl w:val="0"/>
        <w:kinsoku/>
        <w:wordWrap/>
        <w:overflowPunct/>
        <w:topLinePunct w:val="0"/>
        <w:autoSpaceDE/>
        <w:autoSpaceDN/>
        <w:bidi w:val="0"/>
        <w:spacing w:line="420" w:lineRule="exact"/>
        <w:ind w:firstLine="470" w:firstLineChars="196"/>
        <w:textAlignment w:val="auto"/>
        <w:rPr>
          <w:rFonts w:ascii="仿宋" w:hAnsi="仿宋" w:eastAsia="仿宋"/>
          <w:bCs/>
          <w:sz w:val="24"/>
          <w:szCs w:val="24"/>
        </w:rPr>
      </w:pPr>
      <w:r>
        <w:rPr>
          <w:rFonts w:hint="eastAsia" w:ascii="仿宋" w:hAnsi="仿宋" w:eastAsia="仿宋"/>
          <w:bCs/>
          <w:sz w:val="24"/>
          <w:szCs w:val="24"/>
        </w:rPr>
        <w:t>1</w:t>
      </w:r>
      <w:r>
        <w:rPr>
          <w:rFonts w:hint="eastAsia" w:ascii="仿宋" w:hAnsi="仿宋" w:eastAsia="仿宋"/>
          <w:bCs/>
          <w:sz w:val="24"/>
          <w:szCs w:val="24"/>
          <w:lang w:eastAsia="zh-CN"/>
        </w:rPr>
        <w:t>、成交供应商</w:t>
      </w:r>
      <w:r>
        <w:rPr>
          <w:rFonts w:hint="eastAsia" w:ascii="仿宋" w:hAnsi="仿宋" w:eastAsia="仿宋"/>
          <w:bCs/>
          <w:sz w:val="24"/>
          <w:szCs w:val="24"/>
        </w:rPr>
        <w:t>应按国家规定和本合同约定的技术规范、标准进行设计，按规定的内容、 时间及份数向采购单位交付设计文件并对提交的设计文件的质量负责。</w:t>
      </w:r>
    </w:p>
    <w:p w14:paraId="0DC7DF65">
      <w:pPr>
        <w:keepNext w:val="0"/>
        <w:keepLines w:val="0"/>
        <w:pageBreakBefore w:val="0"/>
        <w:widowControl w:val="0"/>
        <w:kinsoku/>
        <w:wordWrap/>
        <w:overflowPunct/>
        <w:topLinePunct w:val="0"/>
        <w:autoSpaceDE/>
        <w:autoSpaceDN/>
        <w:bidi w:val="0"/>
        <w:spacing w:line="420" w:lineRule="exact"/>
        <w:ind w:firstLine="470" w:firstLineChars="196"/>
        <w:textAlignment w:val="auto"/>
        <w:rPr>
          <w:rFonts w:ascii="仿宋" w:hAnsi="仿宋" w:eastAsia="仿宋"/>
          <w:bCs/>
          <w:sz w:val="24"/>
          <w:szCs w:val="24"/>
        </w:rPr>
      </w:pPr>
      <w:r>
        <w:rPr>
          <w:rFonts w:hint="eastAsia" w:ascii="仿宋" w:hAnsi="仿宋" w:eastAsia="仿宋"/>
          <w:bCs/>
          <w:sz w:val="24"/>
          <w:szCs w:val="24"/>
        </w:rPr>
        <w:t>2</w:t>
      </w:r>
      <w:r>
        <w:rPr>
          <w:rFonts w:hint="eastAsia" w:ascii="仿宋" w:hAnsi="仿宋" w:eastAsia="仿宋"/>
          <w:bCs/>
          <w:sz w:val="24"/>
          <w:szCs w:val="24"/>
          <w:lang w:eastAsia="zh-CN"/>
        </w:rPr>
        <w:t>、成交供应商</w:t>
      </w:r>
      <w:r>
        <w:rPr>
          <w:rFonts w:ascii="仿宋" w:hAnsi="仿宋" w:eastAsia="仿宋"/>
          <w:bCs/>
          <w:sz w:val="24"/>
          <w:szCs w:val="24"/>
        </w:rPr>
        <w:t>确保在规定的时间内提交设计成果</w:t>
      </w:r>
      <w:r>
        <w:rPr>
          <w:rFonts w:hint="eastAsia" w:ascii="仿宋" w:hAnsi="仿宋" w:eastAsia="仿宋"/>
          <w:bCs/>
          <w:sz w:val="24"/>
          <w:szCs w:val="24"/>
        </w:rPr>
        <w:t>，</w:t>
      </w:r>
      <w:r>
        <w:rPr>
          <w:rFonts w:ascii="仿宋" w:hAnsi="仿宋" w:eastAsia="仿宋"/>
          <w:bCs/>
          <w:sz w:val="24"/>
          <w:szCs w:val="24"/>
        </w:rPr>
        <w:t>对设计文件出现的遗漏或错误负责修改或补充。由于</w:t>
      </w:r>
      <w:r>
        <w:rPr>
          <w:rFonts w:hint="eastAsia" w:ascii="仿宋" w:hAnsi="仿宋" w:eastAsia="仿宋"/>
          <w:bCs/>
          <w:sz w:val="24"/>
          <w:szCs w:val="24"/>
          <w:lang w:eastAsia="zh-CN"/>
        </w:rPr>
        <w:t>成交供应商</w:t>
      </w:r>
      <w:r>
        <w:rPr>
          <w:rFonts w:ascii="仿宋" w:hAnsi="仿宋" w:eastAsia="仿宋"/>
          <w:bCs/>
          <w:sz w:val="24"/>
          <w:szCs w:val="24"/>
        </w:rPr>
        <w:t>设计错误</w:t>
      </w:r>
      <w:r>
        <w:rPr>
          <w:rFonts w:hint="eastAsia" w:ascii="仿宋" w:hAnsi="仿宋" w:eastAsia="仿宋"/>
          <w:bCs/>
          <w:sz w:val="24"/>
          <w:szCs w:val="24"/>
        </w:rPr>
        <w:t>造成工程质量事故损失，</w:t>
      </w:r>
      <w:r>
        <w:rPr>
          <w:rFonts w:hint="eastAsia" w:ascii="仿宋" w:hAnsi="仿宋" w:eastAsia="仿宋"/>
          <w:bCs/>
          <w:sz w:val="24"/>
          <w:szCs w:val="24"/>
          <w:lang w:eastAsia="zh-CN"/>
        </w:rPr>
        <w:t>成交供应商</w:t>
      </w:r>
      <w:r>
        <w:rPr>
          <w:rFonts w:hint="eastAsia" w:ascii="仿宋" w:hAnsi="仿宋" w:eastAsia="仿宋"/>
          <w:bCs/>
          <w:sz w:val="24"/>
          <w:szCs w:val="24"/>
        </w:rPr>
        <w:t>除负责采取补救措施外，应免收损失部分的设计费。</w:t>
      </w:r>
    </w:p>
    <w:p w14:paraId="05D031CD">
      <w:pPr>
        <w:keepNext w:val="0"/>
        <w:keepLines w:val="0"/>
        <w:pageBreakBefore w:val="0"/>
        <w:widowControl w:val="0"/>
        <w:kinsoku/>
        <w:wordWrap/>
        <w:overflowPunct/>
        <w:topLinePunct w:val="0"/>
        <w:autoSpaceDE/>
        <w:autoSpaceDN/>
        <w:bidi w:val="0"/>
        <w:spacing w:line="420" w:lineRule="exact"/>
        <w:ind w:firstLine="470" w:firstLineChars="196"/>
        <w:textAlignment w:val="auto"/>
        <w:rPr>
          <w:rFonts w:ascii="仿宋" w:hAnsi="仿宋" w:eastAsia="仿宋"/>
          <w:bCs/>
          <w:sz w:val="24"/>
          <w:szCs w:val="24"/>
        </w:rPr>
      </w:pPr>
      <w:r>
        <w:rPr>
          <w:rFonts w:hint="eastAsia" w:ascii="仿宋" w:hAnsi="仿宋" w:eastAsia="仿宋"/>
          <w:bCs/>
          <w:sz w:val="24"/>
          <w:szCs w:val="24"/>
        </w:rPr>
        <w:t>3</w:t>
      </w:r>
      <w:r>
        <w:rPr>
          <w:rFonts w:hint="eastAsia" w:ascii="仿宋" w:hAnsi="仿宋" w:eastAsia="仿宋"/>
          <w:bCs/>
          <w:sz w:val="24"/>
          <w:szCs w:val="24"/>
          <w:lang w:eastAsia="zh-CN"/>
        </w:rPr>
        <w:t>、成交供应商</w:t>
      </w:r>
      <w:r>
        <w:rPr>
          <w:rFonts w:hint="eastAsia" w:ascii="仿宋" w:hAnsi="仿宋" w:eastAsia="仿宋"/>
          <w:bCs/>
          <w:sz w:val="24"/>
          <w:szCs w:val="24"/>
        </w:rPr>
        <w:t>服务质量差，设计内容出错导致承包人损失的，</w:t>
      </w:r>
      <w:r>
        <w:rPr>
          <w:rFonts w:hint="eastAsia" w:ascii="仿宋" w:hAnsi="仿宋" w:eastAsia="仿宋"/>
          <w:bCs/>
          <w:sz w:val="24"/>
          <w:szCs w:val="24"/>
          <w:lang w:eastAsia="zh-CN"/>
        </w:rPr>
        <w:t>成交供应商</w:t>
      </w:r>
      <w:r>
        <w:rPr>
          <w:rFonts w:hint="eastAsia" w:ascii="仿宋" w:hAnsi="仿宋" w:eastAsia="仿宋"/>
          <w:bCs/>
          <w:sz w:val="24"/>
          <w:szCs w:val="24"/>
        </w:rPr>
        <w:t>需承担相应损失，情节严重的采购单位可直接解除合同，由此造成的一切后果由</w:t>
      </w:r>
      <w:r>
        <w:rPr>
          <w:rFonts w:hint="eastAsia" w:ascii="仿宋" w:hAnsi="仿宋" w:eastAsia="仿宋"/>
          <w:bCs/>
          <w:sz w:val="24"/>
          <w:szCs w:val="24"/>
          <w:lang w:eastAsia="zh-CN"/>
        </w:rPr>
        <w:t>成交供应商</w:t>
      </w:r>
      <w:r>
        <w:rPr>
          <w:rFonts w:hint="eastAsia" w:ascii="仿宋" w:hAnsi="仿宋" w:eastAsia="仿宋"/>
          <w:bCs/>
          <w:sz w:val="24"/>
          <w:szCs w:val="24"/>
        </w:rPr>
        <w:t>承担。</w:t>
      </w:r>
    </w:p>
    <w:p w14:paraId="32860FCE">
      <w:pPr>
        <w:keepNext w:val="0"/>
        <w:keepLines w:val="0"/>
        <w:pageBreakBefore w:val="0"/>
        <w:widowControl w:val="0"/>
        <w:kinsoku/>
        <w:wordWrap/>
        <w:overflowPunct/>
        <w:topLinePunct w:val="0"/>
        <w:autoSpaceDE/>
        <w:autoSpaceDN/>
        <w:bidi w:val="0"/>
        <w:spacing w:line="420" w:lineRule="exact"/>
        <w:ind w:firstLine="470" w:firstLineChars="196"/>
        <w:textAlignment w:val="auto"/>
        <w:rPr>
          <w:rFonts w:ascii="仿宋" w:hAnsi="仿宋" w:eastAsia="仿宋"/>
          <w:bCs/>
          <w:sz w:val="24"/>
          <w:szCs w:val="24"/>
        </w:rPr>
      </w:pPr>
      <w:r>
        <w:rPr>
          <w:rFonts w:hint="eastAsia" w:ascii="仿宋" w:hAnsi="仿宋" w:eastAsia="仿宋"/>
          <w:bCs/>
          <w:sz w:val="24"/>
          <w:szCs w:val="24"/>
        </w:rPr>
        <w:t>4</w:t>
      </w:r>
      <w:r>
        <w:rPr>
          <w:rFonts w:hint="eastAsia" w:ascii="仿宋" w:hAnsi="仿宋" w:eastAsia="仿宋"/>
          <w:bCs/>
          <w:sz w:val="24"/>
          <w:szCs w:val="24"/>
          <w:lang w:eastAsia="zh-CN"/>
        </w:rPr>
        <w:t>、成交供应商</w:t>
      </w:r>
      <w:r>
        <w:rPr>
          <w:rFonts w:hint="eastAsia" w:ascii="仿宋" w:hAnsi="仿宋" w:eastAsia="仿宋"/>
          <w:bCs/>
          <w:sz w:val="24"/>
          <w:szCs w:val="24"/>
        </w:rPr>
        <w:t>在没有得到采购单位的书面同意下，不得将部分或全部服务内容分包给他人。</w:t>
      </w:r>
    </w:p>
    <w:p w14:paraId="5DAE2B96">
      <w:pPr>
        <w:keepNext w:val="0"/>
        <w:keepLines w:val="0"/>
        <w:pageBreakBefore w:val="0"/>
        <w:widowControl w:val="0"/>
        <w:kinsoku/>
        <w:wordWrap/>
        <w:overflowPunct/>
        <w:topLinePunct w:val="0"/>
        <w:autoSpaceDE/>
        <w:autoSpaceDN/>
        <w:bidi w:val="0"/>
        <w:spacing w:line="420" w:lineRule="exact"/>
        <w:ind w:firstLine="470" w:firstLineChars="196"/>
        <w:textAlignment w:val="auto"/>
        <w:rPr>
          <w:rFonts w:ascii="仿宋" w:hAnsi="仿宋" w:eastAsia="仿宋"/>
          <w:bCs/>
          <w:sz w:val="24"/>
          <w:szCs w:val="24"/>
        </w:rPr>
      </w:pPr>
      <w:r>
        <w:rPr>
          <w:rFonts w:hint="eastAsia" w:ascii="仿宋" w:hAnsi="仿宋" w:eastAsia="仿宋"/>
          <w:bCs/>
          <w:sz w:val="24"/>
          <w:szCs w:val="24"/>
        </w:rPr>
        <w:t>5</w:t>
      </w:r>
      <w:r>
        <w:rPr>
          <w:rFonts w:hint="eastAsia" w:ascii="仿宋" w:hAnsi="仿宋" w:eastAsia="仿宋"/>
          <w:bCs/>
          <w:sz w:val="24"/>
          <w:szCs w:val="24"/>
          <w:lang w:eastAsia="zh-CN"/>
        </w:rPr>
        <w:t>、成交供应商</w:t>
      </w:r>
      <w:r>
        <w:rPr>
          <w:rFonts w:hint="eastAsia" w:ascii="仿宋" w:hAnsi="仿宋" w:eastAsia="仿宋"/>
          <w:bCs/>
          <w:sz w:val="24"/>
          <w:szCs w:val="24"/>
        </w:rPr>
        <w:t>交付设计文件后，按规定参加有关上级部门的设计审查，并根据审查结论负责不超出原定范围的内容做必要调整补充，所需费用由</w:t>
      </w:r>
      <w:r>
        <w:rPr>
          <w:rFonts w:hint="eastAsia" w:ascii="仿宋" w:hAnsi="仿宋" w:eastAsia="仿宋"/>
          <w:bCs/>
          <w:sz w:val="24"/>
          <w:szCs w:val="24"/>
          <w:lang w:eastAsia="zh-CN"/>
        </w:rPr>
        <w:t>成交供应商</w:t>
      </w:r>
      <w:r>
        <w:rPr>
          <w:rFonts w:hint="eastAsia" w:ascii="仿宋" w:hAnsi="仿宋" w:eastAsia="仿宋"/>
          <w:bCs/>
          <w:sz w:val="24"/>
          <w:szCs w:val="24"/>
        </w:rPr>
        <w:t>负责。</w:t>
      </w:r>
    </w:p>
    <w:p w14:paraId="143CBE59">
      <w:pPr>
        <w:keepNext w:val="0"/>
        <w:keepLines w:val="0"/>
        <w:pageBreakBefore w:val="0"/>
        <w:widowControl w:val="0"/>
        <w:kinsoku/>
        <w:wordWrap/>
        <w:overflowPunct/>
        <w:topLinePunct w:val="0"/>
        <w:autoSpaceDE/>
        <w:autoSpaceDN/>
        <w:bidi w:val="0"/>
        <w:spacing w:line="420" w:lineRule="exact"/>
        <w:ind w:firstLine="470" w:firstLineChars="196"/>
        <w:textAlignment w:val="auto"/>
        <w:rPr>
          <w:rFonts w:ascii="仿宋" w:hAnsi="仿宋" w:eastAsia="仿宋"/>
          <w:bCs/>
          <w:sz w:val="24"/>
          <w:szCs w:val="24"/>
        </w:rPr>
      </w:pPr>
      <w:r>
        <w:rPr>
          <w:rFonts w:hint="eastAsia" w:ascii="仿宋" w:hAnsi="仿宋" w:eastAsia="仿宋"/>
          <w:bCs/>
          <w:sz w:val="24"/>
          <w:szCs w:val="24"/>
        </w:rPr>
        <w:t>6</w:t>
      </w:r>
      <w:r>
        <w:rPr>
          <w:rFonts w:hint="eastAsia" w:ascii="仿宋" w:hAnsi="仿宋" w:eastAsia="仿宋"/>
          <w:bCs/>
          <w:sz w:val="24"/>
          <w:szCs w:val="24"/>
          <w:lang w:eastAsia="zh-CN"/>
        </w:rPr>
        <w:t>、</w:t>
      </w:r>
      <w:r>
        <w:rPr>
          <w:rFonts w:hint="eastAsia" w:ascii="仿宋" w:hAnsi="仿宋" w:eastAsia="仿宋" w:cs="宋体"/>
          <w:sz w:val="24"/>
          <w:szCs w:val="24"/>
          <w:lang w:eastAsia="zh-CN"/>
        </w:rPr>
        <w:t>成交供应商</w:t>
      </w:r>
      <w:r>
        <w:rPr>
          <w:rFonts w:hint="eastAsia" w:ascii="仿宋" w:hAnsi="仿宋" w:eastAsia="仿宋" w:cs="宋体"/>
          <w:sz w:val="24"/>
          <w:szCs w:val="24"/>
        </w:rPr>
        <w:t>的日常管理，由诸暨市人民政府暨南街道办事处相关办公室共同负责。</w:t>
      </w:r>
    </w:p>
    <w:p w14:paraId="1E0D19F3">
      <w:pPr>
        <w:keepNext w:val="0"/>
        <w:keepLines w:val="0"/>
        <w:pageBreakBefore w:val="0"/>
        <w:widowControl w:val="0"/>
        <w:kinsoku/>
        <w:wordWrap/>
        <w:overflowPunct/>
        <w:topLinePunct w:val="0"/>
        <w:autoSpaceDE/>
        <w:autoSpaceDN/>
        <w:bidi w:val="0"/>
        <w:spacing w:line="420" w:lineRule="exact"/>
        <w:ind w:firstLine="470" w:firstLineChars="196"/>
        <w:textAlignment w:val="auto"/>
        <w:rPr>
          <w:rFonts w:ascii="仿宋" w:hAnsi="仿宋" w:eastAsia="仿宋"/>
          <w:bCs/>
          <w:sz w:val="24"/>
          <w:szCs w:val="24"/>
        </w:rPr>
      </w:pPr>
      <w:r>
        <w:rPr>
          <w:rFonts w:hint="eastAsia" w:ascii="仿宋" w:hAnsi="仿宋" w:eastAsia="仿宋"/>
          <w:bCs/>
          <w:sz w:val="24"/>
          <w:szCs w:val="24"/>
        </w:rPr>
        <w:t>7</w:t>
      </w:r>
      <w:r>
        <w:rPr>
          <w:rFonts w:hint="eastAsia" w:ascii="仿宋" w:hAnsi="仿宋" w:eastAsia="仿宋"/>
          <w:bCs/>
          <w:sz w:val="24"/>
          <w:szCs w:val="24"/>
          <w:lang w:eastAsia="zh-CN"/>
        </w:rPr>
        <w:t>、成交供应商</w:t>
      </w:r>
      <w:r>
        <w:rPr>
          <w:rFonts w:hint="eastAsia" w:ascii="仿宋" w:hAnsi="仿宋" w:eastAsia="仿宋"/>
          <w:bCs/>
          <w:sz w:val="24"/>
          <w:szCs w:val="24"/>
        </w:rPr>
        <w:t>在承接设计任务期间应在30分钟内对项目采购人相关要求作出响应，3小时内到达项目服务地点，若累计3次以上未按上述要求及时响应的，采购人有权取消</w:t>
      </w:r>
      <w:r>
        <w:rPr>
          <w:rFonts w:hint="eastAsia" w:ascii="仿宋" w:hAnsi="仿宋" w:eastAsia="仿宋"/>
          <w:bCs/>
          <w:sz w:val="24"/>
          <w:szCs w:val="24"/>
          <w:lang w:eastAsia="zh-CN"/>
        </w:rPr>
        <w:t>成交供应商</w:t>
      </w:r>
      <w:r>
        <w:rPr>
          <w:rFonts w:hint="eastAsia" w:ascii="仿宋" w:hAnsi="仿宋" w:eastAsia="仿宋"/>
          <w:bCs/>
          <w:sz w:val="24"/>
          <w:szCs w:val="24"/>
        </w:rPr>
        <w:t>资格。</w:t>
      </w:r>
    </w:p>
    <w:p w14:paraId="4D464450">
      <w:pPr>
        <w:keepNext w:val="0"/>
        <w:keepLines w:val="0"/>
        <w:pageBreakBefore w:val="0"/>
        <w:widowControl w:val="0"/>
        <w:kinsoku/>
        <w:wordWrap/>
        <w:overflowPunct/>
        <w:topLinePunct w:val="0"/>
        <w:autoSpaceDE/>
        <w:autoSpaceDN/>
        <w:bidi w:val="0"/>
        <w:spacing w:line="420" w:lineRule="exact"/>
        <w:textAlignment w:val="auto"/>
        <w:rPr>
          <w:rFonts w:ascii="仿宋" w:hAnsi="仿宋" w:eastAsia="仿宋"/>
          <w:b/>
          <w:bCs/>
          <w:sz w:val="24"/>
          <w:szCs w:val="24"/>
          <w:u w:val="none"/>
        </w:rPr>
      </w:pPr>
      <w:r>
        <w:rPr>
          <w:rFonts w:hint="eastAsia" w:ascii="仿宋" w:hAnsi="仿宋" w:eastAsia="仿宋"/>
          <w:b/>
          <w:bCs/>
          <w:sz w:val="24"/>
          <w:szCs w:val="24"/>
          <w:u w:val="none"/>
          <w:lang w:eastAsia="zh-CN"/>
        </w:rPr>
        <w:t>（</w:t>
      </w:r>
      <w:r>
        <w:rPr>
          <w:rFonts w:hint="eastAsia" w:ascii="仿宋" w:hAnsi="仿宋" w:eastAsia="仿宋"/>
          <w:b/>
          <w:bCs/>
          <w:sz w:val="24"/>
          <w:szCs w:val="24"/>
          <w:u w:val="none"/>
        </w:rPr>
        <w:t>五</w:t>
      </w:r>
      <w:r>
        <w:rPr>
          <w:rFonts w:hint="eastAsia" w:ascii="仿宋" w:hAnsi="仿宋" w:eastAsia="仿宋"/>
          <w:b/>
          <w:bCs/>
          <w:sz w:val="24"/>
          <w:szCs w:val="24"/>
          <w:u w:val="none"/>
          <w:lang w:eastAsia="zh-CN"/>
        </w:rPr>
        <w:t>）</w:t>
      </w:r>
      <w:r>
        <w:rPr>
          <w:rFonts w:hint="eastAsia" w:ascii="仿宋" w:hAnsi="仿宋" w:eastAsia="仿宋"/>
          <w:b/>
          <w:bCs/>
          <w:sz w:val="24"/>
          <w:szCs w:val="24"/>
          <w:u w:val="none"/>
        </w:rPr>
        <w:t>验收</w:t>
      </w:r>
    </w:p>
    <w:p w14:paraId="7ED044C1">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ascii="仿宋" w:hAnsi="仿宋" w:eastAsia="仿宋"/>
          <w:b/>
          <w:bCs/>
          <w:sz w:val="24"/>
          <w:szCs w:val="24"/>
          <w:u w:val="single"/>
        </w:rPr>
      </w:pPr>
      <w:r>
        <w:rPr>
          <w:rFonts w:hint="eastAsia" w:ascii="仿宋" w:hAnsi="仿宋" w:eastAsia="仿宋" w:cs="仿宋"/>
          <w:sz w:val="24"/>
          <w:szCs w:val="24"/>
        </w:rPr>
        <w:t>严格遵循国家和行业质量验收相关规范、标准执行。</w:t>
      </w:r>
    </w:p>
    <w:p w14:paraId="7DD147B5">
      <w:pPr>
        <w:keepNext w:val="0"/>
        <w:keepLines w:val="0"/>
        <w:pageBreakBefore w:val="0"/>
        <w:widowControl w:val="0"/>
        <w:kinsoku/>
        <w:wordWrap/>
        <w:overflowPunct/>
        <w:topLinePunct w:val="0"/>
        <w:autoSpaceDE/>
        <w:autoSpaceDN/>
        <w:bidi w:val="0"/>
        <w:spacing w:line="420" w:lineRule="exact"/>
        <w:textAlignment w:val="auto"/>
        <w:rPr>
          <w:rFonts w:ascii="仿宋" w:hAnsi="仿宋" w:eastAsia="仿宋"/>
          <w:b/>
          <w:bCs/>
          <w:sz w:val="24"/>
          <w:szCs w:val="24"/>
          <w:u w:val="none"/>
        </w:rPr>
      </w:pPr>
      <w:r>
        <w:rPr>
          <w:rFonts w:hint="eastAsia" w:ascii="仿宋" w:hAnsi="仿宋" w:eastAsia="仿宋"/>
          <w:b/>
          <w:bCs/>
          <w:sz w:val="24"/>
          <w:szCs w:val="24"/>
          <w:u w:val="none"/>
          <w:lang w:eastAsia="zh-CN"/>
        </w:rPr>
        <w:t>（</w:t>
      </w:r>
      <w:r>
        <w:rPr>
          <w:rFonts w:hint="eastAsia" w:ascii="仿宋" w:hAnsi="仿宋" w:eastAsia="仿宋"/>
          <w:b/>
          <w:bCs/>
          <w:sz w:val="24"/>
          <w:szCs w:val="24"/>
          <w:u w:val="none"/>
        </w:rPr>
        <w:t>六</w:t>
      </w:r>
      <w:r>
        <w:rPr>
          <w:rFonts w:hint="eastAsia" w:ascii="仿宋" w:hAnsi="仿宋" w:eastAsia="仿宋"/>
          <w:b/>
          <w:bCs/>
          <w:sz w:val="24"/>
          <w:szCs w:val="24"/>
          <w:u w:val="none"/>
          <w:lang w:eastAsia="zh-CN"/>
        </w:rPr>
        <w:t>）</w:t>
      </w:r>
      <w:r>
        <w:rPr>
          <w:rFonts w:hint="eastAsia" w:ascii="仿宋" w:hAnsi="仿宋" w:eastAsia="仿宋"/>
          <w:b/>
          <w:bCs/>
          <w:sz w:val="24"/>
          <w:szCs w:val="24"/>
          <w:u w:val="none"/>
        </w:rPr>
        <w:t>项目成果</w:t>
      </w:r>
    </w:p>
    <w:p w14:paraId="2199278E">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本次设计主要内容包括市政、房建、园林、公路等工程相关设计，</w:t>
      </w:r>
      <w:r>
        <w:rPr>
          <w:rFonts w:ascii="仿宋" w:hAnsi="仿宋" w:eastAsia="仿宋" w:cs="仿宋"/>
          <w:sz w:val="24"/>
          <w:szCs w:val="24"/>
        </w:rPr>
        <w:t>具体成果及数量按采购人实际要求为准。</w:t>
      </w:r>
    </w:p>
    <w:p w14:paraId="76E0CFC0">
      <w:pPr>
        <w:keepNext w:val="0"/>
        <w:keepLines w:val="0"/>
        <w:pageBreakBefore w:val="0"/>
        <w:widowControl w:val="0"/>
        <w:kinsoku/>
        <w:wordWrap/>
        <w:overflowPunct/>
        <w:topLinePunct w:val="0"/>
        <w:autoSpaceDE/>
        <w:autoSpaceDN/>
        <w:bidi w:val="0"/>
        <w:spacing w:line="420" w:lineRule="exact"/>
        <w:textAlignment w:val="auto"/>
        <w:rPr>
          <w:rFonts w:ascii="仿宋" w:hAnsi="仿宋" w:eastAsia="仿宋"/>
          <w:b/>
          <w:bCs/>
          <w:sz w:val="24"/>
          <w:szCs w:val="24"/>
          <w:u w:val="none"/>
        </w:rPr>
      </w:pPr>
      <w:r>
        <w:rPr>
          <w:rFonts w:hint="eastAsia" w:ascii="仿宋" w:hAnsi="仿宋" w:eastAsia="仿宋"/>
          <w:b/>
          <w:bCs/>
          <w:sz w:val="24"/>
          <w:szCs w:val="24"/>
          <w:u w:val="none"/>
          <w:lang w:eastAsia="zh-CN"/>
        </w:rPr>
        <w:t>（</w:t>
      </w:r>
      <w:r>
        <w:rPr>
          <w:rFonts w:hint="eastAsia" w:ascii="仿宋" w:hAnsi="仿宋" w:eastAsia="仿宋"/>
          <w:b/>
          <w:bCs/>
          <w:sz w:val="24"/>
          <w:szCs w:val="24"/>
          <w:u w:val="none"/>
        </w:rPr>
        <w:t>七</w:t>
      </w:r>
      <w:r>
        <w:rPr>
          <w:rFonts w:hint="eastAsia" w:ascii="仿宋" w:hAnsi="仿宋" w:eastAsia="仿宋"/>
          <w:b/>
          <w:bCs/>
          <w:sz w:val="24"/>
          <w:szCs w:val="24"/>
          <w:u w:val="none"/>
          <w:lang w:eastAsia="zh-CN"/>
        </w:rPr>
        <w:t>）</w:t>
      </w:r>
      <w:r>
        <w:rPr>
          <w:rFonts w:hint="eastAsia" w:ascii="仿宋" w:hAnsi="仿宋" w:eastAsia="仿宋"/>
          <w:b/>
          <w:bCs/>
          <w:sz w:val="24"/>
          <w:szCs w:val="24"/>
          <w:u w:val="none"/>
        </w:rPr>
        <w:t>报价要求</w:t>
      </w:r>
    </w:p>
    <w:p w14:paraId="0083C53A">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本项目采用折扣方式报价，</w:t>
      </w:r>
      <w:r>
        <w:rPr>
          <w:rFonts w:hint="eastAsia" w:ascii="仿宋" w:hAnsi="仿宋" w:eastAsia="仿宋"/>
          <w:color w:val="auto"/>
          <w:sz w:val="24"/>
          <w:szCs w:val="24"/>
        </w:rPr>
        <w:t>折扣以百分比（%）进行表述（例如：折扣报价</w:t>
      </w:r>
      <w:r>
        <w:rPr>
          <w:rFonts w:hint="eastAsia" w:ascii="仿宋" w:hAnsi="仿宋" w:eastAsia="仿宋"/>
          <w:color w:val="auto"/>
          <w:sz w:val="24"/>
          <w:szCs w:val="24"/>
          <w:lang w:val="en-US" w:eastAsia="zh-CN"/>
        </w:rPr>
        <w:t>六</w:t>
      </w:r>
      <w:r>
        <w:rPr>
          <w:rFonts w:hint="eastAsia" w:ascii="仿宋" w:hAnsi="仿宋" w:eastAsia="仿宋"/>
          <w:color w:val="auto"/>
          <w:sz w:val="24"/>
          <w:szCs w:val="24"/>
        </w:rPr>
        <w:t>折，则填写为</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0%），折扣百分比数值越小则报价越低</w:t>
      </w:r>
      <w:r>
        <w:rPr>
          <w:rFonts w:hint="eastAsia" w:ascii="仿宋" w:hAnsi="仿宋" w:eastAsia="仿宋" w:cs="仿宋"/>
          <w:color w:val="auto"/>
          <w:sz w:val="24"/>
          <w:szCs w:val="24"/>
        </w:rPr>
        <w:t>；</w:t>
      </w:r>
      <w:r>
        <w:rPr>
          <w:rFonts w:hint="eastAsia" w:ascii="仿宋" w:hAnsi="仿宋" w:eastAsia="仿宋" w:cs="仿宋"/>
          <w:b/>
          <w:bCs/>
          <w:color w:val="auto"/>
          <w:sz w:val="24"/>
          <w:szCs w:val="24"/>
          <w:u w:val="single"/>
        </w:rPr>
        <w:t>折扣报价上限为</w:t>
      </w:r>
      <w:r>
        <w:rPr>
          <w:rFonts w:hint="eastAsia" w:ascii="仿宋" w:hAnsi="仿宋" w:eastAsia="仿宋" w:cs="仿宋"/>
          <w:b/>
          <w:bCs/>
          <w:color w:val="auto"/>
          <w:sz w:val="24"/>
          <w:szCs w:val="24"/>
          <w:u w:val="single"/>
          <w:lang w:val="en-US" w:eastAsia="zh-CN"/>
        </w:rPr>
        <w:t>7</w:t>
      </w:r>
      <w:r>
        <w:rPr>
          <w:rFonts w:hint="eastAsia" w:ascii="仿宋" w:hAnsi="仿宋" w:eastAsia="仿宋" w:cs="仿宋"/>
          <w:b/>
          <w:bCs/>
          <w:color w:val="auto"/>
          <w:sz w:val="24"/>
          <w:szCs w:val="24"/>
          <w:u w:val="single"/>
        </w:rPr>
        <w:t>0%，任何高于</w:t>
      </w:r>
      <w:r>
        <w:rPr>
          <w:rFonts w:hint="eastAsia" w:ascii="仿宋" w:hAnsi="仿宋" w:eastAsia="仿宋" w:cs="仿宋"/>
          <w:b/>
          <w:bCs/>
          <w:color w:val="auto"/>
          <w:sz w:val="24"/>
          <w:szCs w:val="24"/>
          <w:u w:val="single"/>
          <w:lang w:val="en-US" w:eastAsia="zh-CN"/>
        </w:rPr>
        <w:t>7</w:t>
      </w:r>
      <w:r>
        <w:rPr>
          <w:rFonts w:hint="eastAsia" w:ascii="仿宋" w:hAnsi="仿宋" w:eastAsia="仿宋" w:cs="仿宋"/>
          <w:b/>
          <w:bCs/>
          <w:color w:val="auto"/>
          <w:sz w:val="24"/>
          <w:szCs w:val="24"/>
          <w:u w:val="single"/>
        </w:rPr>
        <w:t>0%的报价将被认定为无效报价，作无效响应处理</w:t>
      </w:r>
      <w:r>
        <w:rPr>
          <w:rFonts w:hint="eastAsia" w:ascii="仿宋" w:hAnsi="仿宋" w:eastAsia="仿宋" w:cs="仿宋"/>
          <w:color w:val="auto"/>
          <w:sz w:val="24"/>
          <w:szCs w:val="24"/>
        </w:rPr>
        <w:t>。</w:t>
      </w:r>
    </w:p>
    <w:p w14:paraId="4CE3AFC8">
      <w:pPr>
        <w:keepNext w:val="0"/>
        <w:keepLines w:val="0"/>
        <w:pageBreakBefore w:val="0"/>
        <w:widowControl w:val="0"/>
        <w:kinsoku/>
        <w:wordWrap/>
        <w:overflowPunct/>
        <w:topLinePunct w:val="0"/>
        <w:autoSpaceDE/>
        <w:autoSpaceDN/>
        <w:bidi w:val="0"/>
        <w:spacing w:line="420" w:lineRule="exact"/>
        <w:ind w:firstLine="480"/>
        <w:textAlignment w:val="auto"/>
        <w:rPr>
          <w:rFonts w:ascii="仿宋" w:hAnsi="仿宋" w:eastAsia="仿宋" w:cs="仿宋"/>
          <w:sz w:val="24"/>
          <w:szCs w:val="24"/>
        </w:rPr>
      </w:pPr>
      <w:r>
        <w:rPr>
          <w:rFonts w:hint="eastAsia" w:ascii="仿宋" w:hAnsi="仿宋" w:eastAsia="仿宋" w:cs="仿宋"/>
          <w:sz w:val="24"/>
          <w:szCs w:val="24"/>
        </w:rPr>
        <w:t>投标折扣</w:t>
      </w:r>
      <w:r>
        <w:rPr>
          <w:rFonts w:hint="eastAsia" w:ascii="仿宋" w:hAnsi="仿宋" w:eastAsia="仿宋"/>
          <w:sz w:val="24"/>
          <w:szCs w:val="24"/>
        </w:rPr>
        <w:t>在合同实施期间均保持不变，</w:t>
      </w:r>
      <w:r>
        <w:rPr>
          <w:rFonts w:hint="eastAsia" w:ascii="仿宋" w:hAnsi="仿宋" w:eastAsia="仿宋"/>
          <w:spacing w:val="-6"/>
          <w:sz w:val="24"/>
          <w:szCs w:val="24"/>
        </w:rPr>
        <w:t>报价包括履行本项目所有规定服务所产生的全部</w:t>
      </w:r>
      <w:r>
        <w:rPr>
          <w:rFonts w:hint="eastAsia" w:ascii="仿宋" w:hAnsi="仿宋" w:eastAsia="仿宋"/>
          <w:sz w:val="24"/>
          <w:szCs w:val="24"/>
        </w:rPr>
        <w:t>税金、利润和费用</w:t>
      </w:r>
      <w:r>
        <w:rPr>
          <w:rFonts w:hint="eastAsia" w:ascii="仿宋" w:hAnsi="仿宋" w:eastAsia="仿宋"/>
          <w:spacing w:val="-6"/>
          <w:sz w:val="24"/>
          <w:szCs w:val="24"/>
        </w:rPr>
        <w:t>，</w:t>
      </w:r>
      <w:r>
        <w:rPr>
          <w:rFonts w:hint="eastAsia" w:ascii="仿宋" w:hAnsi="仿宋" w:eastAsia="仿宋" w:cs="宋体"/>
          <w:sz w:val="24"/>
          <w:szCs w:val="24"/>
          <w:lang w:eastAsia="zh-CN"/>
        </w:rPr>
        <w:t>供应商</w:t>
      </w:r>
      <w:r>
        <w:rPr>
          <w:rFonts w:hint="eastAsia" w:ascii="仿宋" w:hAnsi="仿宋" w:eastAsia="仿宋" w:cs="宋体"/>
          <w:sz w:val="24"/>
          <w:szCs w:val="24"/>
        </w:rPr>
        <w:t>应充分考虑并将</w:t>
      </w:r>
      <w:r>
        <w:rPr>
          <w:rFonts w:hint="eastAsia" w:ascii="仿宋" w:hAnsi="仿宋" w:eastAsia="仿宋" w:cs="仿宋_GB2312"/>
          <w:sz w:val="24"/>
          <w:lang w:val="zh-CN"/>
        </w:rPr>
        <w:t>有关本项目实施所涉及的一切费用均计入报价。</w:t>
      </w:r>
    </w:p>
    <w:p w14:paraId="7B4A763A">
      <w:pPr>
        <w:keepNext w:val="0"/>
        <w:keepLines w:val="0"/>
        <w:pageBreakBefore w:val="0"/>
        <w:widowControl w:val="0"/>
        <w:kinsoku/>
        <w:wordWrap/>
        <w:overflowPunct/>
        <w:topLinePunct w:val="0"/>
        <w:autoSpaceDE/>
        <w:autoSpaceDN/>
        <w:bidi w:val="0"/>
        <w:spacing w:line="420" w:lineRule="exact"/>
        <w:textAlignment w:val="auto"/>
        <w:rPr>
          <w:rFonts w:ascii="仿宋" w:hAnsi="仿宋" w:eastAsia="仿宋"/>
          <w:b/>
          <w:bCs/>
          <w:color w:val="auto"/>
          <w:sz w:val="24"/>
          <w:szCs w:val="24"/>
          <w:u w:val="none"/>
        </w:rPr>
      </w:pPr>
      <w:r>
        <w:rPr>
          <w:rFonts w:hint="eastAsia" w:ascii="仿宋" w:hAnsi="仿宋" w:eastAsia="仿宋"/>
          <w:b/>
          <w:bCs/>
          <w:color w:val="auto"/>
          <w:sz w:val="24"/>
          <w:szCs w:val="24"/>
          <w:u w:val="none"/>
          <w:lang w:eastAsia="zh-CN"/>
        </w:rPr>
        <w:t>（</w:t>
      </w:r>
      <w:r>
        <w:rPr>
          <w:rFonts w:hint="eastAsia" w:ascii="仿宋" w:hAnsi="仿宋" w:eastAsia="仿宋"/>
          <w:b/>
          <w:bCs/>
          <w:color w:val="auto"/>
          <w:sz w:val="24"/>
          <w:szCs w:val="24"/>
          <w:u w:val="none"/>
        </w:rPr>
        <w:t>八</w:t>
      </w:r>
      <w:r>
        <w:rPr>
          <w:rFonts w:hint="eastAsia" w:ascii="仿宋" w:hAnsi="仿宋" w:eastAsia="仿宋"/>
          <w:b/>
          <w:bCs/>
          <w:color w:val="auto"/>
          <w:sz w:val="24"/>
          <w:szCs w:val="24"/>
          <w:u w:val="none"/>
          <w:lang w:eastAsia="zh-CN"/>
        </w:rPr>
        <w:t>）履约保证金、费用结算及支付方式</w:t>
      </w:r>
    </w:p>
    <w:p w14:paraId="42C8CE78">
      <w:pPr>
        <w:keepNext w:val="0"/>
        <w:keepLines w:val="0"/>
        <w:pageBreakBefore w:val="0"/>
        <w:widowControl w:val="0"/>
        <w:kinsoku/>
        <w:wordWrap/>
        <w:overflowPunct/>
        <w:topLinePunct w:val="0"/>
        <w:autoSpaceDE/>
        <w:autoSpaceDN/>
        <w:bidi w:val="0"/>
        <w:spacing w:line="420" w:lineRule="exact"/>
        <w:ind w:firstLine="480"/>
        <w:textAlignment w:val="auto"/>
        <w:rPr>
          <w:rFonts w:ascii="仿宋" w:hAnsi="仿宋" w:eastAsia="仿宋" w:cs="宋体"/>
          <w:color w:val="auto"/>
          <w:sz w:val="24"/>
          <w:szCs w:val="24"/>
        </w:rPr>
      </w:pPr>
      <w:r>
        <w:rPr>
          <w:rFonts w:hint="eastAsia" w:ascii="仿宋" w:hAnsi="仿宋" w:eastAsia="仿宋" w:cs="仿宋"/>
          <w:b/>
          <w:bCs/>
          <w:color w:val="auto"/>
          <w:sz w:val="24"/>
          <w:szCs w:val="24"/>
        </w:rPr>
        <w:t>1</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履约保证金</w:t>
      </w:r>
      <w:r>
        <w:rPr>
          <w:rFonts w:hint="eastAsia" w:ascii="仿宋" w:hAnsi="仿宋" w:eastAsia="仿宋" w:cs="仿宋"/>
          <w:b/>
          <w:bCs/>
          <w:color w:val="auto"/>
          <w:sz w:val="24"/>
          <w:szCs w:val="24"/>
          <w:lang w:eastAsia="zh-CN"/>
        </w:rPr>
        <w:t>：</w:t>
      </w:r>
      <w:r>
        <w:rPr>
          <w:rFonts w:hint="eastAsia" w:ascii="仿宋" w:hAnsi="仿宋" w:eastAsia="仿宋" w:cs="仿宋"/>
          <w:b w:val="0"/>
          <w:bCs w:val="0"/>
          <w:color w:val="auto"/>
          <w:sz w:val="24"/>
          <w:szCs w:val="24"/>
          <w:highlight w:val="none"/>
          <w:lang w:val="en-US" w:eastAsia="zh-CN"/>
        </w:rPr>
        <w:t>合同签订前，成交供应商须向采购人缴纳合同金额的1%作为履约保证金，合同期满且负责的项目全部完成后无违约情况下15天内无息退还。</w:t>
      </w:r>
    </w:p>
    <w:p w14:paraId="74BC02F7">
      <w:pPr>
        <w:keepNext w:val="0"/>
        <w:keepLines w:val="0"/>
        <w:pageBreakBefore w:val="0"/>
        <w:widowControl w:val="0"/>
        <w:kinsoku/>
        <w:wordWrap/>
        <w:overflowPunct/>
        <w:topLinePunct w:val="0"/>
        <w:autoSpaceDE/>
        <w:autoSpaceDN/>
        <w:bidi w:val="0"/>
        <w:spacing w:line="420" w:lineRule="exact"/>
        <w:ind w:firstLine="480"/>
        <w:textAlignment w:val="auto"/>
        <w:rPr>
          <w:rFonts w:hint="eastAsia" w:ascii="仿宋" w:hAnsi="仿宋" w:eastAsia="仿宋" w:cs="宋体"/>
          <w:b/>
          <w:bCs/>
          <w:sz w:val="24"/>
          <w:szCs w:val="24"/>
        </w:rPr>
      </w:pPr>
      <w:r>
        <w:rPr>
          <w:rFonts w:hint="eastAsia" w:ascii="仿宋" w:hAnsi="仿宋" w:eastAsia="仿宋" w:cs="宋体"/>
          <w:b/>
          <w:bCs/>
          <w:sz w:val="24"/>
          <w:szCs w:val="24"/>
        </w:rPr>
        <w:t>2.费用结算：</w:t>
      </w:r>
    </w:p>
    <w:p w14:paraId="4FA7D9CF">
      <w:pPr>
        <w:keepNext w:val="0"/>
        <w:keepLines w:val="0"/>
        <w:pageBreakBefore w:val="0"/>
        <w:widowControl w:val="0"/>
        <w:kinsoku/>
        <w:wordWrap/>
        <w:overflowPunct/>
        <w:topLinePunct w:val="0"/>
        <w:autoSpaceDE/>
        <w:autoSpaceDN/>
        <w:bidi w:val="0"/>
        <w:spacing w:line="420" w:lineRule="exact"/>
        <w:ind w:firstLine="480"/>
        <w:textAlignment w:val="auto"/>
        <w:rPr>
          <w:rFonts w:hint="eastAsia" w:ascii="仿宋" w:hAnsi="仿宋" w:eastAsia="仿宋" w:cs="宋体"/>
          <w:color w:val="auto"/>
          <w:sz w:val="24"/>
          <w:szCs w:val="24"/>
        </w:rPr>
      </w:pPr>
      <w:r>
        <w:rPr>
          <w:rFonts w:hint="eastAsia" w:ascii="仿宋" w:hAnsi="仿宋" w:eastAsia="仿宋" w:cs="宋体"/>
          <w:sz w:val="24"/>
          <w:szCs w:val="24"/>
        </w:rPr>
        <w:t>（1）设计费按单个工程计算，根据《工程勘察设计收费标准》（2002 年修订本）收费标准计算后，再按中标折扣计算最终设计费。</w:t>
      </w:r>
      <w:r>
        <w:rPr>
          <w:rFonts w:hint="eastAsia" w:ascii="仿宋" w:hAnsi="仿宋" w:eastAsia="仿宋" w:cs="宋体"/>
          <w:color w:val="auto"/>
          <w:sz w:val="24"/>
          <w:szCs w:val="24"/>
        </w:rPr>
        <w:t>工程设计费收费基价的取费基数为施工中标价。即每只独立项目设计费＝工程设计收费基价×专业调整系数×工程复杂程度调整系数×工程附加调整系数×</w:t>
      </w:r>
      <w:r>
        <w:rPr>
          <w:rFonts w:hint="eastAsia" w:ascii="仿宋" w:hAnsi="仿宋" w:eastAsia="仿宋" w:cs="宋体"/>
          <w:color w:val="auto"/>
          <w:sz w:val="24"/>
          <w:szCs w:val="24"/>
          <w:lang w:val="en-US" w:eastAsia="zh-CN"/>
        </w:rPr>
        <w:t>中标</w:t>
      </w:r>
      <w:r>
        <w:rPr>
          <w:rFonts w:hint="eastAsia" w:ascii="仿宋" w:hAnsi="仿宋" w:eastAsia="仿宋" w:cs="宋体"/>
          <w:color w:val="auto"/>
          <w:sz w:val="24"/>
          <w:szCs w:val="24"/>
        </w:rPr>
        <w:t>折扣（</w:t>
      </w:r>
      <w:r>
        <w:rPr>
          <w:rFonts w:hint="eastAsia" w:ascii="仿宋" w:hAnsi="仿宋" w:eastAsia="仿宋" w:cs="宋体"/>
          <w:color w:val="auto"/>
          <w:sz w:val="24"/>
          <w:szCs w:val="24"/>
          <w:lang w:val="en-US" w:eastAsia="zh-CN"/>
        </w:rPr>
        <w:t>本项目</w:t>
      </w:r>
      <w:r>
        <w:rPr>
          <w:rFonts w:hint="eastAsia" w:ascii="仿宋" w:hAnsi="仿宋" w:eastAsia="仿宋" w:cs="宋体"/>
          <w:color w:val="auto"/>
          <w:sz w:val="24"/>
          <w:szCs w:val="24"/>
        </w:rPr>
        <w:t>专业调整系数</w:t>
      </w:r>
      <w:r>
        <w:rPr>
          <w:rFonts w:hint="eastAsia" w:ascii="仿宋" w:hAnsi="仿宋" w:eastAsia="仿宋" w:cs="宋体"/>
          <w:color w:val="auto"/>
          <w:sz w:val="24"/>
          <w:szCs w:val="24"/>
          <w:lang w:val="en-US" w:eastAsia="zh-CN"/>
        </w:rPr>
        <w:t>按1.0计取</w:t>
      </w:r>
      <w:r>
        <w:rPr>
          <w:rFonts w:hint="eastAsia" w:ascii="仿宋" w:hAnsi="仿宋" w:eastAsia="仿宋" w:cs="宋体"/>
          <w:color w:val="auto"/>
          <w:sz w:val="24"/>
          <w:szCs w:val="24"/>
        </w:rPr>
        <w:t>，工程附加调整系数</w:t>
      </w:r>
      <w:r>
        <w:rPr>
          <w:rFonts w:hint="eastAsia" w:ascii="仿宋" w:hAnsi="仿宋" w:eastAsia="仿宋" w:cs="宋体"/>
          <w:color w:val="auto"/>
          <w:sz w:val="24"/>
          <w:szCs w:val="24"/>
          <w:lang w:val="en-US" w:eastAsia="zh-CN"/>
        </w:rPr>
        <w:t>按1.0计取</w:t>
      </w:r>
      <w:r>
        <w:rPr>
          <w:rFonts w:hint="eastAsia" w:ascii="仿宋" w:hAnsi="仿宋" w:eastAsia="仿宋" w:cs="宋体"/>
          <w:color w:val="auto"/>
          <w:sz w:val="24"/>
          <w:szCs w:val="24"/>
        </w:rPr>
        <w:t>，工程复杂程度调整系数</w:t>
      </w:r>
      <w:r>
        <w:rPr>
          <w:rFonts w:hint="eastAsia" w:ascii="仿宋" w:hAnsi="仿宋" w:eastAsia="仿宋" w:cs="宋体"/>
          <w:color w:val="auto"/>
          <w:sz w:val="24"/>
          <w:szCs w:val="24"/>
          <w:lang w:val="en-US" w:eastAsia="zh-CN"/>
        </w:rPr>
        <w:t>按1.0</w:t>
      </w:r>
      <w:r>
        <w:rPr>
          <w:rFonts w:hint="eastAsia" w:ascii="宋体" w:hAnsi="宋体" w:eastAsia="宋体" w:cs="宋体"/>
          <w:bCs/>
          <w:color w:val="auto"/>
          <w:sz w:val="24"/>
          <w:szCs w:val="24"/>
          <w:highlight w:val="none"/>
          <w:lang w:val="en-US" w:eastAsia="zh-CN"/>
        </w:rPr>
        <w:t>计取</w:t>
      </w:r>
      <w:r>
        <w:rPr>
          <w:rFonts w:hint="eastAsia" w:ascii="仿宋" w:hAnsi="仿宋" w:eastAsia="仿宋" w:cs="宋体"/>
          <w:color w:val="auto"/>
          <w:sz w:val="24"/>
          <w:szCs w:val="24"/>
        </w:rPr>
        <w:t>）。</w:t>
      </w:r>
    </w:p>
    <w:p w14:paraId="3256FFEA">
      <w:pPr>
        <w:keepNext w:val="0"/>
        <w:keepLines w:val="0"/>
        <w:pageBreakBefore w:val="0"/>
        <w:widowControl w:val="0"/>
        <w:kinsoku/>
        <w:wordWrap/>
        <w:overflowPunct/>
        <w:topLinePunct w:val="0"/>
        <w:autoSpaceDE/>
        <w:autoSpaceDN/>
        <w:bidi w:val="0"/>
        <w:spacing w:line="420" w:lineRule="exact"/>
        <w:ind w:firstLine="480"/>
        <w:textAlignment w:val="auto"/>
        <w:rPr>
          <w:rFonts w:hint="eastAsia" w:ascii="仿宋" w:hAnsi="仿宋" w:eastAsia="仿宋" w:cs="宋体"/>
          <w:color w:val="auto"/>
          <w:sz w:val="24"/>
          <w:szCs w:val="24"/>
        </w:rPr>
      </w:pPr>
      <w:r>
        <w:rPr>
          <w:rFonts w:hint="eastAsia" w:ascii="仿宋" w:hAnsi="仿宋" w:eastAsia="仿宋" w:cs="宋体"/>
          <w:color w:val="auto"/>
          <w:sz w:val="24"/>
          <w:szCs w:val="24"/>
        </w:rPr>
        <w:t>（2）所有项目设计费用不设最低价。</w:t>
      </w:r>
    </w:p>
    <w:p w14:paraId="53477B51">
      <w:pPr>
        <w:keepNext w:val="0"/>
        <w:keepLines w:val="0"/>
        <w:pageBreakBefore w:val="0"/>
        <w:widowControl w:val="0"/>
        <w:kinsoku/>
        <w:wordWrap/>
        <w:overflowPunct/>
        <w:topLinePunct w:val="0"/>
        <w:autoSpaceDE/>
        <w:autoSpaceDN/>
        <w:bidi w:val="0"/>
        <w:spacing w:line="420" w:lineRule="exact"/>
        <w:ind w:firstLine="480"/>
        <w:textAlignment w:val="auto"/>
        <w:rPr>
          <w:rFonts w:hint="eastAsia" w:ascii="仿宋" w:hAnsi="仿宋" w:eastAsia="仿宋" w:cs="宋体"/>
          <w:color w:val="auto"/>
          <w:sz w:val="24"/>
          <w:szCs w:val="24"/>
        </w:rPr>
      </w:pPr>
      <w:r>
        <w:rPr>
          <w:rFonts w:hint="eastAsia" w:ascii="仿宋" w:hAnsi="仿宋" w:eastAsia="仿宋" w:cs="宋体"/>
          <w:color w:val="auto"/>
          <w:sz w:val="24"/>
          <w:szCs w:val="24"/>
        </w:rPr>
        <w:t>（3）村级工程项目可共用此次采购中标单位，费用由中标人自行向村股份经济合作社结算，费用计算标准不变。</w:t>
      </w:r>
    </w:p>
    <w:p w14:paraId="5D248E72">
      <w:pPr>
        <w:keepNext w:val="0"/>
        <w:keepLines w:val="0"/>
        <w:pageBreakBefore w:val="0"/>
        <w:widowControl w:val="0"/>
        <w:kinsoku/>
        <w:wordWrap/>
        <w:overflowPunct/>
        <w:topLinePunct w:val="0"/>
        <w:autoSpaceDE/>
        <w:autoSpaceDN/>
        <w:bidi w:val="0"/>
        <w:spacing w:line="420" w:lineRule="exact"/>
        <w:ind w:firstLine="480"/>
        <w:textAlignment w:val="auto"/>
        <w:rPr>
          <w:rFonts w:hint="eastAsia" w:ascii="仿宋" w:hAnsi="仿宋" w:eastAsia="仿宋" w:cs="宋体"/>
          <w:color w:val="auto"/>
          <w:sz w:val="24"/>
          <w:szCs w:val="24"/>
          <w:lang w:eastAsia="zh-CN"/>
        </w:rPr>
      </w:pPr>
      <w:r>
        <w:rPr>
          <w:rFonts w:hint="eastAsia" w:ascii="仿宋" w:hAnsi="仿宋" w:eastAsia="仿宋" w:cs="宋体"/>
          <w:b/>
          <w:bCs/>
          <w:color w:val="auto"/>
          <w:sz w:val="24"/>
          <w:szCs w:val="24"/>
          <w:lang w:val="en-US" w:eastAsia="zh-CN"/>
        </w:rPr>
        <w:t>3</w:t>
      </w:r>
      <w:r>
        <w:rPr>
          <w:rFonts w:hint="eastAsia" w:ascii="仿宋" w:hAnsi="仿宋" w:eastAsia="仿宋" w:cs="宋体"/>
          <w:b/>
          <w:bCs/>
          <w:color w:val="auto"/>
          <w:sz w:val="24"/>
          <w:szCs w:val="24"/>
          <w:lang w:eastAsia="zh-CN"/>
        </w:rPr>
        <w:t>、</w:t>
      </w:r>
      <w:r>
        <w:rPr>
          <w:rFonts w:hint="eastAsia" w:ascii="仿宋" w:hAnsi="仿宋" w:eastAsia="仿宋" w:cs="宋体"/>
          <w:b/>
          <w:bCs/>
          <w:color w:val="auto"/>
          <w:sz w:val="24"/>
          <w:szCs w:val="24"/>
        </w:rPr>
        <w:t>付款方式</w:t>
      </w:r>
      <w:r>
        <w:rPr>
          <w:rFonts w:hint="eastAsia" w:ascii="仿宋" w:hAnsi="仿宋" w:eastAsia="仿宋" w:cs="宋体"/>
          <w:b/>
          <w:bCs/>
          <w:color w:val="auto"/>
          <w:sz w:val="24"/>
          <w:szCs w:val="24"/>
          <w:lang w:eastAsia="zh-CN"/>
        </w:rPr>
        <w:t>：</w:t>
      </w:r>
    </w:p>
    <w:p w14:paraId="15DE1B87">
      <w:pPr>
        <w:keepNext w:val="0"/>
        <w:keepLines w:val="0"/>
        <w:pageBreakBefore w:val="0"/>
        <w:widowControl w:val="0"/>
        <w:kinsoku/>
        <w:wordWrap/>
        <w:overflowPunct/>
        <w:topLinePunct w:val="0"/>
        <w:autoSpaceDE/>
        <w:autoSpaceDN/>
        <w:bidi w:val="0"/>
        <w:spacing w:line="420" w:lineRule="exact"/>
        <w:ind w:firstLine="480"/>
        <w:textAlignment w:val="auto"/>
        <w:rPr>
          <w:rFonts w:ascii="仿宋" w:hAnsi="仿宋" w:eastAsia="仿宋" w:cs="宋体"/>
          <w:sz w:val="24"/>
          <w:szCs w:val="24"/>
        </w:rPr>
      </w:pPr>
      <w:r>
        <w:rPr>
          <w:rFonts w:hint="eastAsia" w:ascii="仿宋" w:hAnsi="仿宋" w:eastAsia="仿宋" w:cs="宋体"/>
          <w:sz w:val="24"/>
          <w:szCs w:val="24"/>
        </w:rPr>
        <w:t>合同生效以及具备实施条件后 7 个工作日内，采购人向中标人支付本标项采购预算金额得20%作为预付款（在签订合同时，中标人明确表示无需预付款或者主动要求降低预付款比例的，采购人可不适用前述规定；支付预付款的，中标人应当向采购人提交发票以及银行、保险公司等金融机构出具的预付款保函）；项目竣工验收后由</w:t>
      </w:r>
      <w:r>
        <w:rPr>
          <w:rFonts w:hint="eastAsia" w:ascii="仿宋" w:hAnsi="仿宋" w:eastAsia="仿宋" w:cs="宋体"/>
          <w:sz w:val="24"/>
          <w:szCs w:val="24"/>
          <w:lang w:eastAsia="zh-CN"/>
        </w:rPr>
        <w:t>成交供应商</w:t>
      </w:r>
      <w:r>
        <w:rPr>
          <w:rFonts w:hint="eastAsia" w:ascii="仿宋" w:hAnsi="仿宋" w:eastAsia="仿宋" w:cs="宋体"/>
          <w:sz w:val="24"/>
          <w:szCs w:val="24"/>
        </w:rPr>
        <w:t>出具费用结算清单及正式的税务发票，</w:t>
      </w:r>
      <w:r>
        <w:rPr>
          <w:rFonts w:hint="eastAsia" w:ascii="仿宋" w:hAnsi="仿宋" w:eastAsia="仿宋" w:cs="宋体"/>
          <w:sz w:val="24"/>
          <w:szCs w:val="24"/>
          <w:lang w:val="en-US" w:eastAsia="zh-CN"/>
        </w:rPr>
        <w:t>采购人</w:t>
      </w:r>
      <w:r>
        <w:rPr>
          <w:rFonts w:hint="eastAsia" w:ascii="仿宋" w:hAnsi="仿宋" w:eastAsia="仿宋" w:cs="宋体"/>
          <w:sz w:val="24"/>
          <w:szCs w:val="24"/>
        </w:rPr>
        <w:t>审核无异议后15个工作日内支付。</w:t>
      </w:r>
    </w:p>
    <w:p w14:paraId="15C42DFB">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b/>
          <w:color w:val="auto"/>
          <w:sz w:val="36"/>
          <w:szCs w:val="36"/>
        </w:rPr>
      </w:pPr>
      <w:r>
        <w:rPr>
          <w:rFonts w:ascii="仿宋" w:hAnsi="仿宋" w:eastAsia="仿宋" w:cs="仿宋_GB2312"/>
          <w:kern w:val="16"/>
          <w:sz w:val="24"/>
        </w:rPr>
        <w:t>注：支付前</w:t>
      </w:r>
      <w:r>
        <w:rPr>
          <w:rFonts w:hint="eastAsia" w:ascii="仿宋" w:hAnsi="仿宋" w:eastAsia="仿宋" w:cs="仿宋_GB2312"/>
          <w:kern w:val="16"/>
          <w:sz w:val="24"/>
          <w:lang w:eastAsia="zh-CN"/>
        </w:rPr>
        <w:t>成交供应商</w:t>
      </w:r>
      <w:r>
        <w:rPr>
          <w:rFonts w:ascii="仿宋" w:hAnsi="仿宋" w:eastAsia="仿宋" w:cs="仿宋_GB2312"/>
          <w:kern w:val="16"/>
          <w:sz w:val="24"/>
        </w:rPr>
        <w:t>需根据采购人要求</w:t>
      </w:r>
      <w:r>
        <w:rPr>
          <w:rFonts w:hint="eastAsia" w:ascii="仿宋" w:hAnsi="仿宋" w:eastAsia="仿宋" w:cs="仿宋_GB2312"/>
          <w:kern w:val="16"/>
          <w:sz w:val="24"/>
        </w:rPr>
        <w:t>提供结算清单及正式的税务发票</w:t>
      </w:r>
      <w:r>
        <w:rPr>
          <w:rFonts w:ascii="仿宋" w:hAnsi="仿宋" w:eastAsia="仿宋" w:cs="仿宋_GB2312"/>
          <w:kern w:val="16"/>
          <w:sz w:val="24"/>
        </w:rPr>
        <w:t>，</w:t>
      </w:r>
      <w:r>
        <w:rPr>
          <w:rFonts w:hint="eastAsia" w:ascii="仿宋" w:hAnsi="仿宋" w:eastAsia="仿宋" w:cs="仿宋_GB2312"/>
          <w:kern w:val="16"/>
          <w:sz w:val="24"/>
        </w:rPr>
        <w:t>因未按要求提供结算清单及正式的税务发票而引起的延迟付款由</w:t>
      </w:r>
      <w:r>
        <w:rPr>
          <w:rFonts w:hint="eastAsia" w:ascii="仿宋" w:hAnsi="仿宋" w:eastAsia="仿宋" w:cs="仿宋_GB2312"/>
          <w:kern w:val="16"/>
          <w:sz w:val="24"/>
          <w:lang w:eastAsia="zh-CN"/>
        </w:rPr>
        <w:t>成交供应商</w:t>
      </w:r>
      <w:r>
        <w:rPr>
          <w:rFonts w:hint="eastAsia" w:ascii="仿宋" w:hAnsi="仿宋" w:eastAsia="仿宋" w:cs="仿宋_GB2312"/>
          <w:kern w:val="16"/>
          <w:sz w:val="24"/>
        </w:rPr>
        <w:t>自行承担责任</w:t>
      </w:r>
      <w:r>
        <w:rPr>
          <w:rFonts w:ascii="仿宋" w:hAnsi="仿宋" w:eastAsia="仿宋" w:cs="仿宋_GB2312"/>
          <w:kern w:val="16"/>
          <w:sz w:val="24"/>
        </w:rPr>
        <w:t>；</w:t>
      </w:r>
      <w:r>
        <w:rPr>
          <w:rFonts w:hint="eastAsia" w:ascii="仿宋" w:hAnsi="仿宋" w:eastAsia="仿宋" w:cs="宋体"/>
          <w:sz w:val="24"/>
          <w:szCs w:val="24"/>
        </w:rPr>
        <w:t>以上付款时间是指采购人完成向财政部门申报支付手续的时间，因财政部门资金申报、审查、拨付造成的支付时间延误的，不视为采购人违约。</w:t>
      </w:r>
    </w:p>
    <w:p w14:paraId="14F2BF77">
      <w:pPr>
        <w:keepNext w:val="0"/>
        <w:keepLines w:val="0"/>
        <w:pageBreakBefore w:val="0"/>
        <w:widowControl w:val="0"/>
        <w:kinsoku/>
        <w:wordWrap/>
        <w:overflowPunct/>
        <w:topLinePunct w:val="0"/>
        <w:autoSpaceDE/>
        <w:autoSpaceDN/>
        <w:bidi w:val="0"/>
        <w:spacing w:line="420" w:lineRule="exact"/>
        <w:textAlignment w:val="auto"/>
        <w:rPr>
          <w:rFonts w:hint="eastAsia" w:ascii="仿宋" w:hAnsi="仿宋" w:eastAsia="仿宋" w:cs="仿宋"/>
          <w:b/>
          <w:sz w:val="24"/>
          <w:highlight w:val="none"/>
        </w:rPr>
      </w:pPr>
      <w:r>
        <w:rPr>
          <w:rFonts w:hint="eastAsia" w:ascii="仿宋" w:hAnsi="仿宋" w:eastAsia="仿宋" w:cs="仿宋"/>
          <w:b/>
          <w:sz w:val="24"/>
          <w:highlight w:val="none"/>
        </w:rPr>
        <w:t>（九）最高限价</w:t>
      </w:r>
    </w:p>
    <w:p w14:paraId="428FFFD4">
      <w:pPr>
        <w:keepNext w:val="0"/>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仿宋" w:hAnsi="仿宋" w:eastAsia="仿宋" w:cs="仿宋"/>
          <w:b/>
          <w:bCs w:val="0"/>
          <w:sz w:val="24"/>
        </w:rPr>
      </w:pPr>
      <w:r>
        <w:rPr>
          <w:rFonts w:hint="eastAsia" w:ascii="仿宋" w:hAnsi="仿宋" w:eastAsia="仿宋" w:cs="仿宋"/>
          <w:b/>
          <w:bCs w:val="0"/>
          <w:sz w:val="24"/>
          <w:highlight w:val="none"/>
        </w:rPr>
        <w:t>本项目按折扣招标，具体数量按实结算，最高折扣限价为</w:t>
      </w:r>
      <w:r>
        <w:rPr>
          <w:rFonts w:hint="eastAsia" w:ascii="仿宋" w:hAnsi="仿宋" w:eastAsia="仿宋" w:cs="仿宋"/>
          <w:b/>
          <w:bCs w:val="0"/>
          <w:sz w:val="24"/>
          <w:highlight w:val="none"/>
          <w:lang w:val="en-US" w:eastAsia="zh-CN"/>
        </w:rPr>
        <w:t>70.00</w:t>
      </w:r>
      <w:r>
        <w:rPr>
          <w:rFonts w:hint="eastAsia" w:ascii="仿宋" w:hAnsi="仿宋" w:eastAsia="仿宋" w:cs="仿宋"/>
          <w:b/>
          <w:bCs w:val="0"/>
          <w:sz w:val="24"/>
          <w:highlight w:val="none"/>
        </w:rPr>
        <w:t>%，任何超过最高限价的报价将被认定为无效报价，报价包含了与本项目设计服务相关的一切费用</w:t>
      </w:r>
      <w:r>
        <w:rPr>
          <w:rFonts w:hint="eastAsia" w:ascii="仿宋" w:hAnsi="仿宋" w:eastAsia="仿宋" w:cs="仿宋"/>
          <w:b/>
          <w:bCs w:val="0"/>
          <w:sz w:val="24"/>
        </w:rPr>
        <w:t>。</w:t>
      </w:r>
    </w:p>
    <w:p w14:paraId="3DD73DB1">
      <w:pPr>
        <w:keepNext w:val="0"/>
        <w:keepLines w:val="0"/>
        <w:pageBreakBefore w:val="0"/>
        <w:widowControl w:val="0"/>
        <w:kinsoku/>
        <w:wordWrap/>
        <w:overflowPunct/>
        <w:topLinePunct w:val="0"/>
        <w:bidi w:val="0"/>
        <w:spacing w:line="360" w:lineRule="auto"/>
        <w:ind w:firstLine="472" w:firstLineChars="196"/>
        <w:textAlignment w:val="auto"/>
        <w:rPr>
          <w:rFonts w:hint="eastAsia" w:ascii="仿宋" w:hAnsi="仿宋" w:eastAsia="仿宋" w:cs="仿宋"/>
          <w:b/>
          <w:bCs w:val="0"/>
          <w:color w:val="auto"/>
          <w:sz w:val="24"/>
          <w:szCs w:val="24"/>
          <w:highlight w:val="none"/>
          <w:lang w:eastAsia="zh-CN"/>
        </w:rPr>
      </w:pPr>
      <w:r>
        <w:rPr>
          <w:rFonts w:hint="eastAsia" w:ascii="仿宋" w:hAnsi="仿宋" w:eastAsia="仿宋" w:cs="仿宋"/>
          <w:b/>
          <w:bCs/>
          <w:color w:val="auto"/>
          <w:sz w:val="24"/>
          <w:szCs w:val="24"/>
          <w:lang w:val="en-US" w:eastAsia="zh-CN"/>
        </w:rPr>
        <w:t>标项一 最高合同金额</w:t>
      </w:r>
      <w:r>
        <w:rPr>
          <w:rFonts w:hint="eastAsia" w:ascii="仿宋" w:hAnsi="仿宋" w:eastAsia="仿宋" w:cs="仿宋"/>
          <w:b/>
          <w:bCs w:val="0"/>
          <w:color w:val="auto"/>
          <w:sz w:val="24"/>
          <w:szCs w:val="24"/>
          <w:highlight w:val="none"/>
          <w:lang w:val="en-US" w:eastAsia="zh-CN"/>
        </w:rPr>
        <w:t>为</w:t>
      </w:r>
      <w:r>
        <w:rPr>
          <w:rFonts w:hint="eastAsia" w:ascii="仿宋" w:hAnsi="仿宋" w:eastAsia="仿宋" w:cs="仿宋"/>
          <w:b/>
          <w:bCs w:val="0"/>
          <w:color w:val="auto"/>
          <w:sz w:val="24"/>
          <w:szCs w:val="24"/>
          <w:highlight w:val="none"/>
        </w:rPr>
        <w:t>人民币</w:t>
      </w:r>
      <w:r>
        <w:rPr>
          <w:rFonts w:hint="eastAsia" w:ascii="仿宋" w:hAnsi="仿宋" w:eastAsia="仿宋" w:cs="仿宋"/>
          <w:b/>
          <w:bCs w:val="0"/>
          <w:color w:val="auto"/>
          <w:sz w:val="24"/>
          <w:szCs w:val="24"/>
          <w:highlight w:val="none"/>
          <w:lang w:val="en-US" w:eastAsia="zh-CN"/>
        </w:rPr>
        <w:t>肆拾伍万</w:t>
      </w:r>
      <w:r>
        <w:rPr>
          <w:rFonts w:hint="eastAsia" w:ascii="仿宋" w:hAnsi="仿宋" w:eastAsia="仿宋" w:cs="仿宋"/>
          <w:b/>
          <w:bCs w:val="0"/>
          <w:color w:val="auto"/>
          <w:sz w:val="24"/>
          <w:szCs w:val="24"/>
          <w:highlight w:val="none"/>
        </w:rPr>
        <w:t>元整（¥</w:t>
      </w:r>
      <w:r>
        <w:rPr>
          <w:rFonts w:hint="eastAsia" w:ascii="仿宋" w:hAnsi="仿宋" w:eastAsia="仿宋" w:cs="仿宋"/>
          <w:b/>
          <w:bCs w:val="0"/>
          <w:color w:val="auto"/>
          <w:sz w:val="24"/>
          <w:szCs w:val="24"/>
          <w:highlight w:val="none"/>
          <w:lang w:val="en-US" w:eastAsia="zh-CN"/>
        </w:rPr>
        <w:t>45</w:t>
      </w:r>
      <w:r>
        <w:rPr>
          <w:rFonts w:hint="eastAsia" w:ascii="仿宋" w:hAnsi="仿宋" w:eastAsia="仿宋" w:cs="仿宋"/>
          <w:b/>
          <w:bCs w:val="0"/>
          <w:color w:val="auto"/>
          <w:sz w:val="24"/>
          <w:szCs w:val="24"/>
          <w:highlight w:val="none"/>
        </w:rPr>
        <w:t>0000.00）</w:t>
      </w:r>
      <w:r>
        <w:rPr>
          <w:rFonts w:hint="eastAsia" w:ascii="仿宋" w:hAnsi="仿宋" w:eastAsia="仿宋" w:cs="仿宋"/>
          <w:b/>
          <w:bCs w:val="0"/>
          <w:color w:val="auto"/>
          <w:sz w:val="24"/>
          <w:szCs w:val="24"/>
          <w:highlight w:val="none"/>
          <w:lang w:eastAsia="zh-CN"/>
        </w:rPr>
        <w:t>；</w:t>
      </w:r>
    </w:p>
    <w:p w14:paraId="0BE1708D">
      <w:pPr>
        <w:keepNext w:val="0"/>
        <w:keepLines w:val="0"/>
        <w:pageBreakBefore w:val="0"/>
        <w:widowControl w:val="0"/>
        <w:kinsoku/>
        <w:wordWrap/>
        <w:overflowPunct/>
        <w:topLinePunct w:val="0"/>
        <w:bidi w:val="0"/>
        <w:spacing w:line="360" w:lineRule="auto"/>
        <w:ind w:firstLine="472" w:firstLineChars="196"/>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bCs/>
          <w:color w:val="auto"/>
          <w:sz w:val="24"/>
          <w:szCs w:val="24"/>
          <w:lang w:val="en-US" w:eastAsia="zh-CN"/>
        </w:rPr>
        <w:t>标项二 最高合同金额</w:t>
      </w:r>
      <w:r>
        <w:rPr>
          <w:rFonts w:hint="eastAsia" w:ascii="仿宋" w:hAnsi="仿宋" w:eastAsia="仿宋" w:cs="仿宋"/>
          <w:b/>
          <w:bCs w:val="0"/>
          <w:color w:val="auto"/>
          <w:sz w:val="24"/>
          <w:szCs w:val="24"/>
          <w:highlight w:val="none"/>
          <w:lang w:val="en-US" w:eastAsia="zh-CN"/>
        </w:rPr>
        <w:t>为</w:t>
      </w:r>
      <w:r>
        <w:rPr>
          <w:rFonts w:hint="eastAsia" w:ascii="仿宋" w:hAnsi="仿宋" w:eastAsia="仿宋" w:cs="仿宋"/>
          <w:b/>
          <w:bCs w:val="0"/>
          <w:color w:val="auto"/>
          <w:sz w:val="24"/>
          <w:szCs w:val="24"/>
          <w:highlight w:val="none"/>
        </w:rPr>
        <w:t>人民币</w:t>
      </w:r>
      <w:r>
        <w:rPr>
          <w:rFonts w:hint="eastAsia" w:ascii="仿宋" w:hAnsi="仿宋" w:eastAsia="仿宋" w:cs="仿宋"/>
          <w:b/>
          <w:bCs w:val="0"/>
          <w:color w:val="auto"/>
          <w:sz w:val="24"/>
          <w:szCs w:val="24"/>
          <w:highlight w:val="none"/>
          <w:lang w:val="en-US" w:eastAsia="zh-CN"/>
        </w:rPr>
        <w:t>肆拾伍万</w:t>
      </w:r>
      <w:r>
        <w:rPr>
          <w:rFonts w:hint="eastAsia" w:ascii="仿宋" w:hAnsi="仿宋" w:eastAsia="仿宋" w:cs="仿宋"/>
          <w:b/>
          <w:bCs w:val="0"/>
          <w:color w:val="auto"/>
          <w:sz w:val="24"/>
          <w:szCs w:val="24"/>
          <w:highlight w:val="none"/>
        </w:rPr>
        <w:t>元整（¥</w:t>
      </w:r>
      <w:r>
        <w:rPr>
          <w:rFonts w:hint="eastAsia" w:ascii="仿宋" w:hAnsi="仿宋" w:eastAsia="仿宋" w:cs="仿宋"/>
          <w:b/>
          <w:bCs w:val="0"/>
          <w:color w:val="auto"/>
          <w:sz w:val="24"/>
          <w:szCs w:val="24"/>
          <w:highlight w:val="none"/>
          <w:lang w:val="en-US" w:eastAsia="zh-CN"/>
        </w:rPr>
        <w:t>45</w:t>
      </w:r>
      <w:r>
        <w:rPr>
          <w:rFonts w:hint="eastAsia" w:ascii="仿宋" w:hAnsi="仿宋" w:eastAsia="仿宋" w:cs="仿宋"/>
          <w:b/>
          <w:bCs w:val="0"/>
          <w:color w:val="auto"/>
          <w:sz w:val="24"/>
          <w:szCs w:val="24"/>
          <w:highlight w:val="none"/>
        </w:rPr>
        <w:t>0000.00）。</w:t>
      </w:r>
    </w:p>
    <w:p w14:paraId="1AF0C0D6">
      <w:pPr>
        <w:pStyle w:val="2"/>
        <w:numPr>
          <w:ilvl w:val="0"/>
          <w:numId w:val="0"/>
        </w:numPr>
        <w:ind w:leftChars="0"/>
        <w:rPr>
          <w:rFonts w:hint="eastAsia" w:ascii="仿宋" w:hAnsi="仿宋" w:eastAsia="仿宋" w:cs="仿宋"/>
          <w:b/>
          <w:color w:val="auto"/>
          <w:kern w:val="2"/>
          <w:sz w:val="24"/>
          <w:szCs w:val="24"/>
          <w:highlight w:val="none"/>
          <w:lang w:val="en-US" w:eastAsia="zh-CN" w:bidi="ar-SA"/>
        </w:rPr>
      </w:pPr>
    </w:p>
    <w:p w14:paraId="111E28DD">
      <w:pPr>
        <w:rPr>
          <w:rFonts w:hint="eastAsia" w:asciiTheme="minorEastAsia" w:hAnsiTheme="minorEastAsia" w:eastAsiaTheme="minorEastAsia" w:cstheme="minorEastAsia"/>
          <w:sz w:val="24"/>
          <w:szCs w:val="24"/>
        </w:rPr>
      </w:pP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Lucida Sans">
    <w:panose1 w:val="020B0602030504020204"/>
    <w:charset w:val="00"/>
    <w:family w:val="swiss"/>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6037E">
    <w:pPr>
      <w:pStyle w:val="11"/>
      <w:jc w:val="center"/>
    </w:pPr>
  </w:p>
  <w:p w14:paraId="6B3146A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7A49F">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9D0CF3">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9D0CF3">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95D44">
    <w:pPr>
      <w:pStyle w:val="12"/>
      <w:pBdr>
        <w:bottom w:val="none" w:color="auto" w:sz="0" w:space="1"/>
      </w:pBdr>
      <w:jc w:val="both"/>
    </w:pPr>
  </w:p>
  <w:p w14:paraId="1BACD40A">
    <w:pPr>
      <w:pStyle w:val="12"/>
      <w:pBdr>
        <w:bottom w:val="double" w:color="auto" w:sz="8" w:space="1"/>
      </w:pBdr>
      <w:jc w:val="center"/>
      <w:rPr>
        <w:rFonts w:hint="eastAsia" w:ascii="仿宋" w:hAnsi="仿宋" w:eastAsia="仿宋" w:cs="仿宋"/>
        <w:sz w:val="21"/>
        <w:szCs w:val="21"/>
      </w:rPr>
    </w:pPr>
    <w:r>
      <w:rPr>
        <w:rFonts w:hint="eastAsia" w:ascii="仿宋" w:hAnsi="仿宋" w:eastAsia="仿宋" w:cs="仿宋"/>
        <w:sz w:val="21"/>
        <w:szCs w:val="21"/>
      </w:rPr>
      <w:t>绍兴衡业工程管理咨询有限公司采购要素文件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981A2">
    <w:pPr>
      <w:pStyle w:val="12"/>
    </w:pPr>
  </w:p>
  <w:p w14:paraId="3CE48025">
    <w:pPr>
      <w:pStyle w:val="12"/>
    </w:pPr>
  </w:p>
  <w:p w14:paraId="2DAA66D4">
    <w:pPr>
      <w:pStyle w:val="12"/>
    </w:pPr>
  </w:p>
  <w:p w14:paraId="6FD44347">
    <w:pPr>
      <w:pStyle w:val="12"/>
    </w:pPr>
  </w:p>
  <w:p w14:paraId="74CBE8D5">
    <w:pPr>
      <w:pStyle w:val="12"/>
      <w:pBdr>
        <w:bottom w:val="double" w:color="auto" w:sz="8" w:space="1"/>
      </w:pBdr>
      <w:jc w:val="center"/>
      <w:rPr>
        <w:rFonts w:hint="eastAsia" w:ascii="仿宋" w:hAnsi="仿宋" w:eastAsia="仿宋" w:cs="仿宋"/>
        <w:sz w:val="21"/>
        <w:szCs w:val="21"/>
      </w:rPr>
    </w:pPr>
    <w:r>
      <w:rPr>
        <w:rFonts w:hint="eastAsia" w:ascii="仿宋" w:hAnsi="仿宋" w:eastAsia="仿宋" w:cs="仿宋"/>
        <w:sz w:val="21"/>
        <w:szCs w:val="21"/>
      </w:rPr>
      <w:t>绍兴衡业工程管理咨询有限公司采购要素文件</w:t>
    </w:r>
  </w:p>
  <w:p w14:paraId="61CF0543">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5AFDE"/>
    <w:multiLevelType w:val="singleLevel"/>
    <w:tmpl w:val="2DD5AFD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F5DEA"/>
    <w:rsid w:val="15400323"/>
    <w:rsid w:val="1D1A7A3A"/>
    <w:rsid w:val="1F110002"/>
    <w:rsid w:val="241C5BE8"/>
    <w:rsid w:val="24FC135E"/>
    <w:rsid w:val="29965EBB"/>
    <w:rsid w:val="2F7618C1"/>
    <w:rsid w:val="30947B21"/>
    <w:rsid w:val="35150478"/>
    <w:rsid w:val="36385EA8"/>
    <w:rsid w:val="3893537C"/>
    <w:rsid w:val="4A69217F"/>
    <w:rsid w:val="5D953E6D"/>
    <w:rsid w:val="64C95B25"/>
    <w:rsid w:val="6B876BE9"/>
    <w:rsid w:val="6FB013EF"/>
    <w:rsid w:val="74BE5923"/>
    <w:rsid w:val="780A2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keepLines/>
      <w:tabs>
        <w:tab w:val="left" w:pos="432"/>
      </w:tabs>
      <w:spacing w:before="340" w:after="330" w:line="578" w:lineRule="auto"/>
      <w:ind w:left="432" w:hanging="432"/>
      <w:outlineLvl w:val="0"/>
    </w:pPr>
    <w:rPr>
      <w:b/>
      <w:kern w:val="44"/>
      <w:sz w:val="44"/>
      <w:szCs w:val="20"/>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ind w:firstLine="420"/>
    </w:pPr>
    <w:rPr>
      <w:rFonts w:cs="宋体"/>
    </w:rPr>
  </w:style>
  <w:style w:type="paragraph" w:customStyle="1" w:styleId="3">
    <w:name w:val="Body Text Indent1"/>
    <w:basedOn w:val="1"/>
    <w:next w:val="1"/>
    <w:qFormat/>
    <w:uiPriority w:val="0"/>
    <w:pPr>
      <w:spacing w:after="120"/>
      <w:ind w:left="420" w:leftChars="200"/>
    </w:pPr>
  </w:style>
  <w:style w:type="paragraph" w:styleId="5">
    <w:name w:val="Normal Indent"/>
    <w:basedOn w:val="1"/>
    <w:qFormat/>
    <w:uiPriority w:val="99"/>
    <w:pPr>
      <w:widowControl/>
      <w:snapToGrid w:val="0"/>
      <w:spacing w:line="480" w:lineRule="exact"/>
      <w:ind w:firstLine="567"/>
    </w:pPr>
    <w:rPr>
      <w:rFonts w:ascii="宋体"/>
      <w:color w:val="000000"/>
      <w:kern w:val="28"/>
      <w:sz w:val="28"/>
      <w:szCs w:val="20"/>
    </w:rPr>
  </w:style>
  <w:style w:type="paragraph" w:styleId="6">
    <w:name w:val="Body Text"/>
    <w:basedOn w:val="1"/>
    <w:qFormat/>
    <w:uiPriority w:val="99"/>
    <w:pPr>
      <w:autoSpaceDE w:val="0"/>
      <w:autoSpaceDN w:val="0"/>
      <w:spacing w:line="360" w:lineRule="auto"/>
    </w:pPr>
    <w:rPr>
      <w:rFonts w:ascii="宋体" w:hAnsi="Arial" w:cs="Arial"/>
      <w:sz w:val="24"/>
      <w:szCs w:val="21"/>
      <w:lang w:val="zh-CN"/>
    </w:rPr>
  </w:style>
  <w:style w:type="paragraph" w:styleId="7">
    <w:name w:val="Body Text Indent"/>
    <w:basedOn w:val="1"/>
    <w:next w:val="1"/>
    <w:qFormat/>
    <w:uiPriority w:val="99"/>
    <w:pPr>
      <w:spacing w:line="480" w:lineRule="exact"/>
      <w:ind w:firstLine="480" w:firstLineChars="200"/>
    </w:pPr>
    <w:rPr>
      <w:rFonts w:ascii="宋体" w:hAnsi="宋体"/>
      <w:sz w:val="24"/>
    </w:rPr>
  </w:style>
  <w:style w:type="paragraph" w:styleId="8">
    <w:name w:val="Block Text"/>
    <w:basedOn w:val="1"/>
    <w:qFormat/>
    <w:uiPriority w:val="0"/>
    <w:pPr>
      <w:adjustRightInd w:val="0"/>
      <w:ind w:left="420" w:right="33"/>
      <w:jc w:val="left"/>
      <w:textAlignment w:val="baseline"/>
    </w:pPr>
    <w:rPr>
      <w:kern w:val="0"/>
      <w:sz w:val="24"/>
      <w:szCs w:val="20"/>
    </w:rPr>
  </w:style>
  <w:style w:type="paragraph" w:styleId="9">
    <w:name w:val="Plain Text"/>
    <w:basedOn w:val="1"/>
    <w:next w:val="10"/>
    <w:qFormat/>
    <w:uiPriority w:val="99"/>
    <w:rPr>
      <w:rFonts w:ascii="宋体" w:hAnsi="Courier New" w:cs="Arial"/>
      <w:szCs w:val="21"/>
    </w:rPr>
  </w:style>
  <w:style w:type="paragraph" w:styleId="10">
    <w:name w:val="toc 1"/>
    <w:basedOn w:val="1"/>
    <w:next w:val="1"/>
    <w:qFormat/>
    <w:uiPriority w:val="99"/>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widowControl/>
      <w:autoSpaceDE/>
      <w:autoSpaceDN/>
      <w:adjustRightInd/>
      <w:spacing w:before="100" w:beforeAutospacing="1" w:after="100" w:afterAutospacing="1"/>
      <w:jc w:val="left"/>
    </w:pPr>
    <w:rPr>
      <w:rFonts w:ascii="宋体" w:hAnsi="宋体" w:cs="宋体"/>
      <w:color w:val="auto"/>
      <w:sz w:val="24"/>
      <w:szCs w:val="24"/>
    </w:rPr>
  </w:style>
  <w:style w:type="paragraph" w:styleId="14">
    <w:name w:val="Body Text First Indent"/>
    <w:basedOn w:val="6"/>
    <w:next w:val="1"/>
    <w:qFormat/>
    <w:uiPriority w:val="99"/>
    <w:pPr>
      <w:ind w:firstLine="420"/>
    </w:pPr>
    <w:rPr>
      <w:rFonts w:hAnsi="Times New Roman" w:cs="Times New Roman"/>
      <w:szCs w:val="20"/>
    </w:rPr>
  </w:style>
  <w:style w:type="paragraph" w:styleId="15">
    <w:name w:val="Body Text First Indent 2"/>
    <w:basedOn w:val="7"/>
    <w:qFormat/>
    <w:uiPriority w:val="99"/>
    <w:pPr>
      <w:adjustRightInd/>
      <w:spacing w:after="120" w:line="240" w:lineRule="auto"/>
      <w:ind w:left="420" w:leftChars="200" w:firstLine="210"/>
    </w:pPr>
    <w:rPr>
      <w:sz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List Paragraph"/>
    <w:basedOn w:val="1"/>
    <w:qFormat/>
    <w:uiPriority w:val="99"/>
    <w:pPr>
      <w:spacing w:line="360" w:lineRule="auto"/>
      <w:ind w:firstLine="200" w:firstLineChars="200"/>
    </w:pPr>
    <w:rPr>
      <w:rFonts w:eastAsia="楷体_GB2312" w:cs="Lucida Sans"/>
      <w:sz w:val="24"/>
    </w:rPr>
  </w:style>
  <w:style w:type="paragraph" w:customStyle="1" w:styleId="20">
    <w:name w:val="表格文字"/>
    <w:basedOn w:val="21"/>
    <w:next w:val="6"/>
    <w:qFormat/>
    <w:uiPriority w:val="99"/>
    <w:pPr>
      <w:adjustRightInd/>
      <w:ind w:firstLine="200" w:firstLineChars="200"/>
    </w:pPr>
    <w:rPr>
      <w:rFonts w:ascii="Arial" w:hAnsi="Arial"/>
      <w:spacing w:val="-5"/>
      <w:kern w:val="0"/>
      <w:sz w:val="24"/>
      <w:szCs w:val="20"/>
    </w:rPr>
  </w:style>
  <w:style w:type="paragraph" w:customStyle="1" w:styleId="21">
    <w:name w:val="表格文字（两侧对齐）"/>
    <w:basedOn w:val="1"/>
    <w:qFormat/>
    <w:uiPriority w:val="0"/>
    <w:pPr>
      <w:snapToGrid w:val="0"/>
    </w:pPr>
    <w:rPr>
      <w:sz w:val="20"/>
    </w:rPr>
  </w:style>
  <w:style w:type="paragraph" w:customStyle="1" w:styleId="22">
    <w:name w:val="正文首行缩进 211"/>
    <w:basedOn w:val="23"/>
    <w:qFormat/>
    <w:uiPriority w:val="0"/>
    <w:pPr>
      <w:ind w:firstLine="420"/>
    </w:pPr>
    <w:rPr>
      <w:rFonts w:ascii="Times New Roman" w:hAnsi="Times New Roman" w:eastAsia="宋体" w:cs="宋体"/>
    </w:rPr>
  </w:style>
  <w:style w:type="paragraph" w:customStyle="1" w:styleId="23">
    <w:name w:val="正文文本缩进1"/>
    <w:basedOn w:val="1"/>
    <w:next w:val="1"/>
    <w:qFormat/>
    <w:uiPriority w:val="0"/>
    <w:pPr>
      <w:ind w:left="420" w:leftChars="200"/>
    </w:pPr>
    <w:rPr>
      <w:color w:val="000000"/>
      <w:szCs w:val="21"/>
    </w:rPr>
  </w:style>
  <w:style w:type="paragraph" w:customStyle="1" w:styleId="24">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6740</Words>
  <Characters>7431</Characters>
  <Lines>0</Lines>
  <Paragraphs>0</Paragraphs>
  <TotalTime>0</TotalTime>
  <ScaleCrop>false</ScaleCrop>
  <LinksUpToDate>false</LinksUpToDate>
  <CharactersWithSpaces>7500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2025-11-12T13:06:00Z</dcterms:created>
  <dc:creator>yxm</dc:creator>
  <cp:lastModifiedBy>=</cp:lastModifiedBy>
  <dcterms:modified xsi:type="dcterms:W3CDTF">2026-03-12T07:42:17Z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eyJoZGlkIjoiOGRkZWUyMWJiMjdiZDEyODAxOGE4Nzg5ZTU5MjM3MTMiLCJ1c2VySWQiOiI2NDUxNTI1NjAifQ==</vt:lpwstr>
  </property>
  <property fmtid="{D5CDD505-2E9C-101B-9397-08002B2CF9AE}" pid="4" name="ICV">
    <vt:lpwstr>2B59F071617C45A2AE4D34EDCDC581D5_12</vt:lpwstr>
  </property>
</Properties>
</file>