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ascii="黑体" w:hAnsi="黑体" w:eastAsia="黑体"/>
          <w:b/>
          <w:bCs/>
          <w:color w:val="FF0000"/>
          <w:spacing w:val="80"/>
          <w:sz w:val="44"/>
          <w:szCs w:val="44"/>
        </w:rPr>
      </w:pPr>
      <w:r>
        <w:rPr>
          <w:rFonts w:hint="eastAsia" w:ascii="黑体" w:hAnsi="黑体" w:eastAsia="黑体"/>
          <w:b/>
          <w:bCs/>
          <w:color w:val="FF0000"/>
          <w:spacing w:val="80"/>
          <w:sz w:val="44"/>
          <w:szCs w:val="44"/>
        </w:rPr>
        <w:t>（货物网上竞采电子反拍法）</w:t>
      </w:r>
    </w:p>
    <w:p>
      <w:pPr>
        <w:jc w:val="center"/>
        <w:outlineLvl w:val="0"/>
        <w:rPr>
          <w:rFonts w:ascii="黑体" w:hAnsi="黑体" w:eastAsia="黑体"/>
          <w:b/>
          <w:bCs/>
          <w:color w:val="FF0000"/>
          <w:spacing w:val="80"/>
          <w:sz w:val="44"/>
          <w:szCs w:val="44"/>
        </w:rPr>
      </w:pPr>
    </w:p>
    <w:p>
      <w:pPr>
        <w:jc w:val="center"/>
        <w:outlineLvl w:val="0"/>
        <w:rPr>
          <w:rFonts w:ascii="方正小标宋_GBK" w:hAnsi="方正小标宋_GBK" w:eastAsia="方正小标宋_GBK" w:cs="方正小标宋_GBK"/>
          <w:spacing w:val="80"/>
          <w:sz w:val="96"/>
          <w:szCs w:val="96"/>
        </w:rPr>
      </w:pPr>
      <w:bookmarkStart w:id="0" w:name="_Toc18159"/>
      <w:bookmarkStart w:id="1" w:name="_Toc25458"/>
      <w:bookmarkStart w:id="2" w:name="_Toc26820"/>
      <w:bookmarkStart w:id="3" w:name="_Toc313893526"/>
      <w:bookmarkStart w:id="4" w:name="_Toc12808"/>
      <w:bookmarkStart w:id="5" w:name="_Toc3463"/>
      <w:bookmarkStart w:id="6" w:name="_Toc317775175"/>
      <w:bookmarkStart w:id="7" w:name="_Toc7625"/>
      <w:bookmarkStart w:id="8" w:name="_Toc18881"/>
    </w:p>
    <w:p>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pPr>
        <w:spacing w:line="700" w:lineRule="exact"/>
        <w:ind w:left="3435" w:leftChars="557" w:hanging="2265" w:hangingChars="708"/>
        <w:rPr>
          <w:rFonts w:ascii="方正小标宋_GBK" w:hAnsi="方正小标宋_GBK" w:eastAsia="方正小标宋_GBK" w:cs="方正小标宋_GBK"/>
          <w:sz w:val="32"/>
          <w:szCs w:val="32"/>
        </w:rPr>
      </w:pPr>
    </w:p>
    <w:p>
      <w:pPr>
        <w:pStyle w:val="68"/>
        <w:rPr>
          <w:rFonts w:ascii="方正小标宋_GBK" w:hAnsi="方正小标宋_GBK" w:eastAsia="方正小标宋_GBK" w:cs="方正小标宋_GBK"/>
          <w:sz w:val="32"/>
          <w:szCs w:val="32"/>
        </w:rPr>
      </w:pPr>
    </w:p>
    <w:p>
      <w:pPr>
        <w:pStyle w:val="6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360" w:lineRule="auto"/>
        <w:ind w:left="3435" w:leftChars="557" w:hanging="2265" w:hangingChars="708"/>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eastAsia="zh-CN"/>
        </w:rPr>
        <w:t>油漆</w:t>
      </w:r>
      <w:r>
        <w:rPr>
          <w:rFonts w:hint="eastAsia" w:ascii="方正小标宋_GBK" w:hAnsi="方正小标宋_GBK" w:eastAsia="方正小标宋_GBK" w:cs="方正小标宋_GBK"/>
          <w:sz w:val="32"/>
          <w:szCs w:val="32"/>
        </w:rPr>
        <w:t>采购项目</w:t>
      </w:r>
    </w:p>
    <w:p>
      <w:pPr>
        <w:spacing w:line="360" w:lineRule="auto"/>
        <w:ind w:left="3435" w:leftChars="557" w:hanging="2265" w:hangingChars="708"/>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采购单位：重庆市合川区市政设施事务中心</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jc w:val="center"/>
        <w:rPr>
          <w:rFonts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eastAsia="zh-CN"/>
        </w:rPr>
        <w:t>七</w:t>
      </w:r>
      <w:r>
        <w:rPr>
          <w:rFonts w:hint="eastAsia" w:ascii="方正小标宋_GBK" w:hAnsi="方正小标宋_GBK" w:eastAsia="方正小标宋_GBK" w:cs="方正小标宋_GBK"/>
          <w:sz w:val="32"/>
          <w:szCs w:val="32"/>
          <w:highlight w:val="none"/>
        </w:rPr>
        <w:t>月</w:t>
      </w:r>
    </w:p>
    <w:p>
      <w:pPr>
        <w:spacing w:line="700" w:lineRule="exact"/>
        <w:ind w:left="3435" w:leftChars="557" w:hanging="2265" w:hangingChars="708"/>
        <w:rPr>
          <w:rFonts w:ascii="方正小标宋_GBK" w:hAnsi="方正小标宋_GBK" w:eastAsia="方正小标宋_GBK" w:cs="方正小标宋_GBK"/>
          <w:sz w:val="32"/>
          <w:szCs w:val="32"/>
          <w:highlight w:val="yellow"/>
        </w:rPr>
      </w:pPr>
    </w:p>
    <w:p>
      <w:pPr>
        <w:widowControl/>
        <w:jc w:val="left"/>
        <w:rPr>
          <w:rFonts w:ascii="宋体" w:hAnsi="宋体" w:cs="宋体"/>
          <w:b/>
          <w:sz w:val="24"/>
          <w:szCs w:val="24"/>
        </w:rPr>
      </w:pPr>
      <w:r>
        <w:rPr>
          <w:rFonts w:ascii="宋体" w:hAnsi="宋体" w:cs="宋体"/>
          <w:sz w:val="24"/>
          <w:szCs w:val="24"/>
        </w:rPr>
        <w:br w:type="page"/>
      </w:r>
    </w:p>
    <w:p>
      <w:pPr>
        <w:pStyle w:val="6"/>
        <w:spacing w:before="0" w:after="0" w:line="312" w:lineRule="auto"/>
        <w:jc w:val="center"/>
        <w:rPr>
          <w:rFonts w:ascii="宋体" w:hAnsi="宋体" w:cs="宋体"/>
          <w:sz w:val="24"/>
          <w:szCs w:val="24"/>
        </w:rPr>
      </w:pPr>
    </w:p>
    <w:p>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903" w:type="dxa"/>
            <w:tcBorders>
              <w:top w:val="single" w:color="auto" w:sz="4" w:space="0"/>
              <w:left w:val="single" w:color="auto" w:sz="4" w:space="0"/>
              <w:right w:val="single" w:color="auto" w:sz="4" w:space="0"/>
            </w:tcBorders>
            <w:noWrap w:val="0"/>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231" w:type="dxa"/>
            <w:tcBorders>
              <w:top w:val="single" w:color="auto" w:sz="4" w:space="0"/>
              <w:left w:val="single" w:color="auto" w:sz="4" w:space="0"/>
              <w:right w:val="single" w:color="auto" w:sz="4" w:space="0"/>
            </w:tcBorders>
            <w:noWrap w:val="0"/>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仿宋_GB2312" w:hAnsi="仿宋_GB2312" w:eastAsia="仿宋_GB2312" w:cs="仿宋_GB2312"/>
                <w:color w:val="FF0000"/>
                <w:kern w:val="0"/>
                <w:sz w:val="32"/>
                <w:szCs w:val="32"/>
                <w:highlight w:val="yellow"/>
              </w:rPr>
            </w:pPr>
            <w:bookmarkStart w:id="9" w:name="_Hlk344477914"/>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油漆</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采购项目</w:t>
            </w:r>
          </w:p>
        </w:tc>
        <w:tc>
          <w:tcPr>
            <w:tcW w:w="1746"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仿宋_GB2312" w:hAnsi="仿宋_GB2312" w:eastAsia="仿宋_GB2312" w:cs="仿宋_GB2312"/>
                <w:color w:val="auto"/>
                <w:kern w:val="0"/>
                <w:sz w:val="32"/>
                <w:szCs w:val="32"/>
                <w:highlight w:val="yellow"/>
                <w:lang w:val="en-US" w:eastAsia="zh-CN"/>
              </w:rPr>
            </w:pPr>
            <w:r>
              <w:rPr>
                <w:rFonts w:hint="eastAsia" w:ascii="仿宋_GB2312" w:hAnsi="仿宋_GB2312" w:eastAsia="仿宋_GB2312" w:cs="仿宋_GB2312"/>
                <w:color w:val="auto"/>
                <w:kern w:val="0"/>
                <w:sz w:val="32"/>
                <w:szCs w:val="32"/>
                <w:highlight w:val="none"/>
                <w:lang w:val="en-US" w:eastAsia="zh-CN"/>
              </w:rPr>
              <w:t>15000.00</w:t>
            </w:r>
          </w:p>
        </w:tc>
        <w:tc>
          <w:tcPr>
            <w:tcW w:w="1903"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财政预算</w:t>
            </w:r>
          </w:p>
          <w:p>
            <w:pPr>
              <w:pStyle w:val="68"/>
              <w:jc w:val="center"/>
              <w:rPr>
                <w:rFonts w:hint="eastAsia"/>
                <w:lang w:eastAsia="zh-CN"/>
              </w:rPr>
            </w:pPr>
            <w:r>
              <w:rPr>
                <w:rFonts w:hint="eastAsia" w:ascii="仿宋_GB2312" w:hAnsi="仿宋_GB2312" w:eastAsia="仿宋_GB2312" w:cs="仿宋_GB2312"/>
                <w:color w:val="auto"/>
                <w:sz w:val="32"/>
                <w:szCs w:val="32"/>
                <w:highlight w:val="none"/>
              </w:rPr>
              <w:t>资金</w:t>
            </w:r>
          </w:p>
        </w:tc>
        <w:tc>
          <w:tcPr>
            <w:tcW w:w="1231" w:type="dxa"/>
            <w:tcBorders>
              <w:top w:val="single" w:color="auto" w:sz="4" w:space="0"/>
              <w:left w:val="single" w:color="auto" w:sz="4" w:space="0"/>
              <w:right w:val="single" w:color="auto" w:sz="4" w:space="0"/>
            </w:tcBorders>
            <w:noWrap w:val="0"/>
            <w:vAlign w:val="center"/>
          </w:tcPr>
          <w:p>
            <w:pPr>
              <w:spacing w:line="360" w:lineRule="auto"/>
              <w:rPr>
                <w:rFonts w:ascii="仿宋_GB2312" w:hAnsi="仿宋_GB2312" w:eastAsia="仿宋_GB2312" w:cs="仿宋_GB2312"/>
                <w:b/>
                <w:sz w:val="32"/>
                <w:szCs w:val="32"/>
              </w:rPr>
            </w:pPr>
          </w:p>
        </w:tc>
      </w:tr>
      <w:bookmarkEnd w:id="9"/>
    </w:tbl>
    <w:p>
      <w:pPr>
        <w:pStyle w:val="6"/>
        <w:spacing w:before="0" w:after="0" w:line="360" w:lineRule="auto"/>
        <w:rPr>
          <w:rFonts w:ascii="宋体" w:hAnsi="宋体" w:cs="宋体"/>
          <w:sz w:val="24"/>
          <w:szCs w:val="24"/>
        </w:rPr>
      </w:pPr>
      <w:bookmarkStart w:id="10" w:name="_Toc6462"/>
      <w:bookmarkStart w:id="11" w:name="_Toc25190"/>
      <w:bookmarkStart w:id="12" w:name="_Toc1790"/>
      <w:bookmarkStart w:id="13" w:name="_Toc15576"/>
      <w:bookmarkStart w:id="14" w:name="_Toc22399"/>
      <w:bookmarkStart w:id="15" w:name="_Toc15727"/>
      <w:bookmarkStart w:id="16" w:name="_Toc19437"/>
      <w:bookmarkStart w:id="17" w:name="_Toc373860293"/>
      <w:bookmarkStart w:id="18" w:name="_Toc317775178"/>
    </w:p>
    <w:p>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rPr>
        <w:t>供应商资格条件</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（一）满足《中华人民共和国政府采购法》第二十二条规定。</w:t>
      </w:r>
    </w:p>
    <w:p>
      <w:pPr>
        <w:snapToGrid w:val="0"/>
        <w:spacing w:line="360" w:lineRule="auto"/>
        <w:ind w:firstLine="640" w:firstLineChars="200"/>
        <w:rPr>
          <w:rFonts w:hint="eastAsia" w:ascii="仿宋_GB2312" w:hAnsi="仿宋_GB2312" w:eastAsia="仿宋_GB2312" w:cs="仿宋_GB2312"/>
          <w:b/>
          <w:bCs/>
          <w:i/>
          <w:iCs/>
          <w:color w:val="FF0000"/>
          <w:sz w:val="32"/>
          <w:szCs w:val="32"/>
          <w:u w:val="single"/>
          <w:lang w:eastAsia="zh-CN"/>
        </w:rPr>
      </w:pPr>
      <w:r>
        <w:rPr>
          <w:rFonts w:hint="eastAsia" w:ascii="仿宋_GB2312" w:hAnsi="仿宋_GB2312" w:eastAsia="仿宋_GB2312" w:cs="仿宋_GB2312"/>
          <w:sz w:val="32"/>
          <w:szCs w:val="32"/>
        </w:rPr>
        <w:t>（二）本项目的特定资格要求：</w:t>
      </w:r>
      <w:bookmarkEnd w:id="17"/>
      <w:bookmarkEnd w:id="18"/>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油漆</w:t>
      </w:r>
      <w:r>
        <w:rPr>
          <w:rFonts w:hint="eastAsia" w:ascii="仿宋_GB2312" w:hAnsi="仿宋_GB2312" w:eastAsia="仿宋_GB2312" w:cs="仿宋_GB2312"/>
          <w:sz w:val="32"/>
          <w:szCs w:val="32"/>
          <w:lang w:val="en-US" w:eastAsia="zh-CN"/>
        </w:rPr>
        <w:t>生产或销售经营范围</w:t>
      </w:r>
      <w:r>
        <w:rPr>
          <w:rFonts w:hint="eastAsia" w:ascii="仿宋_GB2312" w:hAnsi="仿宋_GB2312" w:eastAsia="仿宋_GB2312" w:cs="仿宋_GB2312"/>
          <w:sz w:val="32"/>
          <w:szCs w:val="32"/>
          <w:lang w:eastAsia="zh-CN"/>
        </w:rPr>
        <w:t>。</w:t>
      </w:r>
    </w:p>
    <w:p>
      <w:pPr>
        <w:pStyle w:val="6"/>
        <w:spacing w:before="0" w:after="0" w:line="360" w:lineRule="auto"/>
        <w:ind w:firstLine="643" w:firstLineChars="200"/>
        <w:rPr>
          <w:rFonts w:hint="eastAsia" w:ascii="黑体" w:hAnsi="黑体" w:eastAsia="黑体" w:cs="黑体"/>
          <w:szCs w:val="32"/>
        </w:rPr>
      </w:pPr>
      <w:r>
        <w:rPr>
          <w:rFonts w:hint="eastAsia" w:ascii="黑体" w:hAnsi="黑体" w:eastAsia="黑体" w:cs="黑体"/>
          <w:szCs w:val="32"/>
        </w:rPr>
        <w:t>三、</w:t>
      </w:r>
      <w:r>
        <w:rPr>
          <w:rFonts w:hint="eastAsia" w:ascii="黑体" w:hAnsi="黑体" w:eastAsia="黑体" w:cs="黑体"/>
          <w:szCs w:val="32"/>
          <w:highlight w:val="none"/>
        </w:rPr>
        <w:t>采购需求清单</w:t>
      </w:r>
    </w:p>
    <w:tbl>
      <w:tblPr>
        <w:tblStyle w:val="58"/>
        <w:tblW w:w="9371" w:type="dxa"/>
        <w:tblInd w:w="93" w:type="dxa"/>
        <w:tblLayout w:type="fixed"/>
        <w:tblCellMar>
          <w:top w:w="0" w:type="dxa"/>
          <w:left w:w="108" w:type="dxa"/>
          <w:bottom w:w="0" w:type="dxa"/>
          <w:right w:w="108" w:type="dxa"/>
        </w:tblCellMar>
      </w:tblPr>
      <w:tblGrid>
        <w:gridCol w:w="569"/>
        <w:gridCol w:w="1101"/>
        <w:gridCol w:w="2173"/>
        <w:gridCol w:w="708"/>
        <w:gridCol w:w="1134"/>
        <w:gridCol w:w="993"/>
        <w:gridCol w:w="1053"/>
        <w:gridCol w:w="1640"/>
      </w:tblGrid>
      <w:tr>
        <w:tblPrEx>
          <w:tblCellMar>
            <w:top w:w="0" w:type="dxa"/>
            <w:left w:w="108" w:type="dxa"/>
            <w:bottom w:w="0" w:type="dxa"/>
            <w:right w:w="108" w:type="dxa"/>
          </w:tblCellMar>
        </w:tblPrEx>
        <w:trPr>
          <w:trHeight w:val="450" w:hRule="atLeast"/>
        </w:trPr>
        <w:tc>
          <w:tcPr>
            <w:tcW w:w="9371" w:type="dxa"/>
            <w:gridSpan w:val="8"/>
            <w:tcBorders>
              <w:top w:val="nil"/>
              <w:left w:val="nil"/>
              <w:bottom w:val="nil"/>
              <w:right w:val="nil"/>
            </w:tcBorders>
            <w:noWrap/>
            <w:vAlign w:val="center"/>
          </w:tcPr>
          <w:p>
            <w:pPr>
              <w:widowControl/>
              <w:jc w:val="center"/>
              <w:rPr>
                <w:rFonts w:hint="eastAsia" w:ascii="宋体" w:hAnsi="宋体" w:eastAsia="宋体" w:cs="宋体"/>
                <w:b/>
                <w:bCs/>
                <w:color w:val="000000"/>
                <w:kern w:val="0"/>
                <w:sz w:val="36"/>
                <w:szCs w:val="36"/>
                <w:highlight w:val="yellow"/>
                <w:lang w:val="en-US" w:eastAsia="zh-CN"/>
              </w:rPr>
            </w:pPr>
            <w:r>
              <w:rPr>
                <w:rFonts w:hint="eastAsia" w:ascii="宋体" w:hAnsi="宋体" w:cs="宋体"/>
                <w:b/>
                <w:bCs/>
                <w:color w:val="000000"/>
                <w:kern w:val="0"/>
                <w:sz w:val="36"/>
                <w:szCs w:val="36"/>
                <w:highlight w:val="none"/>
              </w:rPr>
              <w:t>材料</w:t>
            </w:r>
            <w:r>
              <w:rPr>
                <w:rFonts w:hint="eastAsia" w:ascii="宋体" w:hAnsi="宋体" w:cs="宋体"/>
                <w:b/>
                <w:bCs/>
                <w:color w:val="000000"/>
                <w:kern w:val="0"/>
                <w:sz w:val="36"/>
                <w:szCs w:val="36"/>
                <w:highlight w:val="none"/>
                <w:lang w:val="en-US" w:eastAsia="zh-CN"/>
              </w:rPr>
              <w:t>清单</w:t>
            </w:r>
          </w:p>
        </w:tc>
      </w:tr>
      <w:tr>
        <w:tblPrEx>
          <w:tblCellMar>
            <w:top w:w="0" w:type="dxa"/>
            <w:left w:w="108" w:type="dxa"/>
            <w:bottom w:w="0" w:type="dxa"/>
            <w:right w:w="108" w:type="dxa"/>
          </w:tblCellMar>
        </w:tblPrEx>
        <w:trPr>
          <w:trHeight w:val="270" w:hRule="atLeast"/>
        </w:trPr>
        <w:tc>
          <w:tcPr>
            <w:tcW w:w="569" w:type="dxa"/>
            <w:tcBorders>
              <w:top w:val="nil"/>
              <w:left w:val="nil"/>
              <w:bottom w:val="nil"/>
              <w:right w:val="nil"/>
            </w:tcBorders>
            <w:noWrap/>
            <w:vAlign w:val="center"/>
          </w:tcPr>
          <w:p>
            <w:pPr>
              <w:widowControl/>
              <w:jc w:val="left"/>
              <w:rPr>
                <w:rFonts w:ascii="宋体" w:hAnsi="宋体" w:cs="宋体"/>
                <w:color w:val="000000"/>
                <w:kern w:val="0"/>
                <w:sz w:val="22"/>
                <w:szCs w:val="22"/>
                <w:highlight w:val="yellow"/>
              </w:rPr>
            </w:pPr>
          </w:p>
        </w:tc>
        <w:tc>
          <w:tcPr>
            <w:tcW w:w="1101" w:type="dxa"/>
            <w:tcBorders>
              <w:top w:val="nil"/>
              <w:left w:val="nil"/>
              <w:bottom w:val="nil"/>
              <w:right w:val="nil"/>
            </w:tcBorders>
            <w:noWrap/>
            <w:vAlign w:val="center"/>
          </w:tcPr>
          <w:p>
            <w:pPr>
              <w:widowControl/>
              <w:jc w:val="left"/>
              <w:rPr>
                <w:rFonts w:ascii="宋体" w:hAnsi="宋体" w:cs="宋体"/>
                <w:color w:val="000000"/>
                <w:kern w:val="0"/>
                <w:sz w:val="22"/>
                <w:szCs w:val="22"/>
                <w:highlight w:val="yellow"/>
              </w:rPr>
            </w:pPr>
          </w:p>
        </w:tc>
        <w:tc>
          <w:tcPr>
            <w:tcW w:w="2173" w:type="dxa"/>
            <w:tcBorders>
              <w:top w:val="nil"/>
              <w:left w:val="nil"/>
              <w:bottom w:val="nil"/>
              <w:right w:val="nil"/>
            </w:tcBorders>
            <w:noWrap/>
            <w:vAlign w:val="center"/>
          </w:tcPr>
          <w:p>
            <w:pPr>
              <w:widowControl/>
              <w:jc w:val="left"/>
              <w:rPr>
                <w:rFonts w:ascii="宋体" w:hAnsi="宋体" w:cs="宋体"/>
                <w:color w:val="000000"/>
                <w:kern w:val="0"/>
                <w:sz w:val="22"/>
                <w:szCs w:val="22"/>
                <w:highlight w:val="yellow"/>
              </w:rPr>
            </w:pPr>
          </w:p>
        </w:tc>
        <w:tc>
          <w:tcPr>
            <w:tcW w:w="708" w:type="dxa"/>
            <w:tcBorders>
              <w:top w:val="nil"/>
              <w:left w:val="nil"/>
              <w:bottom w:val="nil"/>
              <w:right w:val="nil"/>
            </w:tcBorders>
            <w:noWrap/>
            <w:vAlign w:val="center"/>
          </w:tcPr>
          <w:p>
            <w:pPr>
              <w:widowControl/>
              <w:jc w:val="left"/>
              <w:rPr>
                <w:rFonts w:ascii="宋体" w:hAnsi="宋体" w:cs="宋体"/>
                <w:color w:val="000000"/>
                <w:kern w:val="0"/>
                <w:sz w:val="22"/>
                <w:szCs w:val="22"/>
                <w:highlight w:val="yellow"/>
              </w:rPr>
            </w:pPr>
          </w:p>
        </w:tc>
        <w:tc>
          <w:tcPr>
            <w:tcW w:w="1134" w:type="dxa"/>
            <w:tcBorders>
              <w:top w:val="nil"/>
              <w:left w:val="nil"/>
              <w:bottom w:val="nil"/>
              <w:right w:val="nil"/>
            </w:tcBorders>
            <w:noWrap/>
            <w:vAlign w:val="center"/>
          </w:tcPr>
          <w:p>
            <w:pPr>
              <w:widowControl/>
              <w:jc w:val="left"/>
              <w:rPr>
                <w:rFonts w:ascii="宋体" w:hAnsi="宋体" w:cs="宋体"/>
                <w:color w:val="000000"/>
                <w:kern w:val="0"/>
                <w:sz w:val="22"/>
                <w:szCs w:val="22"/>
                <w:highlight w:val="yellow"/>
              </w:rPr>
            </w:pPr>
          </w:p>
        </w:tc>
        <w:tc>
          <w:tcPr>
            <w:tcW w:w="993" w:type="dxa"/>
            <w:tcBorders>
              <w:top w:val="nil"/>
              <w:left w:val="nil"/>
              <w:bottom w:val="nil"/>
              <w:right w:val="nil"/>
            </w:tcBorders>
            <w:noWrap/>
            <w:vAlign w:val="center"/>
          </w:tcPr>
          <w:p>
            <w:pPr>
              <w:widowControl/>
              <w:jc w:val="left"/>
              <w:rPr>
                <w:rFonts w:ascii="宋体" w:hAnsi="宋体" w:cs="宋体"/>
                <w:color w:val="000000"/>
                <w:kern w:val="0"/>
                <w:sz w:val="22"/>
                <w:szCs w:val="22"/>
                <w:highlight w:val="yellow"/>
              </w:rPr>
            </w:pPr>
          </w:p>
        </w:tc>
        <w:tc>
          <w:tcPr>
            <w:tcW w:w="1053" w:type="dxa"/>
            <w:tcBorders>
              <w:top w:val="nil"/>
              <w:left w:val="nil"/>
              <w:bottom w:val="nil"/>
              <w:right w:val="nil"/>
            </w:tcBorders>
            <w:noWrap/>
            <w:vAlign w:val="center"/>
          </w:tcPr>
          <w:p>
            <w:pPr>
              <w:widowControl/>
              <w:jc w:val="left"/>
              <w:rPr>
                <w:rFonts w:ascii="宋体" w:hAnsi="宋体" w:cs="宋体"/>
                <w:color w:val="000000"/>
                <w:kern w:val="0"/>
                <w:sz w:val="22"/>
                <w:szCs w:val="22"/>
                <w:highlight w:val="yellow"/>
              </w:rPr>
            </w:pPr>
          </w:p>
        </w:tc>
        <w:tc>
          <w:tcPr>
            <w:tcW w:w="1640" w:type="dxa"/>
            <w:tcBorders>
              <w:top w:val="nil"/>
              <w:left w:val="nil"/>
              <w:bottom w:val="nil"/>
              <w:right w:val="nil"/>
            </w:tcBorders>
            <w:noWrap/>
            <w:vAlign w:val="center"/>
          </w:tcPr>
          <w:p>
            <w:pPr>
              <w:widowControl/>
              <w:jc w:val="left"/>
              <w:rPr>
                <w:rFonts w:ascii="宋体" w:hAnsi="宋体" w:cs="宋体"/>
                <w:color w:val="000000"/>
                <w:kern w:val="0"/>
                <w:sz w:val="22"/>
                <w:szCs w:val="22"/>
                <w:highlight w:val="yellow"/>
              </w:rPr>
            </w:pPr>
          </w:p>
        </w:tc>
      </w:tr>
      <w:tr>
        <w:tblPrEx>
          <w:tblCellMar>
            <w:top w:w="0" w:type="dxa"/>
            <w:left w:w="108" w:type="dxa"/>
            <w:bottom w:w="0" w:type="dxa"/>
            <w:right w:w="108" w:type="dxa"/>
          </w:tblCellMar>
        </w:tblPrEx>
        <w:trPr>
          <w:trHeight w:val="669" w:hRule="atLeast"/>
        </w:trPr>
        <w:tc>
          <w:tcPr>
            <w:tcW w:w="5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序号</w:t>
            </w:r>
          </w:p>
        </w:tc>
        <w:tc>
          <w:tcPr>
            <w:tcW w:w="11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材料名称</w:t>
            </w:r>
          </w:p>
        </w:tc>
        <w:tc>
          <w:tcPr>
            <w:tcW w:w="21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规格型号</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单位</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数量</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最高</w:t>
            </w:r>
            <w:r>
              <w:rPr>
                <w:rFonts w:hint="eastAsia" w:ascii="宋体" w:hAnsi="宋体" w:cs="宋体"/>
                <w:color w:val="000000"/>
                <w:kern w:val="0"/>
                <w:sz w:val="22"/>
                <w:szCs w:val="22"/>
                <w:highlight w:val="none"/>
              </w:rPr>
              <w:t>价(元）</w:t>
            </w:r>
          </w:p>
        </w:tc>
        <w:tc>
          <w:tcPr>
            <w:tcW w:w="10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最高</w:t>
            </w:r>
            <w:r>
              <w:rPr>
                <w:rFonts w:hint="eastAsia" w:ascii="宋体" w:hAnsi="宋体" w:cs="宋体"/>
                <w:color w:val="000000"/>
                <w:kern w:val="0"/>
                <w:sz w:val="22"/>
                <w:szCs w:val="22"/>
                <w:highlight w:val="none"/>
              </w:rPr>
              <w:t>合价（元）</w:t>
            </w:r>
          </w:p>
        </w:tc>
        <w:tc>
          <w:tcPr>
            <w:tcW w:w="164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备注</w:t>
            </w:r>
          </w:p>
        </w:tc>
      </w:tr>
      <w:tr>
        <w:tblPrEx>
          <w:tblCellMar>
            <w:top w:w="0" w:type="dxa"/>
            <w:left w:w="108" w:type="dxa"/>
            <w:bottom w:w="0" w:type="dxa"/>
            <w:right w:w="108" w:type="dxa"/>
          </w:tblCellMar>
        </w:tblPrEx>
        <w:tc>
          <w:tcPr>
            <w:tcW w:w="56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1101"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bidi="ar-SA"/>
              </w:rPr>
              <w:t>油漆</w:t>
            </w:r>
          </w:p>
        </w:tc>
        <w:tc>
          <w:tcPr>
            <w:tcW w:w="2173" w:type="dxa"/>
            <w:tcBorders>
              <w:top w:val="nil"/>
              <w:left w:val="nil"/>
              <w:bottom w:val="single" w:color="auto" w:sz="4" w:space="0"/>
              <w:right w:val="single" w:color="auto" w:sz="4" w:space="0"/>
            </w:tcBorders>
            <w:noWrap/>
            <w:vAlign w:val="center"/>
          </w:tcPr>
          <w:p>
            <w:pPr>
              <w:pStyle w:val="68"/>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eastAsia" w:ascii="宋体" w:hAnsi="宋体" w:eastAsia="宋体" w:cs="宋体"/>
                <w:color w:val="000000"/>
                <w:kern w:val="0"/>
                <w:sz w:val="22"/>
                <w:szCs w:val="22"/>
                <w:highlight w:val="none"/>
                <w:lang w:val="en-US" w:eastAsia="zh-CN" w:bidi="ar-SA"/>
              </w:rPr>
            </w:pPr>
            <w:r>
              <w:rPr>
                <w:rFonts w:hint="eastAsia" w:hAnsi="宋体" w:cs="宋体"/>
                <w:color w:val="000000"/>
                <w:kern w:val="0"/>
                <w:sz w:val="22"/>
                <w:szCs w:val="22"/>
                <w:highlight w:val="none"/>
                <w:lang w:val="en-US" w:eastAsia="zh-CN" w:bidi="ar-SA"/>
              </w:rPr>
              <w:t>品牌：</w:t>
            </w:r>
            <w:r>
              <w:rPr>
                <w:rFonts w:hint="eastAsia" w:ascii="宋体" w:hAnsi="宋体" w:eastAsia="宋体" w:cs="宋体"/>
                <w:color w:val="000000"/>
                <w:kern w:val="0"/>
                <w:sz w:val="22"/>
                <w:szCs w:val="22"/>
                <w:highlight w:val="none"/>
                <w:lang w:val="en-US" w:eastAsia="zh-CN" w:bidi="ar-SA"/>
              </w:rPr>
              <w:t>三峡油漆</w:t>
            </w:r>
          </w:p>
          <w:p>
            <w:pPr>
              <w:pStyle w:val="68"/>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eastAsia" w:ascii="宋体" w:hAnsi="宋体" w:eastAsia="宋体" w:cs="宋体"/>
                <w:color w:val="000000"/>
                <w:kern w:val="0"/>
                <w:sz w:val="22"/>
                <w:szCs w:val="22"/>
                <w:highlight w:val="none"/>
                <w:lang w:val="en-US" w:eastAsia="zh-CN" w:bidi="ar-SA"/>
              </w:rPr>
            </w:pPr>
            <w:r>
              <w:rPr>
                <w:rFonts w:hint="eastAsia" w:hAnsi="宋体" w:cs="宋体"/>
                <w:color w:val="000000"/>
                <w:kern w:val="0"/>
                <w:sz w:val="22"/>
                <w:szCs w:val="22"/>
                <w:highlight w:val="none"/>
                <w:lang w:val="en-US" w:eastAsia="zh-CN" w:bidi="ar-SA"/>
              </w:rPr>
              <w:t>型号：</w:t>
            </w:r>
            <w:r>
              <w:rPr>
                <w:rFonts w:hint="eastAsia" w:ascii="宋体" w:hAnsi="宋体" w:eastAsia="宋体" w:cs="宋体"/>
                <w:color w:val="000000"/>
                <w:kern w:val="0"/>
                <w:sz w:val="22"/>
                <w:szCs w:val="22"/>
                <w:highlight w:val="none"/>
                <w:lang w:val="en-US" w:eastAsia="zh-CN" w:bidi="ar-SA"/>
              </w:rPr>
              <w:t>C04-42醇酸磁漆</w:t>
            </w:r>
          </w:p>
          <w:p>
            <w:pPr>
              <w:pStyle w:val="68"/>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eastAsia" w:ascii="宋体" w:hAnsi="宋体" w:eastAsia="宋体" w:cs="宋体"/>
                <w:color w:val="000000"/>
                <w:kern w:val="0"/>
                <w:sz w:val="22"/>
                <w:szCs w:val="22"/>
                <w:highlight w:val="none"/>
                <w:lang w:val="en-US" w:eastAsia="zh-CN" w:bidi="ar-SA"/>
              </w:rPr>
            </w:pPr>
            <w:r>
              <w:rPr>
                <w:rFonts w:hint="eastAsia" w:hAnsi="宋体" w:cs="宋体"/>
                <w:color w:val="000000"/>
                <w:kern w:val="0"/>
                <w:sz w:val="22"/>
                <w:szCs w:val="22"/>
                <w:highlight w:val="none"/>
                <w:lang w:val="en-US" w:eastAsia="zh-CN" w:bidi="ar-SA"/>
              </w:rPr>
              <w:t>颜色：白色</w:t>
            </w:r>
          </w:p>
          <w:p>
            <w:pPr>
              <w:pStyle w:val="68"/>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default" w:ascii="宋体" w:hAnsi="宋体" w:eastAsia="宋体" w:cs="宋体"/>
                <w:color w:val="000000"/>
                <w:kern w:val="0"/>
                <w:sz w:val="22"/>
                <w:szCs w:val="22"/>
                <w:highlight w:val="none"/>
                <w:lang w:val="en-US" w:eastAsia="zh-CN" w:bidi="ar-SA"/>
              </w:rPr>
            </w:pPr>
            <w:r>
              <w:rPr>
                <w:rFonts w:hint="eastAsia" w:hAnsi="宋体" w:cs="宋体"/>
                <w:color w:val="000000"/>
                <w:kern w:val="0"/>
                <w:sz w:val="22"/>
                <w:szCs w:val="22"/>
                <w:highlight w:val="none"/>
                <w:lang w:val="en-US" w:eastAsia="zh-CN" w:bidi="ar-SA"/>
              </w:rPr>
              <w:t>规格：12kg/桶</w:t>
            </w:r>
          </w:p>
        </w:tc>
        <w:tc>
          <w:tcPr>
            <w:tcW w:w="708"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bidi="ar-SA"/>
              </w:rPr>
              <w:t>桶</w:t>
            </w:r>
          </w:p>
        </w:tc>
        <w:tc>
          <w:tcPr>
            <w:tcW w:w="1134"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bidi="ar-SA"/>
              </w:rPr>
              <w:t>50</w:t>
            </w:r>
          </w:p>
        </w:tc>
        <w:tc>
          <w:tcPr>
            <w:tcW w:w="99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bidi="ar-SA"/>
              </w:rPr>
              <w:t>300</w:t>
            </w:r>
          </w:p>
        </w:tc>
        <w:tc>
          <w:tcPr>
            <w:tcW w:w="105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bidi="ar-SA"/>
              </w:rPr>
              <w:t>15000</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要求：颜色与中国建筑色卡国家标准（GB/T18922）中1341号颜色相类似</w:t>
            </w:r>
          </w:p>
        </w:tc>
      </w:tr>
      <w:tr>
        <w:tblPrEx>
          <w:tblCellMar>
            <w:top w:w="0" w:type="dxa"/>
            <w:left w:w="108" w:type="dxa"/>
            <w:bottom w:w="0" w:type="dxa"/>
            <w:right w:w="108" w:type="dxa"/>
          </w:tblCellMar>
        </w:tblPrEx>
        <w:trPr>
          <w:cantSplit/>
          <w:trHeight w:val="567" w:hRule="atLeast"/>
        </w:trPr>
        <w:tc>
          <w:tcPr>
            <w:tcW w:w="569"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w:t>
            </w:r>
          </w:p>
        </w:tc>
        <w:tc>
          <w:tcPr>
            <w:tcW w:w="11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合计</w:t>
            </w:r>
          </w:p>
        </w:tc>
        <w:tc>
          <w:tcPr>
            <w:tcW w:w="217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99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05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highlight w:val="none"/>
                <w:lang w:val="en-US" w:eastAsia="zh-CN" w:bidi="ar-SA"/>
              </w:rPr>
            </w:pP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bl>
    <w:p>
      <w:pPr>
        <w:pStyle w:val="68"/>
        <w:keepNext w:val="0"/>
        <w:keepLines w:val="0"/>
        <w:pageBreakBefore w:val="0"/>
        <w:widowControl w:val="0"/>
        <w:numPr>
          <w:ilvl w:val="0"/>
          <w:numId w:val="0"/>
        </w:numPr>
        <w:kinsoku/>
        <w:wordWrap/>
        <w:overflowPunct/>
        <w:topLinePunct w:val="0"/>
        <w:autoSpaceDE w:val="0"/>
        <w:autoSpaceDN w:val="0"/>
        <w:bidi w:val="0"/>
        <w:adjustRightInd w:val="0"/>
        <w:snapToGrid/>
        <w:textAlignment w:val="auto"/>
        <w:rPr>
          <w:rFonts w:hint="eastAsia" w:ascii="方正仿宋_GBK" w:hAnsi="方正仿宋_GBK" w:eastAsia="方正仿宋_GBK" w:cs="方正仿宋_GBK"/>
          <w:b/>
          <w:bCs/>
          <w:sz w:val="32"/>
          <w:szCs w:val="32"/>
          <w:lang w:val="en-US" w:eastAsia="zh-CN"/>
        </w:rPr>
      </w:pPr>
    </w:p>
    <w:p>
      <w:pPr>
        <w:pStyle w:val="68"/>
        <w:keepNext w:val="0"/>
        <w:keepLines w:val="0"/>
        <w:pageBreakBefore w:val="0"/>
        <w:widowControl w:val="0"/>
        <w:numPr>
          <w:ilvl w:val="0"/>
          <w:numId w:val="0"/>
        </w:numPr>
        <w:kinsoku/>
        <w:wordWrap/>
        <w:overflowPunct/>
        <w:topLinePunct w:val="0"/>
        <w:autoSpaceDE w:val="0"/>
        <w:autoSpaceDN w:val="0"/>
        <w:bidi w:val="0"/>
        <w:adjustRightInd w:val="0"/>
        <w:snapToGrid/>
        <w:ind w:firstLine="56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28"/>
          <w:szCs w:val="28"/>
          <w:lang w:val="en-US" w:eastAsia="zh-CN"/>
        </w:rPr>
        <w:t>（C04-42醇酸磁漆）图片：</w:t>
      </w:r>
      <w:r>
        <w:rPr>
          <w:rFonts w:hint="eastAsia" w:ascii="方正仿宋_GBK" w:hAnsi="方正仿宋_GBK" w:eastAsia="方正仿宋_GBK" w:cs="方正仿宋_GBK"/>
          <w:sz w:val="32"/>
          <w:szCs w:val="32"/>
          <w:lang w:val="en-US" w:eastAsia="zh-CN"/>
        </w:rPr>
        <w:t xml:space="preserve">       </w:t>
      </w:r>
    </w:p>
    <w:p>
      <w:pPr>
        <w:pStyle w:val="68"/>
        <w:keepNext w:val="0"/>
        <w:keepLines w:val="0"/>
        <w:pageBreakBefore w:val="0"/>
        <w:widowControl w:val="0"/>
        <w:numPr>
          <w:ilvl w:val="0"/>
          <w:numId w:val="0"/>
        </w:numPr>
        <w:kinsoku/>
        <w:wordWrap/>
        <w:overflowPunct/>
        <w:topLinePunct w:val="0"/>
        <w:autoSpaceDE w:val="0"/>
        <w:autoSpaceDN w:val="0"/>
        <w:bidi w:val="0"/>
        <w:adjustRightInd w:val="0"/>
        <w:snapToGrid/>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inline distT="0" distB="0" distL="114300" distR="114300">
            <wp:extent cx="2987675" cy="1593215"/>
            <wp:effectExtent l="0" t="0" r="3175" b="6985"/>
            <wp:docPr id="1" name="图片 1" descr="157fe3ba90f803e7863c1b70b3281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7fe3ba90f803e7863c1b70b3281d7"/>
                    <pic:cNvPicPr>
                      <a:picLocks noChangeAspect="1"/>
                    </pic:cNvPicPr>
                  </pic:nvPicPr>
                  <pic:blipFill>
                    <a:blip r:embed="rId7"/>
                    <a:stretch>
                      <a:fillRect/>
                    </a:stretch>
                  </pic:blipFill>
                  <pic:spPr>
                    <a:xfrm>
                      <a:off x="0" y="0"/>
                      <a:ext cx="2987675" cy="1593215"/>
                    </a:xfrm>
                    <a:prstGeom prst="rect">
                      <a:avLst/>
                    </a:prstGeom>
                  </pic:spPr>
                </pic:pic>
              </a:graphicData>
            </a:graphic>
          </wp:inline>
        </w:drawing>
      </w:r>
    </w:p>
    <w:p>
      <w:pPr>
        <w:pStyle w:val="6"/>
        <w:spacing w:before="0" w:after="0" w:line="360" w:lineRule="auto"/>
        <w:ind w:firstLine="964" w:firstLineChars="300"/>
        <w:rPr>
          <w:rFonts w:ascii="黑体" w:hAnsi="黑体" w:eastAsia="黑体" w:cs="黑体"/>
          <w:szCs w:val="32"/>
        </w:rPr>
      </w:pPr>
      <w:r>
        <w:rPr>
          <w:rFonts w:hint="eastAsia" w:ascii="黑体" w:hAnsi="黑体" w:eastAsia="黑体" w:cs="黑体"/>
          <w:szCs w:val="32"/>
        </w:rPr>
        <w:t>四、质量保证及售后服务要求</w:t>
      </w:r>
    </w:p>
    <w:p>
      <w:pPr>
        <w:snapToGrid w:val="0"/>
        <w:spacing w:line="360" w:lineRule="auto"/>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质量保证：供应商所供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油漆</w:t>
      </w:r>
      <w:r>
        <w:rPr>
          <w:rFonts w:hint="eastAsia" w:ascii="仿宋_GB2312" w:hAnsi="仿宋_GB2312" w:eastAsia="仿宋_GB2312" w:cs="仿宋_GB2312"/>
          <w:kern w:val="0"/>
          <w:sz w:val="32"/>
          <w:szCs w:val="32"/>
          <w:lang w:val="en-US" w:eastAsia="zh-CN"/>
        </w:rPr>
        <w:t>有效储存期至少为一年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自产品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生产之日</w:t>
      </w:r>
      <w:r>
        <w:rPr>
          <w:rFonts w:hint="eastAsia" w:ascii="仿宋_GB2312" w:hAnsi="仿宋_GB2312" w:eastAsia="仿宋_GB2312" w:cs="仿宋_GB2312"/>
          <w:color w:val="000000" w:themeColor="text1"/>
          <w:kern w:val="0"/>
          <w:sz w:val="32"/>
          <w:szCs w:val="32"/>
          <w14:textFill>
            <w14:solidFill>
              <w14:schemeClr w14:val="tx1"/>
            </w14:solidFill>
          </w14:textFill>
        </w:rPr>
        <w:t>起计算，否则采购方有权拒收。同时因产品质量问题给对方造成一切损失由供应商承担。</w:t>
      </w:r>
    </w:p>
    <w:p>
      <w:pPr>
        <w:snapToGrid w:val="0"/>
        <w:spacing w:line="360" w:lineRule="auto"/>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（二）供应商所供产品名称、规格、数量、质量要求、生产企业与竞采文件要求相符。 </w:t>
      </w:r>
    </w:p>
    <w:p>
      <w:pPr>
        <w:snapToGrid w:val="0"/>
        <w:spacing w:line="360" w:lineRule="auto"/>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（三）产品的质量要求：符合采购方质量要求以及现行国家相关标准及规范要求。所供产品质量等级为合格品，供应商供货时应随产品附出厂合格证，并具有品牌防伪标识。</w:t>
      </w:r>
    </w:p>
    <w:p>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）成交供应商须免费提供现场技术培训与技术支持。</w:t>
      </w:r>
    </w:p>
    <w:p>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）用户遇到使用及技术问题，电话咨询不能解决的，成交供应商或制造商应在2小时内采取相应响应措施；无法在2小时内解决的，应在24小时内派出专业人员进行技术支持。</w:t>
      </w:r>
    </w:p>
    <w:p>
      <w:pPr>
        <w:pStyle w:val="6"/>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五、交货期限及地点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自合同签订之日起</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sz w:val="32"/>
          <w:szCs w:val="32"/>
        </w:rPr>
        <w:t>个工作日。</w:t>
      </w:r>
    </w:p>
    <w:p>
      <w:pPr>
        <w:pageBreakBefore w:val="0"/>
        <w:widowControl w:val="0"/>
        <w:numPr>
          <w:ilvl w:val="0"/>
          <w:numId w:val="13"/>
        </w:numP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交货地点</w:t>
      </w:r>
    </w:p>
    <w:p>
      <w:pPr>
        <w:pStyle w:val="68"/>
        <w:pageBreakBefore w:val="0"/>
        <w:widowControl w:val="0"/>
        <w:kinsoku/>
        <w:wordWrap/>
        <w:overflowPunct/>
        <w:topLinePunct w:val="0"/>
        <w:bidi w:val="0"/>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rPr>
        <w:t>重庆市合川区</w:t>
      </w:r>
      <w:r>
        <w:rPr>
          <w:rFonts w:hint="eastAsia" w:ascii="仿宋_GB2312" w:hAnsi="仿宋_GB2312" w:eastAsia="仿宋_GB2312" w:cs="仿宋_GB2312"/>
          <w:color w:val="auto"/>
          <w:kern w:val="2"/>
          <w:sz w:val="32"/>
          <w:szCs w:val="32"/>
          <w:lang w:eastAsia="zh-CN"/>
        </w:rPr>
        <w:t>滨江路幼儿园（合川马门溪龙雕塑对面）</w:t>
      </w:r>
      <w:bookmarkStart w:id="33" w:name="_GoBack"/>
      <w:bookmarkEnd w:id="33"/>
    </w:p>
    <w:p>
      <w:pPr>
        <w:pStyle w:val="6"/>
        <w:pageBreakBefore w:val="0"/>
        <w:widowControl w:val="0"/>
        <w:kinsoku/>
        <w:wordWrap/>
        <w:overflowPunct/>
        <w:topLinePunct w:val="0"/>
        <w:bidi w:val="0"/>
        <w:spacing w:before="0" w:after="0" w:line="360" w:lineRule="auto"/>
        <w:ind w:firstLine="643" w:firstLineChars="200"/>
        <w:textAlignment w:val="auto"/>
        <w:rPr>
          <w:rFonts w:ascii="黑体" w:hAnsi="黑体" w:eastAsia="黑体" w:cs="黑体"/>
          <w:szCs w:val="32"/>
        </w:rPr>
      </w:pPr>
      <w:r>
        <w:rPr>
          <w:rFonts w:hint="eastAsia" w:ascii="黑体" w:hAnsi="黑体" w:eastAsia="黑体" w:cs="黑体"/>
          <w:szCs w:val="32"/>
        </w:rPr>
        <w:t>六、验货方式</w:t>
      </w:r>
    </w:p>
    <w:p>
      <w:pPr>
        <w:pageBreakBefore w:val="0"/>
        <w:widowControl w:val="0"/>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FF0000"/>
          <w:sz w:val="32"/>
          <w:szCs w:val="32"/>
          <w:lang w:val="en-US" w:eastAsia="zh-CN"/>
        </w:rPr>
        <w:t>成交供应商中标后，向采购人提供3kg油漆样品1桶（样品数量不计入采购总数），达到采购人要求的规格型号后，再进行送货验货。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）货物到达现场后，成交供应商应在使用单位人员在场情况下当面开箱，共同清点、检查外观，作出开箱记录，双方签字确认。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）成交供应商应保证货物到达采购人所在地完好无损，如有缺漏、损坏，由供应商负责调换、补齐或赔偿。</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）成交供应商应提供完备的技术资料、装箱单和合格证等，并派遣专业技术人员进行现场指导。验收合格条件如下：</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1、产品技术参数与采购合同一致，性能指标达到国家规定的标准。</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2、货物技术资料、装箱单、合格证等资料齐全。</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3、在规定时间内完成交货并验收，并经采购人确认。</w:t>
      </w:r>
    </w:p>
    <w:p>
      <w:pPr>
        <w:snapToGrid w:val="0"/>
        <w:spacing w:line="360"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rPr>
        <w:t>4、采购人随机抽取的样品检测结果为合格。</w:t>
      </w:r>
      <w:r>
        <w:rPr>
          <w:rFonts w:hint="eastAsia" w:ascii="仿宋_GB2312" w:hAnsi="仿宋_GB2312" w:eastAsia="仿宋_GB2312" w:cs="仿宋_GB2312"/>
          <w:color w:val="auto"/>
          <w:kern w:val="2"/>
          <w:sz w:val="32"/>
          <w:szCs w:val="32"/>
        </w:rPr>
        <w:t>如验收为不合格的产品，全部退货，由供应商承担相关损失。</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）产品在用户掌握使用技术要领，使用符合要求后，才作为最终验收。</w:t>
      </w:r>
    </w:p>
    <w:p>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pPr>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项目采用</w:t>
      </w:r>
      <w:r>
        <w:rPr>
          <w:rFonts w:hint="eastAsia" w:ascii="仿宋_GB2312" w:hAnsi="仿宋_GB2312" w:eastAsia="仿宋_GB2312" w:cs="仿宋_GB2312"/>
          <w:sz w:val="32"/>
          <w:szCs w:val="32"/>
          <w:lang w:eastAsia="zh-CN"/>
        </w:rPr>
        <w:t>“电子反拍”</w:t>
      </w:r>
      <w:r>
        <w:rPr>
          <w:rFonts w:hint="eastAsia" w:ascii="仿宋_GB2312" w:hAnsi="仿宋_GB2312" w:eastAsia="仿宋_GB2312" w:cs="仿宋_GB2312"/>
          <w:sz w:val="32"/>
          <w:szCs w:val="32"/>
        </w:rPr>
        <w:t>采购方式，供应商</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在本项目规定的报价有效时间段内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在线上传资格</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响应文件并完成初始报价后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进入反</w:t>
      </w:r>
      <w:r>
        <w:rPr>
          <w:rFonts w:hint="eastAsia" w:ascii="仿宋_GB2312" w:hAnsi="仿宋_GB2312" w:eastAsia="仿宋_GB2312" w:cs="仿宋_GB2312"/>
          <w:sz w:val="32"/>
          <w:szCs w:val="32"/>
          <w:lang w:eastAsia="zh-CN"/>
        </w:rPr>
        <w:t>拍</w:t>
      </w:r>
      <w:r>
        <w:rPr>
          <w:rFonts w:hint="eastAsia" w:ascii="仿宋_GB2312" w:hAnsi="仿宋_GB2312" w:eastAsia="仿宋_GB2312" w:cs="仿宋_GB2312"/>
          <w:sz w:val="32"/>
          <w:szCs w:val="32"/>
        </w:rPr>
        <w:t>大厅参与多次匿名公开竞价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降价基数为</w:t>
      </w:r>
      <w:r>
        <w:rPr>
          <w:rFonts w:hint="eastAsia" w:ascii="仿宋_GB2312" w:hAnsi="仿宋_GB2312" w:eastAsia="仿宋_GB2312" w:cs="仿宋_GB2312"/>
          <w:sz w:val="32"/>
          <w:szCs w:val="32"/>
          <w:lang w:val="en-US" w:eastAsia="zh-CN"/>
        </w:rPr>
        <w:t>200.00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，每一次报价需按降价基数的整数倍调减，最后提交的竞拍价将作为最终报价</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（二）本次报价为人民币报价，包含：货物费、运输费、装卸费、税费（含关税）等所有费用。</w:t>
      </w:r>
    </w:p>
    <w:p>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pPr>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供应商必须在平台上按要求上传响应文件，未按要求提供的视为无效供应商。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必要）</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w:t>
      </w:r>
      <w:r>
        <w:rPr>
          <w:rFonts w:hint="eastAsia" w:ascii="仿宋_GB2312" w:hAnsi="仿宋_GB2312" w:eastAsia="仿宋_GB2312" w:cs="仿宋_GB2312"/>
          <w:color w:val="auto"/>
          <w:sz w:val="32"/>
          <w:szCs w:val="32"/>
        </w:rPr>
        <w:t>证复印件各1份。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必要）</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盖鲜章的基本资格条件承诺函。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必要）</w:t>
      </w:r>
    </w:p>
    <w:p>
      <w:pPr>
        <w:keepNext w:val="0"/>
        <w:keepLines w:val="0"/>
        <w:pageBreakBefore w:val="0"/>
        <w:widowControl w:val="0"/>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营业执照及基本存款账户信息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必要）</w:t>
      </w:r>
    </w:p>
    <w:p>
      <w:pPr>
        <w:pStyle w:val="68"/>
        <w:keepNext w:val="0"/>
        <w:keepLines w:val="0"/>
        <w:pageBreakBefore w:val="0"/>
        <w:widowControl w:val="0"/>
        <w:kinsoku/>
        <w:wordWrap/>
        <w:overflowPunct/>
        <w:topLinePunct w:val="0"/>
        <w:bidi w:val="0"/>
        <w:spacing w:line="360" w:lineRule="auto"/>
        <w:ind w:firstLine="640" w:firstLineChars="200"/>
        <w:textAlignment w:val="auto"/>
        <w:rPr>
          <w:rFonts w:hint="default"/>
          <w:lang w:val="en-US"/>
        </w:rPr>
      </w:pPr>
      <w:r>
        <w:rPr>
          <w:rFonts w:hint="eastAsia" w:ascii="仿宋_GB2312" w:hAnsi="仿宋_GB2312" w:eastAsia="仿宋_GB2312" w:cs="仿宋_GB2312"/>
          <w:color w:val="auto"/>
          <w:kern w:val="2"/>
          <w:sz w:val="32"/>
          <w:szCs w:val="32"/>
          <w:lang w:val="en-US" w:eastAsia="zh-CN" w:bidi="ar-SA"/>
        </w:rPr>
        <w:t>5.国家权威检测机构产品抽检测合格报告或正规渠道进货发票或清单证明。（必要）</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（二）提交文件的要求</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供应商线上报名、报价时需上传盖鲜章后的电子文档一份。</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2.供应商在系统中的报价与响应文件中的报价不一致时，采购人将以系统中供应商的最低报价作为评判依据，且系统上的每一轮报价要小于等于响应文件报价函中的金额。</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pPr>
        <w:spacing w:line="360" w:lineRule="auto"/>
        <w:ind w:firstLine="640" w:firstLineChars="200"/>
        <w:rPr>
          <w:rFonts w:hint="default" w:ascii="仿宋_GB2312" w:hAnsi="仿宋_GB2312" w:eastAsia="仿宋_GB2312" w:cs="仿宋_GB2312"/>
          <w:b/>
          <w:bCs/>
          <w:i/>
          <w:iCs/>
          <w:color w:val="FF0000"/>
          <w:sz w:val="32"/>
          <w:szCs w:val="32"/>
          <w:u w:val="single"/>
          <w:lang w:val="en-US" w:eastAsia="zh-CN"/>
        </w:rPr>
      </w:pPr>
      <w:r>
        <w:rPr>
          <w:rFonts w:hint="eastAsia" w:ascii="仿宋_GB2312" w:hAnsi="仿宋_GB2312" w:eastAsia="仿宋_GB2312" w:cs="仿宋_GB2312"/>
          <w:sz w:val="32"/>
          <w:szCs w:val="32"/>
        </w:rPr>
        <w:t>采购人在符合审查的供应商中，手动确认报价最低的成为成交供应商。</w:t>
      </w:r>
      <w:r>
        <w:rPr>
          <w:rFonts w:hint="eastAsia" w:ascii="仿宋_GB2312" w:hAnsi="仿宋_GB2312" w:eastAsia="仿宋_GB2312" w:cs="仿宋_GB2312"/>
          <w:sz w:val="32"/>
          <w:szCs w:val="32"/>
          <w:lang w:val="en-US" w:eastAsia="zh-CN"/>
        </w:rPr>
        <w:t>最低报价相同出现并列时，以报价时间的先后顺序确定成交供应商。</w:t>
      </w:r>
    </w:p>
    <w:p>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pPr>
        <w:pStyle w:val="6"/>
        <w:spacing w:before="0" w:after="0" w:line="360" w:lineRule="auto"/>
        <w:ind w:firstLine="640" w:firstLineChars="200"/>
        <w:rPr>
          <w:rFonts w:hint="eastAsia" w:ascii="仿宋_GB2312" w:hAnsi="仿宋_GB2312" w:eastAsia="仿宋_GB2312" w:cs="仿宋_GB2312"/>
          <w:b w:val="0"/>
          <w:bCs w:val="0"/>
          <w:i w:val="0"/>
          <w:iCs w:val="0"/>
          <w:color w:val="auto"/>
          <w:sz w:val="32"/>
          <w:szCs w:val="32"/>
          <w:u w:val="none"/>
          <w:lang w:val="en-US" w:eastAsia="zh-CN"/>
        </w:rPr>
      </w:pPr>
      <w:bookmarkStart w:id="19" w:name="_Toc9654"/>
      <w:bookmarkStart w:id="20" w:name="_Toc11828"/>
      <w:bookmarkStart w:id="21" w:name="_Toc5085"/>
      <w:bookmarkStart w:id="22" w:name="_Toc20778"/>
      <w:bookmarkStart w:id="23" w:name="_Toc25886"/>
      <w:bookmarkStart w:id="24" w:name="_Toc3475"/>
      <w:bookmarkStart w:id="25" w:name="_Toc27955"/>
      <w:bookmarkStart w:id="26" w:name="_Toc14778"/>
      <w:bookmarkStart w:id="27" w:name="_Toc9027"/>
      <w:bookmarkStart w:id="28" w:name="_Toc19730"/>
      <w:bookmarkStart w:id="29" w:name="_Toc31315"/>
      <w:bookmarkStart w:id="30" w:name="_Toc13969"/>
      <w:bookmarkStart w:id="31" w:name="_Toc15478"/>
      <w:bookmarkStart w:id="32" w:name="_Toc25516"/>
      <w:r>
        <w:rPr>
          <w:rFonts w:hint="eastAsia" w:ascii="仿宋_GB2312" w:hAnsi="仿宋_GB2312" w:eastAsia="仿宋_GB2312" w:cs="仿宋_GB2312"/>
          <w:b w:val="0"/>
          <w:bCs w:val="0"/>
          <w:i w:val="0"/>
          <w:iCs w:val="0"/>
          <w:color w:val="auto"/>
          <w:sz w:val="32"/>
          <w:szCs w:val="32"/>
          <w:u w:val="none"/>
          <w:lang w:val="en-US" w:eastAsia="zh-CN"/>
        </w:rPr>
        <w:t>货物验收合格后一次性转账付款</w:t>
      </w:r>
    </w:p>
    <w:p>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十一、联系方式</w:t>
      </w:r>
      <w:bookmarkEnd w:id="19"/>
      <w:bookmarkEnd w:id="20"/>
      <w:bookmarkEnd w:id="21"/>
      <w:bookmarkEnd w:id="22"/>
      <w:bookmarkEnd w:id="23"/>
      <w:bookmarkEnd w:id="24"/>
      <w:bookmarkEnd w:id="25"/>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sz w:val="32"/>
          <w:szCs w:val="32"/>
          <w:lang w:val="en-US" w:eastAsia="zh-CN"/>
        </w:rPr>
        <w:t>重庆市合川区市政设施事务中心</w:t>
      </w:r>
    </w:p>
    <w:p>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黄老师</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42860708</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重庆市合川区沙北路94号</w:t>
      </w:r>
    </w:p>
    <w:p>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w:t>
      </w:r>
      <w:bookmarkEnd w:id="26"/>
      <w:bookmarkEnd w:id="27"/>
      <w:bookmarkEnd w:id="28"/>
      <w:bookmarkEnd w:id="29"/>
      <w:bookmarkEnd w:id="30"/>
      <w:bookmarkEnd w:id="31"/>
      <w:bookmarkEnd w:id="32"/>
      <w:r>
        <w:rPr>
          <w:rFonts w:hint="eastAsia" w:ascii="黑体" w:hAnsi="黑体" w:eastAsia="黑体" w:cs="黑体"/>
          <w:szCs w:val="32"/>
        </w:rPr>
        <w:t>其它有关规定</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供应商应于报价开始前完成政府采购网账号注册、政采云账号关联等操作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提前学习网上竞采操作手册并检查账号是否可用</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5"/>
          <w:rFonts w:hint="eastAsia" w:ascii="仿宋_GB2312" w:hAnsi="仿宋_GB2312" w:eastAsia="仿宋_GB2312" w:cs="仿宋_GB2312"/>
          <w:sz w:val="32"/>
          <w:szCs w:val="32"/>
        </w:rPr>
        <w:t>https://xj.ccgp-chongqing.gov.cn/ge/content/yptczzn/list</w:t>
      </w:r>
      <w:r>
        <w:rPr>
          <w:rStyle w:val="65"/>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pStyle w:val="68"/>
        <w:rPr>
          <w:rFonts w:hint="eastAsia"/>
        </w:rPr>
      </w:pPr>
    </w:p>
    <w:p>
      <w:pPr>
        <w:snapToGrid w:val="0"/>
        <w:spacing w:line="360" w:lineRule="auto"/>
        <w:jc w:val="center"/>
      </w:pPr>
      <w:r>
        <w:rPr>
          <w:rFonts w:hint="eastAsia" w:ascii="方正小标宋_GBK" w:eastAsia="方正小标宋_GBK"/>
          <w:sz w:val="44"/>
          <w:szCs w:val="44"/>
        </w:rPr>
        <w:t>供应商编制响应文件要求</w:t>
      </w:r>
    </w:p>
    <w:p>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pPr>
        <w:snapToGrid w:val="0"/>
        <w:ind w:firstLine="420"/>
        <w:rPr>
          <w:rFonts w:hint="default" w:ascii="宋体" w:hAnsi="宋体" w:eastAsia="仿宋_GB2312" w:cs="宋体"/>
          <w:color w:val="FF0000"/>
          <w:sz w:val="24"/>
          <w:szCs w:val="24"/>
          <w:lang w:val="en-US" w:eastAsia="zh-CN"/>
        </w:rPr>
      </w:pPr>
      <w:r>
        <w:rPr>
          <w:rFonts w:hint="eastAsia" w:ascii="仿宋_GB2312" w:hAnsi="仿宋_GB2312" w:eastAsia="仿宋_GB2312" w:cs="仿宋_GB2312"/>
          <w:sz w:val="32"/>
          <w:szCs w:val="32"/>
        </w:rPr>
        <w:t>（一）报价函</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必要）</w:t>
      </w:r>
    </w:p>
    <w:p>
      <w:pPr>
        <w:pStyle w:val="6"/>
        <w:spacing w:before="0" w:after="0" w:line="240" w:lineRule="auto"/>
        <w:jc w:val="center"/>
        <w:rPr>
          <w:rFonts w:ascii="黑体" w:hAnsi="黑体" w:eastAsia="黑体" w:cs="黑体"/>
          <w:szCs w:val="32"/>
        </w:rPr>
      </w:pPr>
      <w:r>
        <w:rPr>
          <w:rFonts w:hint="eastAsia" w:ascii="黑体" w:hAnsi="黑体" w:eastAsia="黑体" w:cs="黑体"/>
          <w:szCs w:val="32"/>
        </w:rPr>
        <w:t>报 价 函</w:t>
      </w:r>
    </w:p>
    <w:p/>
    <w:p/>
    <w:p>
      <w:pPr>
        <w:spacing w:line="360" w:lineRule="auto"/>
        <w:rPr>
          <w:rStyle w:val="65"/>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5"/>
          <w:rFonts w:hint="eastAsia" w:ascii="仿宋_GB2312" w:hAnsi="仿宋_GB2312" w:eastAsia="仿宋_GB2312" w:cs="仿宋_GB2312"/>
          <w:color w:val="auto"/>
          <w:sz w:val="32"/>
          <w:szCs w:val="32"/>
        </w:rPr>
        <w:t>（采购单位名称）：</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我方收到</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（项目名称）的竞采文件，经详细研究，决定参加该项目。</w:t>
      </w:r>
    </w:p>
    <w:p>
      <w:pPr>
        <w:spacing w:line="360" w:lineRule="auto"/>
        <w:ind w:firstLine="640" w:firstLineChars="200"/>
        <w:rPr>
          <w:rStyle w:val="65"/>
          <w:rFonts w:ascii="仿宋_GB2312" w:hAnsi="仿宋_GB2312" w:eastAsia="仿宋_GB2312" w:cs="仿宋_GB2312"/>
          <w:sz w:val="32"/>
          <w:szCs w:val="32"/>
        </w:rPr>
      </w:pPr>
      <w:r>
        <w:rPr>
          <w:rStyle w:val="65"/>
          <w:rFonts w:ascii="仿宋_GB2312" w:hAnsi="仿宋_GB2312" w:eastAsia="仿宋_GB2312" w:cs="仿宋_GB2312"/>
          <w:sz w:val="32"/>
          <w:szCs w:val="32"/>
        </w:rPr>
        <w:t>1</w:t>
      </w:r>
      <w:r>
        <w:rPr>
          <w:rStyle w:val="65"/>
          <w:rFonts w:hint="eastAsia" w:ascii="仿宋_GB2312" w:hAnsi="仿宋_GB2312" w:eastAsia="仿宋_GB2312" w:cs="仿宋_GB2312"/>
          <w:sz w:val="32"/>
          <w:szCs w:val="32"/>
          <w:lang w:eastAsia="zh-Hans"/>
        </w:rPr>
        <w:t>.</w:t>
      </w:r>
      <w:r>
        <w:rPr>
          <w:rStyle w:val="65"/>
          <w:rFonts w:hint="eastAsia" w:ascii="仿宋_GB2312" w:hAnsi="仿宋_GB2312" w:eastAsia="仿宋_GB2312" w:cs="仿宋_GB2312"/>
          <w:sz w:val="32"/>
          <w:szCs w:val="32"/>
        </w:rPr>
        <w:t>愿意按照竞采文件中的一切要求，提供本项目的商品、及服务，报价为人民币大写：</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元整；人民币小写</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元。</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2</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我方现提交的响应文件为：</w:t>
      </w:r>
      <w:r>
        <w:rPr>
          <w:rStyle w:val="65"/>
          <w:rFonts w:hint="eastAsia" w:ascii="仿宋_GB2312" w:hAnsi="仿宋_GB2312" w:eastAsia="仿宋_GB2312" w:cs="仿宋_GB2312"/>
          <w:color w:val="FF0000"/>
          <w:sz w:val="32"/>
          <w:szCs w:val="32"/>
        </w:rPr>
        <w:t>响应文件正本壹份</w:t>
      </w:r>
      <w:r>
        <w:rPr>
          <w:rStyle w:val="65"/>
          <w:rFonts w:hint="eastAsia" w:ascii="仿宋_GB2312" w:hAnsi="仿宋_GB2312" w:eastAsia="仿宋_GB2312" w:cs="仿宋_GB2312"/>
          <w:sz w:val="32"/>
          <w:szCs w:val="32"/>
        </w:rPr>
        <w:t>。</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3</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我方承诺：本次报价的有效期为</w:t>
      </w:r>
      <w:r>
        <w:rPr>
          <w:rStyle w:val="65"/>
          <w:rFonts w:hint="eastAsia" w:ascii="仿宋_GB2312" w:hAnsi="仿宋_GB2312" w:eastAsia="仿宋_GB2312" w:cs="仿宋_GB2312"/>
          <w:color w:val="FF0000"/>
          <w:sz w:val="32"/>
          <w:szCs w:val="32"/>
        </w:rPr>
        <w:t>90</w:t>
      </w:r>
      <w:r>
        <w:rPr>
          <w:rStyle w:val="65"/>
          <w:rFonts w:hint="eastAsia" w:ascii="仿宋_GB2312" w:hAnsi="仿宋_GB2312" w:eastAsia="仿宋_GB2312" w:cs="仿宋_GB2312"/>
          <w:sz w:val="32"/>
          <w:szCs w:val="32"/>
        </w:rPr>
        <w:t>天。</w:t>
      </w:r>
      <w:r>
        <w:rPr>
          <w:rFonts w:hint="eastAsia" w:ascii="仿宋_GB2312" w:hAnsi="仿宋_GB2312" w:eastAsia="仿宋_GB2312" w:cs="仿宋_GB2312"/>
          <w:b/>
          <w:bCs/>
          <w:i/>
          <w:iCs/>
          <w:color w:val="FF0000"/>
          <w:sz w:val="32"/>
          <w:szCs w:val="32"/>
          <w:u w:val="single"/>
        </w:rPr>
        <w:t>（请采购人自行完善）</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4</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我方完全理解和接受竞采文件的一切规定、要求和评审办法。</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5</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在整个采购过程中，我方若有违规行为，愿意接受重庆市政府采购云平台相关管理方的</w:t>
      </w:r>
      <w:r>
        <w:rPr>
          <w:rStyle w:val="65"/>
          <w:rFonts w:hint="eastAsia" w:ascii="仿宋_GB2312" w:hAnsi="仿宋_GB2312" w:eastAsia="仿宋_GB2312" w:cs="仿宋_GB2312"/>
          <w:sz w:val="32"/>
          <w:szCs w:val="32"/>
          <w:lang w:eastAsia="zh-Hans"/>
        </w:rPr>
        <w:t>处</w:t>
      </w:r>
      <w:r>
        <w:rPr>
          <w:rStyle w:val="65"/>
          <w:rFonts w:hint="eastAsia" w:ascii="仿宋_GB2312" w:hAnsi="仿宋_GB2312" w:eastAsia="仿宋_GB2312" w:cs="仿宋_GB2312"/>
          <w:sz w:val="32"/>
          <w:szCs w:val="32"/>
        </w:rPr>
        <w:t>罚。</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6</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7</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我方理解，最低报价不是成交的唯一条件。</w:t>
      </w:r>
    </w:p>
    <w:p>
      <w:pPr>
        <w:pStyle w:val="68"/>
        <w:spacing w:line="360" w:lineRule="auto"/>
      </w:pPr>
    </w:p>
    <w:p>
      <w:pPr>
        <w:ind w:firstLine="640" w:firstLineChars="200"/>
        <w:jc w:val="right"/>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供应商名称（公章）：</w:t>
      </w:r>
    </w:p>
    <w:p>
      <w:pPr>
        <w:ind w:firstLine="640" w:firstLineChars="200"/>
        <w:jc w:val="center"/>
        <w:rPr>
          <w:rFonts w:ascii="仿宋" w:hAnsi="仿宋" w:eastAsia="仿宋"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5"/>
          <w:rFonts w:ascii="仿宋_GB2312" w:hAnsi="仿宋_GB2312" w:eastAsia="仿宋_GB2312" w:cs="仿宋_GB2312"/>
          <w:sz w:val="32"/>
          <w:szCs w:val="32"/>
        </w:rPr>
        <w:t xml:space="preserve">                                  </w:t>
      </w:r>
      <w:r>
        <w:rPr>
          <w:rStyle w:val="65"/>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pPr>
        <w:snapToGrid w:val="0"/>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（二）明细报价表</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必要）</w:t>
      </w:r>
      <w:r>
        <w:rPr>
          <w:rFonts w:hint="eastAsia" w:ascii="仿宋_GB2312" w:hAnsi="仿宋_GB2312" w:eastAsia="仿宋_GB2312" w:cs="仿宋_GB2312"/>
          <w:sz w:val="32"/>
          <w:szCs w:val="32"/>
        </w:rPr>
        <w:t xml:space="preserve">  </w:t>
      </w:r>
      <w:r>
        <w:rPr>
          <w:rFonts w:hint="eastAsia" w:ascii="方正仿宋_GBK" w:hAnsi="宋体" w:eastAsia="方正仿宋_GBK" w:cs="方正仿宋_GBK"/>
          <w:sz w:val="24"/>
          <w:szCs w:val="24"/>
        </w:rPr>
        <w:t xml:space="preserve">     </w:t>
      </w:r>
    </w:p>
    <w:p>
      <w:pPr>
        <w:pStyle w:val="6"/>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pStyle w:val="6"/>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r>
        <w:rPr>
          <w:rFonts w:hint="eastAsia" w:ascii="仿宋_GB2312" w:hAnsi="仿宋_GB2312" w:eastAsia="仿宋_GB2312" w:cs="仿宋_GB2312"/>
          <w:i/>
          <w:iCs/>
          <w:color w:val="FF0000"/>
          <w:szCs w:val="32"/>
          <w:u w:val="single"/>
        </w:rPr>
        <w:t xml:space="preserve">（请采购人自行修改本表） </w:t>
      </w:r>
    </w:p>
    <w:p>
      <w:pPr>
        <w:pStyle w:val="6"/>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8"/>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noWrap w:val="0"/>
            <w:vAlign w:val="center"/>
          </w:tcPr>
          <w:p>
            <w:pPr>
              <w:pStyle w:val="32"/>
              <w:widowControl/>
              <w:jc w:val="center"/>
              <w:rPr>
                <w:rFonts w:ascii="方正仿宋_GBK" w:hAnsi="宋体" w:eastAsia="方正仿宋_GBK" w:cs="宋体"/>
                <w:b/>
                <w:bCs/>
                <w:kern w:val="0"/>
                <w:szCs w:val="28"/>
                <w:lang w:val="en-US" w:eastAsia="zh-CN"/>
              </w:rPr>
            </w:pPr>
            <w:r>
              <w:rPr>
                <w:rFonts w:hint="eastAsia" w:ascii="方正仿宋_GBK" w:hAnsi="宋体" w:eastAsia="方正仿宋_GBK" w:cs="宋体"/>
                <w:b/>
                <w:bCs/>
                <w:kern w:val="0"/>
                <w:szCs w:val="28"/>
                <w:lang w:val="en-US" w:eastAsia="zh-CN"/>
              </w:rPr>
              <w:t>单价</w:t>
            </w:r>
          </w:p>
          <w:p>
            <w:pPr>
              <w:pStyle w:val="32"/>
              <w:widowControl/>
              <w:jc w:val="center"/>
              <w:rPr>
                <w:rFonts w:ascii="仿宋_GB2312" w:hAnsi="仿宋_GB2312" w:eastAsia="仿宋_GB2312" w:cs="仿宋_GB2312"/>
                <w:b/>
                <w:bCs/>
                <w:kern w:val="0"/>
                <w:szCs w:val="28"/>
                <w:lang w:val="en-US" w:eastAsia="zh-CN"/>
              </w:rPr>
            </w:pPr>
            <w:r>
              <w:rPr>
                <w:rFonts w:hint="eastAsia" w:ascii="方正仿宋_GBK" w:hAnsi="宋体" w:eastAsia="方正仿宋_GBK" w:cs="宋体"/>
                <w:b/>
                <w:bCs/>
                <w:kern w:val="0"/>
                <w:szCs w:val="28"/>
                <w:lang w:val="en-US" w:eastAsia="zh-CN"/>
              </w:rPr>
              <w:t>（元）</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noWrap w:val="0"/>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noWrap w:val="0"/>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noWrap w:val="0"/>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noWrap w:val="0"/>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noWrap w:val="0"/>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noWrap w:val="0"/>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noWrap w:val="0"/>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noWrap w:val="0"/>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noWrap w:val="0"/>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noWrap w:val="0"/>
            <w:vAlign w:val="top"/>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pStyle w:val="253"/>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pPr>
        <w:pStyle w:val="6"/>
        <w:spacing w:line="360" w:lineRule="auto"/>
        <w:rPr>
          <w:rFonts w:ascii="方正仿宋_GBK" w:hAnsi="方正仿宋_GBK" w:eastAsia="方正仿宋_GBK" w:cs="Arial"/>
        </w:rPr>
      </w:pPr>
      <w:r>
        <w:br w:type="page"/>
      </w:r>
    </w:p>
    <w:p>
      <w:pPr>
        <w:tabs>
          <w:tab w:val="left" w:pos="6300"/>
        </w:tabs>
        <w:snapToGrid w:val="0"/>
        <w:spacing w:line="360" w:lineRule="auto"/>
        <w:ind w:firstLine="643" w:firstLineChars="200"/>
        <w:jc w:val="left"/>
        <w:rPr>
          <w:rFonts w:hint="default" w:ascii="宋体" w:hAnsi="宋体" w:eastAsia="仿宋_GB2312" w:cs="宋体"/>
          <w:b/>
          <w:bCs/>
          <w:color w:val="FF0000"/>
          <w:sz w:val="24"/>
          <w:szCs w:val="24"/>
          <w:lang w:val="en-US" w:eastAsia="zh-CN"/>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r>
        <w:rPr>
          <w:rFonts w:hint="eastAsia" w:ascii="仿宋_GB2312" w:hAnsi="仿宋_GB2312" w:eastAsia="仿宋_GB2312" w:cs="仿宋_GB2312"/>
          <w:b/>
          <w:bCs/>
          <w:color w:val="FF0000"/>
          <w:sz w:val="32"/>
          <w:szCs w:val="32"/>
          <w:lang w:eastAsia="zh-CN"/>
        </w:rPr>
        <w:t>（</w:t>
      </w:r>
      <w:r>
        <w:rPr>
          <w:rFonts w:hint="eastAsia" w:ascii="仿宋_GB2312" w:hAnsi="仿宋_GB2312" w:eastAsia="仿宋_GB2312" w:cs="仿宋_GB2312"/>
          <w:b/>
          <w:bCs/>
          <w:color w:val="FF0000"/>
          <w:sz w:val="32"/>
          <w:szCs w:val="32"/>
          <w:lang w:val="en-US" w:eastAsia="zh-CN"/>
        </w:rPr>
        <w:t>必要）</w:t>
      </w:r>
    </w:p>
    <w:p>
      <w:pPr>
        <w:tabs>
          <w:tab w:val="left" w:pos="6300"/>
        </w:tabs>
        <w:snapToGrid w:val="0"/>
        <w:spacing w:line="360" w:lineRule="auto"/>
        <w:jc w:val="center"/>
        <w:rPr>
          <w:rFonts w:ascii="宋体" w:hAnsi="宋体" w:cs="宋体"/>
          <w:b/>
          <w:bCs/>
          <w:sz w:val="24"/>
          <w:szCs w:val="24"/>
        </w:rPr>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68"/>
        <w:spacing w:line="360" w:lineRule="auto"/>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pPr>
        <w:pStyle w:val="6"/>
        <w:spacing w:line="360" w:lineRule="auto"/>
      </w:pPr>
    </w:p>
    <w:p>
      <w:pPr>
        <w:rPr>
          <w:rFonts w:ascii="宋体" w:hAnsi="宋体" w:cs="宋体"/>
          <w:sz w:val="24"/>
          <w:szCs w:val="24"/>
        </w:rPr>
      </w:pPr>
      <w:r>
        <w:rPr>
          <w:rFonts w:ascii="宋体" w:hAnsi="宋体" w:cs="宋体"/>
          <w:sz w:val="24"/>
          <w:szCs w:val="24"/>
        </w:rPr>
        <w:br w:type="page"/>
      </w:r>
    </w:p>
    <w:p>
      <w:pPr>
        <w:pStyle w:val="68"/>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6"/>
        <w:spacing w:line="360" w:lineRule="auto"/>
      </w:pPr>
      <w:r>
        <w:br w:type="page"/>
      </w:r>
    </w:p>
    <w:p>
      <w:pPr>
        <w:tabs>
          <w:tab w:val="left" w:pos="6300"/>
        </w:tabs>
        <w:snapToGrid w:val="0"/>
        <w:spacing w:line="360" w:lineRule="auto"/>
        <w:ind w:firstLine="643" w:firstLineChars="200"/>
        <w:jc w:val="left"/>
        <w:rPr>
          <w:rFonts w:hint="default" w:ascii="宋体" w:hAnsi="宋体" w:eastAsia="仿宋_GB2312" w:cs="宋体"/>
          <w:b/>
          <w:bCs/>
          <w:color w:val="FF0000"/>
          <w:sz w:val="24"/>
          <w:szCs w:val="24"/>
          <w:lang w:val="en-US" w:eastAsia="zh-CN"/>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r>
        <w:rPr>
          <w:rFonts w:hint="eastAsia" w:ascii="仿宋_GB2312" w:hAnsi="仿宋_GB2312" w:eastAsia="仿宋_GB2312" w:cs="仿宋_GB2312"/>
          <w:b/>
          <w:bCs/>
          <w:color w:val="FF0000"/>
          <w:sz w:val="32"/>
          <w:szCs w:val="32"/>
          <w:lang w:eastAsia="zh-CN"/>
        </w:rPr>
        <w:t>（</w:t>
      </w:r>
      <w:r>
        <w:rPr>
          <w:rFonts w:hint="eastAsia" w:ascii="仿宋_GB2312" w:hAnsi="仿宋_GB2312" w:eastAsia="仿宋_GB2312" w:cs="仿宋_GB2312"/>
          <w:b/>
          <w:bCs/>
          <w:color w:val="FF0000"/>
          <w:sz w:val="32"/>
          <w:szCs w:val="32"/>
          <w:lang w:val="en-US" w:eastAsia="zh-CN"/>
        </w:rPr>
        <w:t>必要）</w:t>
      </w:r>
    </w:p>
    <w:p>
      <w:pPr>
        <w:tabs>
          <w:tab w:val="left" w:pos="6300"/>
        </w:tabs>
        <w:snapToGrid w:val="0"/>
        <w:spacing w:line="360" w:lineRule="auto"/>
        <w:ind w:firstLine="643" w:firstLineChars="200"/>
        <w:rPr>
          <w:rFonts w:ascii="黑体" w:hAnsi="黑体" w:eastAsia="黑体" w:cs="黑体"/>
          <w:b/>
          <w:sz w:val="32"/>
          <w:szCs w:val="32"/>
        </w:rPr>
      </w:pPr>
    </w:p>
    <w:p>
      <w:pPr>
        <w:pStyle w:val="68"/>
      </w:pPr>
    </w:p>
    <w:p>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68"/>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tabs>
          <w:tab w:val="left" w:pos="6300"/>
        </w:tabs>
        <w:snapToGrid w:val="0"/>
        <w:spacing w:line="360" w:lineRule="auto"/>
        <w:ind w:firstLine="643" w:firstLineChars="200"/>
        <w:jc w:val="left"/>
        <w:rPr>
          <w:rFonts w:hint="default" w:ascii="宋体" w:hAnsi="宋体" w:eastAsia="仿宋_GB2312" w:cs="宋体"/>
          <w:b/>
          <w:bCs/>
          <w:color w:val="FF0000"/>
          <w:sz w:val="24"/>
          <w:szCs w:val="24"/>
          <w:lang w:val="en-US" w:eastAsia="zh-CN"/>
        </w:rPr>
      </w:pPr>
      <w:r>
        <w:rPr>
          <w:rFonts w:hint="eastAsia" w:ascii="黑体" w:hAnsi="黑体" w:eastAsia="黑体" w:cs="黑体"/>
          <w:b/>
          <w:sz w:val="32"/>
          <w:szCs w:val="32"/>
          <w:lang w:val="en-US" w:eastAsia="zh-CN"/>
        </w:rPr>
        <w:t>四、营业执照及基本存款账户信息。</w:t>
      </w:r>
    </w:p>
    <w:p>
      <w:pPr>
        <w:tabs>
          <w:tab w:val="left" w:pos="6300"/>
        </w:tabs>
        <w:snapToGrid w:val="0"/>
        <w:spacing w:line="360" w:lineRule="auto"/>
        <w:ind w:firstLine="643" w:firstLineChars="200"/>
        <w:rPr>
          <w:rFonts w:hint="eastAsia" w:ascii="黑体" w:hAnsi="黑体" w:eastAsia="黑体" w:cs="黑体"/>
          <w:b/>
          <w:sz w:val="32"/>
          <w:szCs w:val="32"/>
          <w:lang w:eastAsia="zh-Hans"/>
        </w:rPr>
      </w:pPr>
    </w:p>
    <w:p>
      <w:pPr>
        <w:tabs>
          <w:tab w:val="left" w:pos="6300"/>
        </w:tabs>
        <w:snapToGrid w:val="0"/>
        <w:spacing w:line="360" w:lineRule="auto"/>
        <w:ind w:right="480" w:firstLine="570"/>
        <w:jc w:val="right"/>
        <w:rPr>
          <w:rFonts w:ascii="宋体" w:hAnsi="宋体" w:cs="宋体"/>
          <w:sz w:val="24"/>
          <w:szCs w:val="24"/>
        </w:rPr>
      </w:pPr>
    </w:p>
    <w:p>
      <w:pPr>
        <w:pStyle w:val="6"/>
        <w:spacing w:line="360" w:lineRule="auto"/>
      </w:pPr>
    </w:p>
    <w:p>
      <w:pPr>
        <w:spacing w:line="360" w:lineRule="auto"/>
      </w:pPr>
    </w:p>
    <w:p>
      <w:pPr>
        <w:pStyle w:val="6"/>
        <w:spacing w:line="360" w:lineRule="auto"/>
      </w:pPr>
    </w:p>
    <w:p>
      <w:pPr>
        <w:spacing w:line="360" w:lineRule="auto"/>
      </w:pPr>
    </w:p>
    <w:p>
      <w:pPr>
        <w:pStyle w:val="6"/>
        <w:spacing w:line="360" w:lineRule="auto"/>
      </w:pPr>
    </w:p>
    <w:p>
      <w:pPr>
        <w:spacing w:line="360" w:lineRule="auto"/>
      </w:pPr>
    </w:p>
    <w:p>
      <w:pPr>
        <w:pStyle w:val="6"/>
        <w:spacing w:line="360" w:lineRule="auto"/>
      </w:pPr>
    </w:p>
    <w:p>
      <w:pPr>
        <w:spacing w:line="360" w:lineRule="auto"/>
      </w:pPr>
    </w:p>
    <w:p>
      <w:pPr>
        <w:pStyle w:val="6"/>
        <w:spacing w:line="360" w:lineRule="auto"/>
      </w:pPr>
    </w:p>
    <w:p>
      <w:pPr>
        <w:spacing w:line="360" w:lineRule="auto"/>
      </w:pPr>
    </w:p>
    <w:p>
      <w:pPr>
        <w:pStyle w:val="6"/>
        <w:spacing w:line="360" w:lineRule="auto"/>
      </w:pPr>
    </w:p>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黑体" w:hAnsi="黑体" w:eastAsia="黑体" w:cs="黑体"/>
          <w:b/>
          <w:sz w:val="32"/>
          <w:szCs w:val="32"/>
          <w:lang w:val="en-US" w:eastAsia="zh-CN"/>
        </w:rPr>
      </w:pPr>
      <w:r>
        <w:rPr>
          <w:rFonts w:hint="eastAsia" w:ascii="黑体" w:hAnsi="黑体" w:eastAsia="黑体" w:cs="黑体"/>
          <w:b/>
          <w:sz w:val="32"/>
          <w:szCs w:val="32"/>
          <w:lang w:val="en-US" w:eastAsia="zh-CN"/>
        </w:rPr>
        <w:t>五、国家权威检测机构产品抽检测合格报告或正规渠道进货发票或清单证明</w:t>
      </w:r>
      <w:r>
        <w:rPr>
          <w:rFonts w:hint="eastAsia" w:ascii="仿宋_GB2312" w:hAnsi="仿宋_GB2312" w:eastAsia="仿宋_GB2312" w:cs="仿宋_GB2312"/>
          <w:color w:val="auto"/>
          <w:sz w:val="32"/>
          <w:szCs w:val="32"/>
          <w:lang w:val="en-US" w:eastAsia="zh-CN"/>
        </w:rPr>
        <w:t>（如为生产厂家可不需要此项）</w:t>
      </w:r>
      <w:r>
        <w:rPr>
          <w:rFonts w:hint="eastAsia" w:ascii="黑体" w:hAnsi="黑体" w:eastAsia="黑体" w:cs="黑体"/>
          <w:b/>
          <w:color w:val="FF0000"/>
          <w:sz w:val="32"/>
          <w:szCs w:val="32"/>
          <w:lang w:val="en-US" w:eastAsia="zh-CN"/>
        </w:rPr>
        <w:t>（必须提供其一）</w:t>
      </w:r>
      <w:r>
        <w:rPr>
          <w:rFonts w:hint="eastAsia" w:ascii="黑体" w:hAnsi="黑体" w:eastAsia="黑体" w:cs="黑体"/>
          <w:b/>
          <w:sz w:val="32"/>
          <w:szCs w:val="32"/>
          <w:lang w:val="en-US" w:eastAsia="zh-CN"/>
        </w:rPr>
        <w:t>。</w:t>
      </w:r>
    </w:p>
    <w:p>
      <w:pPr>
        <w:pStyle w:val="6"/>
        <w:spacing w:line="360" w:lineRule="auto"/>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pStyle w:val="68"/>
      </w:pPr>
    </w:p>
    <w:p>
      <w:pPr>
        <w:spacing w:line="360" w:lineRule="auto"/>
      </w:pPr>
    </w:p>
    <w:p>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rPr>
          <w:rFonts w:ascii="仿宋_GB2312" w:hAnsi="仿宋_GB2312" w:eastAsia="仿宋_GB2312" w:cs="仿宋_GB2312"/>
          <w:sz w:val="32"/>
          <w:szCs w:val="32"/>
        </w:rPr>
      </w:pPr>
    </w:p>
    <w:p>
      <w:pPr>
        <w:tabs>
          <w:tab w:val="left" w:pos="6300"/>
        </w:tabs>
        <w:snapToGrid w:val="0"/>
        <w:spacing w:line="360" w:lineRule="auto"/>
        <w:ind w:right="480"/>
        <w:jc w:val="center"/>
        <w:rPr>
          <w:rFonts w:ascii="宋体" w:hAnsi="宋体" w:cs="宋体"/>
          <w:sz w:val="24"/>
          <w:szCs w:val="24"/>
        </w:rPr>
      </w:pPr>
      <w:r>
        <w:rPr>
          <w:rFonts w:hint="eastAsia" w:ascii="仿宋_GB2312" w:hAnsi="仿宋_GB2312" w:eastAsia="仿宋_GB2312" w:cs="仿宋_GB2312"/>
          <w:sz w:val="32"/>
          <w:szCs w:val="32"/>
        </w:rPr>
        <w:t>（结束）</w:t>
      </w: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20B0604020202020204"/>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86"/>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3HqTZzQCAABhBAAADgAAAAAAAAABACAAAAAgAQAAZHJzL2Uyb0RvYy54bWxQ&#10;SwUGAAAAAAYABgBZAQAAxgU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FZ/uRI1AgAAYQQAAA4AAAAAAAAAAQAgAAAAIAEAAGRycy9lMm9Eb2MueG1s&#10;UEsFBgAAAAAGAAYAWQEAAMcFA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3603A"/>
    <w:multiLevelType w:val="singleLevel"/>
    <w:tmpl w:val="87B3603A"/>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TE0MmNhYThhZWNiN2E4NTYxYzkxYWFiMjAwM2Y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E68AE"/>
    <w:rsid w:val="002F2847"/>
    <w:rsid w:val="002F5C86"/>
    <w:rsid w:val="00313FC6"/>
    <w:rsid w:val="00314FE1"/>
    <w:rsid w:val="00316DF3"/>
    <w:rsid w:val="00330491"/>
    <w:rsid w:val="003332D6"/>
    <w:rsid w:val="00333713"/>
    <w:rsid w:val="0033562A"/>
    <w:rsid w:val="003453EB"/>
    <w:rsid w:val="00354476"/>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047B"/>
    <w:rsid w:val="004C55B8"/>
    <w:rsid w:val="004D15E1"/>
    <w:rsid w:val="004D4610"/>
    <w:rsid w:val="00507899"/>
    <w:rsid w:val="005106F8"/>
    <w:rsid w:val="00521F48"/>
    <w:rsid w:val="00525466"/>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B79B8"/>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4683"/>
    <w:rsid w:val="00A8591D"/>
    <w:rsid w:val="00A9133B"/>
    <w:rsid w:val="00AC755D"/>
    <w:rsid w:val="00AF3E34"/>
    <w:rsid w:val="00AF70BC"/>
    <w:rsid w:val="00B000A7"/>
    <w:rsid w:val="00B01F29"/>
    <w:rsid w:val="00B036AE"/>
    <w:rsid w:val="00B3337A"/>
    <w:rsid w:val="00B43355"/>
    <w:rsid w:val="00B47D95"/>
    <w:rsid w:val="00B47F90"/>
    <w:rsid w:val="00B60CC0"/>
    <w:rsid w:val="00B60F1F"/>
    <w:rsid w:val="00B730A8"/>
    <w:rsid w:val="00B84305"/>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266A"/>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92A7A"/>
    <w:rsid w:val="00EB6C11"/>
    <w:rsid w:val="00ED535E"/>
    <w:rsid w:val="00ED6923"/>
    <w:rsid w:val="00F10101"/>
    <w:rsid w:val="00F62179"/>
    <w:rsid w:val="00F91500"/>
    <w:rsid w:val="00FC7767"/>
    <w:rsid w:val="00FD14FB"/>
    <w:rsid w:val="00FD2836"/>
    <w:rsid w:val="00FF7DDB"/>
    <w:rsid w:val="00FF7FDC"/>
    <w:rsid w:val="02B240F8"/>
    <w:rsid w:val="03105AC8"/>
    <w:rsid w:val="07610150"/>
    <w:rsid w:val="08AD39CC"/>
    <w:rsid w:val="08ED3546"/>
    <w:rsid w:val="0BAA1613"/>
    <w:rsid w:val="0D50007C"/>
    <w:rsid w:val="0D7E6450"/>
    <w:rsid w:val="0EFE3F6B"/>
    <w:rsid w:val="101E0686"/>
    <w:rsid w:val="116B141B"/>
    <w:rsid w:val="118108DF"/>
    <w:rsid w:val="12786154"/>
    <w:rsid w:val="14DE79ED"/>
    <w:rsid w:val="18D72D4C"/>
    <w:rsid w:val="1C0E01AF"/>
    <w:rsid w:val="1F2D6F61"/>
    <w:rsid w:val="1FCE3DC4"/>
    <w:rsid w:val="21246E87"/>
    <w:rsid w:val="223E5164"/>
    <w:rsid w:val="24127095"/>
    <w:rsid w:val="254856B7"/>
    <w:rsid w:val="263F135E"/>
    <w:rsid w:val="26B34E47"/>
    <w:rsid w:val="283E5C7F"/>
    <w:rsid w:val="28AF7462"/>
    <w:rsid w:val="2A9A00C1"/>
    <w:rsid w:val="2BFF06BF"/>
    <w:rsid w:val="2C9142F3"/>
    <w:rsid w:val="30CA6936"/>
    <w:rsid w:val="31D874D8"/>
    <w:rsid w:val="332F4289"/>
    <w:rsid w:val="34CC3626"/>
    <w:rsid w:val="350B68E2"/>
    <w:rsid w:val="375C7661"/>
    <w:rsid w:val="385F61F4"/>
    <w:rsid w:val="39482D1E"/>
    <w:rsid w:val="3998008B"/>
    <w:rsid w:val="39D961DF"/>
    <w:rsid w:val="3B12644C"/>
    <w:rsid w:val="3B405B81"/>
    <w:rsid w:val="3BE72081"/>
    <w:rsid w:val="3C4839DA"/>
    <w:rsid w:val="3C7B6B05"/>
    <w:rsid w:val="3D76443E"/>
    <w:rsid w:val="3EDB7D99"/>
    <w:rsid w:val="3FCD46EF"/>
    <w:rsid w:val="3FFB7D85"/>
    <w:rsid w:val="40D12367"/>
    <w:rsid w:val="411B1F4A"/>
    <w:rsid w:val="414B00CA"/>
    <w:rsid w:val="43260821"/>
    <w:rsid w:val="45FB04BF"/>
    <w:rsid w:val="47D4626B"/>
    <w:rsid w:val="48AA5E76"/>
    <w:rsid w:val="48C66C00"/>
    <w:rsid w:val="4A7D39FB"/>
    <w:rsid w:val="4B89359B"/>
    <w:rsid w:val="4BC9209C"/>
    <w:rsid w:val="4BE52F91"/>
    <w:rsid w:val="4CB52E10"/>
    <w:rsid w:val="4DF46871"/>
    <w:rsid w:val="4DF844BD"/>
    <w:rsid w:val="4E99569F"/>
    <w:rsid w:val="4F927AE7"/>
    <w:rsid w:val="504870C6"/>
    <w:rsid w:val="525C48B7"/>
    <w:rsid w:val="539825A5"/>
    <w:rsid w:val="55FC7B08"/>
    <w:rsid w:val="5A9515D1"/>
    <w:rsid w:val="5ABA5A03"/>
    <w:rsid w:val="5B8C0E98"/>
    <w:rsid w:val="5BFDB513"/>
    <w:rsid w:val="5EC32908"/>
    <w:rsid w:val="60A67A87"/>
    <w:rsid w:val="61932143"/>
    <w:rsid w:val="639635F7"/>
    <w:rsid w:val="65F91B55"/>
    <w:rsid w:val="67B15328"/>
    <w:rsid w:val="68916794"/>
    <w:rsid w:val="69966B04"/>
    <w:rsid w:val="69E84DCE"/>
    <w:rsid w:val="6B660A7C"/>
    <w:rsid w:val="6C3C1DA0"/>
    <w:rsid w:val="6C5E581A"/>
    <w:rsid w:val="71287CA7"/>
    <w:rsid w:val="7183443D"/>
    <w:rsid w:val="751E519F"/>
    <w:rsid w:val="76DB3120"/>
    <w:rsid w:val="78415C6A"/>
    <w:rsid w:val="7927265A"/>
    <w:rsid w:val="7B214D90"/>
    <w:rsid w:val="7DAB6BB7"/>
    <w:rsid w:val="7F385D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szCs w:val="20"/>
    </w:rPr>
  </w:style>
  <w:style w:type="paragraph" w:styleId="6">
    <w:name w:val="heading 3"/>
    <w:basedOn w:val="1"/>
    <w:next w:val="1"/>
    <w:link w:val="70"/>
    <w:qFormat/>
    <w:uiPriority w:val="0"/>
    <w:pPr>
      <w:keepNext/>
      <w:keepLines/>
      <w:spacing w:before="260" w:after="260" w:line="413" w:lineRule="auto"/>
      <w:outlineLvl w:val="2"/>
    </w:pPr>
    <w:rPr>
      <w:rFonts w:ascii="Times New Roman" w:hAnsi="Times New Roman"/>
      <w:b/>
      <w:sz w:val="32"/>
      <w:szCs w:val="20"/>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Indent"/>
    <w:basedOn w:val="1"/>
    <w:link w:val="72"/>
    <w:qFormat/>
    <w:uiPriority w:val="0"/>
    <w:pPr>
      <w:spacing w:line="700" w:lineRule="exact"/>
      <w:ind w:left="960"/>
    </w:pPr>
    <w:rPr>
      <w:rFonts w:ascii="Times New Roman" w:hAnsi="Times New Roman"/>
      <w:sz w:val="44"/>
      <w:szCs w:val="20"/>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1"/>
    <w:qFormat/>
    <w:uiPriority w:val="0"/>
    <w:pPr>
      <w:adjustRightInd w:val="0"/>
      <w:spacing w:line="360" w:lineRule="atLeast"/>
      <w:jc w:val="left"/>
      <w:textAlignment w:val="baseline"/>
    </w:pPr>
    <w:rPr>
      <w:rFonts w:ascii="Times New Roman" w:hAnsi="Times New Roman"/>
      <w:kern w:val="0"/>
      <w:sz w:val="24"/>
      <w:szCs w:val="20"/>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3"/>
    <w:qFormat/>
    <w:uiPriority w:val="99"/>
    <w:rPr>
      <w:rFonts w:ascii="宋体" w:hAnsi="Courier New"/>
      <w:szCs w:val="20"/>
    </w:rPr>
  </w:style>
  <w:style w:type="paragraph" w:styleId="31">
    <w:name w:val="toc 8"/>
    <w:basedOn w:val="1"/>
    <w:next w:val="1"/>
    <w:qFormat/>
    <w:uiPriority w:val="0"/>
    <w:pPr>
      <w:ind w:left="2940" w:leftChars="1400"/>
    </w:pPr>
  </w:style>
  <w:style w:type="paragraph" w:styleId="32">
    <w:name w:val="Date"/>
    <w:basedOn w:val="1"/>
    <w:next w:val="1"/>
    <w:link w:val="74"/>
    <w:qFormat/>
    <w:uiPriority w:val="99"/>
    <w:rPr>
      <w:rFonts w:ascii="Times New Roman" w:hAnsi="Times New Roman"/>
      <w:sz w:val="28"/>
      <w:szCs w:val="20"/>
    </w:rPr>
  </w:style>
  <w:style w:type="paragraph" w:styleId="33">
    <w:name w:val="Body Text Indent 2"/>
    <w:basedOn w:val="1"/>
    <w:link w:val="75"/>
    <w:qFormat/>
    <w:uiPriority w:val="0"/>
    <w:pPr>
      <w:snapToGrid w:val="0"/>
      <w:spacing w:line="560" w:lineRule="atLeast"/>
      <w:ind w:firstLine="540"/>
    </w:pPr>
    <w:rPr>
      <w:rFonts w:ascii="Times New Roman" w:hAnsi="Times New Roman"/>
      <w:sz w:val="28"/>
      <w:szCs w:val="20"/>
    </w:rPr>
  </w:style>
  <w:style w:type="paragraph" w:styleId="34">
    <w:name w:val="Balloon Text"/>
    <w:basedOn w:val="1"/>
    <w:qFormat/>
    <w:uiPriority w:val="0"/>
    <w:rPr>
      <w:sz w:val="18"/>
    </w:rPr>
  </w:style>
  <w:style w:type="paragraph" w:styleId="35">
    <w:name w:val="footer"/>
    <w:basedOn w:val="1"/>
    <w:link w:val="76"/>
    <w:qFormat/>
    <w:uiPriority w:val="99"/>
    <w:pPr>
      <w:tabs>
        <w:tab w:val="center" w:pos="4153"/>
        <w:tab w:val="right" w:pos="8306"/>
      </w:tabs>
      <w:snapToGrid w:val="0"/>
      <w:jc w:val="left"/>
    </w:pPr>
    <w:rPr>
      <w:rFonts w:ascii="Times New Roman" w:hAnsi="Times New Roman"/>
      <w:sz w:val="18"/>
      <w:szCs w:val="20"/>
    </w:rPr>
  </w:style>
  <w:style w:type="paragraph" w:styleId="36">
    <w:name w:val="header"/>
    <w:basedOn w:val="1"/>
    <w:link w:val="77"/>
    <w:qFormat/>
    <w:uiPriority w:val="99"/>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8"/>
    <w:qFormat/>
    <w:uiPriority w:val="0"/>
    <w:pPr>
      <w:spacing w:line="360" w:lineRule="auto"/>
    </w:pPr>
    <w:rPr>
      <w:rFonts w:ascii="Times New Roman" w:hAnsi="Times New Roman"/>
      <w:sz w:val="18"/>
      <w:szCs w:val="20"/>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1"/>
    <w:next w:val="21"/>
    <w:link w:val="79"/>
    <w:qFormat/>
    <w:uiPriority w:val="0"/>
    <w:pPr>
      <w:adjustRightInd/>
      <w:spacing w:line="240" w:lineRule="auto"/>
      <w:textAlignment w:val="auto"/>
    </w:pPr>
  </w:style>
  <w:style w:type="paragraph" w:styleId="55">
    <w:name w:val="Body Text First Indent"/>
    <w:basedOn w:val="2"/>
    <w:next w:val="56"/>
    <w:qFormat/>
    <w:uiPriority w:val="0"/>
    <w:pPr>
      <w:spacing w:line="360" w:lineRule="auto"/>
      <w:ind w:firstLine="420"/>
    </w:pPr>
    <w:rPr>
      <w:rFonts w:ascii="宋体" w:hAnsi="宋体"/>
      <w:sz w:val="24"/>
    </w:rPr>
  </w:style>
  <w:style w:type="paragraph" w:customStyle="1" w:styleId="56">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paragraph" w:styleId="57">
    <w:name w:val="Body Text First Indent 2"/>
    <w:basedOn w:val="3"/>
    <w:link w:val="80"/>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9">
    <w:name w:val="标题 2 Char"/>
    <w:link w:val="5"/>
    <w:qFormat/>
    <w:uiPriority w:val="0"/>
    <w:rPr>
      <w:rFonts w:ascii="Arial" w:hAnsi="Arial" w:eastAsia="黑体"/>
      <w:b/>
      <w:kern w:val="2"/>
      <w:sz w:val="32"/>
    </w:rPr>
  </w:style>
  <w:style w:type="character" w:customStyle="1" w:styleId="70">
    <w:name w:val="标题 3 Char"/>
    <w:link w:val="6"/>
    <w:qFormat/>
    <w:uiPriority w:val="0"/>
    <w:rPr>
      <w:rFonts w:eastAsia="宋体"/>
      <w:b/>
      <w:kern w:val="2"/>
      <w:sz w:val="32"/>
      <w:lang w:val="en-US" w:eastAsia="zh-CN"/>
    </w:rPr>
  </w:style>
  <w:style w:type="character" w:customStyle="1" w:styleId="71">
    <w:name w:val="批注文字 Char"/>
    <w:link w:val="21"/>
    <w:qFormat/>
    <w:uiPriority w:val="0"/>
    <w:rPr>
      <w:sz w:val="24"/>
    </w:rPr>
  </w:style>
  <w:style w:type="character" w:customStyle="1" w:styleId="72">
    <w:name w:val="正文文本缩进 Char"/>
    <w:link w:val="3"/>
    <w:qFormat/>
    <w:uiPriority w:val="0"/>
    <w:rPr>
      <w:kern w:val="2"/>
      <w:sz w:val="44"/>
    </w:rPr>
  </w:style>
  <w:style w:type="character" w:customStyle="1" w:styleId="73">
    <w:name w:val="纯文本 Char"/>
    <w:link w:val="30"/>
    <w:qFormat/>
    <w:locked/>
    <w:uiPriority w:val="99"/>
    <w:rPr>
      <w:rFonts w:ascii="宋体" w:hAnsi="Courier New"/>
      <w:kern w:val="2"/>
      <w:sz w:val="21"/>
    </w:rPr>
  </w:style>
  <w:style w:type="character" w:customStyle="1" w:styleId="74">
    <w:name w:val="日期 Char"/>
    <w:link w:val="32"/>
    <w:qFormat/>
    <w:uiPriority w:val="99"/>
    <w:rPr>
      <w:kern w:val="2"/>
      <w:sz w:val="28"/>
    </w:rPr>
  </w:style>
  <w:style w:type="character" w:customStyle="1" w:styleId="75">
    <w:name w:val="正文文本缩进 2 Char"/>
    <w:link w:val="33"/>
    <w:qFormat/>
    <w:uiPriority w:val="0"/>
    <w:rPr>
      <w:kern w:val="2"/>
      <w:sz w:val="28"/>
    </w:rPr>
  </w:style>
  <w:style w:type="character" w:customStyle="1" w:styleId="76">
    <w:name w:val="页脚 Char"/>
    <w:link w:val="35"/>
    <w:qFormat/>
    <w:uiPriority w:val="99"/>
    <w:rPr>
      <w:kern w:val="2"/>
      <w:sz w:val="18"/>
    </w:rPr>
  </w:style>
  <w:style w:type="character" w:customStyle="1" w:styleId="77">
    <w:name w:val="页眉 Char"/>
    <w:link w:val="36"/>
    <w:qFormat/>
    <w:uiPriority w:val="99"/>
    <w:rPr>
      <w:kern w:val="2"/>
      <w:sz w:val="18"/>
    </w:rPr>
  </w:style>
  <w:style w:type="character" w:customStyle="1" w:styleId="78">
    <w:name w:val="脚注文本 Char"/>
    <w:link w:val="40"/>
    <w:qFormat/>
    <w:uiPriority w:val="0"/>
    <w:rPr>
      <w:kern w:val="2"/>
      <w:sz w:val="18"/>
    </w:rPr>
  </w:style>
  <w:style w:type="character" w:customStyle="1" w:styleId="79">
    <w:name w:val="批注主题 Char"/>
    <w:basedOn w:val="71"/>
    <w:link w:val="54"/>
    <w:qFormat/>
    <w:uiPriority w:val="0"/>
    <w:rPr>
      <w:sz w:val="24"/>
    </w:rPr>
  </w:style>
  <w:style w:type="character" w:customStyle="1" w:styleId="80">
    <w:name w:val="正文首行缩进 2 Char"/>
    <w:basedOn w:val="72"/>
    <w:link w:val="57"/>
    <w:qFormat/>
    <w:uiPriority w:val="0"/>
    <w:rPr>
      <w:kern w:val="2"/>
      <w:sz w:val="44"/>
    </w:rPr>
  </w:style>
  <w:style w:type="character" w:customStyle="1" w:styleId="81">
    <w:name w:val="Char Char6"/>
    <w:qFormat/>
    <w:uiPriority w:val="0"/>
    <w:rPr>
      <w:rFonts w:ascii="仿宋_GB2312" w:eastAsia="仿宋_GB2312"/>
      <w:kern w:val="2"/>
      <w:sz w:val="32"/>
    </w:rPr>
  </w:style>
  <w:style w:type="character" w:customStyle="1" w:styleId="82">
    <w:name w:val="Char Char2"/>
    <w:qFormat/>
    <w:uiPriority w:val="0"/>
    <w:rPr>
      <w:rFonts w:eastAsia="宋体"/>
      <w:kern w:val="2"/>
      <w:sz w:val="18"/>
      <w:lang w:val="en-US" w:eastAsia="zh-CN"/>
    </w:rPr>
  </w:style>
  <w:style w:type="character" w:customStyle="1" w:styleId="83">
    <w:name w:val="Char Char"/>
    <w:qFormat/>
    <w:uiPriority w:val="0"/>
    <w:rPr>
      <w:rFonts w:ascii="宋体" w:hAnsi="宋体" w:eastAsia="宋体"/>
      <w:kern w:val="2"/>
      <w:sz w:val="24"/>
      <w:lang w:val="en-US" w:eastAsia="zh-CN" w:bidi="ar-SA"/>
    </w:rPr>
  </w:style>
  <w:style w:type="character" w:customStyle="1" w:styleId="84">
    <w:name w:val="Table Text Char"/>
    <w:qFormat/>
    <w:uiPriority w:val="0"/>
    <w:rPr>
      <w:rFonts w:ascii="Arial" w:hAnsi="Arial"/>
      <w:kern w:val="2"/>
      <w:sz w:val="18"/>
      <w:lang w:val="en-US" w:eastAsia="zh-CN" w:bidi="ar-SA"/>
    </w:rPr>
  </w:style>
  <w:style w:type="character" w:customStyle="1" w:styleId="85">
    <w:name w:val="标书正文:  0.74 厘米 Char1"/>
    <w:qFormat/>
    <w:uiPriority w:val="0"/>
    <w:rPr>
      <w:rFonts w:eastAsia="宋体"/>
      <w:kern w:val="2"/>
      <w:sz w:val="24"/>
      <w:lang w:val="en-US" w:eastAsia="zh-CN"/>
    </w:rPr>
  </w:style>
  <w:style w:type="character" w:customStyle="1" w:styleId="86">
    <w:name w:val="Char Char11"/>
    <w:qFormat/>
    <w:uiPriority w:val="0"/>
    <w:rPr>
      <w:rFonts w:ascii="宋体"/>
      <w:kern w:val="2"/>
      <w:sz w:val="28"/>
    </w:rPr>
  </w:style>
  <w:style w:type="character" w:customStyle="1" w:styleId="87">
    <w:name w:val="Char Char7"/>
    <w:qFormat/>
    <w:uiPriority w:val="0"/>
    <w:rPr>
      <w:rFonts w:ascii="宋体" w:hAnsi="宋体" w:eastAsia="宋体"/>
      <w:kern w:val="2"/>
      <w:sz w:val="28"/>
    </w:rPr>
  </w:style>
  <w:style w:type="character" w:customStyle="1" w:styleId="88">
    <w:name w:val="文字 Char"/>
    <w:qFormat/>
    <w:uiPriority w:val="0"/>
    <w:rPr>
      <w:rFonts w:ascii="宋体"/>
      <w:kern w:val="2"/>
      <w:sz w:val="28"/>
    </w:rPr>
  </w:style>
  <w:style w:type="character" w:customStyle="1" w:styleId="89">
    <w:name w:val="Char Char5"/>
    <w:qFormat/>
    <w:uiPriority w:val="0"/>
    <w:rPr>
      <w:rFonts w:ascii="Arial" w:hAnsi="Arial" w:eastAsia="宋体"/>
      <w:b/>
      <w:smallCaps/>
      <w:kern w:val="28"/>
      <w:sz w:val="36"/>
      <w:lang w:val="en-US" w:eastAsia="en-US"/>
    </w:rPr>
  </w:style>
  <w:style w:type="character" w:customStyle="1" w:styleId="90">
    <w:name w:val="font61"/>
    <w:qFormat/>
    <w:uiPriority w:val="0"/>
    <w:rPr>
      <w:rFonts w:hint="eastAsia" w:ascii="微软雅黑" w:hAnsi="微软雅黑" w:eastAsia="微软雅黑" w:cs="微软雅黑"/>
      <w:color w:val="000000"/>
      <w:sz w:val="24"/>
      <w:szCs w:val="24"/>
      <w:u w:val="none"/>
    </w:rPr>
  </w:style>
  <w:style w:type="character" w:customStyle="1" w:styleId="91">
    <w:name w:val="title_emph1"/>
    <w:qFormat/>
    <w:uiPriority w:val="0"/>
    <w:rPr>
      <w:rFonts w:hint="default" w:ascii="Arial" w:hAnsi="Arial"/>
      <w:b/>
      <w:sz w:val="20"/>
    </w:rPr>
  </w:style>
  <w:style w:type="character" w:customStyle="1" w:styleId="92">
    <w:name w:val="Comment Text Char"/>
    <w:semiHidden/>
    <w:qFormat/>
    <w:locked/>
    <w:uiPriority w:val="0"/>
    <w:rPr>
      <w:rFonts w:ascii="Times New Roman" w:hAnsi="Times New Roman" w:cs="Times New Roman"/>
      <w:sz w:val="20"/>
      <w:szCs w:val="20"/>
    </w:rPr>
  </w:style>
  <w:style w:type="character" w:customStyle="1" w:styleId="93">
    <w:name w:val="v151"/>
    <w:qFormat/>
    <w:uiPriority w:val="0"/>
    <w:rPr>
      <w:sz w:val="18"/>
    </w:rPr>
  </w:style>
  <w:style w:type="character" w:customStyle="1" w:styleId="94">
    <w:name w:val="font1"/>
    <w:qFormat/>
    <w:uiPriority w:val="0"/>
    <w:rPr>
      <w:color w:val="000000"/>
      <w:sz w:val="18"/>
    </w:rPr>
  </w:style>
  <w:style w:type="character" w:customStyle="1" w:styleId="95">
    <w:name w:val="Char Char Char Char Char Char Char Char Char"/>
    <w:qFormat/>
    <w:uiPriority w:val="0"/>
    <w:rPr>
      <w:rFonts w:ascii="宋体" w:hAnsi="宋体" w:eastAsia="宋体"/>
      <w:kern w:val="2"/>
      <w:sz w:val="24"/>
      <w:lang w:val="en-US" w:eastAsia="zh-CN" w:bidi="ar-SA"/>
    </w:rPr>
  </w:style>
  <w:style w:type="character" w:customStyle="1" w:styleId="96">
    <w:name w:val="Table Text Char Char Char Char"/>
    <w:link w:val="97"/>
    <w:qFormat/>
    <w:uiPriority w:val="0"/>
    <w:rPr>
      <w:rFonts w:ascii="Arial" w:hAnsi="Arial"/>
      <w:kern w:val="2"/>
      <w:sz w:val="18"/>
      <w:lang w:val="en-US" w:eastAsia="zh-CN" w:bidi="ar-SA"/>
    </w:rPr>
  </w:style>
  <w:style w:type="paragraph" w:customStyle="1" w:styleId="97">
    <w:name w:val="Table Text"/>
    <w:link w:val="96"/>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H2 Char"/>
    <w:qFormat/>
    <w:uiPriority w:val="0"/>
    <w:rPr>
      <w:rFonts w:ascii="Arial" w:hAnsi="Arial" w:eastAsia="宋体"/>
      <w:kern w:val="2"/>
      <w:sz w:val="28"/>
      <w:lang w:val="en-US" w:eastAsia="zh-CN"/>
    </w:rPr>
  </w:style>
  <w:style w:type="character" w:customStyle="1" w:styleId="99">
    <w:name w:val="top-det1"/>
    <w:qFormat/>
    <w:uiPriority w:val="0"/>
    <w:rPr>
      <w:b/>
      <w:color w:val="000000"/>
    </w:rPr>
  </w:style>
  <w:style w:type="character" w:customStyle="1" w:styleId="100">
    <w:name w:val="批注文字 字符"/>
    <w:qFormat/>
    <w:uiPriority w:val="0"/>
    <w:rPr>
      <w:sz w:val="24"/>
    </w:rPr>
  </w:style>
  <w:style w:type="character" w:customStyle="1" w:styleId="101">
    <w:name w:val="crowed11"/>
    <w:qFormat/>
    <w:uiPriority w:val="0"/>
    <w:rPr>
      <w:rFonts w:hint="default"/>
      <w:sz w:val="24"/>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标题 2 字符"/>
    <w:qFormat/>
    <w:uiPriority w:val="99"/>
    <w:rPr>
      <w:rFonts w:ascii="Arial" w:hAnsi="Arial" w:eastAsia="黑体"/>
      <w:b/>
      <w:kern w:val="2"/>
      <w:sz w:val="32"/>
    </w:rPr>
  </w:style>
  <w:style w:type="character" w:customStyle="1" w:styleId="104">
    <w:name w:val="Table Heading Char Char"/>
    <w:qFormat/>
    <w:uiPriority w:val="0"/>
    <w:rPr>
      <w:rFonts w:ascii="Arial" w:hAnsi="Arial" w:eastAsia="黑体"/>
      <w:kern w:val="2"/>
      <w:sz w:val="18"/>
      <w:lang w:val="en-US" w:eastAsia="zh-CN"/>
    </w:rPr>
  </w:style>
  <w:style w:type="character" w:customStyle="1" w:styleId="105">
    <w:name w:val="文字 Char Char"/>
    <w:link w:val="106"/>
    <w:qFormat/>
    <w:uiPriority w:val="0"/>
    <w:rPr>
      <w:rFonts w:ascii="宋体"/>
      <w:kern w:val="2"/>
      <w:sz w:val="28"/>
    </w:rPr>
  </w:style>
  <w:style w:type="paragraph" w:customStyle="1" w:styleId="106">
    <w:name w:val="文字"/>
    <w:basedOn w:val="1"/>
    <w:link w:val="105"/>
    <w:qFormat/>
    <w:uiPriority w:val="0"/>
    <w:pPr>
      <w:tabs>
        <w:tab w:val="left" w:pos="8520"/>
      </w:tabs>
      <w:spacing w:line="312" w:lineRule="auto"/>
      <w:ind w:right="-210" w:firstLine="556"/>
    </w:pPr>
    <w:rPr>
      <w:rFonts w:ascii="宋体" w:hAnsi="Times New Roman"/>
      <w:sz w:val="28"/>
      <w:szCs w:val="20"/>
    </w:rPr>
  </w:style>
  <w:style w:type="character" w:customStyle="1" w:styleId="107">
    <w:name w:val="样式 宋体"/>
    <w:qFormat/>
    <w:uiPriority w:val="0"/>
    <w:rPr>
      <w:rFonts w:ascii="宋体" w:hAnsi="宋体" w:eastAsia="宋体"/>
      <w:sz w:val="28"/>
    </w:rPr>
  </w:style>
  <w:style w:type="character" w:customStyle="1" w:styleId="108">
    <w:name w:val="正文 + 三号 Char"/>
    <w:qFormat/>
    <w:uiPriority w:val="0"/>
    <w:rPr>
      <w:rFonts w:eastAsia="宋体"/>
      <w:kern w:val="2"/>
      <w:sz w:val="21"/>
      <w:lang w:val="en-US" w:eastAsia="zh-CN"/>
    </w:rPr>
  </w:style>
  <w:style w:type="character" w:customStyle="1" w:styleId="109">
    <w:name w:val="小 Char"/>
    <w:qFormat/>
    <w:uiPriority w:val="0"/>
    <w:rPr>
      <w:rFonts w:ascii="宋体" w:hAnsi="Courier New" w:eastAsia="宋体"/>
      <w:kern w:val="2"/>
      <w:sz w:val="21"/>
      <w:lang w:val="en-US" w:eastAsia="zh-CN" w:bidi="ar-SA"/>
    </w:rPr>
  </w:style>
  <w:style w:type="character" w:customStyle="1" w:styleId="110">
    <w:name w:val="标题 3 字符"/>
    <w:qFormat/>
    <w:uiPriority w:val="0"/>
    <w:rPr>
      <w:rFonts w:eastAsia="宋体"/>
      <w:b/>
      <w:kern w:val="2"/>
      <w:sz w:val="32"/>
      <w:lang w:val="en-US" w:eastAsia="zh-CN"/>
    </w:rPr>
  </w:style>
  <w:style w:type="character" w:customStyle="1" w:styleId="111">
    <w:name w:val="content-white1"/>
    <w:qFormat/>
    <w:uiPriority w:val="0"/>
    <w:rPr>
      <w:color w:val="auto"/>
      <w:sz w:val="18"/>
      <w:u w:val="none"/>
    </w:rPr>
  </w:style>
  <w:style w:type="character" w:customStyle="1" w:styleId="112">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19"/>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rPr>
  </w:style>
  <w:style w:type="paragraph" w:customStyle="1" w:styleId="125">
    <w:name w:val="样式 宋体 五号 行距: 单倍行距"/>
    <w:basedOn w:val="1"/>
    <w:qFormat/>
    <w:uiPriority w:val="0"/>
    <w:pPr>
      <w:adjustRightInd w:val="0"/>
      <w:jc w:val="left"/>
    </w:pPr>
    <w:rPr>
      <w:rFonts w:ascii="宋体" w:hAnsi="宋体"/>
      <w:kern w:val="0"/>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3"/>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3"/>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3"/>
    <w:qFormat/>
    <w:uiPriority w:val="0"/>
    <w:pPr>
      <w:spacing w:before="60" w:after="60" w:line="360" w:lineRule="auto"/>
      <w:ind w:left="0" w:firstLine="482"/>
    </w:pPr>
    <w:rPr>
      <w:rFonts w:ascii="Arial" w:hAnsi="Arial"/>
      <w:sz w:val="24"/>
    </w:rPr>
  </w:style>
  <w:style w:type="paragraph" w:customStyle="1" w:styleId="14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0"/>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rPr>
  </w:style>
  <w:style w:type="paragraph" w:customStyle="1" w:styleId="162">
    <w:name w:val="列表项目"/>
    <w:basedOn w:val="1"/>
    <w:qFormat/>
    <w:uiPriority w:val="0"/>
    <w:pPr>
      <w:tabs>
        <w:tab w:val="left" w:pos="420"/>
      </w:tabs>
      <w:spacing w:line="288" w:lineRule="auto"/>
      <w:ind w:left="840" w:leftChars="200" w:hanging="420" w:hangingChars="200"/>
    </w:pPr>
  </w:style>
  <w:style w:type="paragraph" w:customStyle="1" w:styleId="163">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70">
    <w:name w:val="1"/>
    <w:basedOn w:val="1"/>
    <w:next w:val="30"/>
    <w:qFormat/>
    <w:uiPriority w:val="0"/>
    <w:rPr>
      <w:rFonts w:ascii="宋体" w:hAnsi="Courier New"/>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ilvl w:val="0"/>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7"/>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7"/>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style>
  <w:style w:type="paragraph" w:customStyle="1" w:styleId="202">
    <w:name w:val="Style Heading 3h3Heading 3 - oldLevel 3 HeadH3level_3PIM 3se..."/>
    <w:basedOn w:val="6"/>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7"/>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style>
  <w:style w:type="paragraph" w:customStyle="1" w:styleId="229">
    <w:name w:val="摘要"/>
    <w:basedOn w:val="1"/>
    <w:next w:val="5"/>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2">
    <w:name w:val="Table Contents"/>
    <w:basedOn w:val="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style>
  <w:style w:type="paragraph" w:customStyle="1" w:styleId="237">
    <w:name w:val="Char Char Char Char Char Char Char1"/>
    <w:basedOn w:val="19"/>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7"/>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6"/>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2">
    <w:name w:val="未处理的提及1"/>
    <w:basedOn w:val="60"/>
    <w:qFormat/>
    <w:uiPriority w:val="0"/>
    <w:rPr>
      <w:color w:val="605E5C"/>
      <w:shd w:val="clear" w:color="auto" w:fill="E1DFDD"/>
    </w:rPr>
  </w:style>
  <w:style w:type="paragraph" w:customStyle="1" w:styleId="253">
    <w:name w:val="目录 11"/>
    <w:basedOn w:val="1"/>
    <w:next w:val="1"/>
    <w:qFormat/>
    <w:uiPriority w:val="0"/>
    <w:pPr>
      <w:jc w:val="center"/>
    </w:pPr>
    <w:rPr>
      <w:sz w:val="30"/>
      <w:szCs w:val="30"/>
    </w:rPr>
  </w:style>
  <w:style w:type="paragraph" w:customStyle="1" w:styleId="254">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14</Pages>
  <Words>3296</Words>
  <Characters>3522</Characters>
  <Lines>63</Lines>
  <Paragraphs>17</Paragraphs>
  <TotalTime>2</TotalTime>
  <ScaleCrop>false</ScaleCrop>
  <LinksUpToDate>false</LinksUpToDate>
  <CharactersWithSpaces>4116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Administrator</cp:lastModifiedBy>
  <cp:lastPrinted>2024-06-20T03:16:00Z</cp:lastPrinted>
  <dcterms:modified xsi:type="dcterms:W3CDTF">2025-07-15T02:47:52Z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338AAC1810D9472C844DD381C26748C1_13</vt:lpwstr>
  </property>
</Properties>
</file>