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heme="minorEastAsia" w:hAnsiTheme="minorEastAsia" w:cstheme="minorEastAsia"/>
          <w:b/>
          <w:spacing w:val="2"/>
          <w:w w:val="99"/>
          <w:sz w:val="24"/>
          <w:szCs w:val="24"/>
        </w:rPr>
      </w:pPr>
    </w:p>
    <w:p>
      <w:pPr>
        <w:pStyle w:val="6"/>
        <w:rPr>
          <w:rFonts w:hint="eastAsia" w:asciiTheme="minorEastAsia" w:hAnsiTheme="minorEastAsia" w:cstheme="minorEastAsia"/>
          <w:b/>
          <w:spacing w:val="2"/>
          <w:w w:val="99"/>
          <w:sz w:val="24"/>
          <w:szCs w:val="24"/>
        </w:rPr>
      </w:pPr>
    </w:p>
    <w:p>
      <w:pPr>
        <w:autoSpaceDE w:val="0"/>
        <w:autoSpaceDN w:val="0"/>
        <w:spacing w:before="120" w:after="120" w:line="360" w:lineRule="auto"/>
        <w:ind w:right="-20"/>
        <w:jc w:val="center"/>
        <w:rPr>
          <w:rFonts w:hint="eastAsia" w:cs="Arial Unicode MS" w:asciiTheme="minorEastAsia" w:hAnsiTheme="minorEastAsia"/>
          <w:b/>
          <w:spacing w:val="2"/>
          <w:w w:val="99"/>
          <w:sz w:val="52"/>
          <w:szCs w:val="52"/>
          <w:lang w:eastAsia="zh-CN"/>
        </w:rPr>
      </w:pPr>
      <w:r>
        <w:rPr>
          <w:rFonts w:cs="Arial Unicode MS" w:asciiTheme="minorEastAsia" w:hAnsiTheme="minorEastAsia"/>
          <w:b/>
          <w:spacing w:val="2"/>
          <w:w w:val="99"/>
          <w:sz w:val="52"/>
          <w:szCs w:val="52"/>
          <w:lang w:eastAsia="zh-CN"/>
        </w:rPr>
        <w:drawing>
          <wp:inline distT="0" distB="0" distL="0" distR="0">
            <wp:extent cx="1799590" cy="1619885"/>
            <wp:effectExtent l="0" t="0" r="10160" b="1841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000" cy="1620000"/>
                    </a:xfrm>
                    <a:prstGeom prst="rect">
                      <a:avLst/>
                    </a:prstGeom>
                  </pic:spPr>
                </pic:pic>
              </a:graphicData>
            </a:graphic>
          </wp:inline>
        </w:drawing>
      </w:r>
    </w:p>
    <w:p>
      <w:pPr>
        <w:pStyle w:val="6"/>
        <w:rPr>
          <w:rFonts w:hint="eastAsia" w:cs="Arial Unicode MS" w:asciiTheme="minorEastAsia" w:hAnsiTheme="minorEastAsia"/>
          <w:b/>
          <w:spacing w:val="2"/>
          <w:w w:val="99"/>
          <w:sz w:val="52"/>
          <w:szCs w:val="52"/>
          <w:lang w:eastAsia="zh-CN"/>
        </w:rPr>
      </w:pPr>
    </w:p>
    <w:p>
      <w:pPr>
        <w:pStyle w:val="6"/>
        <w:rPr>
          <w:rFonts w:hint="eastAsia" w:cs="Arial Unicode MS" w:asciiTheme="minorEastAsia" w:hAnsiTheme="minorEastAsia"/>
          <w:b/>
          <w:spacing w:val="2"/>
          <w:w w:val="99"/>
          <w:sz w:val="52"/>
          <w:szCs w:val="52"/>
          <w:lang w:eastAsia="zh-CN"/>
        </w:rPr>
      </w:pPr>
    </w:p>
    <w:p>
      <w:pPr>
        <w:autoSpaceDE w:val="0"/>
        <w:autoSpaceDN w:val="0"/>
        <w:spacing w:before="120" w:after="120" w:line="360" w:lineRule="auto"/>
        <w:ind w:right="-20"/>
        <w:rPr>
          <w:rFonts w:hint="eastAsia" w:asciiTheme="minorEastAsia" w:hAnsiTheme="minorEastAsia" w:cstheme="minorEastAsia"/>
          <w:b/>
          <w:spacing w:val="2"/>
          <w:w w:val="99"/>
          <w:sz w:val="24"/>
          <w:szCs w:val="24"/>
        </w:rPr>
      </w:pPr>
    </w:p>
    <w:p>
      <w:pPr>
        <w:jc w:val="center"/>
        <w:rPr>
          <w:rFonts w:hint="eastAsia" w:ascii="微软雅黑" w:hAnsi="微软雅黑" w:eastAsia="微软雅黑" w:cs="Arial Unicode MS"/>
          <w:b/>
          <w:color w:val="000000"/>
          <w:spacing w:val="2"/>
          <w:w w:val="99"/>
          <w:sz w:val="52"/>
          <w:szCs w:val="52"/>
          <w:lang w:eastAsia="zh-CN"/>
        </w:rPr>
      </w:pPr>
      <w:r>
        <w:rPr>
          <w:rFonts w:hint="eastAsia" w:ascii="微软雅黑" w:hAnsi="微软雅黑" w:eastAsia="微软雅黑" w:cs="Arial Unicode MS"/>
          <w:b/>
          <w:color w:val="000000"/>
          <w:spacing w:val="2"/>
          <w:w w:val="99"/>
          <w:sz w:val="52"/>
          <w:szCs w:val="52"/>
          <w:lang w:eastAsia="zh-CN"/>
        </w:rPr>
        <w:t>中海油能源发展股份有限公司</w:t>
      </w:r>
    </w:p>
    <w:p>
      <w:pPr>
        <w:jc w:val="center"/>
        <w:rPr>
          <w:rFonts w:hint="eastAsia" w:ascii="微软雅黑" w:hAnsi="微软雅黑" w:eastAsia="微软雅黑" w:cs="Arial Unicode MS"/>
          <w:b/>
          <w:color w:val="000000"/>
          <w:spacing w:val="2"/>
          <w:w w:val="99"/>
          <w:sz w:val="52"/>
          <w:szCs w:val="52"/>
          <w:lang w:eastAsia="zh-CN"/>
        </w:rPr>
      </w:pPr>
      <w:r>
        <w:rPr>
          <w:rFonts w:hint="eastAsia" w:ascii="微软雅黑" w:hAnsi="微软雅黑" w:eastAsia="微软雅黑" w:cs="Arial Unicode MS"/>
          <w:b/>
          <w:color w:val="000000"/>
          <w:spacing w:val="2"/>
          <w:w w:val="99"/>
          <w:sz w:val="52"/>
          <w:szCs w:val="52"/>
          <w:lang w:eastAsia="zh-CN"/>
        </w:rPr>
        <w:t>南山终端人车分流智慧门禁系统、车辆测速完善项目-车辆测速设备购置</w:t>
      </w:r>
    </w:p>
    <w:p>
      <w:pPr>
        <w:pStyle w:val="6"/>
        <w:jc w:val="center"/>
        <w:rPr>
          <w:rFonts w:hint="eastAsia" w:ascii="微软雅黑" w:hAnsi="微软雅黑" w:eastAsia="微软雅黑" w:cs="Arial Unicode MS"/>
          <w:b/>
          <w:color w:val="000000"/>
          <w:spacing w:val="2"/>
          <w:w w:val="99"/>
          <w:sz w:val="52"/>
          <w:szCs w:val="52"/>
          <w:lang w:eastAsia="zh-CN"/>
        </w:rPr>
      </w:pPr>
      <w:r>
        <w:rPr>
          <w:rFonts w:hint="eastAsia" w:ascii="微软雅黑" w:hAnsi="微软雅黑" w:eastAsia="微软雅黑" w:cs="Arial Unicode MS"/>
          <w:b/>
          <w:color w:val="000000"/>
          <w:spacing w:val="2"/>
          <w:w w:val="99"/>
          <w:sz w:val="52"/>
          <w:szCs w:val="52"/>
          <w:lang w:eastAsia="zh-CN"/>
        </w:rPr>
        <w:t>采购商务建议书</w:t>
      </w:r>
    </w:p>
    <w:p>
      <w:pPr>
        <w:pStyle w:val="6"/>
        <w:jc w:val="center"/>
        <w:rPr>
          <w:rFonts w:hint="eastAsia" w:ascii="微软雅黑" w:hAnsi="微软雅黑" w:eastAsia="微软雅黑" w:cs="Arial Unicode MS"/>
          <w:b/>
          <w:color w:val="000000"/>
          <w:spacing w:val="2"/>
          <w:w w:val="99"/>
          <w:sz w:val="52"/>
          <w:szCs w:val="52"/>
          <w:lang w:eastAsia="zh-CN"/>
        </w:rPr>
      </w:pPr>
    </w:p>
    <w:p>
      <w:pPr>
        <w:pStyle w:val="6"/>
        <w:jc w:val="center"/>
        <w:rPr>
          <w:rFonts w:hint="eastAsia" w:ascii="微软雅黑" w:hAnsi="微软雅黑" w:eastAsia="微软雅黑" w:cs="Arial Unicode MS"/>
          <w:b/>
          <w:color w:val="000000"/>
          <w:spacing w:val="2"/>
          <w:w w:val="99"/>
          <w:sz w:val="52"/>
          <w:szCs w:val="52"/>
          <w:lang w:eastAsia="zh-CN"/>
        </w:rPr>
      </w:pPr>
    </w:p>
    <w:p>
      <w:pPr>
        <w:pStyle w:val="6"/>
        <w:jc w:val="center"/>
        <w:rPr>
          <w:rFonts w:hint="eastAsia" w:ascii="微软雅黑" w:hAnsi="微软雅黑" w:eastAsia="微软雅黑" w:cs="Arial Unicode MS"/>
          <w:b/>
          <w:color w:val="000000"/>
          <w:spacing w:val="2"/>
          <w:w w:val="99"/>
          <w:sz w:val="52"/>
          <w:szCs w:val="52"/>
          <w:lang w:eastAsia="zh-CN"/>
        </w:rPr>
      </w:pPr>
    </w:p>
    <w:p>
      <w:pPr>
        <w:pStyle w:val="6"/>
        <w:rPr>
          <w:rFonts w:hint="eastAsia" w:ascii="宋体" w:hAnsi="宋体" w:eastAsia="宋体" w:cs="宋体"/>
          <w:bCs/>
          <w:color w:val="000000"/>
          <w:spacing w:val="2"/>
          <w:w w:val="99"/>
          <w:sz w:val="21"/>
          <w:szCs w:val="21"/>
          <w:lang w:eastAsia="zh-CN"/>
        </w:rPr>
      </w:pPr>
    </w:p>
    <w:p>
      <w:pPr>
        <w:pStyle w:val="6"/>
        <w:rPr>
          <w:rFonts w:hint="eastAsia" w:ascii="宋体" w:hAnsi="宋体" w:eastAsia="宋体" w:cs="宋体"/>
          <w:bCs/>
          <w:color w:val="000000"/>
          <w:spacing w:val="2"/>
          <w:w w:val="99"/>
          <w:sz w:val="21"/>
          <w:szCs w:val="21"/>
          <w:lang w:eastAsia="zh-CN"/>
        </w:rPr>
      </w:pPr>
    </w:p>
    <w:p>
      <w:pPr>
        <w:keepNext w:val="0"/>
        <w:keepLines w:val="0"/>
        <w:pageBreakBefore w:val="0"/>
        <w:kinsoku/>
        <w:wordWrap/>
        <w:overflowPunct/>
        <w:topLinePunct w:val="0"/>
        <w:autoSpaceDE/>
        <w:autoSpaceDN/>
        <w:bidi w:val="0"/>
        <w:adjustRightInd/>
        <w:spacing w:before="312" w:beforeLines="100" w:after="312" w:afterLines="100" w:line="240" w:lineRule="auto"/>
        <w:ind w:firstLine="480" w:firstLineChars="200"/>
        <w:jc w:val="both"/>
        <w:textAlignment w:val="auto"/>
        <w:outlineLvl w:val="0"/>
        <w:rPr>
          <w:rFonts w:hint="eastAsia" w:ascii="宋体" w:hAnsi="宋体" w:eastAsia="宋体" w:cs="宋体"/>
          <w:b w:val="0"/>
          <w:bCs w:val="0"/>
          <w:color w:val="000000"/>
          <w:sz w:val="24"/>
          <w:szCs w:val="24"/>
          <w:lang w:val="en-US" w:eastAsia="zh-CN"/>
        </w:rPr>
        <w:sectPr>
          <w:pgSz w:w="11906" w:h="16838"/>
          <w:pgMar w:top="1440" w:right="1800" w:bottom="1440" w:left="1800" w:header="851" w:footer="992" w:gutter="0"/>
          <w:pgNumType w:start="1"/>
          <w:cols w:space="425" w:num="1"/>
          <w:docGrid w:type="lines" w:linePitch="312" w:charSpace="0"/>
        </w:sectPr>
      </w:pPr>
    </w:p>
    <w:p>
      <w:pPr>
        <w:keepNext w:val="0"/>
        <w:keepLines w:val="0"/>
        <w:pageBreakBefore w:val="0"/>
        <w:kinsoku/>
        <w:wordWrap/>
        <w:overflowPunct/>
        <w:topLinePunct w:val="0"/>
        <w:autoSpaceDE/>
        <w:autoSpaceDN/>
        <w:bidi w:val="0"/>
        <w:adjustRightInd/>
        <w:spacing w:before="312" w:beforeLines="100" w:after="312" w:afterLines="100" w:line="240" w:lineRule="auto"/>
        <w:ind w:firstLine="480" w:firstLineChars="200"/>
        <w:jc w:val="both"/>
        <w:textAlignment w:val="auto"/>
        <w:outlineLvl w:val="0"/>
        <w:rPr>
          <w:rFonts w:hint="eastAsia" w:ascii="宋体" w:hAnsi="宋体" w:eastAsia="宋体" w:cs="宋体"/>
          <w:kern w:val="44"/>
          <w:sz w:val="24"/>
          <w:szCs w:val="24"/>
          <w:lang w:eastAsia="zh-CN"/>
        </w:rPr>
      </w:pPr>
      <w:r>
        <w:rPr>
          <w:rFonts w:hint="eastAsia" w:ascii="宋体" w:hAnsi="宋体" w:eastAsia="宋体" w:cs="宋体"/>
          <w:b w:val="0"/>
          <w:bCs w:val="0"/>
          <w:color w:val="000000"/>
          <w:sz w:val="24"/>
          <w:szCs w:val="24"/>
          <w:lang w:val="en-US" w:eastAsia="zh-CN"/>
        </w:rPr>
        <w:t>车辆测速设备购置采购需求无可引用的已发布的商务采购标准，该采购需求商务要求如下：</w:t>
      </w:r>
    </w:p>
    <w:p>
      <w:pPr>
        <w:spacing w:before="312" w:beforeLines="100" w:after="312" w:afterLines="100" w:line="360" w:lineRule="auto"/>
        <w:jc w:val="both"/>
        <w:outlineLvl w:val="0"/>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1、商务资质要求</w:t>
      </w:r>
    </w:p>
    <w:p>
      <w:pPr>
        <w:pStyle w:val="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1）投标人具有合法有效的企业法人营业执照、税务登记证及组织机构代码证或证照合一的营业执照，投标时需提供原件扫描件（原件备查）。投标人为事业单位的，应具有合法有效的事业单位法人证书，投标时需提供原件扫描件（原件备查）。投标人为分公司的，应具有合法有效的营业执照和上级法人单位授权书，分公司与上级法人单位只可一家参与投标，同时参与投标的，投标均无效。</w:t>
      </w:r>
    </w:p>
    <w:p>
      <w:pPr>
        <w:pStyle w:val="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）本项目接受</w:t>
      </w:r>
      <w:r>
        <w:rPr>
          <w:rFonts w:hint="eastAsia" w:ascii="宋体" w:hAnsi="宋体" w:eastAsia="宋体" w:cs="宋体"/>
          <w:sz w:val="24"/>
          <w:szCs w:val="24"/>
          <w:lang w:val="en-US" w:eastAsia="zh-CN"/>
        </w:rPr>
        <w:t>代理商、贸易商、</w:t>
      </w:r>
      <w:r>
        <w:rPr>
          <w:rFonts w:hint="eastAsia" w:ascii="宋体" w:hAnsi="宋体" w:eastAsia="宋体" w:cs="宋体"/>
          <w:sz w:val="24"/>
          <w:szCs w:val="24"/>
          <w:lang w:eastAsia="zh-CN"/>
        </w:rPr>
        <w:t>制造商进行投标/应答。如应答人为制造商，需提供《制造商承诺书》。</w:t>
      </w:r>
    </w:p>
    <w:p>
      <w:pPr>
        <w:spacing w:before="312" w:beforeLines="100" w:after="312" w:afterLines="100" w:line="360" w:lineRule="auto"/>
        <w:jc w:val="both"/>
        <w:outlineLvl w:val="0"/>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2、资格条件要求</w:t>
      </w:r>
    </w:p>
    <w:p>
      <w:pPr>
        <w:pStyle w:val="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（1）投标人应具备建设行政主管部门核发的有效的安全生产许可证，并在人员、设备、资金等方面具有相应的施工及履约能力。</w:t>
      </w:r>
    </w:p>
    <w:p>
      <w:pPr>
        <w:pStyle w:val="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（2）投标人须同时具备有效的GB/T19001（ISO9001）质量体系认证证书、GB/T24001（ISO14001）环境管理体系认证证书、GB/T28001(OHSAS18001)或GB/T45001 (ISO45001) 职业健康管理体系认证证书，国内认证机构签发的证书应可在中国国家认证认可监督管理委员会网站(http://www.cnca.gov.cn/)核实。如果有国家相关部门发布的最新体系标准，以最新体系标准为准。投标时需提供原件扫描件（原件备查）。</w:t>
      </w:r>
    </w:p>
    <w:p>
      <w:pPr>
        <w:spacing w:before="312" w:beforeLines="100" w:after="312" w:afterLines="100" w:line="360" w:lineRule="auto"/>
        <w:jc w:val="both"/>
        <w:outlineLvl w:val="0"/>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3、业绩条件要求</w:t>
      </w:r>
    </w:p>
    <w:p>
      <w:pPr>
        <w:pStyle w:val="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sym w:font="Wingdings" w:char="00AB"/>
      </w:r>
      <w:r>
        <w:rPr>
          <w:rFonts w:hint="eastAsia" w:ascii="宋体" w:hAnsi="宋体" w:eastAsia="宋体" w:cs="宋体"/>
          <w:sz w:val="24"/>
          <w:szCs w:val="24"/>
          <w:lang w:eastAsia="zh-CN"/>
        </w:rPr>
        <w:t>（1）投标人在2022年1月1日至投标截止时间内（以合同签署时间为准）至少具有1个已完成</w:t>
      </w:r>
      <w:r>
        <w:rPr>
          <w:rFonts w:hint="eastAsia" w:ascii="宋体" w:hAnsi="宋体" w:eastAsia="宋体" w:cs="宋体"/>
          <w:sz w:val="24"/>
          <w:szCs w:val="24"/>
          <w:lang w:val="en-US" w:eastAsia="zh-CN"/>
        </w:rPr>
        <w:t>供货的视频监控设</w:t>
      </w:r>
      <w:bookmarkStart w:id="0" w:name="_GoBack"/>
      <w:bookmarkEnd w:id="0"/>
      <w:r>
        <w:rPr>
          <w:rFonts w:hint="eastAsia" w:ascii="宋体" w:hAnsi="宋体" w:eastAsia="宋体" w:cs="宋体"/>
          <w:sz w:val="24"/>
          <w:szCs w:val="24"/>
          <w:lang w:val="en-US" w:eastAsia="zh-CN"/>
        </w:rPr>
        <w:t>备的</w:t>
      </w:r>
      <w:r>
        <w:rPr>
          <w:rFonts w:hint="eastAsia" w:ascii="宋体" w:hAnsi="宋体" w:eastAsia="宋体" w:cs="宋体"/>
          <w:sz w:val="24"/>
          <w:szCs w:val="24"/>
          <w:lang w:eastAsia="zh-CN"/>
        </w:rPr>
        <w:t>供货业绩，并提供相应业绩证明文件。</w:t>
      </w:r>
    </w:p>
    <w:p>
      <w:pPr>
        <w:pStyle w:val="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投标人提供的业绩证明文件至少包括：具有法律效力的业绩合同、到货验收文件。具有法律效力的业绩合同应至少包括合同首页、合同签署页、合同签署时间、采购名称、数量等内容；验收文件可以体现为到货验收材料或结算明细或结算发票。</w:t>
      </w:r>
    </w:p>
    <w:p>
      <w:pPr>
        <w:pStyle w:val="6"/>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若业绩合同为年度协议，还应至少提供1个完成订单的订单页、订单对应的到货验收材料或结算明细或结算发票（订单编号或内容与年度协议相关联）。同一个年协合同提供1个及以上订单的均算为1个有效业绩。</w:t>
      </w:r>
    </w:p>
    <w:p>
      <w:pPr>
        <w:pStyle w:val="6"/>
        <w:spacing w:line="360" w:lineRule="auto"/>
        <w:rPr>
          <w:rFonts w:hint="eastAsia" w:ascii="宋体" w:hAnsi="宋体" w:eastAsia="宋体" w:cs="宋体"/>
          <w:kern w:val="44"/>
          <w:sz w:val="24"/>
          <w:szCs w:val="24"/>
          <w:lang w:eastAsia="zh-CN"/>
        </w:rPr>
      </w:pPr>
      <w:r>
        <w:rPr>
          <w:rFonts w:hint="eastAsia" w:ascii="宋体" w:hAnsi="宋体" w:eastAsia="宋体" w:cs="宋体"/>
          <w:sz w:val="24"/>
          <w:szCs w:val="24"/>
          <w:lang w:eastAsia="zh-CN"/>
        </w:rPr>
        <w:t>未提供业绩证明文件或提供的业绩证明文件无法认定上述业绩要求的，视为无效业绩，将可能将影响评审结果。</w:t>
      </w:r>
    </w:p>
    <w:p>
      <w:pPr>
        <w:spacing w:before="312" w:beforeLines="100" w:after="312" w:afterLines="100" w:line="360" w:lineRule="auto"/>
        <w:jc w:val="both"/>
        <w:outlineLvl w:val="0"/>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4、财务条件要求</w:t>
      </w:r>
    </w:p>
    <w:p>
      <w:pPr>
        <w:pStyle w:val="6"/>
        <w:spacing w:line="360" w:lineRule="auto"/>
        <w:rPr>
          <w:rFonts w:hint="eastAsia" w:ascii="宋体" w:hAnsi="宋体" w:eastAsia="宋体" w:cs="宋体"/>
          <w:kern w:val="44"/>
          <w:sz w:val="24"/>
          <w:szCs w:val="24"/>
          <w:lang w:eastAsia="zh-CN"/>
        </w:rPr>
      </w:pPr>
      <w:r>
        <w:rPr>
          <w:rFonts w:hint="eastAsia" w:ascii="宋体" w:hAnsi="宋体" w:eastAsia="宋体" w:cs="宋体"/>
          <w:kern w:val="44"/>
          <w:sz w:val="24"/>
          <w:szCs w:val="24"/>
          <w:lang w:val="en-US" w:eastAsia="zh-CN"/>
        </w:rPr>
        <w:t>无</w:t>
      </w:r>
      <w:r>
        <w:rPr>
          <w:rFonts w:hint="eastAsia" w:ascii="宋体" w:hAnsi="宋体" w:eastAsia="宋体" w:cs="宋体"/>
          <w:kern w:val="44"/>
          <w:sz w:val="24"/>
          <w:szCs w:val="24"/>
          <w:lang w:eastAsia="zh-CN"/>
        </w:rPr>
        <w:t>。</w:t>
      </w:r>
    </w:p>
    <w:p>
      <w:pPr>
        <w:pStyle w:val="6"/>
        <w:spacing w:line="360" w:lineRule="auto"/>
        <w:rPr>
          <w:rFonts w:hint="eastAsia" w:ascii="宋体" w:hAnsi="宋体" w:eastAsia="宋体" w:cs="宋体"/>
          <w:kern w:val="44"/>
          <w:sz w:val="24"/>
          <w:szCs w:val="24"/>
          <w:lang w:eastAsia="zh-CN"/>
        </w:rPr>
      </w:pPr>
    </w:p>
    <w:p>
      <w:pPr>
        <w:pStyle w:val="6"/>
        <w:numPr>
          <w:ilvl w:val="0"/>
          <w:numId w:val="1"/>
        </w:numPr>
        <w:wordWrap w:val="0"/>
        <w:autoSpaceDE w:val="0"/>
        <w:autoSpaceDN w:val="0"/>
        <w:spacing w:line="360" w:lineRule="auto"/>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其他</w:t>
      </w:r>
    </w:p>
    <w:p>
      <w:pPr>
        <w:pStyle w:val="6"/>
        <w:wordWrap w:val="0"/>
        <w:autoSpaceDE w:val="0"/>
        <w:autoSpaceDN w:val="0"/>
        <w:spacing w:line="360" w:lineRule="auto"/>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下列任何情形出现时，其投标将被拒绝：</w:t>
      </w:r>
    </w:p>
    <w:p>
      <w:pPr>
        <w:pStyle w:val="6"/>
        <w:wordWrap w:val="0"/>
        <w:autoSpaceDE w:val="0"/>
        <w:autoSpaceDN w:val="0"/>
        <w:spacing w:line="360" w:lineRule="auto"/>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 xml:space="preserve">1）投标人自 2022年 1 月 1 日起至投标截止时间止（以事故书面认定材料出具时间为准）所承担的服务项目出现重大及以上安全事故，且经过官方机构或第三方权威机构调查并出具了明确的书面证据，认定应由投标人承担重大及以上安全事故责任并对投标人进行处理的；    </w:t>
      </w:r>
    </w:p>
    <w:p>
      <w:pPr>
        <w:pStyle w:val="6"/>
        <w:wordWrap w:val="0"/>
        <w:autoSpaceDE w:val="0"/>
        <w:autoSpaceDN w:val="0"/>
        <w:spacing w:line="360" w:lineRule="auto"/>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 xml:space="preserve">2）投标人在中国海油数字化供应链系统中“档案状态”为“受控”或“总冻结”的；投标人本次投标相关产品/业务在系统中“档案状态”为“品类受控”的（以供应商档案中“违规查询”中审批记录载明的品类为准，适用于全集团）；投标人供应商档案的“申请信息”中“已合作品类”下“业务状态”为“新业务冻结”或“执行冻结”的（适用于本次招标的所属单位）；    </w:t>
      </w:r>
    </w:p>
    <w:p>
      <w:pPr>
        <w:pStyle w:val="6"/>
        <w:wordWrap w:val="0"/>
        <w:autoSpaceDE w:val="0"/>
        <w:autoSpaceDN w:val="0"/>
        <w:spacing w:line="360" w:lineRule="auto"/>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3）投标人 a)处于责令整顿、停业或 b)财产已被接管、冻结或 c)处于破产状态的；</w:t>
      </w:r>
    </w:p>
    <w:p>
      <w:pPr>
        <w:pStyle w:val="6"/>
        <w:wordWrap w:val="0"/>
        <w:autoSpaceDE w:val="0"/>
        <w:autoSpaceDN w:val="0"/>
        <w:spacing w:line="360" w:lineRule="auto"/>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 xml:space="preserve">4）投标人在“信用中国”网站（https://www.creditchina.gov.cn/）被列入严重失信主体名单 ； </w:t>
      </w:r>
    </w:p>
    <w:p>
      <w:pPr>
        <w:pStyle w:val="6"/>
        <w:wordWrap w:val="0"/>
        <w:autoSpaceDE w:val="0"/>
        <w:autoSpaceDN w:val="0"/>
        <w:spacing w:line="360" w:lineRule="auto"/>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 xml:space="preserve">5）投标人在全国企业信用信息公示系统（http://www.gsxt.gov.cn）被列入严重违法失信名单（黑名单）信息或营业执照登记状态为吊销或注销的；    </w:t>
      </w:r>
    </w:p>
    <w:p>
      <w:pPr>
        <w:pStyle w:val="6"/>
        <w:wordWrap w:val="0"/>
        <w:autoSpaceDE w:val="0"/>
        <w:autoSpaceDN w:val="0"/>
        <w:spacing w:line="360" w:lineRule="auto"/>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 xml:space="preserve">6）投标人在“中国执行信息公开网”网站（http://zxgk.court.gov.cn/）被列入失信被执行人名单 </w:t>
      </w:r>
    </w:p>
    <w:p>
      <w:pPr>
        <w:pStyle w:val="6"/>
        <w:wordWrap w:val="0"/>
        <w:autoSpaceDE w:val="0"/>
        <w:autoSpaceDN w:val="0"/>
        <w:spacing w:line="360" w:lineRule="auto"/>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7）投标人与本招标项目其他投标人单位负责人为同一人或存在控股、管理关系的；</w:t>
      </w:r>
    </w:p>
    <w:p>
      <w:pPr>
        <w:pStyle w:val="6"/>
        <w:wordWrap w:val="0"/>
        <w:autoSpaceDE w:val="0"/>
        <w:autoSpaceDN w:val="0"/>
        <w:spacing w:line="360" w:lineRule="auto"/>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8）投标人与招标人、招标机构有利害关系且可能影响招标公正性的；</w:t>
      </w:r>
    </w:p>
    <w:p>
      <w:pPr>
        <w:pStyle w:val="6"/>
        <w:wordWrap w:val="0"/>
        <w:autoSpaceDE w:val="0"/>
        <w:autoSpaceDN w:val="0"/>
        <w:spacing w:line="360" w:lineRule="auto"/>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9）投标人存在危害国家安全和损害中海油合法权益的情形，在涉及国家机密或商业秘密的项目中存在不遵守相关法律法规及政府主管部门要求的情形。</w:t>
      </w:r>
    </w:p>
    <w:p>
      <w:pPr>
        <w:pStyle w:val="6"/>
        <w:wordWrap w:val="0"/>
        <w:autoSpaceDE w:val="0"/>
        <w:autoSpaceDN w:val="0"/>
        <w:spacing w:line="360" w:lineRule="auto"/>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10）投标人或投标人本次招标相关业务范围被本次招标的所属单位禁用的否决其投标。以上所述投标人，包括分包商和联合体成员。</w:t>
      </w:r>
    </w:p>
    <w:p>
      <w:pPr>
        <w:pStyle w:val="6"/>
        <w:wordWrap w:val="0"/>
        <w:autoSpaceDE w:val="0"/>
        <w:autoSpaceDN w:val="0"/>
        <w:spacing w:line="360" w:lineRule="auto"/>
        <w:rPr>
          <w:rFonts w:hint="eastAsia" w:ascii="宋体" w:hAnsi="宋体" w:eastAsia="宋体" w:cs="宋体"/>
          <w:kern w:val="44"/>
          <w:sz w:val="24"/>
          <w:szCs w:val="24"/>
          <w:lang w:eastAsia="zh-CN"/>
        </w:rPr>
      </w:pPr>
    </w:p>
    <w:p>
      <w:pPr>
        <w:pStyle w:val="6"/>
        <w:spacing w:line="360" w:lineRule="auto"/>
        <w:rPr>
          <w:rFonts w:hint="eastAsia" w:ascii="宋体" w:hAnsi="宋体" w:eastAsia="宋体" w:cs="宋体"/>
          <w:kern w:val="44"/>
          <w:sz w:val="24"/>
          <w:szCs w:val="24"/>
          <w:lang w:eastAsia="zh-CN"/>
        </w:rPr>
      </w:pPr>
    </w:p>
    <w:p>
      <w:pPr>
        <w:pStyle w:val="6"/>
        <w:spacing w:line="360" w:lineRule="auto"/>
        <w:rPr>
          <w:rFonts w:hint="eastAsia" w:ascii="宋体" w:hAnsi="宋体" w:eastAsia="宋体" w:cs="宋体"/>
          <w:kern w:val="44"/>
          <w:sz w:val="24"/>
          <w:szCs w:val="24"/>
          <w:lang w:eastAsia="zh-CN"/>
        </w:rPr>
      </w:pPr>
    </w:p>
    <w:p>
      <w:pPr>
        <w:pStyle w:val="6"/>
        <w:spacing w:line="360" w:lineRule="auto"/>
        <w:rPr>
          <w:rFonts w:hint="eastAsia" w:ascii="宋体" w:hAnsi="宋体" w:eastAsia="宋体" w:cs="宋体"/>
          <w:kern w:val="44"/>
          <w:sz w:val="24"/>
          <w:szCs w:val="24"/>
          <w:lang w:eastAsia="zh-CN"/>
        </w:rPr>
      </w:pPr>
    </w:p>
    <w:p>
      <w:pPr>
        <w:pStyle w:val="6"/>
        <w:spacing w:line="480" w:lineRule="auto"/>
        <w:ind w:right="960" w:firstLine="4320" w:firstLineChars="1800"/>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编制人：</w:t>
      </w:r>
    </w:p>
    <w:p>
      <w:pPr>
        <w:pStyle w:val="6"/>
        <w:spacing w:line="480" w:lineRule="auto"/>
        <w:ind w:right="960" w:firstLine="4320" w:firstLineChars="1800"/>
        <w:rPr>
          <w:rFonts w:hint="eastAsia" w:ascii="宋体" w:hAnsi="宋体" w:eastAsia="宋体" w:cs="宋体"/>
          <w:kern w:val="44"/>
          <w:sz w:val="24"/>
          <w:szCs w:val="24"/>
          <w:lang w:eastAsia="zh-CN"/>
        </w:rPr>
      </w:pPr>
      <w:r>
        <w:rPr>
          <w:rFonts w:hint="eastAsia" w:ascii="宋体" w:hAnsi="宋体" w:eastAsia="宋体" w:cs="宋体"/>
          <w:kern w:val="44"/>
          <w:sz w:val="24"/>
          <w:szCs w:val="24"/>
          <w:lang w:eastAsia="zh-CN"/>
        </w:rPr>
        <w:t>审核人：</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3</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3</w:t>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E82E9"/>
    <w:multiLevelType w:val="singleLevel"/>
    <w:tmpl w:val="FF5E82E9"/>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1A2985"/>
    <w:rsid w:val="00083AB4"/>
    <w:rsid w:val="000D3547"/>
    <w:rsid w:val="000E3BEF"/>
    <w:rsid w:val="001B3DB7"/>
    <w:rsid w:val="00226A80"/>
    <w:rsid w:val="003F75CD"/>
    <w:rsid w:val="004973A8"/>
    <w:rsid w:val="004E5710"/>
    <w:rsid w:val="0053788E"/>
    <w:rsid w:val="005651F9"/>
    <w:rsid w:val="00586BFC"/>
    <w:rsid w:val="00827A8A"/>
    <w:rsid w:val="008568E8"/>
    <w:rsid w:val="009B13E2"/>
    <w:rsid w:val="00A02DAB"/>
    <w:rsid w:val="00BA56EF"/>
    <w:rsid w:val="00BB0FB9"/>
    <w:rsid w:val="00BC7E61"/>
    <w:rsid w:val="00C06B9C"/>
    <w:rsid w:val="00CA7D31"/>
    <w:rsid w:val="00DB5D43"/>
    <w:rsid w:val="00DF7B62"/>
    <w:rsid w:val="00E3158F"/>
    <w:rsid w:val="0158371D"/>
    <w:rsid w:val="02BA64F9"/>
    <w:rsid w:val="04191F90"/>
    <w:rsid w:val="04AB495E"/>
    <w:rsid w:val="0E2B76CE"/>
    <w:rsid w:val="15262A88"/>
    <w:rsid w:val="231D0753"/>
    <w:rsid w:val="24E707BB"/>
    <w:rsid w:val="26C24F24"/>
    <w:rsid w:val="29087430"/>
    <w:rsid w:val="2C402E3E"/>
    <w:rsid w:val="2D531483"/>
    <w:rsid w:val="3044003E"/>
    <w:rsid w:val="31182667"/>
    <w:rsid w:val="32D66B3D"/>
    <w:rsid w:val="33F5083B"/>
    <w:rsid w:val="391A2985"/>
    <w:rsid w:val="4B3C3F80"/>
    <w:rsid w:val="59DF307F"/>
    <w:rsid w:val="5B78387C"/>
    <w:rsid w:val="5D1742B2"/>
    <w:rsid w:val="61BF25DE"/>
    <w:rsid w:val="66AA6977"/>
    <w:rsid w:val="68270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widowControl/>
      <w:ind w:firstLine="420"/>
      <w:jc w:val="left"/>
    </w:pPr>
    <w:rPr>
      <w:rFonts w:ascii="等线" w:hAnsi="等线" w:eastAsia="等线"/>
    </w:rPr>
  </w:style>
  <w:style w:type="paragraph" w:styleId="3">
    <w:name w:val="Body Text Indent"/>
    <w:basedOn w:val="1"/>
    <w:qFormat/>
    <w:uiPriority w:val="0"/>
    <w:pPr>
      <w:autoSpaceDE w:val="0"/>
      <w:autoSpaceDN w:val="0"/>
      <w:adjustRightInd w:val="0"/>
      <w:spacing w:line="360" w:lineRule="auto"/>
      <w:ind w:firstLine="540"/>
    </w:pPr>
    <w:rPr>
      <w:rFonts w:ascii="仿宋_GB2312" w:eastAsia="仿宋_GB2312"/>
      <w:color w:val="000000"/>
      <w:sz w:val="28"/>
      <w:szCs w:val="24"/>
    </w:rPr>
  </w:style>
  <w:style w:type="paragraph" w:styleId="4">
    <w:name w:val="annotation text"/>
    <w:basedOn w:val="1"/>
    <w:semiHidden/>
    <w:unhideWhenUsed/>
    <w:qFormat/>
    <w:uiPriority w:val="99"/>
  </w:style>
  <w:style w:type="paragraph" w:styleId="5">
    <w:name w:val="Body Text"/>
    <w:basedOn w:val="1"/>
    <w:qFormat/>
    <w:uiPriority w:val="1"/>
    <w:pPr>
      <w:ind w:firstLine="200" w:firstLineChars="200"/>
      <w:jc w:val="both"/>
    </w:pPr>
    <w:rPr>
      <w:rFonts w:ascii="Microsoft YaHei UI" w:hAnsi="Microsoft YaHei UI" w:eastAsia="Microsoft YaHei UI"/>
      <w:sz w:val="21"/>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10">
    <w:name w:val="WPSOffice手动目录 1"/>
    <w:qFormat/>
    <w:uiPriority w:val="0"/>
    <w:rPr>
      <w:rFonts w:asciiTheme="minorHAnsi" w:hAnsiTheme="minorHAnsi" w:eastAsiaTheme="minorEastAsia" w:cstheme="minorBidi"/>
      <w:lang w:val="en-US" w:eastAsia="zh-CN" w:bidi="ar-SA"/>
    </w:rPr>
  </w:style>
  <w:style w:type="paragraph" w:customStyle="1" w:styleId="11">
    <w:name w:val="前言、引言标题"/>
    <w:next w:val="1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Pages>
  <Words>279</Words>
  <Characters>1594</Characters>
  <Lines>13</Lines>
  <Paragraphs>3</Paragraphs>
  <TotalTime>3</TotalTime>
  <ScaleCrop>false</ScaleCrop>
  <LinksUpToDate>false</LinksUpToDate>
  <CharactersWithSpaces>1870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2025-02-17T01:44:00Z</dcterms:created>
  <dc:creator>辛俊</dc:creator>
  <cp:lastModifiedBy>user</cp:lastModifiedBy>
  <cp:lastPrinted>2025-08-20T07:01:00Z</cp:lastPrinted>
  <dcterms:modified xsi:type="dcterms:W3CDTF">2025-09-15T05:05:25Z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FCDED6C0318D40C6AFB7517A38BA17F4</vt:lpwstr>
  </property>
</Properties>
</file>